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A33" w:rsidRDefault="00456F01" w:rsidP="00456F01">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C6E03C41-2920-4EBB-8CAC-8B9ABACDFD47" style="width:450.85pt;height:363.5pt">
            <v:imagedata r:id="rId13" o:title=""/>
          </v:shape>
        </w:pict>
      </w:r>
    </w:p>
    <w:bookmarkEnd w:id="0"/>
    <w:p w:rsidR="00DF1A33" w:rsidRDefault="00DF1A33">
      <w:pPr>
        <w:rPr>
          <w:noProof/>
        </w:rPr>
        <w:sectPr w:rsidR="00DF1A33" w:rsidSect="00456F01">
          <w:headerReference w:type="even" r:id="rId14"/>
          <w:headerReference w:type="default" r:id="rId15"/>
          <w:footerReference w:type="even" r:id="rId16"/>
          <w:footerReference w:type="default" r:id="rId17"/>
          <w:headerReference w:type="first" r:id="rId18"/>
          <w:footerReference w:type="first" r:id="rId19"/>
          <w:pgSz w:w="11906" w:h="16838"/>
          <w:pgMar w:top="1134" w:right="1417" w:bottom="1134" w:left="1417" w:header="709" w:footer="709" w:gutter="0"/>
          <w:pgNumType w:start="0"/>
          <w:cols w:space="720"/>
          <w:docGrid w:linePitch="360"/>
        </w:sectPr>
      </w:pPr>
    </w:p>
    <w:sdt>
      <w:sdtPr>
        <w:rPr>
          <w:rFonts w:asciiTheme="minorHAnsi" w:eastAsiaTheme="minorHAnsi" w:hAnsiTheme="minorHAnsi" w:cstheme="minorBidi"/>
          <w:b w:val="0"/>
          <w:noProof/>
          <w:sz w:val="28"/>
          <w:szCs w:val="28"/>
        </w:rPr>
        <w:id w:val="261498886"/>
        <w:docPartObj>
          <w:docPartGallery w:val="Table of Contents"/>
          <w:docPartUnique/>
        </w:docPartObj>
      </w:sdtPr>
      <w:sdtEndPr>
        <w:rPr>
          <w:rFonts w:ascii="Times New Roman" w:eastAsia="Times New Roman" w:hAnsi="Times New Roman" w:cs="Times New Roman"/>
          <w:b/>
          <w:bCs/>
          <w:sz w:val="24"/>
          <w:szCs w:val="20"/>
        </w:rPr>
      </w:sdtEndPr>
      <w:sdtContent>
        <w:p w:rsidR="00DF1A33" w:rsidRDefault="00456F01">
          <w:pPr>
            <w:pStyle w:val="TOCHeading"/>
            <w:rPr>
              <w:noProof/>
            </w:rPr>
          </w:pPr>
          <w:r>
            <w:rPr>
              <w:noProof/>
            </w:rPr>
            <w:t>Table of Contents</w:t>
          </w:r>
        </w:p>
        <w:p w:rsidR="00DF1A33" w:rsidRDefault="00456F01">
          <w:pPr>
            <w:pStyle w:val="TOC1"/>
            <w:rPr>
              <w:rFonts w:eastAsiaTheme="minorEastAsia"/>
              <w:caps w:val="0"/>
              <w:noProof/>
              <w:sz w:val="22"/>
              <w:szCs w:val="22"/>
              <w:lang w:eastAsia="en-GB"/>
            </w:rPr>
          </w:pPr>
          <w:r>
            <w:rPr>
              <w:noProof/>
              <w:sz w:val="22"/>
              <w:szCs w:val="22"/>
            </w:rPr>
            <w:fldChar w:fldCharType="begin"/>
          </w:r>
          <w:r>
            <w:rPr>
              <w:noProof/>
              <w:sz w:val="22"/>
              <w:szCs w:val="22"/>
            </w:rPr>
            <w:instrText xml:space="preserve"> TOC \o "1-3" \h \z \u </w:instrText>
          </w:r>
          <w:r>
            <w:rPr>
              <w:noProof/>
              <w:sz w:val="22"/>
              <w:szCs w:val="22"/>
            </w:rPr>
            <w:fldChar w:fldCharType="separate"/>
          </w:r>
          <w:hyperlink w:anchor="_Toc509414825" w:history="1">
            <w:r>
              <w:rPr>
                <w:rStyle w:val="Hyperlink"/>
                <w:noProof/>
              </w:rPr>
              <w:t>1.</w:t>
            </w:r>
            <w:r>
              <w:rPr>
                <w:rFonts w:eastAsiaTheme="minorEastAsia"/>
                <w:caps w:val="0"/>
                <w:noProof/>
                <w:sz w:val="22"/>
                <w:szCs w:val="22"/>
                <w:lang w:eastAsia="en-GB"/>
              </w:rPr>
              <w:tab/>
            </w:r>
            <w:r>
              <w:rPr>
                <w:rStyle w:val="Hyperlink"/>
                <w:noProof/>
              </w:rPr>
              <w:t>Introduction: Political and legal context</w:t>
            </w:r>
            <w:r>
              <w:rPr>
                <w:noProof/>
                <w:webHidden/>
              </w:rPr>
              <w:tab/>
            </w:r>
            <w:r>
              <w:rPr>
                <w:noProof/>
                <w:webHidden/>
              </w:rPr>
              <w:fldChar w:fldCharType="begin"/>
            </w:r>
            <w:r>
              <w:rPr>
                <w:noProof/>
                <w:webHidden/>
              </w:rPr>
              <w:instrText xml:space="preserve"> PAGEREF _Toc509414825 \h </w:instrText>
            </w:r>
            <w:r>
              <w:rPr>
                <w:noProof/>
                <w:webHidden/>
              </w:rPr>
            </w:r>
            <w:r>
              <w:rPr>
                <w:noProof/>
                <w:webHidden/>
              </w:rPr>
              <w:fldChar w:fldCharType="separate"/>
            </w:r>
            <w:r>
              <w:rPr>
                <w:noProof/>
                <w:webHidden/>
              </w:rPr>
              <w:t>1</w:t>
            </w:r>
            <w:r>
              <w:rPr>
                <w:noProof/>
                <w:webHidden/>
              </w:rPr>
              <w:fldChar w:fldCharType="end"/>
            </w:r>
          </w:hyperlink>
        </w:p>
        <w:p w:rsidR="00DF1A33" w:rsidRDefault="00456F01">
          <w:pPr>
            <w:pStyle w:val="TOC2"/>
            <w:tabs>
              <w:tab w:val="left" w:pos="1077"/>
            </w:tabs>
            <w:rPr>
              <w:rFonts w:eastAsiaTheme="minorEastAsia"/>
              <w:noProof/>
              <w:sz w:val="22"/>
              <w:szCs w:val="22"/>
              <w:lang w:eastAsia="en-GB"/>
            </w:rPr>
          </w:pPr>
          <w:hyperlink w:anchor="_Toc509414826" w:history="1">
            <w:r>
              <w:rPr>
                <w:rStyle w:val="Hyperlink"/>
                <w:noProof/>
              </w:rPr>
              <w:t>1.1.</w:t>
            </w:r>
            <w:r>
              <w:rPr>
                <w:rFonts w:eastAsiaTheme="minorEastAsia"/>
                <w:noProof/>
                <w:sz w:val="22"/>
                <w:szCs w:val="22"/>
                <w:lang w:eastAsia="en-GB"/>
              </w:rPr>
              <w:tab/>
            </w:r>
            <w:r>
              <w:rPr>
                <w:rStyle w:val="Hyperlink"/>
                <w:noProof/>
              </w:rPr>
              <w:t>Policy context</w:t>
            </w:r>
            <w:r>
              <w:rPr>
                <w:noProof/>
                <w:webHidden/>
              </w:rPr>
              <w:tab/>
            </w:r>
            <w:r>
              <w:rPr>
                <w:noProof/>
                <w:webHidden/>
              </w:rPr>
              <w:fldChar w:fldCharType="begin"/>
            </w:r>
            <w:r>
              <w:rPr>
                <w:noProof/>
                <w:webHidden/>
              </w:rPr>
              <w:instrText xml:space="preserve"> PAGEREF _Toc509414826 \h </w:instrText>
            </w:r>
            <w:r>
              <w:rPr>
                <w:noProof/>
                <w:webHidden/>
              </w:rPr>
            </w:r>
            <w:r>
              <w:rPr>
                <w:noProof/>
                <w:webHidden/>
              </w:rPr>
              <w:fldChar w:fldCharType="separate"/>
            </w:r>
            <w:r>
              <w:rPr>
                <w:noProof/>
                <w:webHidden/>
              </w:rPr>
              <w:t>2</w:t>
            </w:r>
            <w:r>
              <w:rPr>
                <w:noProof/>
                <w:webHidden/>
              </w:rPr>
              <w:fldChar w:fldCharType="end"/>
            </w:r>
          </w:hyperlink>
        </w:p>
        <w:p w:rsidR="00DF1A33" w:rsidRDefault="00456F01">
          <w:pPr>
            <w:pStyle w:val="TOC2"/>
            <w:tabs>
              <w:tab w:val="left" w:pos="1077"/>
            </w:tabs>
            <w:rPr>
              <w:rFonts w:eastAsiaTheme="minorEastAsia"/>
              <w:noProof/>
              <w:sz w:val="22"/>
              <w:szCs w:val="22"/>
              <w:lang w:eastAsia="en-GB"/>
            </w:rPr>
          </w:pPr>
          <w:hyperlink w:anchor="_Toc509414827" w:history="1">
            <w:r>
              <w:rPr>
                <w:rStyle w:val="Hyperlink"/>
                <w:noProof/>
              </w:rPr>
              <w:t>1.2.</w:t>
            </w:r>
            <w:r>
              <w:rPr>
                <w:rFonts w:eastAsiaTheme="minorEastAsia"/>
                <w:noProof/>
                <w:sz w:val="22"/>
                <w:szCs w:val="22"/>
                <w:lang w:eastAsia="en-GB"/>
              </w:rPr>
              <w:tab/>
            </w:r>
            <w:r>
              <w:rPr>
                <w:rStyle w:val="Hyperlink"/>
                <w:noProof/>
              </w:rPr>
              <w:t>Legal</w:t>
            </w:r>
            <w:r>
              <w:rPr>
                <w:rStyle w:val="Hyperlink"/>
                <w:noProof/>
              </w:rPr>
              <w:t xml:space="preserve"> context</w:t>
            </w:r>
            <w:r>
              <w:rPr>
                <w:noProof/>
                <w:webHidden/>
              </w:rPr>
              <w:tab/>
            </w:r>
            <w:r>
              <w:rPr>
                <w:noProof/>
                <w:webHidden/>
              </w:rPr>
              <w:fldChar w:fldCharType="begin"/>
            </w:r>
            <w:r>
              <w:rPr>
                <w:noProof/>
                <w:webHidden/>
              </w:rPr>
              <w:instrText xml:space="preserve"> PAGEREF _Toc509414827 \h </w:instrText>
            </w:r>
            <w:r>
              <w:rPr>
                <w:noProof/>
                <w:webHidden/>
              </w:rPr>
            </w:r>
            <w:r>
              <w:rPr>
                <w:noProof/>
                <w:webHidden/>
              </w:rPr>
              <w:fldChar w:fldCharType="separate"/>
            </w:r>
            <w:r>
              <w:rPr>
                <w:noProof/>
                <w:webHidden/>
              </w:rPr>
              <w:t>3</w:t>
            </w:r>
            <w:r>
              <w:rPr>
                <w:noProof/>
                <w:webHidden/>
              </w:rPr>
              <w:fldChar w:fldCharType="end"/>
            </w:r>
          </w:hyperlink>
        </w:p>
        <w:p w:rsidR="00DF1A33" w:rsidRDefault="00456F01">
          <w:pPr>
            <w:pStyle w:val="TOC3"/>
            <w:rPr>
              <w:rFonts w:eastAsiaTheme="minorEastAsia"/>
              <w:b w:val="0"/>
              <w:lang w:eastAsia="en-GB"/>
            </w:rPr>
          </w:pPr>
          <w:hyperlink w:anchor="_Toc509414828" w:history="1">
            <w:r>
              <w:rPr>
                <w:rStyle w:val="Hyperlink"/>
                <w:b w:val="0"/>
              </w:rPr>
              <w:t>1.2.1.</w:t>
            </w:r>
            <w:r>
              <w:rPr>
                <w:rFonts w:eastAsiaTheme="minorEastAsia"/>
                <w:b w:val="0"/>
                <w:lang w:eastAsia="en-GB"/>
              </w:rPr>
              <w:tab/>
            </w:r>
            <w:r>
              <w:rPr>
                <w:rStyle w:val="Hyperlink"/>
                <w:b w:val="0"/>
              </w:rPr>
              <w:t>Data protection legislation</w:t>
            </w:r>
            <w:r>
              <w:rPr>
                <w:b w:val="0"/>
                <w:webHidden/>
              </w:rPr>
              <w:tab/>
            </w:r>
            <w:r>
              <w:rPr>
                <w:b w:val="0"/>
                <w:webHidden/>
              </w:rPr>
              <w:fldChar w:fldCharType="begin"/>
            </w:r>
            <w:r>
              <w:rPr>
                <w:b w:val="0"/>
                <w:webHidden/>
              </w:rPr>
              <w:instrText xml:space="preserve"> PAGEREF _Toc509414828 \h </w:instrText>
            </w:r>
            <w:r>
              <w:rPr>
                <w:b w:val="0"/>
                <w:webHidden/>
              </w:rPr>
            </w:r>
            <w:r>
              <w:rPr>
                <w:b w:val="0"/>
                <w:webHidden/>
              </w:rPr>
              <w:fldChar w:fldCharType="separate"/>
            </w:r>
            <w:r>
              <w:rPr>
                <w:b w:val="0"/>
                <w:webHidden/>
              </w:rPr>
              <w:t>4</w:t>
            </w:r>
            <w:r>
              <w:rPr>
                <w:b w:val="0"/>
                <w:webHidden/>
              </w:rPr>
              <w:fldChar w:fldCharType="end"/>
            </w:r>
          </w:hyperlink>
        </w:p>
        <w:p w:rsidR="00DF1A33" w:rsidRDefault="00456F01">
          <w:pPr>
            <w:pStyle w:val="TOC3"/>
            <w:rPr>
              <w:rFonts w:eastAsiaTheme="minorEastAsia"/>
              <w:b w:val="0"/>
              <w:lang w:eastAsia="en-GB"/>
            </w:rPr>
          </w:pPr>
          <w:hyperlink w:anchor="_Toc509414829" w:history="1">
            <w:r>
              <w:rPr>
                <w:rStyle w:val="Hyperlink"/>
                <w:b w:val="0"/>
                <w:lang w:val="en-US"/>
              </w:rPr>
              <w:t>1.2.2.</w:t>
            </w:r>
            <w:r>
              <w:rPr>
                <w:rFonts w:eastAsiaTheme="minorEastAsia"/>
                <w:b w:val="0"/>
                <w:lang w:eastAsia="en-GB"/>
              </w:rPr>
              <w:tab/>
            </w:r>
            <w:r>
              <w:rPr>
                <w:rStyle w:val="Hyperlink"/>
                <w:b w:val="0"/>
                <w:lang w:val="en-US"/>
              </w:rPr>
              <w:t>Other relevant legal instruments</w:t>
            </w:r>
            <w:r>
              <w:rPr>
                <w:b w:val="0"/>
                <w:webHidden/>
              </w:rPr>
              <w:tab/>
            </w:r>
            <w:r>
              <w:rPr>
                <w:b w:val="0"/>
                <w:webHidden/>
              </w:rPr>
              <w:fldChar w:fldCharType="begin"/>
            </w:r>
            <w:r>
              <w:rPr>
                <w:b w:val="0"/>
                <w:webHidden/>
              </w:rPr>
              <w:instrText xml:space="preserve"> PAGEREF _Toc509414829 \h </w:instrText>
            </w:r>
            <w:r>
              <w:rPr>
                <w:b w:val="0"/>
                <w:webHidden/>
              </w:rPr>
            </w:r>
            <w:r>
              <w:rPr>
                <w:b w:val="0"/>
                <w:webHidden/>
              </w:rPr>
              <w:fldChar w:fldCharType="separate"/>
            </w:r>
            <w:r>
              <w:rPr>
                <w:b w:val="0"/>
                <w:webHidden/>
              </w:rPr>
              <w:t>5</w:t>
            </w:r>
            <w:r>
              <w:rPr>
                <w:b w:val="0"/>
                <w:webHidden/>
              </w:rPr>
              <w:fldChar w:fldCharType="end"/>
            </w:r>
          </w:hyperlink>
        </w:p>
        <w:p w:rsidR="00DF1A33" w:rsidRDefault="00456F01">
          <w:pPr>
            <w:pStyle w:val="TOC2"/>
            <w:tabs>
              <w:tab w:val="left" w:pos="1077"/>
            </w:tabs>
            <w:rPr>
              <w:rFonts w:eastAsiaTheme="minorEastAsia"/>
              <w:noProof/>
              <w:sz w:val="22"/>
              <w:szCs w:val="22"/>
              <w:lang w:eastAsia="en-GB"/>
            </w:rPr>
          </w:pPr>
          <w:hyperlink w:anchor="_Toc509414830" w:history="1">
            <w:r>
              <w:rPr>
                <w:rStyle w:val="Hyperlink"/>
                <w:noProof/>
              </w:rPr>
              <w:t>1.3.</w:t>
            </w:r>
            <w:r>
              <w:rPr>
                <w:rFonts w:eastAsiaTheme="minorEastAsia"/>
                <w:noProof/>
                <w:sz w:val="22"/>
                <w:szCs w:val="22"/>
                <w:lang w:eastAsia="en-GB"/>
              </w:rPr>
              <w:tab/>
            </w:r>
            <w:r>
              <w:rPr>
                <w:rStyle w:val="Hyperlink"/>
                <w:noProof/>
              </w:rPr>
              <w:t>Economic context</w:t>
            </w:r>
            <w:r>
              <w:rPr>
                <w:noProof/>
                <w:webHidden/>
              </w:rPr>
              <w:tab/>
            </w:r>
            <w:r>
              <w:rPr>
                <w:noProof/>
                <w:webHidden/>
              </w:rPr>
              <w:fldChar w:fldCharType="begin"/>
            </w:r>
            <w:r>
              <w:rPr>
                <w:noProof/>
                <w:webHidden/>
              </w:rPr>
              <w:instrText xml:space="preserve"> PAGEREF _Toc5094148</w:instrText>
            </w:r>
            <w:r>
              <w:rPr>
                <w:noProof/>
                <w:webHidden/>
              </w:rPr>
              <w:instrText xml:space="preserve">30 \h </w:instrText>
            </w:r>
            <w:r>
              <w:rPr>
                <w:noProof/>
                <w:webHidden/>
              </w:rPr>
            </w:r>
            <w:r>
              <w:rPr>
                <w:noProof/>
                <w:webHidden/>
              </w:rPr>
              <w:fldChar w:fldCharType="separate"/>
            </w:r>
            <w:r>
              <w:rPr>
                <w:noProof/>
                <w:webHidden/>
              </w:rPr>
              <w:t>5</w:t>
            </w:r>
            <w:r>
              <w:rPr>
                <w:noProof/>
                <w:webHidden/>
              </w:rPr>
              <w:fldChar w:fldCharType="end"/>
            </w:r>
          </w:hyperlink>
        </w:p>
        <w:p w:rsidR="00DF1A33" w:rsidRDefault="00456F01">
          <w:pPr>
            <w:pStyle w:val="TOC1"/>
            <w:rPr>
              <w:rFonts w:eastAsiaTheme="minorEastAsia"/>
              <w:caps w:val="0"/>
              <w:noProof/>
              <w:sz w:val="22"/>
              <w:szCs w:val="22"/>
              <w:lang w:eastAsia="en-GB"/>
            </w:rPr>
          </w:pPr>
          <w:hyperlink w:anchor="_Toc509414831" w:history="1">
            <w:r>
              <w:rPr>
                <w:rStyle w:val="Hyperlink"/>
                <w:noProof/>
              </w:rPr>
              <w:t>2.</w:t>
            </w:r>
            <w:r>
              <w:rPr>
                <w:rFonts w:eastAsiaTheme="minorEastAsia"/>
                <w:caps w:val="0"/>
                <w:noProof/>
                <w:sz w:val="22"/>
                <w:szCs w:val="22"/>
                <w:lang w:eastAsia="en-GB"/>
              </w:rPr>
              <w:tab/>
            </w:r>
            <w:r>
              <w:rPr>
                <w:rStyle w:val="Hyperlink"/>
                <w:noProof/>
              </w:rPr>
              <w:t>Problem definition</w:t>
            </w:r>
            <w:r>
              <w:rPr>
                <w:noProof/>
                <w:webHidden/>
              </w:rPr>
              <w:tab/>
            </w:r>
            <w:r>
              <w:rPr>
                <w:noProof/>
                <w:webHidden/>
              </w:rPr>
              <w:fldChar w:fldCharType="begin"/>
            </w:r>
            <w:r>
              <w:rPr>
                <w:noProof/>
                <w:webHidden/>
              </w:rPr>
              <w:instrText xml:space="preserve"> PAGEREF _Toc509414831 \h </w:instrText>
            </w:r>
            <w:r>
              <w:rPr>
                <w:noProof/>
                <w:webHidden/>
              </w:rPr>
            </w:r>
            <w:r>
              <w:rPr>
                <w:noProof/>
                <w:webHidden/>
              </w:rPr>
              <w:fldChar w:fldCharType="separate"/>
            </w:r>
            <w:r>
              <w:rPr>
                <w:noProof/>
                <w:webHidden/>
              </w:rPr>
              <w:t>7</w:t>
            </w:r>
            <w:r>
              <w:rPr>
                <w:noProof/>
                <w:webHidden/>
              </w:rPr>
              <w:fldChar w:fldCharType="end"/>
            </w:r>
          </w:hyperlink>
        </w:p>
        <w:p w:rsidR="00DF1A33" w:rsidRDefault="00456F01">
          <w:pPr>
            <w:pStyle w:val="TOC2"/>
            <w:tabs>
              <w:tab w:val="left" w:pos="1077"/>
            </w:tabs>
            <w:rPr>
              <w:rFonts w:eastAsiaTheme="minorEastAsia"/>
              <w:noProof/>
              <w:sz w:val="22"/>
              <w:szCs w:val="22"/>
              <w:lang w:eastAsia="en-GB"/>
            </w:rPr>
          </w:pPr>
          <w:hyperlink w:anchor="_Toc509414832" w:history="1">
            <w:r>
              <w:rPr>
                <w:rStyle w:val="Hyperlink"/>
                <w:noProof/>
              </w:rPr>
              <w:t>2.1.</w:t>
            </w:r>
            <w:r>
              <w:rPr>
                <w:rFonts w:eastAsiaTheme="minorEastAsia"/>
                <w:noProof/>
                <w:sz w:val="22"/>
                <w:szCs w:val="22"/>
                <w:lang w:eastAsia="en-GB"/>
              </w:rPr>
              <w:tab/>
            </w:r>
            <w:r>
              <w:rPr>
                <w:rStyle w:val="Hyperlink"/>
                <w:noProof/>
              </w:rPr>
              <w:t>Ensuring the success of the open data policy in the evolving digital environment</w:t>
            </w:r>
            <w:r>
              <w:rPr>
                <w:noProof/>
                <w:webHidden/>
              </w:rPr>
              <w:tab/>
            </w:r>
            <w:r>
              <w:rPr>
                <w:noProof/>
                <w:webHidden/>
              </w:rPr>
              <w:fldChar w:fldCharType="begin"/>
            </w:r>
            <w:r>
              <w:rPr>
                <w:noProof/>
                <w:webHidden/>
              </w:rPr>
              <w:instrText xml:space="preserve"> PAGEREF _Toc509414832 \h </w:instrText>
            </w:r>
            <w:r>
              <w:rPr>
                <w:noProof/>
                <w:webHidden/>
              </w:rPr>
            </w:r>
            <w:r>
              <w:rPr>
                <w:noProof/>
                <w:webHidden/>
              </w:rPr>
              <w:fldChar w:fldCharType="separate"/>
            </w:r>
            <w:r>
              <w:rPr>
                <w:noProof/>
                <w:webHidden/>
              </w:rPr>
              <w:t>7</w:t>
            </w:r>
            <w:r>
              <w:rPr>
                <w:noProof/>
                <w:webHidden/>
              </w:rPr>
              <w:fldChar w:fldCharType="end"/>
            </w:r>
          </w:hyperlink>
        </w:p>
        <w:p w:rsidR="00DF1A33" w:rsidRDefault="00456F01">
          <w:pPr>
            <w:pStyle w:val="TOC2"/>
            <w:tabs>
              <w:tab w:val="left" w:pos="1077"/>
            </w:tabs>
            <w:rPr>
              <w:rFonts w:eastAsiaTheme="minorEastAsia"/>
              <w:noProof/>
              <w:sz w:val="22"/>
              <w:szCs w:val="22"/>
              <w:lang w:eastAsia="en-GB"/>
            </w:rPr>
          </w:pPr>
          <w:hyperlink w:anchor="_Toc509414833" w:history="1">
            <w:r>
              <w:rPr>
                <w:rStyle w:val="Hyperlink"/>
                <w:noProof/>
              </w:rPr>
              <w:t>2.2.</w:t>
            </w:r>
            <w:r>
              <w:rPr>
                <w:rFonts w:eastAsiaTheme="minorEastAsia"/>
                <w:noProof/>
                <w:sz w:val="22"/>
                <w:szCs w:val="22"/>
                <w:lang w:eastAsia="en-GB"/>
              </w:rPr>
              <w:tab/>
            </w:r>
            <w:r>
              <w:rPr>
                <w:rStyle w:val="Hyperlink"/>
                <w:noProof/>
              </w:rPr>
              <w:t>What are the problems and the problem drivers?</w:t>
            </w:r>
            <w:r>
              <w:rPr>
                <w:noProof/>
                <w:webHidden/>
              </w:rPr>
              <w:tab/>
            </w:r>
            <w:r>
              <w:rPr>
                <w:noProof/>
                <w:webHidden/>
              </w:rPr>
              <w:fldChar w:fldCharType="begin"/>
            </w:r>
            <w:r>
              <w:rPr>
                <w:noProof/>
                <w:webHidden/>
              </w:rPr>
              <w:instrText xml:space="preserve"> PAGEREF _Toc509414833 \h </w:instrText>
            </w:r>
            <w:r>
              <w:rPr>
                <w:noProof/>
                <w:webHidden/>
              </w:rPr>
            </w:r>
            <w:r>
              <w:rPr>
                <w:noProof/>
                <w:webHidden/>
              </w:rPr>
              <w:fldChar w:fldCharType="separate"/>
            </w:r>
            <w:r>
              <w:rPr>
                <w:noProof/>
                <w:webHidden/>
              </w:rPr>
              <w:t>8</w:t>
            </w:r>
            <w:r>
              <w:rPr>
                <w:noProof/>
                <w:webHidden/>
              </w:rPr>
              <w:fldChar w:fldCharType="end"/>
            </w:r>
          </w:hyperlink>
        </w:p>
        <w:p w:rsidR="00DF1A33" w:rsidRDefault="00456F01">
          <w:pPr>
            <w:pStyle w:val="TOC3"/>
            <w:rPr>
              <w:rFonts w:eastAsiaTheme="minorEastAsia"/>
              <w:b w:val="0"/>
              <w:lang w:eastAsia="en-GB"/>
            </w:rPr>
          </w:pPr>
          <w:hyperlink w:anchor="_Toc509414834" w:history="1">
            <w:r>
              <w:rPr>
                <w:rStyle w:val="Hyperlink"/>
                <w:b w:val="0"/>
              </w:rPr>
              <w:t>2.2.1.</w:t>
            </w:r>
            <w:r>
              <w:rPr>
                <w:rFonts w:eastAsiaTheme="minorEastAsia"/>
                <w:b w:val="0"/>
                <w:lang w:eastAsia="en-GB"/>
              </w:rPr>
              <w:tab/>
            </w:r>
            <w:r>
              <w:rPr>
                <w:rStyle w:val="Hyperlink"/>
                <w:b w:val="0"/>
              </w:rPr>
              <w:t xml:space="preserve">Contextual </w:t>
            </w:r>
            <w:r>
              <w:rPr>
                <w:rStyle w:val="Hyperlink"/>
                <w:b w:val="0"/>
              </w:rPr>
              <w:t>drivers</w:t>
            </w:r>
            <w:r>
              <w:rPr>
                <w:b w:val="0"/>
                <w:webHidden/>
              </w:rPr>
              <w:tab/>
            </w:r>
            <w:r>
              <w:rPr>
                <w:b w:val="0"/>
                <w:webHidden/>
              </w:rPr>
              <w:fldChar w:fldCharType="begin"/>
            </w:r>
            <w:r>
              <w:rPr>
                <w:b w:val="0"/>
                <w:webHidden/>
              </w:rPr>
              <w:instrText xml:space="preserve"> PAGEREF _Toc509414834 \h </w:instrText>
            </w:r>
            <w:r>
              <w:rPr>
                <w:b w:val="0"/>
                <w:webHidden/>
              </w:rPr>
            </w:r>
            <w:r>
              <w:rPr>
                <w:b w:val="0"/>
                <w:webHidden/>
              </w:rPr>
              <w:fldChar w:fldCharType="separate"/>
            </w:r>
            <w:r>
              <w:rPr>
                <w:b w:val="0"/>
                <w:webHidden/>
              </w:rPr>
              <w:t>8</w:t>
            </w:r>
            <w:r>
              <w:rPr>
                <w:b w:val="0"/>
                <w:webHidden/>
              </w:rPr>
              <w:fldChar w:fldCharType="end"/>
            </w:r>
          </w:hyperlink>
        </w:p>
        <w:p w:rsidR="00DF1A33" w:rsidRDefault="00456F01">
          <w:pPr>
            <w:pStyle w:val="TOC3"/>
            <w:rPr>
              <w:rFonts w:eastAsiaTheme="minorEastAsia"/>
              <w:b w:val="0"/>
              <w:lang w:eastAsia="en-GB"/>
            </w:rPr>
          </w:pPr>
          <w:hyperlink w:anchor="_Toc509414835" w:history="1">
            <w:r>
              <w:rPr>
                <w:rStyle w:val="Hyperlink"/>
                <w:b w:val="0"/>
              </w:rPr>
              <w:t>2.2.2.</w:t>
            </w:r>
            <w:r>
              <w:rPr>
                <w:rFonts w:eastAsiaTheme="minorEastAsia"/>
                <w:b w:val="0"/>
                <w:lang w:eastAsia="en-GB"/>
              </w:rPr>
              <w:tab/>
            </w:r>
            <w:r>
              <w:rPr>
                <w:rStyle w:val="Hyperlink"/>
                <w:b w:val="0"/>
              </w:rPr>
              <w:t>Problem area No. 1:  Insufficient use of methods for access and re-use of dynamic data by machines</w:t>
            </w:r>
            <w:r>
              <w:rPr>
                <w:b w:val="0"/>
                <w:webHidden/>
              </w:rPr>
              <w:tab/>
            </w:r>
            <w:r>
              <w:rPr>
                <w:b w:val="0"/>
                <w:webHidden/>
              </w:rPr>
              <w:fldChar w:fldCharType="begin"/>
            </w:r>
            <w:r>
              <w:rPr>
                <w:b w:val="0"/>
                <w:webHidden/>
              </w:rPr>
              <w:instrText xml:space="preserve"> PAGEREF _Toc5</w:instrText>
            </w:r>
            <w:r>
              <w:rPr>
                <w:b w:val="0"/>
                <w:webHidden/>
              </w:rPr>
              <w:instrText xml:space="preserve">09414835 \h </w:instrText>
            </w:r>
            <w:r>
              <w:rPr>
                <w:b w:val="0"/>
                <w:webHidden/>
              </w:rPr>
            </w:r>
            <w:r>
              <w:rPr>
                <w:b w:val="0"/>
                <w:webHidden/>
              </w:rPr>
              <w:fldChar w:fldCharType="separate"/>
            </w:r>
            <w:r>
              <w:rPr>
                <w:b w:val="0"/>
                <w:webHidden/>
              </w:rPr>
              <w:t>9</w:t>
            </w:r>
            <w:r>
              <w:rPr>
                <w:b w:val="0"/>
                <w:webHidden/>
              </w:rPr>
              <w:fldChar w:fldCharType="end"/>
            </w:r>
          </w:hyperlink>
        </w:p>
        <w:p w:rsidR="00DF1A33" w:rsidRDefault="00456F01">
          <w:pPr>
            <w:pStyle w:val="TOC3"/>
            <w:rPr>
              <w:rFonts w:eastAsiaTheme="minorEastAsia"/>
              <w:b w:val="0"/>
              <w:lang w:eastAsia="en-GB"/>
            </w:rPr>
          </w:pPr>
          <w:hyperlink w:anchor="_Toc509414836" w:history="1">
            <w:r>
              <w:rPr>
                <w:rStyle w:val="Hyperlink"/>
                <w:b w:val="0"/>
              </w:rPr>
              <w:t>2.2.3.</w:t>
            </w:r>
            <w:r>
              <w:rPr>
                <w:rFonts w:eastAsiaTheme="minorEastAsia"/>
                <w:b w:val="0"/>
                <w:lang w:eastAsia="en-GB"/>
              </w:rPr>
              <w:tab/>
            </w:r>
            <w:r>
              <w:rPr>
                <w:rStyle w:val="Hyperlink"/>
                <w:b w:val="0"/>
              </w:rPr>
              <w:t>Problem area No. 2: Market entry barriers and fragmentation</w:t>
            </w:r>
            <w:r>
              <w:rPr>
                <w:b w:val="0"/>
                <w:webHidden/>
              </w:rPr>
              <w:tab/>
            </w:r>
            <w:r>
              <w:rPr>
                <w:b w:val="0"/>
                <w:webHidden/>
              </w:rPr>
              <w:fldChar w:fldCharType="begin"/>
            </w:r>
            <w:r>
              <w:rPr>
                <w:b w:val="0"/>
                <w:webHidden/>
              </w:rPr>
              <w:instrText xml:space="preserve"> PAGEREF _Toc509414836 \h </w:instrText>
            </w:r>
            <w:r>
              <w:rPr>
                <w:b w:val="0"/>
                <w:webHidden/>
              </w:rPr>
            </w:r>
            <w:r>
              <w:rPr>
                <w:b w:val="0"/>
                <w:webHidden/>
              </w:rPr>
              <w:fldChar w:fldCharType="separate"/>
            </w:r>
            <w:r>
              <w:rPr>
                <w:b w:val="0"/>
                <w:webHidden/>
              </w:rPr>
              <w:t>11</w:t>
            </w:r>
            <w:r>
              <w:rPr>
                <w:b w:val="0"/>
                <w:webHidden/>
              </w:rPr>
              <w:fldChar w:fldCharType="end"/>
            </w:r>
          </w:hyperlink>
        </w:p>
        <w:p w:rsidR="00DF1A33" w:rsidRDefault="00456F01">
          <w:pPr>
            <w:pStyle w:val="TOC3"/>
            <w:rPr>
              <w:rFonts w:eastAsiaTheme="minorEastAsia"/>
              <w:b w:val="0"/>
              <w:lang w:eastAsia="en-GB"/>
            </w:rPr>
          </w:pPr>
          <w:hyperlink w:anchor="_Toc509414837" w:history="1">
            <w:r>
              <w:rPr>
                <w:rStyle w:val="Hyperlink"/>
                <w:b w:val="0"/>
              </w:rPr>
              <w:t>2.2.4.</w:t>
            </w:r>
            <w:r>
              <w:rPr>
                <w:rFonts w:eastAsiaTheme="minorEastAsia"/>
                <w:b w:val="0"/>
                <w:lang w:eastAsia="en-GB"/>
              </w:rPr>
              <w:tab/>
            </w:r>
            <w:r>
              <w:rPr>
                <w:rStyle w:val="Hyperlink"/>
                <w:b w:val="0"/>
              </w:rPr>
              <w:t>Problem area No. 3: Insufficient availability of public and publicly funded data for re-use</w:t>
            </w:r>
            <w:r>
              <w:rPr>
                <w:b w:val="0"/>
                <w:webHidden/>
              </w:rPr>
              <w:tab/>
            </w:r>
            <w:r>
              <w:rPr>
                <w:b w:val="0"/>
                <w:webHidden/>
              </w:rPr>
              <w:tab/>
            </w:r>
            <w:r>
              <w:rPr>
                <w:b w:val="0"/>
                <w:webHidden/>
              </w:rPr>
              <w:fldChar w:fldCharType="begin"/>
            </w:r>
            <w:r>
              <w:rPr>
                <w:b w:val="0"/>
                <w:webHidden/>
              </w:rPr>
              <w:instrText xml:space="preserve"> PAGEREF _Toc509414837 \h </w:instrText>
            </w:r>
            <w:r>
              <w:rPr>
                <w:b w:val="0"/>
                <w:webHidden/>
              </w:rPr>
            </w:r>
            <w:r>
              <w:rPr>
                <w:b w:val="0"/>
                <w:webHidden/>
              </w:rPr>
              <w:fldChar w:fldCharType="separate"/>
            </w:r>
            <w:r>
              <w:rPr>
                <w:b w:val="0"/>
                <w:webHidden/>
              </w:rPr>
              <w:t>13</w:t>
            </w:r>
            <w:r>
              <w:rPr>
                <w:b w:val="0"/>
                <w:webHidden/>
              </w:rPr>
              <w:fldChar w:fldCharType="end"/>
            </w:r>
          </w:hyperlink>
        </w:p>
        <w:p w:rsidR="00DF1A33" w:rsidRDefault="00456F01">
          <w:pPr>
            <w:pStyle w:val="TOC3"/>
            <w:rPr>
              <w:rFonts w:eastAsiaTheme="minorEastAsia"/>
              <w:b w:val="0"/>
              <w:lang w:eastAsia="en-GB"/>
            </w:rPr>
          </w:pPr>
          <w:hyperlink w:anchor="_Toc509414838" w:history="1">
            <w:r>
              <w:rPr>
                <w:rStyle w:val="Hyperlink"/>
                <w:b w:val="0"/>
              </w:rPr>
              <w:t>2.2.5.</w:t>
            </w:r>
            <w:r>
              <w:rPr>
                <w:rFonts w:eastAsiaTheme="minorEastAsia"/>
                <w:b w:val="0"/>
                <w:lang w:eastAsia="en-GB"/>
              </w:rPr>
              <w:tab/>
            </w:r>
            <w:r>
              <w:rPr>
                <w:rStyle w:val="Hyperlink"/>
                <w:b w:val="0"/>
              </w:rPr>
              <w:t>Problem area No. 4: Distortion of competition in the internal market</w:t>
            </w:r>
            <w:r>
              <w:rPr>
                <w:b w:val="0"/>
                <w:webHidden/>
              </w:rPr>
              <w:tab/>
            </w:r>
            <w:r>
              <w:rPr>
                <w:b w:val="0"/>
                <w:webHidden/>
              </w:rPr>
              <w:fldChar w:fldCharType="begin"/>
            </w:r>
            <w:r>
              <w:rPr>
                <w:b w:val="0"/>
                <w:webHidden/>
              </w:rPr>
              <w:instrText xml:space="preserve"> PAGEREF _Toc509414838 \h </w:instrText>
            </w:r>
            <w:r>
              <w:rPr>
                <w:b w:val="0"/>
                <w:webHidden/>
              </w:rPr>
            </w:r>
            <w:r>
              <w:rPr>
                <w:b w:val="0"/>
                <w:webHidden/>
              </w:rPr>
              <w:fldChar w:fldCharType="separate"/>
            </w:r>
            <w:r>
              <w:rPr>
                <w:b w:val="0"/>
                <w:webHidden/>
              </w:rPr>
              <w:t>18</w:t>
            </w:r>
            <w:r>
              <w:rPr>
                <w:b w:val="0"/>
                <w:webHidden/>
              </w:rPr>
              <w:fldChar w:fldCharType="end"/>
            </w:r>
          </w:hyperlink>
        </w:p>
        <w:p w:rsidR="00DF1A33" w:rsidRDefault="00456F01">
          <w:pPr>
            <w:pStyle w:val="TOC2"/>
            <w:tabs>
              <w:tab w:val="left" w:pos="1077"/>
            </w:tabs>
            <w:rPr>
              <w:rFonts w:eastAsiaTheme="minorEastAsia"/>
              <w:noProof/>
              <w:sz w:val="22"/>
              <w:szCs w:val="22"/>
              <w:lang w:eastAsia="en-GB"/>
            </w:rPr>
          </w:pPr>
          <w:hyperlink w:anchor="_Toc509414839" w:history="1">
            <w:r>
              <w:rPr>
                <w:rStyle w:val="Hyperlink"/>
                <w:noProof/>
              </w:rPr>
              <w:t>2.3.</w:t>
            </w:r>
            <w:r>
              <w:rPr>
                <w:rFonts w:eastAsiaTheme="minorEastAsia"/>
                <w:noProof/>
                <w:sz w:val="22"/>
                <w:szCs w:val="22"/>
                <w:lang w:eastAsia="en-GB"/>
              </w:rPr>
              <w:tab/>
            </w:r>
            <w:r>
              <w:rPr>
                <w:rStyle w:val="Hyperlink"/>
                <w:noProof/>
              </w:rPr>
              <w:t xml:space="preserve">Who is affected </w:t>
            </w:r>
            <w:r>
              <w:rPr>
                <w:rStyle w:val="Hyperlink"/>
                <w:noProof/>
              </w:rPr>
              <w:t>and in what ways?</w:t>
            </w:r>
            <w:r>
              <w:rPr>
                <w:noProof/>
                <w:webHidden/>
              </w:rPr>
              <w:tab/>
            </w:r>
            <w:r>
              <w:rPr>
                <w:noProof/>
                <w:webHidden/>
              </w:rPr>
              <w:fldChar w:fldCharType="begin"/>
            </w:r>
            <w:r>
              <w:rPr>
                <w:noProof/>
                <w:webHidden/>
              </w:rPr>
              <w:instrText xml:space="preserve"> PAGEREF _Toc509414839 \h </w:instrText>
            </w:r>
            <w:r>
              <w:rPr>
                <w:noProof/>
                <w:webHidden/>
              </w:rPr>
            </w:r>
            <w:r>
              <w:rPr>
                <w:noProof/>
                <w:webHidden/>
              </w:rPr>
              <w:fldChar w:fldCharType="separate"/>
            </w:r>
            <w:r>
              <w:rPr>
                <w:noProof/>
                <w:webHidden/>
              </w:rPr>
              <w:t>20</w:t>
            </w:r>
            <w:r>
              <w:rPr>
                <w:noProof/>
                <w:webHidden/>
              </w:rPr>
              <w:fldChar w:fldCharType="end"/>
            </w:r>
          </w:hyperlink>
        </w:p>
        <w:p w:rsidR="00DF1A33" w:rsidRDefault="00456F01">
          <w:pPr>
            <w:pStyle w:val="TOC3"/>
            <w:rPr>
              <w:rFonts w:eastAsiaTheme="minorEastAsia"/>
              <w:b w:val="0"/>
              <w:lang w:eastAsia="en-GB"/>
            </w:rPr>
          </w:pPr>
          <w:hyperlink w:anchor="_Toc509414840" w:history="1">
            <w:r>
              <w:rPr>
                <w:rStyle w:val="Hyperlink"/>
                <w:b w:val="0"/>
              </w:rPr>
              <w:t>2.3.1.</w:t>
            </w:r>
            <w:r>
              <w:rPr>
                <w:rFonts w:eastAsiaTheme="minorEastAsia"/>
                <w:b w:val="0"/>
                <w:lang w:eastAsia="en-GB"/>
              </w:rPr>
              <w:tab/>
            </w:r>
            <w:r>
              <w:rPr>
                <w:rStyle w:val="Hyperlink"/>
                <w:b w:val="0"/>
              </w:rPr>
              <w:t>Public sector</w:t>
            </w:r>
            <w:r>
              <w:rPr>
                <w:b w:val="0"/>
                <w:webHidden/>
              </w:rPr>
              <w:tab/>
            </w:r>
            <w:r>
              <w:rPr>
                <w:b w:val="0"/>
                <w:webHidden/>
              </w:rPr>
              <w:fldChar w:fldCharType="begin"/>
            </w:r>
            <w:r>
              <w:rPr>
                <w:b w:val="0"/>
                <w:webHidden/>
              </w:rPr>
              <w:instrText xml:space="preserve"> PAGEREF _Toc509414840 \h </w:instrText>
            </w:r>
            <w:r>
              <w:rPr>
                <w:b w:val="0"/>
                <w:webHidden/>
              </w:rPr>
            </w:r>
            <w:r>
              <w:rPr>
                <w:b w:val="0"/>
                <w:webHidden/>
              </w:rPr>
              <w:fldChar w:fldCharType="separate"/>
            </w:r>
            <w:r>
              <w:rPr>
                <w:b w:val="0"/>
                <w:webHidden/>
              </w:rPr>
              <w:t>20</w:t>
            </w:r>
            <w:r>
              <w:rPr>
                <w:b w:val="0"/>
                <w:webHidden/>
              </w:rPr>
              <w:fldChar w:fldCharType="end"/>
            </w:r>
          </w:hyperlink>
        </w:p>
        <w:p w:rsidR="00DF1A33" w:rsidRDefault="00456F01">
          <w:pPr>
            <w:pStyle w:val="TOC3"/>
            <w:rPr>
              <w:rFonts w:eastAsiaTheme="minorEastAsia"/>
              <w:b w:val="0"/>
              <w:lang w:eastAsia="en-GB"/>
            </w:rPr>
          </w:pPr>
          <w:hyperlink w:anchor="_Toc509414841" w:history="1">
            <w:r>
              <w:rPr>
                <w:rStyle w:val="Hyperlink"/>
                <w:b w:val="0"/>
              </w:rPr>
              <w:t>2.3.2.</w:t>
            </w:r>
            <w:r>
              <w:rPr>
                <w:rFonts w:eastAsiaTheme="minorEastAsia"/>
                <w:b w:val="0"/>
                <w:lang w:eastAsia="en-GB"/>
              </w:rPr>
              <w:tab/>
            </w:r>
            <w:r>
              <w:rPr>
                <w:rStyle w:val="Hyperlink"/>
                <w:b w:val="0"/>
              </w:rPr>
              <w:t>Private sector, in particular SMEs</w:t>
            </w:r>
            <w:r>
              <w:rPr>
                <w:b w:val="0"/>
                <w:webHidden/>
              </w:rPr>
              <w:tab/>
            </w:r>
            <w:r>
              <w:rPr>
                <w:b w:val="0"/>
                <w:webHidden/>
              </w:rPr>
              <w:fldChar w:fldCharType="begin"/>
            </w:r>
            <w:r>
              <w:rPr>
                <w:b w:val="0"/>
                <w:webHidden/>
              </w:rPr>
              <w:instrText xml:space="preserve"> PAGEREF _Toc509414841 \h </w:instrText>
            </w:r>
            <w:r>
              <w:rPr>
                <w:b w:val="0"/>
                <w:webHidden/>
              </w:rPr>
            </w:r>
            <w:r>
              <w:rPr>
                <w:b w:val="0"/>
                <w:webHidden/>
              </w:rPr>
              <w:fldChar w:fldCharType="separate"/>
            </w:r>
            <w:r>
              <w:rPr>
                <w:b w:val="0"/>
                <w:webHidden/>
              </w:rPr>
              <w:t>21</w:t>
            </w:r>
            <w:r>
              <w:rPr>
                <w:b w:val="0"/>
                <w:webHidden/>
              </w:rPr>
              <w:fldChar w:fldCharType="end"/>
            </w:r>
          </w:hyperlink>
        </w:p>
        <w:p w:rsidR="00DF1A33" w:rsidRDefault="00456F01">
          <w:pPr>
            <w:pStyle w:val="TOC2"/>
            <w:tabs>
              <w:tab w:val="left" w:pos="1077"/>
            </w:tabs>
            <w:rPr>
              <w:rFonts w:eastAsiaTheme="minorEastAsia"/>
              <w:noProof/>
              <w:sz w:val="22"/>
              <w:szCs w:val="22"/>
              <w:lang w:eastAsia="en-GB"/>
            </w:rPr>
          </w:pPr>
          <w:hyperlink w:anchor="_Toc509414842" w:history="1">
            <w:r>
              <w:rPr>
                <w:rStyle w:val="Hyperlink"/>
                <w:noProof/>
              </w:rPr>
              <w:t>2.4.</w:t>
            </w:r>
            <w:r>
              <w:rPr>
                <w:rFonts w:eastAsiaTheme="minorEastAsia"/>
                <w:noProof/>
                <w:sz w:val="22"/>
                <w:szCs w:val="22"/>
                <w:lang w:eastAsia="en-GB"/>
              </w:rPr>
              <w:tab/>
            </w:r>
            <w:r>
              <w:rPr>
                <w:rStyle w:val="Hyperlink"/>
                <w:noProof/>
              </w:rPr>
              <w:t>How will the problem evolve?</w:t>
            </w:r>
            <w:r>
              <w:rPr>
                <w:noProof/>
                <w:webHidden/>
              </w:rPr>
              <w:tab/>
            </w:r>
            <w:r>
              <w:rPr>
                <w:noProof/>
                <w:webHidden/>
              </w:rPr>
              <w:fldChar w:fldCharType="begin"/>
            </w:r>
            <w:r>
              <w:rPr>
                <w:noProof/>
                <w:webHidden/>
              </w:rPr>
              <w:instrText xml:space="preserve"> PAGEREF</w:instrText>
            </w:r>
            <w:r>
              <w:rPr>
                <w:noProof/>
                <w:webHidden/>
              </w:rPr>
              <w:instrText xml:space="preserve"> _Toc509414842 \h </w:instrText>
            </w:r>
            <w:r>
              <w:rPr>
                <w:noProof/>
                <w:webHidden/>
              </w:rPr>
            </w:r>
            <w:r>
              <w:rPr>
                <w:noProof/>
                <w:webHidden/>
              </w:rPr>
              <w:fldChar w:fldCharType="separate"/>
            </w:r>
            <w:r>
              <w:rPr>
                <w:noProof/>
                <w:webHidden/>
              </w:rPr>
              <w:t>21</w:t>
            </w:r>
            <w:r>
              <w:rPr>
                <w:noProof/>
                <w:webHidden/>
              </w:rPr>
              <w:fldChar w:fldCharType="end"/>
            </w:r>
          </w:hyperlink>
        </w:p>
        <w:p w:rsidR="00DF1A33" w:rsidRDefault="00456F01">
          <w:pPr>
            <w:pStyle w:val="TOC2"/>
            <w:tabs>
              <w:tab w:val="left" w:pos="1077"/>
            </w:tabs>
            <w:rPr>
              <w:rFonts w:eastAsiaTheme="minorEastAsia"/>
              <w:noProof/>
              <w:sz w:val="22"/>
              <w:szCs w:val="22"/>
              <w:lang w:eastAsia="en-GB"/>
            </w:rPr>
          </w:pPr>
          <w:hyperlink w:anchor="_Toc509414843" w:history="1">
            <w:r>
              <w:rPr>
                <w:rStyle w:val="Hyperlink"/>
                <w:noProof/>
              </w:rPr>
              <w:t>2.5.</w:t>
            </w:r>
            <w:r>
              <w:rPr>
                <w:rFonts w:eastAsiaTheme="minorEastAsia"/>
                <w:noProof/>
                <w:sz w:val="22"/>
                <w:szCs w:val="22"/>
                <w:lang w:eastAsia="en-GB"/>
              </w:rPr>
              <w:tab/>
            </w:r>
            <w:r>
              <w:rPr>
                <w:rStyle w:val="Hyperlink"/>
                <w:noProof/>
              </w:rPr>
              <w:t>REFIT considerations</w:t>
            </w:r>
            <w:r>
              <w:rPr>
                <w:noProof/>
                <w:webHidden/>
              </w:rPr>
              <w:tab/>
            </w:r>
            <w:r>
              <w:rPr>
                <w:noProof/>
                <w:webHidden/>
              </w:rPr>
              <w:fldChar w:fldCharType="begin"/>
            </w:r>
            <w:r>
              <w:rPr>
                <w:noProof/>
                <w:webHidden/>
              </w:rPr>
              <w:instrText xml:space="preserve"> PAGEREF _Toc509414843 \h </w:instrText>
            </w:r>
            <w:r>
              <w:rPr>
                <w:noProof/>
                <w:webHidden/>
              </w:rPr>
            </w:r>
            <w:r>
              <w:rPr>
                <w:noProof/>
                <w:webHidden/>
              </w:rPr>
              <w:fldChar w:fldCharType="separate"/>
            </w:r>
            <w:r>
              <w:rPr>
                <w:noProof/>
                <w:webHidden/>
              </w:rPr>
              <w:t>22</w:t>
            </w:r>
            <w:r>
              <w:rPr>
                <w:noProof/>
                <w:webHidden/>
              </w:rPr>
              <w:fldChar w:fldCharType="end"/>
            </w:r>
          </w:hyperlink>
        </w:p>
        <w:p w:rsidR="00DF1A33" w:rsidRDefault="00456F01">
          <w:pPr>
            <w:pStyle w:val="TOC2"/>
            <w:tabs>
              <w:tab w:val="left" w:pos="1077"/>
            </w:tabs>
            <w:rPr>
              <w:rFonts w:eastAsiaTheme="minorEastAsia"/>
              <w:noProof/>
              <w:sz w:val="22"/>
              <w:szCs w:val="22"/>
              <w:lang w:eastAsia="en-GB"/>
            </w:rPr>
          </w:pPr>
          <w:hyperlink w:anchor="_Toc509414844" w:history="1">
            <w:r>
              <w:rPr>
                <w:rStyle w:val="Hyperlink"/>
                <w:noProof/>
              </w:rPr>
              <w:t>2.6.</w:t>
            </w:r>
            <w:r>
              <w:rPr>
                <w:rFonts w:eastAsiaTheme="minorEastAsia"/>
                <w:noProof/>
                <w:sz w:val="22"/>
                <w:szCs w:val="22"/>
                <w:lang w:eastAsia="en-GB"/>
              </w:rPr>
              <w:tab/>
            </w:r>
            <w:r>
              <w:rPr>
                <w:rStyle w:val="Hyperlink"/>
                <w:noProof/>
              </w:rPr>
              <w:t>Access to private sector data for public interest purposes</w:t>
            </w:r>
            <w:r>
              <w:rPr>
                <w:noProof/>
                <w:webHidden/>
              </w:rPr>
              <w:tab/>
            </w:r>
            <w:r>
              <w:rPr>
                <w:noProof/>
                <w:webHidden/>
              </w:rPr>
              <w:fldChar w:fldCharType="begin"/>
            </w:r>
            <w:r>
              <w:rPr>
                <w:noProof/>
                <w:webHidden/>
              </w:rPr>
              <w:instrText xml:space="preserve"> PAGEREF _Toc509414844 \h </w:instrText>
            </w:r>
            <w:r>
              <w:rPr>
                <w:noProof/>
                <w:webHidden/>
              </w:rPr>
            </w:r>
            <w:r>
              <w:rPr>
                <w:noProof/>
                <w:webHidden/>
              </w:rPr>
              <w:fldChar w:fldCharType="separate"/>
            </w:r>
            <w:r>
              <w:rPr>
                <w:noProof/>
                <w:webHidden/>
              </w:rPr>
              <w:t>23</w:t>
            </w:r>
            <w:r>
              <w:rPr>
                <w:noProof/>
                <w:webHidden/>
              </w:rPr>
              <w:fldChar w:fldCharType="end"/>
            </w:r>
          </w:hyperlink>
        </w:p>
        <w:p w:rsidR="00DF1A33" w:rsidRDefault="00456F01">
          <w:pPr>
            <w:pStyle w:val="TOC1"/>
            <w:rPr>
              <w:rFonts w:eastAsiaTheme="minorEastAsia"/>
              <w:caps w:val="0"/>
              <w:noProof/>
              <w:sz w:val="22"/>
              <w:szCs w:val="22"/>
              <w:lang w:eastAsia="en-GB"/>
            </w:rPr>
          </w:pPr>
          <w:hyperlink w:anchor="_Toc509414845" w:history="1">
            <w:r>
              <w:rPr>
                <w:rStyle w:val="Hyperlink"/>
                <w:noProof/>
              </w:rPr>
              <w:t>3.</w:t>
            </w:r>
            <w:r>
              <w:rPr>
                <w:rFonts w:eastAsiaTheme="minorEastAsia"/>
                <w:caps w:val="0"/>
                <w:noProof/>
                <w:sz w:val="22"/>
                <w:szCs w:val="22"/>
                <w:lang w:eastAsia="en-GB"/>
              </w:rPr>
              <w:tab/>
            </w:r>
            <w:r>
              <w:rPr>
                <w:rStyle w:val="Hyperlink"/>
                <w:noProof/>
              </w:rPr>
              <w:t>Why should the EU act?</w:t>
            </w:r>
            <w:r>
              <w:rPr>
                <w:noProof/>
                <w:webHidden/>
              </w:rPr>
              <w:tab/>
            </w:r>
            <w:r>
              <w:rPr>
                <w:noProof/>
                <w:webHidden/>
              </w:rPr>
              <w:fldChar w:fldCharType="begin"/>
            </w:r>
            <w:r>
              <w:rPr>
                <w:noProof/>
                <w:webHidden/>
              </w:rPr>
              <w:instrText xml:space="preserve"> PAGER</w:instrText>
            </w:r>
            <w:r>
              <w:rPr>
                <w:noProof/>
                <w:webHidden/>
              </w:rPr>
              <w:instrText xml:space="preserve">EF _Toc509414845 \h </w:instrText>
            </w:r>
            <w:r>
              <w:rPr>
                <w:noProof/>
                <w:webHidden/>
              </w:rPr>
            </w:r>
            <w:r>
              <w:rPr>
                <w:noProof/>
                <w:webHidden/>
              </w:rPr>
              <w:fldChar w:fldCharType="separate"/>
            </w:r>
            <w:r>
              <w:rPr>
                <w:noProof/>
                <w:webHidden/>
              </w:rPr>
              <w:t>24</w:t>
            </w:r>
            <w:r>
              <w:rPr>
                <w:noProof/>
                <w:webHidden/>
              </w:rPr>
              <w:fldChar w:fldCharType="end"/>
            </w:r>
          </w:hyperlink>
        </w:p>
        <w:p w:rsidR="00DF1A33" w:rsidRDefault="00456F01">
          <w:pPr>
            <w:pStyle w:val="TOC2"/>
            <w:tabs>
              <w:tab w:val="left" w:pos="1077"/>
            </w:tabs>
            <w:rPr>
              <w:rFonts w:eastAsiaTheme="minorEastAsia"/>
              <w:noProof/>
              <w:sz w:val="22"/>
              <w:szCs w:val="22"/>
              <w:lang w:eastAsia="en-GB"/>
            </w:rPr>
          </w:pPr>
          <w:hyperlink w:anchor="_Toc509414846" w:history="1">
            <w:r>
              <w:rPr>
                <w:rStyle w:val="Hyperlink"/>
                <w:noProof/>
              </w:rPr>
              <w:t>3.1.</w:t>
            </w:r>
            <w:r>
              <w:rPr>
                <w:rFonts w:eastAsiaTheme="minorEastAsia"/>
                <w:noProof/>
                <w:sz w:val="22"/>
                <w:szCs w:val="22"/>
                <w:lang w:eastAsia="en-GB"/>
              </w:rPr>
              <w:tab/>
            </w:r>
            <w:r>
              <w:rPr>
                <w:rStyle w:val="Hyperlink"/>
                <w:noProof/>
              </w:rPr>
              <w:t>Legal basis</w:t>
            </w:r>
            <w:r>
              <w:rPr>
                <w:noProof/>
                <w:webHidden/>
              </w:rPr>
              <w:tab/>
            </w:r>
            <w:r>
              <w:rPr>
                <w:noProof/>
                <w:webHidden/>
              </w:rPr>
              <w:fldChar w:fldCharType="begin"/>
            </w:r>
            <w:r>
              <w:rPr>
                <w:noProof/>
                <w:webHidden/>
              </w:rPr>
              <w:instrText xml:space="preserve"> PAGEREF _Toc509414846 \h </w:instrText>
            </w:r>
            <w:r>
              <w:rPr>
                <w:noProof/>
                <w:webHidden/>
              </w:rPr>
            </w:r>
            <w:r>
              <w:rPr>
                <w:noProof/>
                <w:webHidden/>
              </w:rPr>
              <w:fldChar w:fldCharType="separate"/>
            </w:r>
            <w:r>
              <w:rPr>
                <w:noProof/>
                <w:webHidden/>
              </w:rPr>
              <w:t>24</w:t>
            </w:r>
            <w:r>
              <w:rPr>
                <w:noProof/>
                <w:webHidden/>
              </w:rPr>
              <w:fldChar w:fldCharType="end"/>
            </w:r>
          </w:hyperlink>
        </w:p>
        <w:p w:rsidR="00DF1A33" w:rsidRDefault="00456F01">
          <w:pPr>
            <w:pStyle w:val="TOC2"/>
            <w:tabs>
              <w:tab w:val="left" w:pos="1077"/>
            </w:tabs>
            <w:rPr>
              <w:rFonts w:eastAsiaTheme="minorEastAsia"/>
              <w:noProof/>
              <w:sz w:val="22"/>
              <w:szCs w:val="22"/>
              <w:lang w:eastAsia="en-GB"/>
            </w:rPr>
          </w:pPr>
          <w:hyperlink w:anchor="_Toc509414847" w:history="1">
            <w:r>
              <w:rPr>
                <w:rStyle w:val="Hyperlink"/>
                <w:noProof/>
              </w:rPr>
              <w:t>3.2.</w:t>
            </w:r>
            <w:r>
              <w:rPr>
                <w:rFonts w:eastAsiaTheme="minorEastAsia"/>
                <w:noProof/>
                <w:sz w:val="22"/>
                <w:szCs w:val="22"/>
                <w:lang w:eastAsia="en-GB"/>
              </w:rPr>
              <w:tab/>
            </w:r>
            <w:r>
              <w:rPr>
                <w:rStyle w:val="Hyperlink"/>
                <w:noProof/>
              </w:rPr>
              <w:t>Subsidiarity: Necessity of EU action</w:t>
            </w:r>
            <w:r>
              <w:rPr>
                <w:noProof/>
                <w:webHidden/>
              </w:rPr>
              <w:tab/>
            </w:r>
            <w:r>
              <w:rPr>
                <w:noProof/>
                <w:webHidden/>
              </w:rPr>
              <w:fldChar w:fldCharType="begin"/>
            </w:r>
            <w:r>
              <w:rPr>
                <w:noProof/>
                <w:webHidden/>
              </w:rPr>
              <w:instrText xml:space="preserve"> PAGEREF _Toc509414847 \h </w:instrText>
            </w:r>
            <w:r>
              <w:rPr>
                <w:noProof/>
                <w:webHidden/>
              </w:rPr>
            </w:r>
            <w:r>
              <w:rPr>
                <w:noProof/>
                <w:webHidden/>
              </w:rPr>
              <w:fldChar w:fldCharType="separate"/>
            </w:r>
            <w:r>
              <w:rPr>
                <w:noProof/>
                <w:webHidden/>
              </w:rPr>
              <w:t>24</w:t>
            </w:r>
            <w:r>
              <w:rPr>
                <w:noProof/>
                <w:webHidden/>
              </w:rPr>
              <w:fldChar w:fldCharType="end"/>
            </w:r>
          </w:hyperlink>
        </w:p>
        <w:p w:rsidR="00DF1A33" w:rsidRDefault="00456F01">
          <w:pPr>
            <w:pStyle w:val="TOC2"/>
            <w:tabs>
              <w:tab w:val="left" w:pos="1077"/>
            </w:tabs>
            <w:rPr>
              <w:rFonts w:eastAsiaTheme="minorEastAsia"/>
              <w:noProof/>
              <w:sz w:val="22"/>
              <w:szCs w:val="22"/>
              <w:lang w:eastAsia="en-GB"/>
            </w:rPr>
          </w:pPr>
          <w:hyperlink w:anchor="_Toc509414848" w:history="1">
            <w:r>
              <w:rPr>
                <w:rStyle w:val="Hyperlink"/>
                <w:noProof/>
              </w:rPr>
              <w:t>3.3.</w:t>
            </w:r>
            <w:r>
              <w:rPr>
                <w:rFonts w:eastAsiaTheme="minorEastAsia"/>
                <w:noProof/>
                <w:sz w:val="22"/>
                <w:szCs w:val="22"/>
                <w:lang w:eastAsia="en-GB"/>
              </w:rPr>
              <w:tab/>
            </w:r>
            <w:r>
              <w:rPr>
                <w:rStyle w:val="Hyperlink"/>
                <w:noProof/>
              </w:rPr>
              <w:t>Subsidiarity: Added value of EU action</w:t>
            </w:r>
            <w:r>
              <w:rPr>
                <w:noProof/>
                <w:webHidden/>
              </w:rPr>
              <w:tab/>
            </w:r>
            <w:r>
              <w:rPr>
                <w:noProof/>
                <w:webHidden/>
              </w:rPr>
              <w:fldChar w:fldCharType="begin"/>
            </w:r>
            <w:r>
              <w:rPr>
                <w:noProof/>
                <w:webHidden/>
              </w:rPr>
              <w:instrText xml:space="preserve"> PAGEREF _Toc509414848 \h </w:instrText>
            </w:r>
            <w:r>
              <w:rPr>
                <w:noProof/>
                <w:webHidden/>
              </w:rPr>
            </w:r>
            <w:r>
              <w:rPr>
                <w:noProof/>
                <w:webHidden/>
              </w:rPr>
              <w:fldChar w:fldCharType="separate"/>
            </w:r>
            <w:r>
              <w:rPr>
                <w:noProof/>
                <w:webHidden/>
              </w:rPr>
              <w:t>25</w:t>
            </w:r>
            <w:r>
              <w:rPr>
                <w:noProof/>
                <w:webHidden/>
              </w:rPr>
              <w:fldChar w:fldCharType="end"/>
            </w:r>
          </w:hyperlink>
        </w:p>
        <w:p w:rsidR="00DF1A33" w:rsidRDefault="00456F01">
          <w:pPr>
            <w:pStyle w:val="TOC1"/>
            <w:rPr>
              <w:rFonts w:eastAsiaTheme="minorEastAsia"/>
              <w:caps w:val="0"/>
              <w:noProof/>
              <w:sz w:val="22"/>
              <w:szCs w:val="22"/>
              <w:lang w:eastAsia="en-GB"/>
            </w:rPr>
          </w:pPr>
          <w:hyperlink w:anchor="_Toc509414849" w:history="1">
            <w:r>
              <w:rPr>
                <w:rStyle w:val="Hyperlink"/>
                <w:noProof/>
              </w:rPr>
              <w:t>4.</w:t>
            </w:r>
            <w:r>
              <w:rPr>
                <w:rFonts w:eastAsiaTheme="minorEastAsia"/>
                <w:caps w:val="0"/>
                <w:noProof/>
                <w:sz w:val="22"/>
                <w:szCs w:val="22"/>
                <w:lang w:eastAsia="en-GB"/>
              </w:rPr>
              <w:tab/>
            </w:r>
            <w:r>
              <w:rPr>
                <w:rStyle w:val="Hyperlink"/>
                <w:noProof/>
              </w:rPr>
              <w:t>Objectives: What is to be achieved?</w:t>
            </w:r>
            <w:r>
              <w:rPr>
                <w:noProof/>
                <w:webHidden/>
              </w:rPr>
              <w:tab/>
            </w:r>
            <w:r>
              <w:rPr>
                <w:noProof/>
                <w:webHidden/>
              </w:rPr>
              <w:fldChar w:fldCharType="begin"/>
            </w:r>
            <w:r>
              <w:rPr>
                <w:noProof/>
                <w:webHidden/>
              </w:rPr>
              <w:instrText xml:space="preserve"> PAGEREF _Toc509414849 \h </w:instrText>
            </w:r>
            <w:r>
              <w:rPr>
                <w:noProof/>
                <w:webHidden/>
              </w:rPr>
            </w:r>
            <w:r>
              <w:rPr>
                <w:noProof/>
                <w:webHidden/>
              </w:rPr>
              <w:fldChar w:fldCharType="separate"/>
            </w:r>
            <w:r>
              <w:rPr>
                <w:noProof/>
                <w:webHidden/>
              </w:rPr>
              <w:t>25</w:t>
            </w:r>
            <w:r>
              <w:rPr>
                <w:noProof/>
                <w:webHidden/>
              </w:rPr>
              <w:fldChar w:fldCharType="end"/>
            </w:r>
          </w:hyperlink>
        </w:p>
        <w:p w:rsidR="00DF1A33" w:rsidRDefault="00456F01">
          <w:pPr>
            <w:pStyle w:val="TOC2"/>
            <w:tabs>
              <w:tab w:val="left" w:pos="1077"/>
            </w:tabs>
            <w:rPr>
              <w:rFonts w:eastAsiaTheme="minorEastAsia"/>
              <w:noProof/>
              <w:sz w:val="22"/>
              <w:szCs w:val="22"/>
              <w:lang w:eastAsia="en-GB"/>
            </w:rPr>
          </w:pPr>
          <w:hyperlink w:anchor="_Toc509414850" w:history="1">
            <w:r>
              <w:rPr>
                <w:rStyle w:val="Hyperlink"/>
                <w:noProof/>
              </w:rPr>
              <w:t>4.1.</w:t>
            </w:r>
            <w:r>
              <w:rPr>
                <w:rFonts w:eastAsiaTheme="minorEastAsia"/>
                <w:noProof/>
                <w:sz w:val="22"/>
                <w:szCs w:val="22"/>
                <w:lang w:eastAsia="en-GB"/>
              </w:rPr>
              <w:tab/>
            </w:r>
            <w:r>
              <w:rPr>
                <w:rStyle w:val="Hyperlink"/>
                <w:noProof/>
              </w:rPr>
              <w:t>General objectives</w:t>
            </w:r>
            <w:r>
              <w:rPr>
                <w:noProof/>
                <w:webHidden/>
              </w:rPr>
              <w:tab/>
            </w:r>
            <w:r>
              <w:rPr>
                <w:noProof/>
                <w:webHidden/>
              </w:rPr>
              <w:fldChar w:fldCharType="begin"/>
            </w:r>
            <w:r>
              <w:rPr>
                <w:noProof/>
                <w:webHidden/>
              </w:rPr>
              <w:instrText xml:space="preserve"> PAGEREF _Toc509414850 \h </w:instrText>
            </w:r>
            <w:r>
              <w:rPr>
                <w:noProof/>
                <w:webHidden/>
              </w:rPr>
            </w:r>
            <w:r>
              <w:rPr>
                <w:noProof/>
                <w:webHidden/>
              </w:rPr>
              <w:fldChar w:fldCharType="separate"/>
            </w:r>
            <w:r>
              <w:rPr>
                <w:noProof/>
                <w:webHidden/>
              </w:rPr>
              <w:t>25</w:t>
            </w:r>
            <w:r>
              <w:rPr>
                <w:noProof/>
                <w:webHidden/>
              </w:rPr>
              <w:fldChar w:fldCharType="end"/>
            </w:r>
          </w:hyperlink>
        </w:p>
        <w:p w:rsidR="00DF1A33" w:rsidRDefault="00456F01">
          <w:pPr>
            <w:pStyle w:val="TOC2"/>
            <w:tabs>
              <w:tab w:val="left" w:pos="1077"/>
            </w:tabs>
            <w:rPr>
              <w:rFonts w:eastAsiaTheme="minorEastAsia"/>
              <w:noProof/>
              <w:sz w:val="22"/>
              <w:szCs w:val="22"/>
              <w:lang w:eastAsia="en-GB"/>
            </w:rPr>
          </w:pPr>
          <w:hyperlink w:anchor="_Toc509414851" w:history="1">
            <w:r>
              <w:rPr>
                <w:rStyle w:val="Hyperlink"/>
                <w:noProof/>
              </w:rPr>
              <w:t>4.2.</w:t>
            </w:r>
            <w:r>
              <w:rPr>
                <w:rFonts w:eastAsiaTheme="minorEastAsia"/>
                <w:noProof/>
                <w:sz w:val="22"/>
                <w:szCs w:val="22"/>
                <w:lang w:eastAsia="en-GB"/>
              </w:rPr>
              <w:tab/>
            </w:r>
            <w:r>
              <w:rPr>
                <w:rStyle w:val="Hyperlink"/>
                <w:noProof/>
              </w:rPr>
              <w:t>Specific objectives</w:t>
            </w:r>
            <w:r>
              <w:rPr>
                <w:noProof/>
                <w:webHidden/>
              </w:rPr>
              <w:tab/>
            </w:r>
            <w:r>
              <w:rPr>
                <w:noProof/>
                <w:webHidden/>
              </w:rPr>
              <w:fldChar w:fldCharType="begin"/>
            </w:r>
            <w:r>
              <w:rPr>
                <w:noProof/>
                <w:webHidden/>
              </w:rPr>
              <w:instrText xml:space="preserve"> PAGEREF _Toc509414851 \h </w:instrText>
            </w:r>
            <w:r>
              <w:rPr>
                <w:noProof/>
                <w:webHidden/>
              </w:rPr>
            </w:r>
            <w:r>
              <w:rPr>
                <w:noProof/>
                <w:webHidden/>
              </w:rPr>
              <w:fldChar w:fldCharType="separate"/>
            </w:r>
            <w:r>
              <w:rPr>
                <w:noProof/>
                <w:webHidden/>
              </w:rPr>
              <w:t>26</w:t>
            </w:r>
            <w:r>
              <w:rPr>
                <w:noProof/>
                <w:webHidden/>
              </w:rPr>
              <w:fldChar w:fldCharType="end"/>
            </w:r>
          </w:hyperlink>
        </w:p>
        <w:p w:rsidR="00DF1A33" w:rsidRDefault="00456F01">
          <w:pPr>
            <w:pStyle w:val="TOC1"/>
            <w:rPr>
              <w:rFonts w:eastAsiaTheme="minorEastAsia"/>
              <w:caps w:val="0"/>
              <w:noProof/>
              <w:sz w:val="22"/>
              <w:szCs w:val="22"/>
              <w:lang w:eastAsia="en-GB"/>
            </w:rPr>
          </w:pPr>
          <w:hyperlink w:anchor="_Toc509414852" w:history="1">
            <w:r>
              <w:rPr>
                <w:rStyle w:val="Hyperlink"/>
                <w:noProof/>
              </w:rPr>
              <w:t>5.</w:t>
            </w:r>
            <w:r>
              <w:rPr>
                <w:rFonts w:eastAsiaTheme="minorEastAsia"/>
                <w:caps w:val="0"/>
                <w:noProof/>
                <w:sz w:val="22"/>
                <w:szCs w:val="22"/>
                <w:lang w:eastAsia="en-GB"/>
              </w:rPr>
              <w:tab/>
            </w:r>
            <w:r>
              <w:rPr>
                <w:rStyle w:val="Hyperlink"/>
                <w:noProof/>
              </w:rPr>
              <w:t>What are the available policy options?</w:t>
            </w:r>
            <w:r>
              <w:rPr>
                <w:noProof/>
                <w:webHidden/>
              </w:rPr>
              <w:tab/>
            </w:r>
            <w:r>
              <w:rPr>
                <w:noProof/>
                <w:webHidden/>
              </w:rPr>
              <w:fldChar w:fldCharType="begin"/>
            </w:r>
            <w:r>
              <w:rPr>
                <w:noProof/>
                <w:webHidden/>
              </w:rPr>
              <w:instrText xml:space="preserve"> PAGEREF _Toc509414852 \h </w:instrText>
            </w:r>
            <w:r>
              <w:rPr>
                <w:noProof/>
                <w:webHidden/>
              </w:rPr>
            </w:r>
            <w:r>
              <w:rPr>
                <w:noProof/>
                <w:webHidden/>
              </w:rPr>
              <w:fldChar w:fldCharType="separate"/>
            </w:r>
            <w:r>
              <w:rPr>
                <w:noProof/>
                <w:webHidden/>
              </w:rPr>
              <w:t>27</w:t>
            </w:r>
            <w:r>
              <w:rPr>
                <w:noProof/>
                <w:webHidden/>
              </w:rPr>
              <w:fldChar w:fldCharType="end"/>
            </w:r>
          </w:hyperlink>
        </w:p>
        <w:p w:rsidR="00DF1A33" w:rsidRDefault="00456F01">
          <w:pPr>
            <w:pStyle w:val="TOC2"/>
            <w:tabs>
              <w:tab w:val="left" w:pos="1077"/>
            </w:tabs>
            <w:rPr>
              <w:rFonts w:eastAsiaTheme="minorEastAsia"/>
              <w:noProof/>
              <w:sz w:val="22"/>
              <w:szCs w:val="22"/>
              <w:lang w:eastAsia="en-GB"/>
            </w:rPr>
          </w:pPr>
          <w:hyperlink w:anchor="_Toc509414853" w:history="1">
            <w:r>
              <w:rPr>
                <w:rStyle w:val="Hyperlink"/>
                <w:noProof/>
              </w:rPr>
              <w:t>5.1.</w:t>
            </w:r>
            <w:r>
              <w:rPr>
                <w:rFonts w:eastAsiaTheme="minorEastAsia"/>
                <w:noProof/>
                <w:sz w:val="22"/>
                <w:szCs w:val="22"/>
                <w:lang w:eastAsia="en-GB"/>
              </w:rPr>
              <w:tab/>
            </w:r>
            <w:r>
              <w:rPr>
                <w:rStyle w:val="Hyperlink"/>
                <w:noProof/>
              </w:rPr>
              <w:t>What is the baseline for assessing options?</w:t>
            </w:r>
            <w:r>
              <w:rPr>
                <w:noProof/>
                <w:webHidden/>
              </w:rPr>
              <w:tab/>
            </w:r>
            <w:r>
              <w:rPr>
                <w:noProof/>
                <w:webHidden/>
              </w:rPr>
              <w:fldChar w:fldCharType="begin"/>
            </w:r>
            <w:r>
              <w:rPr>
                <w:noProof/>
                <w:webHidden/>
              </w:rPr>
              <w:instrText xml:space="preserve"> PAGEREF _Toc509414853 \h </w:instrText>
            </w:r>
            <w:r>
              <w:rPr>
                <w:noProof/>
                <w:webHidden/>
              </w:rPr>
            </w:r>
            <w:r>
              <w:rPr>
                <w:noProof/>
                <w:webHidden/>
              </w:rPr>
              <w:fldChar w:fldCharType="separate"/>
            </w:r>
            <w:r>
              <w:rPr>
                <w:noProof/>
                <w:webHidden/>
              </w:rPr>
              <w:t>27</w:t>
            </w:r>
            <w:r>
              <w:rPr>
                <w:noProof/>
                <w:webHidden/>
              </w:rPr>
              <w:fldChar w:fldCharType="end"/>
            </w:r>
          </w:hyperlink>
        </w:p>
        <w:p w:rsidR="00DF1A33" w:rsidRDefault="00456F01">
          <w:pPr>
            <w:pStyle w:val="TOC2"/>
            <w:tabs>
              <w:tab w:val="left" w:pos="1077"/>
            </w:tabs>
            <w:rPr>
              <w:rFonts w:eastAsiaTheme="minorEastAsia"/>
              <w:noProof/>
              <w:sz w:val="22"/>
              <w:szCs w:val="22"/>
              <w:lang w:eastAsia="en-GB"/>
            </w:rPr>
          </w:pPr>
          <w:hyperlink w:anchor="_Toc509414854" w:history="1">
            <w:r>
              <w:rPr>
                <w:rStyle w:val="Hyperlink"/>
                <w:noProof/>
              </w:rPr>
              <w:t>5.2.</w:t>
            </w:r>
            <w:r>
              <w:rPr>
                <w:rFonts w:eastAsiaTheme="minorEastAsia"/>
                <w:noProof/>
                <w:sz w:val="22"/>
                <w:szCs w:val="22"/>
                <w:lang w:eastAsia="en-GB"/>
              </w:rPr>
              <w:tab/>
            </w:r>
            <w:r>
              <w:rPr>
                <w:rStyle w:val="Hyperlink"/>
                <w:noProof/>
              </w:rPr>
              <w:t>Description of the policy options</w:t>
            </w:r>
            <w:r>
              <w:rPr>
                <w:noProof/>
                <w:webHidden/>
              </w:rPr>
              <w:tab/>
            </w:r>
            <w:r>
              <w:rPr>
                <w:noProof/>
                <w:webHidden/>
              </w:rPr>
              <w:fldChar w:fldCharType="begin"/>
            </w:r>
            <w:r>
              <w:rPr>
                <w:noProof/>
                <w:webHidden/>
              </w:rPr>
              <w:instrText xml:space="preserve"> PAGEREF _Toc509414854 \h </w:instrText>
            </w:r>
            <w:r>
              <w:rPr>
                <w:noProof/>
                <w:webHidden/>
              </w:rPr>
            </w:r>
            <w:r>
              <w:rPr>
                <w:noProof/>
                <w:webHidden/>
              </w:rPr>
              <w:fldChar w:fldCharType="separate"/>
            </w:r>
            <w:r>
              <w:rPr>
                <w:noProof/>
                <w:webHidden/>
              </w:rPr>
              <w:t>27</w:t>
            </w:r>
            <w:r>
              <w:rPr>
                <w:noProof/>
                <w:webHidden/>
              </w:rPr>
              <w:fldChar w:fldCharType="end"/>
            </w:r>
          </w:hyperlink>
        </w:p>
        <w:p w:rsidR="00DF1A33" w:rsidRDefault="00456F01">
          <w:pPr>
            <w:pStyle w:val="TOC2"/>
            <w:tabs>
              <w:tab w:val="left" w:pos="1077"/>
            </w:tabs>
            <w:rPr>
              <w:rFonts w:eastAsiaTheme="minorEastAsia"/>
              <w:noProof/>
              <w:sz w:val="22"/>
              <w:szCs w:val="22"/>
              <w:lang w:eastAsia="en-GB"/>
            </w:rPr>
          </w:pPr>
          <w:hyperlink w:anchor="_Toc509414855" w:history="1">
            <w:r>
              <w:rPr>
                <w:rStyle w:val="Hyperlink"/>
                <w:noProof/>
              </w:rPr>
              <w:t>5.3.</w:t>
            </w:r>
            <w:r>
              <w:rPr>
                <w:rFonts w:eastAsiaTheme="minorEastAsia"/>
                <w:noProof/>
                <w:sz w:val="22"/>
                <w:szCs w:val="22"/>
                <w:lang w:eastAsia="en-GB"/>
              </w:rPr>
              <w:tab/>
            </w:r>
            <w:r>
              <w:rPr>
                <w:rStyle w:val="Hyperlink"/>
                <w:noProof/>
              </w:rPr>
              <w:t>Options discarded at an early stage</w:t>
            </w:r>
            <w:r>
              <w:rPr>
                <w:noProof/>
                <w:webHidden/>
              </w:rPr>
              <w:tab/>
            </w:r>
            <w:r>
              <w:rPr>
                <w:noProof/>
                <w:webHidden/>
              </w:rPr>
              <w:fldChar w:fldCharType="begin"/>
            </w:r>
            <w:r>
              <w:rPr>
                <w:noProof/>
                <w:webHidden/>
              </w:rPr>
              <w:instrText xml:space="preserve"> PAGEREF _Toc509414855 \h </w:instrText>
            </w:r>
            <w:r>
              <w:rPr>
                <w:noProof/>
                <w:webHidden/>
              </w:rPr>
            </w:r>
            <w:r>
              <w:rPr>
                <w:noProof/>
                <w:webHidden/>
              </w:rPr>
              <w:fldChar w:fldCharType="separate"/>
            </w:r>
            <w:r>
              <w:rPr>
                <w:noProof/>
                <w:webHidden/>
              </w:rPr>
              <w:t>33</w:t>
            </w:r>
            <w:r>
              <w:rPr>
                <w:noProof/>
                <w:webHidden/>
              </w:rPr>
              <w:fldChar w:fldCharType="end"/>
            </w:r>
          </w:hyperlink>
        </w:p>
        <w:p w:rsidR="00DF1A33" w:rsidRDefault="00456F01">
          <w:pPr>
            <w:pStyle w:val="TOC1"/>
            <w:rPr>
              <w:rFonts w:eastAsiaTheme="minorEastAsia"/>
              <w:caps w:val="0"/>
              <w:noProof/>
              <w:sz w:val="22"/>
              <w:szCs w:val="22"/>
              <w:lang w:eastAsia="en-GB"/>
            </w:rPr>
          </w:pPr>
          <w:hyperlink w:anchor="_Toc509414856" w:history="1">
            <w:r>
              <w:rPr>
                <w:rStyle w:val="Hyperlink"/>
                <w:noProof/>
              </w:rPr>
              <w:t>6.</w:t>
            </w:r>
            <w:r>
              <w:rPr>
                <w:rFonts w:eastAsiaTheme="minorEastAsia"/>
                <w:caps w:val="0"/>
                <w:noProof/>
                <w:sz w:val="22"/>
                <w:szCs w:val="22"/>
                <w:lang w:eastAsia="en-GB"/>
              </w:rPr>
              <w:tab/>
            </w:r>
            <w:r>
              <w:rPr>
                <w:rStyle w:val="Hyperlink"/>
                <w:noProof/>
              </w:rPr>
              <w:t>What are the impacts of the policy options?</w:t>
            </w:r>
            <w:r>
              <w:rPr>
                <w:noProof/>
                <w:webHidden/>
              </w:rPr>
              <w:tab/>
            </w:r>
            <w:r>
              <w:rPr>
                <w:noProof/>
                <w:webHidden/>
              </w:rPr>
              <w:fldChar w:fldCharType="begin"/>
            </w:r>
            <w:r>
              <w:rPr>
                <w:noProof/>
                <w:webHidden/>
              </w:rPr>
              <w:instrText xml:space="preserve"> PAGEREF _Toc509414856 \h </w:instrText>
            </w:r>
            <w:r>
              <w:rPr>
                <w:noProof/>
                <w:webHidden/>
              </w:rPr>
            </w:r>
            <w:r>
              <w:rPr>
                <w:noProof/>
                <w:webHidden/>
              </w:rPr>
              <w:fldChar w:fldCharType="separate"/>
            </w:r>
            <w:r>
              <w:rPr>
                <w:noProof/>
                <w:webHidden/>
              </w:rPr>
              <w:t>33</w:t>
            </w:r>
            <w:r>
              <w:rPr>
                <w:noProof/>
                <w:webHidden/>
              </w:rPr>
              <w:fldChar w:fldCharType="end"/>
            </w:r>
          </w:hyperlink>
        </w:p>
        <w:p w:rsidR="00DF1A33" w:rsidRDefault="00456F01">
          <w:pPr>
            <w:pStyle w:val="TOC2"/>
            <w:tabs>
              <w:tab w:val="left" w:pos="1077"/>
            </w:tabs>
            <w:rPr>
              <w:rFonts w:eastAsiaTheme="minorEastAsia"/>
              <w:noProof/>
              <w:sz w:val="22"/>
              <w:szCs w:val="22"/>
              <w:lang w:eastAsia="en-GB"/>
            </w:rPr>
          </w:pPr>
          <w:hyperlink w:anchor="_Toc509414857" w:history="1">
            <w:r>
              <w:rPr>
                <w:rStyle w:val="Hyperlink"/>
                <w:noProof/>
              </w:rPr>
              <w:t>6.1.</w:t>
            </w:r>
            <w:r>
              <w:rPr>
                <w:rFonts w:eastAsiaTheme="minorEastAsia"/>
                <w:noProof/>
                <w:sz w:val="22"/>
                <w:szCs w:val="22"/>
                <w:lang w:eastAsia="en-GB"/>
              </w:rPr>
              <w:tab/>
            </w:r>
            <w:r>
              <w:rPr>
                <w:rStyle w:val="Hyperlink"/>
                <w:noProof/>
              </w:rPr>
              <w:t>Economic and data-specific impacts of the retained options</w:t>
            </w:r>
            <w:r>
              <w:rPr>
                <w:noProof/>
                <w:webHidden/>
              </w:rPr>
              <w:tab/>
            </w:r>
            <w:r>
              <w:rPr>
                <w:noProof/>
                <w:webHidden/>
              </w:rPr>
              <w:fldChar w:fldCharType="begin"/>
            </w:r>
            <w:r>
              <w:rPr>
                <w:noProof/>
                <w:webHidden/>
              </w:rPr>
              <w:instrText xml:space="preserve"> PAGEREF _Toc509414857 \h </w:instrText>
            </w:r>
            <w:r>
              <w:rPr>
                <w:noProof/>
                <w:webHidden/>
              </w:rPr>
            </w:r>
            <w:r>
              <w:rPr>
                <w:noProof/>
                <w:webHidden/>
              </w:rPr>
              <w:fldChar w:fldCharType="separate"/>
            </w:r>
            <w:r>
              <w:rPr>
                <w:noProof/>
                <w:webHidden/>
              </w:rPr>
              <w:t>33</w:t>
            </w:r>
            <w:r>
              <w:rPr>
                <w:noProof/>
                <w:webHidden/>
              </w:rPr>
              <w:fldChar w:fldCharType="end"/>
            </w:r>
          </w:hyperlink>
        </w:p>
        <w:p w:rsidR="00DF1A33" w:rsidRDefault="00456F01">
          <w:pPr>
            <w:pStyle w:val="TOC3"/>
            <w:rPr>
              <w:rFonts w:eastAsiaTheme="minorEastAsia"/>
              <w:b w:val="0"/>
              <w:lang w:eastAsia="en-GB"/>
            </w:rPr>
          </w:pPr>
          <w:hyperlink w:anchor="_Toc509414858" w:history="1">
            <w:r>
              <w:rPr>
                <w:rStyle w:val="Hyperlink"/>
                <w:b w:val="0"/>
              </w:rPr>
              <w:t>6.1.1.</w:t>
            </w:r>
            <w:r>
              <w:rPr>
                <w:rFonts w:eastAsiaTheme="minorEastAsia"/>
                <w:b w:val="0"/>
                <w:lang w:eastAsia="en-GB"/>
              </w:rPr>
              <w:tab/>
            </w:r>
            <w:r>
              <w:rPr>
                <w:rStyle w:val="Hyperlink"/>
                <w:b w:val="0"/>
              </w:rPr>
              <w:t>Baseline scenario</w:t>
            </w:r>
            <w:r>
              <w:rPr>
                <w:b w:val="0"/>
                <w:webHidden/>
              </w:rPr>
              <w:tab/>
            </w:r>
            <w:r>
              <w:rPr>
                <w:b w:val="0"/>
                <w:webHidden/>
              </w:rPr>
              <w:fldChar w:fldCharType="begin"/>
            </w:r>
            <w:r>
              <w:rPr>
                <w:b w:val="0"/>
                <w:webHidden/>
              </w:rPr>
              <w:instrText xml:space="preserve"> PAGEREF _Toc509414858 \h </w:instrText>
            </w:r>
            <w:r>
              <w:rPr>
                <w:b w:val="0"/>
                <w:webHidden/>
              </w:rPr>
            </w:r>
            <w:r>
              <w:rPr>
                <w:b w:val="0"/>
                <w:webHidden/>
              </w:rPr>
              <w:fldChar w:fldCharType="separate"/>
            </w:r>
            <w:r>
              <w:rPr>
                <w:b w:val="0"/>
                <w:webHidden/>
              </w:rPr>
              <w:t>35</w:t>
            </w:r>
            <w:r>
              <w:rPr>
                <w:b w:val="0"/>
                <w:webHidden/>
              </w:rPr>
              <w:fldChar w:fldCharType="end"/>
            </w:r>
          </w:hyperlink>
        </w:p>
        <w:p w:rsidR="00DF1A33" w:rsidRDefault="00456F01">
          <w:pPr>
            <w:pStyle w:val="TOC3"/>
            <w:rPr>
              <w:rFonts w:eastAsiaTheme="minorEastAsia"/>
              <w:b w:val="0"/>
              <w:lang w:eastAsia="en-GB"/>
            </w:rPr>
          </w:pPr>
          <w:hyperlink w:anchor="_Toc509414859" w:history="1">
            <w:r>
              <w:rPr>
                <w:rStyle w:val="Hyperlink"/>
                <w:b w:val="0"/>
              </w:rPr>
              <w:t>6.1.2.</w:t>
            </w:r>
            <w:r>
              <w:rPr>
                <w:rFonts w:eastAsiaTheme="minorEastAsia"/>
                <w:b w:val="0"/>
                <w:lang w:eastAsia="en-GB"/>
              </w:rPr>
              <w:tab/>
            </w:r>
            <w:r>
              <w:rPr>
                <w:rStyle w:val="Hyperlink"/>
                <w:b w:val="0"/>
              </w:rPr>
              <w:t xml:space="preserve">Policy Option 1 - Packaged solution: lower intensity of </w:t>
            </w:r>
            <w:r>
              <w:rPr>
                <w:rStyle w:val="Hyperlink"/>
                <w:b w:val="0"/>
              </w:rPr>
              <w:t>regulatory intervention</w:t>
            </w:r>
            <w:r>
              <w:rPr>
                <w:b w:val="0"/>
                <w:webHidden/>
              </w:rPr>
              <w:tab/>
            </w:r>
            <w:r>
              <w:rPr>
                <w:b w:val="0"/>
                <w:webHidden/>
              </w:rPr>
              <w:fldChar w:fldCharType="begin"/>
            </w:r>
            <w:r>
              <w:rPr>
                <w:b w:val="0"/>
                <w:webHidden/>
              </w:rPr>
              <w:instrText xml:space="preserve"> PAGEREF _Toc509414859 \h </w:instrText>
            </w:r>
            <w:r>
              <w:rPr>
                <w:b w:val="0"/>
                <w:webHidden/>
              </w:rPr>
            </w:r>
            <w:r>
              <w:rPr>
                <w:b w:val="0"/>
                <w:webHidden/>
              </w:rPr>
              <w:fldChar w:fldCharType="separate"/>
            </w:r>
            <w:r>
              <w:rPr>
                <w:b w:val="0"/>
                <w:webHidden/>
              </w:rPr>
              <w:t>36</w:t>
            </w:r>
            <w:r>
              <w:rPr>
                <w:b w:val="0"/>
                <w:webHidden/>
              </w:rPr>
              <w:fldChar w:fldCharType="end"/>
            </w:r>
          </w:hyperlink>
        </w:p>
        <w:p w:rsidR="00DF1A33" w:rsidRDefault="00456F01">
          <w:pPr>
            <w:pStyle w:val="TOC3"/>
            <w:rPr>
              <w:rFonts w:eastAsiaTheme="minorEastAsia"/>
              <w:b w:val="0"/>
              <w:lang w:eastAsia="en-GB"/>
            </w:rPr>
          </w:pPr>
          <w:hyperlink w:anchor="_Toc509414860" w:history="1">
            <w:r>
              <w:rPr>
                <w:rStyle w:val="Hyperlink"/>
                <w:b w:val="0"/>
              </w:rPr>
              <w:t>6.1.3.</w:t>
            </w:r>
            <w:r>
              <w:rPr>
                <w:rFonts w:eastAsiaTheme="minorEastAsia"/>
                <w:b w:val="0"/>
                <w:lang w:eastAsia="en-GB"/>
              </w:rPr>
              <w:tab/>
            </w:r>
            <w:r>
              <w:rPr>
                <w:rStyle w:val="Hyperlink"/>
                <w:b w:val="0"/>
              </w:rPr>
              <w:t>Policy Option 2 – Packaged solution: higher intensity regulatory intervention</w:t>
            </w:r>
            <w:r>
              <w:rPr>
                <w:b w:val="0"/>
                <w:webHidden/>
              </w:rPr>
              <w:tab/>
            </w:r>
            <w:r>
              <w:rPr>
                <w:b w:val="0"/>
                <w:webHidden/>
              </w:rPr>
              <w:fldChar w:fldCharType="begin"/>
            </w:r>
            <w:r>
              <w:rPr>
                <w:b w:val="0"/>
                <w:webHidden/>
              </w:rPr>
              <w:instrText xml:space="preserve"> PAGEREF _Toc5094</w:instrText>
            </w:r>
            <w:r>
              <w:rPr>
                <w:b w:val="0"/>
                <w:webHidden/>
              </w:rPr>
              <w:instrText xml:space="preserve">14860 \h </w:instrText>
            </w:r>
            <w:r>
              <w:rPr>
                <w:b w:val="0"/>
                <w:webHidden/>
              </w:rPr>
            </w:r>
            <w:r>
              <w:rPr>
                <w:b w:val="0"/>
                <w:webHidden/>
              </w:rPr>
              <w:fldChar w:fldCharType="separate"/>
            </w:r>
            <w:r>
              <w:rPr>
                <w:b w:val="0"/>
                <w:webHidden/>
              </w:rPr>
              <w:t>40</w:t>
            </w:r>
            <w:r>
              <w:rPr>
                <w:b w:val="0"/>
                <w:webHidden/>
              </w:rPr>
              <w:fldChar w:fldCharType="end"/>
            </w:r>
          </w:hyperlink>
        </w:p>
        <w:p w:rsidR="00DF1A33" w:rsidRDefault="00456F01">
          <w:pPr>
            <w:pStyle w:val="TOC2"/>
            <w:tabs>
              <w:tab w:val="left" w:pos="1077"/>
            </w:tabs>
            <w:rPr>
              <w:rFonts w:eastAsiaTheme="minorEastAsia"/>
              <w:noProof/>
              <w:sz w:val="22"/>
              <w:szCs w:val="22"/>
              <w:lang w:eastAsia="en-GB"/>
            </w:rPr>
          </w:pPr>
          <w:hyperlink w:anchor="_Toc509414861" w:history="1">
            <w:r>
              <w:rPr>
                <w:rStyle w:val="Hyperlink"/>
                <w:noProof/>
              </w:rPr>
              <w:t>6.2.</w:t>
            </w:r>
            <w:r>
              <w:rPr>
                <w:rFonts w:eastAsiaTheme="minorEastAsia"/>
                <w:noProof/>
                <w:sz w:val="22"/>
                <w:szCs w:val="22"/>
                <w:lang w:eastAsia="en-GB"/>
              </w:rPr>
              <w:tab/>
            </w:r>
            <w:r>
              <w:rPr>
                <w:rStyle w:val="Hyperlink"/>
                <w:noProof/>
              </w:rPr>
              <w:t>Impact on SMEs</w:t>
            </w:r>
            <w:r>
              <w:rPr>
                <w:noProof/>
                <w:webHidden/>
              </w:rPr>
              <w:tab/>
            </w:r>
            <w:r>
              <w:rPr>
                <w:noProof/>
                <w:webHidden/>
              </w:rPr>
              <w:fldChar w:fldCharType="begin"/>
            </w:r>
            <w:r>
              <w:rPr>
                <w:noProof/>
                <w:webHidden/>
              </w:rPr>
              <w:instrText xml:space="preserve"> PAGEREF _Toc509414861 \h </w:instrText>
            </w:r>
            <w:r>
              <w:rPr>
                <w:noProof/>
                <w:webHidden/>
              </w:rPr>
            </w:r>
            <w:r>
              <w:rPr>
                <w:noProof/>
                <w:webHidden/>
              </w:rPr>
              <w:fldChar w:fldCharType="separate"/>
            </w:r>
            <w:r>
              <w:rPr>
                <w:noProof/>
                <w:webHidden/>
              </w:rPr>
              <w:t>42</w:t>
            </w:r>
            <w:r>
              <w:rPr>
                <w:noProof/>
                <w:webHidden/>
              </w:rPr>
              <w:fldChar w:fldCharType="end"/>
            </w:r>
          </w:hyperlink>
        </w:p>
        <w:p w:rsidR="00DF1A33" w:rsidRDefault="00456F01">
          <w:pPr>
            <w:pStyle w:val="TOC2"/>
            <w:tabs>
              <w:tab w:val="left" w:pos="1077"/>
            </w:tabs>
            <w:rPr>
              <w:rFonts w:eastAsiaTheme="minorEastAsia"/>
              <w:noProof/>
              <w:sz w:val="22"/>
              <w:szCs w:val="22"/>
              <w:lang w:eastAsia="en-GB"/>
            </w:rPr>
          </w:pPr>
          <w:hyperlink w:anchor="_Toc509414862" w:history="1">
            <w:r>
              <w:rPr>
                <w:rStyle w:val="Hyperlink"/>
                <w:noProof/>
              </w:rPr>
              <w:t>6.3.</w:t>
            </w:r>
            <w:r>
              <w:rPr>
                <w:rFonts w:eastAsiaTheme="minorEastAsia"/>
                <w:noProof/>
                <w:sz w:val="22"/>
                <w:szCs w:val="22"/>
                <w:lang w:eastAsia="en-GB"/>
              </w:rPr>
              <w:tab/>
            </w:r>
            <w:r>
              <w:rPr>
                <w:rStyle w:val="Hyperlink"/>
                <w:noProof/>
              </w:rPr>
              <w:t>Social and environmental impacts</w:t>
            </w:r>
            <w:r>
              <w:rPr>
                <w:noProof/>
                <w:webHidden/>
              </w:rPr>
              <w:tab/>
            </w:r>
            <w:r>
              <w:rPr>
                <w:noProof/>
                <w:webHidden/>
              </w:rPr>
              <w:fldChar w:fldCharType="begin"/>
            </w:r>
            <w:r>
              <w:rPr>
                <w:noProof/>
                <w:webHidden/>
              </w:rPr>
              <w:instrText xml:space="preserve"> PAGEREF _Toc509414862 \h </w:instrText>
            </w:r>
            <w:r>
              <w:rPr>
                <w:noProof/>
                <w:webHidden/>
              </w:rPr>
            </w:r>
            <w:r>
              <w:rPr>
                <w:noProof/>
                <w:webHidden/>
              </w:rPr>
              <w:fldChar w:fldCharType="separate"/>
            </w:r>
            <w:r>
              <w:rPr>
                <w:noProof/>
                <w:webHidden/>
              </w:rPr>
              <w:t>43</w:t>
            </w:r>
            <w:r>
              <w:rPr>
                <w:noProof/>
                <w:webHidden/>
              </w:rPr>
              <w:fldChar w:fldCharType="end"/>
            </w:r>
          </w:hyperlink>
        </w:p>
        <w:p w:rsidR="00DF1A33" w:rsidRDefault="00456F01">
          <w:pPr>
            <w:pStyle w:val="TOC3"/>
            <w:rPr>
              <w:rFonts w:eastAsiaTheme="minorEastAsia"/>
              <w:b w:val="0"/>
              <w:lang w:eastAsia="en-GB"/>
            </w:rPr>
          </w:pPr>
          <w:hyperlink w:anchor="_Toc509414863" w:history="1">
            <w:r>
              <w:rPr>
                <w:rStyle w:val="Hyperlink"/>
                <w:b w:val="0"/>
              </w:rPr>
              <w:t>6.3.1.</w:t>
            </w:r>
            <w:r>
              <w:rPr>
                <w:rFonts w:eastAsiaTheme="minorEastAsia"/>
                <w:b w:val="0"/>
                <w:lang w:eastAsia="en-GB"/>
              </w:rPr>
              <w:tab/>
            </w:r>
            <w:r>
              <w:rPr>
                <w:rStyle w:val="Hyperlink"/>
                <w:b w:val="0"/>
              </w:rPr>
              <w:t>Baseline scenario</w:t>
            </w:r>
            <w:r>
              <w:rPr>
                <w:b w:val="0"/>
                <w:webHidden/>
              </w:rPr>
              <w:tab/>
            </w:r>
            <w:r>
              <w:rPr>
                <w:b w:val="0"/>
                <w:webHidden/>
              </w:rPr>
              <w:fldChar w:fldCharType="begin"/>
            </w:r>
            <w:r>
              <w:rPr>
                <w:b w:val="0"/>
                <w:webHidden/>
              </w:rPr>
              <w:instrText xml:space="preserve"> PAGEREF _Toc509414863 \h </w:instrText>
            </w:r>
            <w:r>
              <w:rPr>
                <w:b w:val="0"/>
                <w:webHidden/>
              </w:rPr>
            </w:r>
            <w:r>
              <w:rPr>
                <w:b w:val="0"/>
                <w:webHidden/>
              </w:rPr>
              <w:fldChar w:fldCharType="separate"/>
            </w:r>
            <w:r>
              <w:rPr>
                <w:b w:val="0"/>
                <w:webHidden/>
              </w:rPr>
              <w:t>43</w:t>
            </w:r>
            <w:r>
              <w:rPr>
                <w:b w:val="0"/>
                <w:webHidden/>
              </w:rPr>
              <w:fldChar w:fldCharType="end"/>
            </w:r>
          </w:hyperlink>
        </w:p>
        <w:p w:rsidR="00DF1A33" w:rsidRDefault="00456F01">
          <w:pPr>
            <w:pStyle w:val="TOC3"/>
            <w:rPr>
              <w:rFonts w:eastAsiaTheme="minorEastAsia"/>
              <w:b w:val="0"/>
              <w:lang w:eastAsia="en-GB"/>
            </w:rPr>
          </w:pPr>
          <w:hyperlink w:anchor="_Toc509414864" w:history="1">
            <w:r>
              <w:rPr>
                <w:rStyle w:val="Hyperlink"/>
                <w:b w:val="0"/>
              </w:rPr>
              <w:t>6.3.2.</w:t>
            </w:r>
            <w:r>
              <w:rPr>
                <w:rFonts w:eastAsiaTheme="minorEastAsia"/>
                <w:b w:val="0"/>
                <w:lang w:eastAsia="en-GB"/>
              </w:rPr>
              <w:tab/>
            </w:r>
            <w:r>
              <w:rPr>
                <w:rStyle w:val="Hyperlink"/>
                <w:b w:val="0"/>
              </w:rPr>
              <w:t>Policy Option 1 - Packaged solution: lower intensity regulatory intervention</w:t>
            </w:r>
            <w:r>
              <w:rPr>
                <w:b w:val="0"/>
                <w:webHidden/>
              </w:rPr>
              <w:tab/>
            </w:r>
            <w:r>
              <w:rPr>
                <w:b w:val="0"/>
                <w:webHidden/>
              </w:rPr>
              <w:fldChar w:fldCharType="begin"/>
            </w:r>
            <w:r>
              <w:rPr>
                <w:b w:val="0"/>
                <w:webHidden/>
              </w:rPr>
              <w:instrText xml:space="preserve"> PAGEREF _Toc509414864 \h </w:instrText>
            </w:r>
            <w:r>
              <w:rPr>
                <w:b w:val="0"/>
                <w:webHidden/>
              </w:rPr>
            </w:r>
            <w:r>
              <w:rPr>
                <w:b w:val="0"/>
                <w:webHidden/>
              </w:rPr>
              <w:fldChar w:fldCharType="separate"/>
            </w:r>
            <w:r>
              <w:rPr>
                <w:b w:val="0"/>
                <w:webHidden/>
              </w:rPr>
              <w:t>43</w:t>
            </w:r>
            <w:r>
              <w:rPr>
                <w:b w:val="0"/>
                <w:webHidden/>
              </w:rPr>
              <w:fldChar w:fldCharType="end"/>
            </w:r>
          </w:hyperlink>
        </w:p>
        <w:p w:rsidR="00DF1A33" w:rsidRDefault="00456F01">
          <w:pPr>
            <w:pStyle w:val="TOC3"/>
            <w:rPr>
              <w:rFonts w:eastAsiaTheme="minorEastAsia"/>
              <w:b w:val="0"/>
              <w:lang w:eastAsia="en-GB"/>
            </w:rPr>
          </w:pPr>
          <w:hyperlink w:anchor="_Toc509414865" w:history="1">
            <w:r>
              <w:rPr>
                <w:rStyle w:val="Hyperlink"/>
                <w:b w:val="0"/>
              </w:rPr>
              <w:t>6.3.3.</w:t>
            </w:r>
            <w:r>
              <w:rPr>
                <w:rFonts w:eastAsiaTheme="minorEastAsia"/>
                <w:b w:val="0"/>
                <w:lang w:eastAsia="en-GB"/>
              </w:rPr>
              <w:tab/>
            </w:r>
            <w:r>
              <w:rPr>
                <w:rStyle w:val="Hyperlink"/>
                <w:b w:val="0"/>
              </w:rPr>
              <w:t>Policy Option 2 – Packaged solution: higher intensity regulatory intervention</w:t>
            </w:r>
            <w:r>
              <w:rPr>
                <w:b w:val="0"/>
                <w:webHidden/>
              </w:rPr>
              <w:tab/>
            </w:r>
            <w:r>
              <w:rPr>
                <w:b w:val="0"/>
                <w:webHidden/>
              </w:rPr>
              <w:fldChar w:fldCharType="begin"/>
            </w:r>
            <w:r>
              <w:rPr>
                <w:b w:val="0"/>
                <w:webHidden/>
              </w:rPr>
              <w:instrText xml:space="preserve"> PAGEREF _Toc509414865 \h </w:instrText>
            </w:r>
            <w:r>
              <w:rPr>
                <w:b w:val="0"/>
                <w:webHidden/>
              </w:rPr>
            </w:r>
            <w:r>
              <w:rPr>
                <w:b w:val="0"/>
                <w:webHidden/>
              </w:rPr>
              <w:fldChar w:fldCharType="separate"/>
            </w:r>
            <w:r>
              <w:rPr>
                <w:b w:val="0"/>
                <w:webHidden/>
              </w:rPr>
              <w:t>44</w:t>
            </w:r>
            <w:r>
              <w:rPr>
                <w:b w:val="0"/>
                <w:webHidden/>
              </w:rPr>
              <w:fldChar w:fldCharType="end"/>
            </w:r>
          </w:hyperlink>
        </w:p>
        <w:p w:rsidR="00DF1A33" w:rsidRDefault="00456F01">
          <w:pPr>
            <w:pStyle w:val="TOC2"/>
            <w:tabs>
              <w:tab w:val="left" w:pos="1077"/>
            </w:tabs>
            <w:rPr>
              <w:rFonts w:eastAsiaTheme="minorEastAsia"/>
              <w:noProof/>
              <w:sz w:val="22"/>
              <w:szCs w:val="22"/>
              <w:lang w:eastAsia="en-GB"/>
            </w:rPr>
          </w:pPr>
          <w:hyperlink w:anchor="_Toc509414866" w:history="1">
            <w:r>
              <w:rPr>
                <w:rStyle w:val="Hyperlink"/>
                <w:noProof/>
              </w:rPr>
              <w:t>6.4.</w:t>
            </w:r>
            <w:r>
              <w:rPr>
                <w:rFonts w:eastAsiaTheme="minorEastAsia"/>
                <w:noProof/>
                <w:sz w:val="22"/>
                <w:szCs w:val="22"/>
                <w:lang w:eastAsia="en-GB"/>
              </w:rPr>
              <w:tab/>
            </w:r>
            <w:r>
              <w:rPr>
                <w:rStyle w:val="Hyperlink"/>
                <w:noProof/>
              </w:rPr>
              <w:t>Member States' and stakeholders' views</w:t>
            </w:r>
            <w:r>
              <w:rPr>
                <w:noProof/>
                <w:webHidden/>
              </w:rPr>
              <w:tab/>
            </w:r>
            <w:r>
              <w:rPr>
                <w:noProof/>
                <w:webHidden/>
              </w:rPr>
              <w:fldChar w:fldCharType="begin"/>
            </w:r>
            <w:r>
              <w:rPr>
                <w:noProof/>
                <w:webHidden/>
              </w:rPr>
              <w:instrText xml:space="preserve"> PAGEREF _Toc509414866 \h </w:instrText>
            </w:r>
            <w:r>
              <w:rPr>
                <w:noProof/>
                <w:webHidden/>
              </w:rPr>
            </w:r>
            <w:r>
              <w:rPr>
                <w:noProof/>
                <w:webHidden/>
              </w:rPr>
              <w:fldChar w:fldCharType="separate"/>
            </w:r>
            <w:r>
              <w:rPr>
                <w:noProof/>
                <w:webHidden/>
              </w:rPr>
              <w:t>44</w:t>
            </w:r>
            <w:r>
              <w:rPr>
                <w:noProof/>
                <w:webHidden/>
              </w:rPr>
              <w:fldChar w:fldCharType="end"/>
            </w:r>
          </w:hyperlink>
        </w:p>
        <w:p w:rsidR="00DF1A33" w:rsidRDefault="00456F01">
          <w:pPr>
            <w:pStyle w:val="TOC1"/>
            <w:rPr>
              <w:rFonts w:eastAsiaTheme="minorEastAsia"/>
              <w:caps w:val="0"/>
              <w:noProof/>
              <w:sz w:val="22"/>
              <w:szCs w:val="22"/>
              <w:lang w:eastAsia="en-GB"/>
            </w:rPr>
          </w:pPr>
          <w:hyperlink w:anchor="_Toc509414867" w:history="1">
            <w:r>
              <w:rPr>
                <w:rStyle w:val="Hyperlink"/>
                <w:noProof/>
              </w:rPr>
              <w:t>7.</w:t>
            </w:r>
            <w:r>
              <w:rPr>
                <w:rFonts w:eastAsiaTheme="minorEastAsia"/>
                <w:caps w:val="0"/>
                <w:noProof/>
                <w:sz w:val="22"/>
                <w:szCs w:val="22"/>
                <w:lang w:eastAsia="en-GB"/>
              </w:rPr>
              <w:tab/>
            </w:r>
            <w:r>
              <w:rPr>
                <w:rStyle w:val="Hyperlink"/>
                <w:noProof/>
              </w:rPr>
              <w:t>How do the options compare?</w:t>
            </w:r>
            <w:r>
              <w:rPr>
                <w:noProof/>
                <w:webHidden/>
              </w:rPr>
              <w:tab/>
            </w:r>
            <w:r>
              <w:rPr>
                <w:noProof/>
                <w:webHidden/>
              </w:rPr>
              <w:fldChar w:fldCharType="begin"/>
            </w:r>
            <w:r>
              <w:rPr>
                <w:noProof/>
                <w:webHidden/>
              </w:rPr>
              <w:instrText xml:space="preserve"> PAGEREF _Toc509414867 \h </w:instrText>
            </w:r>
            <w:r>
              <w:rPr>
                <w:noProof/>
                <w:webHidden/>
              </w:rPr>
            </w:r>
            <w:r>
              <w:rPr>
                <w:noProof/>
                <w:webHidden/>
              </w:rPr>
              <w:fldChar w:fldCharType="separate"/>
            </w:r>
            <w:r>
              <w:rPr>
                <w:noProof/>
                <w:webHidden/>
              </w:rPr>
              <w:t>46</w:t>
            </w:r>
            <w:r>
              <w:rPr>
                <w:noProof/>
                <w:webHidden/>
              </w:rPr>
              <w:fldChar w:fldCharType="end"/>
            </w:r>
          </w:hyperlink>
        </w:p>
        <w:p w:rsidR="00DF1A33" w:rsidRDefault="00456F01">
          <w:pPr>
            <w:pStyle w:val="TOC1"/>
            <w:rPr>
              <w:rFonts w:eastAsiaTheme="minorEastAsia"/>
              <w:caps w:val="0"/>
              <w:noProof/>
              <w:sz w:val="22"/>
              <w:szCs w:val="22"/>
              <w:lang w:eastAsia="en-GB"/>
            </w:rPr>
          </w:pPr>
          <w:hyperlink w:anchor="_Toc509414868" w:history="1">
            <w:r>
              <w:rPr>
                <w:rStyle w:val="Hyperlink"/>
                <w:noProof/>
              </w:rPr>
              <w:t>8.</w:t>
            </w:r>
            <w:r>
              <w:rPr>
                <w:rFonts w:eastAsiaTheme="minorEastAsia"/>
                <w:caps w:val="0"/>
                <w:noProof/>
                <w:sz w:val="22"/>
                <w:szCs w:val="22"/>
                <w:lang w:eastAsia="en-GB"/>
              </w:rPr>
              <w:tab/>
            </w:r>
            <w:r>
              <w:rPr>
                <w:rStyle w:val="Hyperlink"/>
                <w:noProof/>
              </w:rPr>
              <w:t>Preferred option</w:t>
            </w:r>
            <w:r>
              <w:rPr>
                <w:noProof/>
                <w:webHidden/>
              </w:rPr>
              <w:tab/>
            </w:r>
            <w:r>
              <w:rPr>
                <w:noProof/>
                <w:webHidden/>
              </w:rPr>
              <w:fldChar w:fldCharType="begin"/>
            </w:r>
            <w:r>
              <w:rPr>
                <w:noProof/>
                <w:webHidden/>
              </w:rPr>
              <w:instrText xml:space="preserve"> PAGEREF _Toc509414868 \h </w:instrText>
            </w:r>
            <w:r>
              <w:rPr>
                <w:noProof/>
                <w:webHidden/>
              </w:rPr>
            </w:r>
            <w:r>
              <w:rPr>
                <w:noProof/>
                <w:webHidden/>
              </w:rPr>
              <w:fldChar w:fldCharType="separate"/>
            </w:r>
            <w:r>
              <w:rPr>
                <w:noProof/>
                <w:webHidden/>
              </w:rPr>
              <w:t>48</w:t>
            </w:r>
            <w:r>
              <w:rPr>
                <w:noProof/>
                <w:webHidden/>
              </w:rPr>
              <w:fldChar w:fldCharType="end"/>
            </w:r>
          </w:hyperlink>
        </w:p>
        <w:p w:rsidR="00DF1A33" w:rsidRDefault="00456F01">
          <w:pPr>
            <w:pStyle w:val="TOC2"/>
            <w:tabs>
              <w:tab w:val="left" w:pos="1077"/>
            </w:tabs>
            <w:rPr>
              <w:rFonts w:eastAsiaTheme="minorEastAsia"/>
              <w:noProof/>
              <w:sz w:val="22"/>
              <w:szCs w:val="22"/>
              <w:lang w:eastAsia="en-GB"/>
            </w:rPr>
          </w:pPr>
          <w:hyperlink w:anchor="_Toc509414869" w:history="1">
            <w:r>
              <w:rPr>
                <w:rStyle w:val="Hyperlink"/>
                <w:noProof/>
                <w:sz w:val="22"/>
                <w:szCs w:val="22"/>
              </w:rPr>
              <w:t>8.1.</w:t>
            </w:r>
            <w:r>
              <w:rPr>
                <w:rFonts w:eastAsiaTheme="minorEastAsia"/>
                <w:noProof/>
                <w:sz w:val="22"/>
                <w:szCs w:val="22"/>
                <w:lang w:eastAsia="en-GB"/>
              </w:rPr>
              <w:tab/>
            </w:r>
            <w:r>
              <w:rPr>
                <w:rStyle w:val="Hyperlink"/>
                <w:noProof/>
                <w:sz w:val="22"/>
                <w:szCs w:val="22"/>
              </w:rPr>
              <w:t>Est</w:t>
            </w:r>
            <w:r>
              <w:rPr>
                <w:rStyle w:val="Hyperlink"/>
                <w:noProof/>
                <w:sz w:val="22"/>
                <w:szCs w:val="22"/>
              </w:rPr>
              <w:t>imated impact of the preferred option</w:t>
            </w:r>
            <w:r>
              <w:rPr>
                <w:noProof/>
                <w:webHidden/>
              </w:rPr>
              <w:tab/>
            </w:r>
            <w:r>
              <w:rPr>
                <w:noProof/>
                <w:webHidden/>
                <w:sz w:val="22"/>
                <w:szCs w:val="22"/>
              </w:rPr>
              <w:fldChar w:fldCharType="begin"/>
            </w:r>
            <w:r>
              <w:rPr>
                <w:noProof/>
                <w:webHidden/>
                <w:sz w:val="22"/>
                <w:szCs w:val="22"/>
              </w:rPr>
              <w:instrText xml:space="preserve"> PAGEREF _Toc509414869 \h </w:instrText>
            </w:r>
            <w:r>
              <w:rPr>
                <w:noProof/>
                <w:webHidden/>
                <w:sz w:val="22"/>
                <w:szCs w:val="22"/>
              </w:rPr>
            </w:r>
            <w:r>
              <w:rPr>
                <w:noProof/>
                <w:webHidden/>
                <w:sz w:val="22"/>
                <w:szCs w:val="22"/>
              </w:rPr>
              <w:fldChar w:fldCharType="separate"/>
            </w:r>
            <w:r>
              <w:rPr>
                <w:noProof/>
                <w:webHidden/>
                <w:sz w:val="22"/>
                <w:szCs w:val="22"/>
              </w:rPr>
              <w:t>49</w:t>
            </w:r>
            <w:r>
              <w:rPr>
                <w:noProof/>
                <w:webHidden/>
                <w:sz w:val="22"/>
                <w:szCs w:val="22"/>
              </w:rPr>
              <w:fldChar w:fldCharType="end"/>
            </w:r>
          </w:hyperlink>
        </w:p>
        <w:p w:rsidR="00DF1A33" w:rsidRDefault="00456F01">
          <w:pPr>
            <w:pStyle w:val="TOC2"/>
            <w:tabs>
              <w:tab w:val="left" w:pos="1077"/>
            </w:tabs>
            <w:rPr>
              <w:rFonts w:eastAsiaTheme="minorEastAsia"/>
              <w:noProof/>
              <w:sz w:val="22"/>
              <w:szCs w:val="22"/>
              <w:lang w:eastAsia="en-GB"/>
            </w:rPr>
          </w:pPr>
          <w:hyperlink w:anchor="_Toc509414870" w:history="1">
            <w:r>
              <w:rPr>
                <w:rStyle w:val="Hyperlink"/>
                <w:noProof/>
                <w:sz w:val="22"/>
                <w:szCs w:val="22"/>
              </w:rPr>
              <w:t>8.2.</w:t>
            </w:r>
            <w:r>
              <w:rPr>
                <w:rFonts w:eastAsiaTheme="minorEastAsia"/>
                <w:noProof/>
                <w:sz w:val="22"/>
                <w:szCs w:val="22"/>
                <w:lang w:eastAsia="en-GB"/>
              </w:rPr>
              <w:tab/>
            </w:r>
            <w:r>
              <w:rPr>
                <w:rStyle w:val="Hyperlink"/>
                <w:noProof/>
                <w:sz w:val="22"/>
                <w:szCs w:val="22"/>
              </w:rPr>
              <w:t>REFIT (simplification and improved efficiency)</w:t>
            </w:r>
            <w:r>
              <w:rPr>
                <w:noProof/>
                <w:webHidden/>
              </w:rPr>
              <w:tab/>
            </w:r>
            <w:r>
              <w:rPr>
                <w:noProof/>
                <w:webHidden/>
                <w:sz w:val="22"/>
                <w:szCs w:val="22"/>
              </w:rPr>
              <w:fldChar w:fldCharType="begin"/>
            </w:r>
            <w:r>
              <w:rPr>
                <w:noProof/>
                <w:webHidden/>
                <w:sz w:val="22"/>
                <w:szCs w:val="22"/>
              </w:rPr>
              <w:instrText xml:space="preserve"> PAGEREF _Toc509414870 \h </w:instrText>
            </w:r>
            <w:r>
              <w:rPr>
                <w:noProof/>
                <w:webHidden/>
                <w:sz w:val="22"/>
                <w:szCs w:val="22"/>
              </w:rPr>
            </w:r>
            <w:r>
              <w:rPr>
                <w:noProof/>
                <w:webHidden/>
                <w:sz w:val="22"/>
                <w:szCs w:val="22"/>
              </w:rPr>
              <w:fldChar w:fldCharType="separate"/>
            </w:r>
            <w:r>
              <w:rPr>
                <w:noProof/>
                <w:webHidden/>
                <w:sz w:val="22"/>
                <w:szCs w:val="22"/>
              </w:rPr>
              <w:t>50</w:t>
            </w:r>
            <w:r>
              <w:rPr>
                <w:noProof/>
                <w:webHidden/>
                <w:sz w:val="22"/>
                <w:szCs w:val="22"/>
              </w:rPr>
              <w:fldChar w:fldCharType="end"/>
            </w:r>
          </w:hyperlink>
        </w:p>
        <w:p w:rsidR="00DF1A33" w:rsidRDefault="00456F01">
          <w:pPr>
            <w:pStyle w:val="TOC1"/>
            <w:rPr>
              <w:rFonts w:eastAsiaTheme="minorEastAsia"/>
              <w:caps w:val="0"/>
              <w:noProof/>
              <w:sz w:val="22"/>
              <w:szCs w:val="22"/>
              <w:lang w:eastAsia="en-GB"/>
            </w:rPr>
          </w:pPr>
          <w:hyperlink w:anchor="_Toc509414871" w:history="1">
            <w:r>
              <w:rPr>
                <w:rStyle w:val="Hyperlink"/>
                <w:noProof/>
              </w:rPr>
              <w:t>9.</w:t>
            </w:r>
            <w:r>
              <w:rPr>
                <w:rFonts w:eastAsiaTheme="minorEastAsia"/>
                <w:caps w:val="0"/>
                <w:noProof/>
                <w:sz w:val="22"/>
                <w:szCs w:val="22"/>
                <w:lang w:eastAsia="en-GB"/>
              </w:rPr>
              <w:tab/>
            </w:r>
            <w:r>
              <w:rPr>
                <w:rStyle w:val="Hyperlink"/>
                <w:noProof/>
              </w:rPr>
              <w:t>How will impacts be monitored and evaluated?</w:t>
            </w:r>
            <w:r>
              <w:rPr>
                <w:noProof/>
                <w:webHidden/>
              </w:rPr>
              <w:tab/>
            </w:r>
            <w:r>
              <w:rPr>
                <w:noProof/>
                <w:webHidden/>
              </w:rPr>
              <w:fldChar w:fldCharType="begin"/>
            </w:r>
            <w:r>
              <w:rPr>
                <w:noProof/>
                <w:webHidden/>
              </w:rPr>
              <w:instrText xml:space="preserve"> PAGEREF _Toc509414871 \h </w:instrText>
            </w:r>
            <w:r>
              <w:rPr>
                <w:noProof/>
                <w:webHidden/>
              </w:rPr>
            </w:r>
            <w:r>
              <w:rPr>
                <w:noProof/>
                <w:webHidden/>
              </w:rPr>
              <w:fldChar w:fldCharType="separate"/>
            </w:r>
            <w:r>
              <w:rPr>
                <w:noProof/>
                <w:webHidden/>
              </w:rPr>
              <w:t>51</w:t>
            </w:r>
            <w:r>
              <w:rPr>
                <w:noProof/>
                <w:webHidden/>
              </w:rPr>
              <w:fldChar w:fldCharType="end"/>
            </w:r>
          </w:hyperlink>
        </w:p>
        <w:p w:rsidR="00DF1A33" w:rsidRDefault="00456F01">
          <w:pPr>
            <w:pStyle w:val="TOC1"/>
            <w:rPr>
              <w:rFonts w:eastAsiaTheme="minorEastAsia"/>
              <w:caps w:val="0"/>
              <w:noProof/>
              <w:sz w:val="22"/>
              <w:szCs w:val="22"/>
              <w:lang w:eastAsia="en-GB"/>
            </w:rPr>
          </w:pPr>
          <w:hyperlink w:anchor="_Toc509414872" w:history="1">
            <w:r>
              <w:rPr>
                <w:rStyle w:val="Hyperlink"/>
                <w:noProof/>
              </w:rPr>
              <w:t>Annex 1: Procedural information</w:t>
            </w:r>
            <w:r>
              <w:rPr>
                <w:noProof/>
                <w:webHidden/>
              </w:rPr>
              <w:tab/>
            </w:r>
            <w:r>
              <w:rPr>
                <w:noProof/>
                <w:webHidden/>
              </w:rPr>
              <w:fldChar w:fldCharType="begin"/>
            </w:r>
            <w:r>
              <w:rPr>
                <w:noProof/>
                <w:webHidden/>
              </w:rPr>
              <w:instrText xml:space="preserve"> PAGEREF _Toc509414872 \h </w:instrText>
            </w:r>
            <w:r>
              <w:rPr>
                <w:noProof/>
                <w:webHidden/>
              </w:rPr>
            </w:r>
            <w:r>
              <w:rPr>
                <w:noProof/>
                <w:webHidden/>
              </w:rPr>
              <w:fldChar w:fldCharType="separate"/>
            </w:r>
            <w:r>
              <w:rPr>
                <w:noProof/>
                <w:webHidden/>
              </w:rPr>
              <w:t>55</w:t>
            </w:r>
            <w:r>
              <w:rPr>
                <w:noProof/>
                <w:webHidden/>
              </w:rPr>
              <w:fldChar w:fldCharType="end"/>
            </w:r>
          </w:hyperlink>
        </w:p>
        <w:p w:rsidR="00DF1A33" w:rsidRDefault="00456F01">
          <w:pPr>
            <w:pStyle w:val="TOC1"/>
            <w:tabs>
              <w:tab w:val="left" w:pos="1320"/>
            </w:tabs>
            <w:rPr>
              <w:rFonts w:eastAsiaTheme="minorEastAsia"/>
              <w:caps w:val="0"/>
              <w:noProof/>
              <w:sz w:val="22"/>
              <w:szCs w:val="22"/>
              <w:lang w:eastAsia="en-GB"/>
            </w:rPr>
          </w:pPr>
          <w:hyperlink w:anchor="_Toc509414873" w:history="1">
            <w:r>
              <w:rPr>
                <w:rStyle w:val="Hyperlink"/>
                <w:noProof/>
              </w:rPr>
              <w:t xml:space="preserve">Annex 2: </w:t>
            </w:r>
            <w:r>
              <w:rPr>
                <w:rFonts w:eastAsiaTheme="minorEastAsia"/>
                <w:caps w:val="0"/>
                <w:noProof/>
                <w:sz w:val="22"/>
                <w:szCs w:val="22"/>
                <w:lang w:eastAsia="en-GB"/>
              </w:rPr>
              <w:tab/>
            </w:r>
            <w:r>
              <w:rPr>
                <w:rStyle w:val="Hyperlink"/>
                <w:noProof/>
              </w:rPr>
              <w:t>Consultation on PSI Directive review</w:t>
            </w:r>
            <w:r>
              <w:rPr>
                <w:noProof/>
                <w:webHidden/>
              </w:rPr>
              <w:tab/>
            </w:r>
            <w:r>
              <w:rPr>
                <w:noProof/>
                <w:webHidden/>
              </w:rPr>
              <w:fldChar w:fldCharType="begin"/>
            </w:r>
            <w:r>
              <w:rPr>
                <w:noProof/>
                <w:webHidden/>
              </w:rPr>
              <w:instrText xml:space="preserve"> PAGEREF _Toc509414873 \h </w:instrText>
            </w:r>
            <w:r>
              <w:rPr>
                <w:noProof/>
                <w:webHidden/>
              </w:rPr>
            </w:r>
            <w:r>
              <w:rPr>
                <w:noProof/>
                <w:webHidden/>
              </w:rPr>
              <w:fldChar w:fldCharType="separate"/>
            </w:r>
            <w:r>
              <w:rPr>
                <w:noProof/>
                <w:webHidden/>
              </w:rPr>
              <w:t>60</w:t>
            </w:r>
            <w:r>
              <w:rPr>
                <w:noProof/>
                <w:webHidden/>
              </w:rPr>
              <w:fldChar w:fldCharType="end"/>
            </w:r>
          </w:hyperlink>
        </w:p>
        <w:p w:rsidR="00DF1A33" w:rsidRDefault="00456F01">
          <w:pPr>
            <w:pStyle w:val="TOC1"/>
            <w:rPr>
              <w:rFonts w:eastAsiaTheme="minorEastAsia"/>
              <w:caps w:val="0"/>
              <w:noProof/>
              <w:sz w:val="22"/>
              <w:szCs w:val="22"/>
              <w:lang w:eastAsia="en-GB"/>
            </w:rPr>
          </w:pPr>
          <w:hyperlink w:anchor="_Toc509414874" w:history="1">
            <w:r>
              <w:rPr>
                <w:rStyle w:val="Hyperlink"/>
                <w:noProof/>
              </w:rPr>
              <w:t>Annex 3: Visualisation of the views expressed by stakeholders in the Public Online Consultation on the Review of the PSI Directive</w:t>
            </w:r>
            <w:r>
              <w:rPr>
                <w:noProof/>
                <w:webHidden/>
              </w:rPr>
              <w:tab/>
            </w:r>
            <w:r>
              <w:rPr>
                <w:noProof/>
                <w:webHidden/>
              </w:rPr>
              <w:fldChar w:fldCharType="begin"/>
            </w:r>
            <w:r>
              <w:rPr>
                <w:noProof/>
                <w:webHidden/>
              </w:rPr>
              <w:instrText xml:space="preserve"> PAGEREF _Toc509414874 </w:instrText>
            </w:r>
            <w:r>
              <w:rPr>
                <w:noProof/>
                <w:webHidden/>
              </w:rPr>
              <w:instrText xml:space="preserve">\h </w:instrText>
            </w:r>
            <w:r>
              <w:rPr>
                <w:noProof/>
                <w:webHidden/>
              </w:rPr>
            </w:r>
            <w:r>
              <w:rPr>
                <w:noProof/>
                <w:webHidden/>
              </w:rPr>
              <w:fldChar w:fldCharType="separate"/>
            </w:r>
            <w:r>
              <w:rPr>
                <w:noProof/>
                <w:webHidden/>
              </w:rPr>
              <w:t>69</w:t>
            </w:r>
            <w:r>
              <w:rPr>
                <w:noProof/>
                <w:webHidden/>
              </w:rPr>
              <w:fldChar w:fldCharType="end"/>
            </w:r>
          </w:hyperlink>
        </w:p>
        <w:p w:rsidR="00DF1A33" w:rsidRDefault="00456F01">
          <w:pPr>
            <w:pStyle w:val="TOC1"/>
            <w:rPr>
              <w:rFonts w:eastAsiaTheme="minorEastAsia"/>
              <w:caps w:val="0"/>
              <w:noProof/>
              <w:sz w:val="22"/>
              <w:szCs w:val="22"/>
              <w:lang w:eastAsia="en-GB"/>
            </w:rPr>
          </w:pPr>
          <w:hyperlink w:anchor="_Toc509414875" w:history="1">
            <w:r>
              <w:rPr>
                <w:rStyle w:val="Hyperlink"/>
                <w:noProof/>
              </w:rPr>
              <w:t>Annex 4: Who is affected and how?</w:t>
            </w:r>
            <w:r>
              <w:rPr>
                <w:noProof/>
                <w:webHidden/>
              </w:rPr>
              <w:tab/>
            </w:r>
            <w:r>
              <w:rPr>
                <w:noProof/>
                <w:webHidden/>
              </w:rPr>
              <w:fldChar w:fldCharType="begin"/>
            </w:r>
            <w:r>
              <w:rPr>
                <w:noProof/>
                <w:webHidden/>
              </w:rPr>
              <w:instrText xml:space="preserve"> PAGEREF _Toc509414875 \h </w:instrText>
            </w:r>
            <w:r>
              <w:rPr>
                <w:noProof/>
                <w:webHidden/>
              </w:rPr>
            </w:r>
            <w:r>
              <w:rPr>
                <w:noProof/>
                <w:webHidden/>
              </w:rPr>
              <w:fldChar w:fldCharType="separate"/>
            </w:r>
            <w:r>
              <w:rPr>
                <w:noProof/>
                <w:webHidden/>
              </w:rPr>
              <w:t>74</w:t>
            </w:r>
            <w:r>
              <w:rPr>
                <w:noProof/>
                <w:webHidden/>
              </w:rPr>
              <w:fldChar w:fldCharType="end"/>
            </w:r>
          </w:hyperlink>
        </w:p>
        <w:p w:rsidR="00DF1A33" w:rsidRDefault="00456F01">
          <w:pPr>
            <w:pStyle w:val="TOC1"/>
            <w:rPr>
              <w:rFonts w:eastAsiaTheme="minorEastAsia"/>
              <w:caps w:val="0"/>
              <w:noProof/>
              <w:sz w:val="22"/>
              <w:szCs w:val="22"/>
              <w:lang w:eastAsia="en-GB"/>
            </w:rPr>
          </w:pPr>
          <w:hyperlink w:anchor="_Toc509414876" w:history="1">
            <w:r>
              <w:rPr>
                <w:rStyle w:val="Hyperlink"/>
                <w:noProof/>
              </w:rPr>
              <w:t>Annex 5: Evaluation Report</w:t>
            </w:r>
            <w:r>
              <w:rPr>
                <w:noProof/>
                <w:webHidden/>
              </w:rPr>
              <w:tab/>
            </w:r>
            <w:r>
              <w:rPr>
                <w:noProof/>
                <w:webHidden/>
              </w:rPr>
              <w:fldChar w:fldCharType="begin"/>
            </w:r>
            <w:r>
              <w:rPr>
                <w:noProof/>
                <w:webHidden/>
              </w:rPr>
              <w:instrText xml:space="preserve"> PAGEREF _Toc509414876 \h </w:instrText>
            </w:r>
            <w:r>
              <w:rPr>
                <w:noProof/>
                <w:webHidden/>
              </w:rPr>
            </w:r>
            <w:r>
              <w:rPr>
                <w:noProof/>
                <w:webHidden/>
              </w:rPr>
              <w:fldChar w:fldCharType="separate"/>
            </w:r>
            <w:r>
              <w:rPr>
                <w:noProof/>
                <w:webHidden/>
              </w:rPr>
              <w:t>80</w:t>
            </w:r>
            <w:r>
              <w:rPr>
                <w:noProof/>
                <w:webHidden/>
              </w:rPr>
              <w:fldChar w:fldCharType="end"/>
            </w:r>
          </w:hyperlink>
        </w:p>
        <w:p w:rsidR="00DF1A33" w:rsidRDefault="00456F01">
          <w:pPr>
            <w:pStyle w:val="TOC1"/>
            <w:rPr>
              <w:rFonts w:eastAsiaTheme="minorEastAsia"/>
              <w:caps w:val="0"/>
              <w:noProof/>
              <w:sz w:val="22"/>
              <w:szCs w:val="22"/>
              <w:lang w:eastAsia="en-GB"/>
            </w:rPr>
          </w:pPr>
          <w:hyperlink w:anchor="_Toc509414877" w:history="1">
            <w:r>
              <w:rPr>
                <w:rStyle w:val="Hyperlink"/>
                <w:noProof/>
              </w:rPr>
              <w:t>An</w:t>
            </w:r>
            <w:r>
              <w:rPr>
                <w:rStyle w:val="Hyperlink"/>
                <w:noProof/>
              </w:rPr>
              <w:t>nex 6: The Evolution of the Directive on the  Re-Use of Public Sector Information</w:t>
            </w:r>
            <w:r>
              <w:rPr>
                <w:noProof/>
                <w:webHidden/>
              </w:rPr>
              <w:tab/>
            </w:r>
            <w:r>
              <w:rPr>
                <w:noProof/>
                <w:webHidden/>
              </w:rPr>
              <w:fldChar w:fldCharType="begin"/>
            </w:r>
            <w:r>
              <w:rPr>
                <w:noProof/>
                <w:webHidden/>
              </w:rPr>
              <w:instrText xml:space="preserve"> PAGEREF _Toc509414877 \h </w:instrText>
            </w:r>
            <w:r>
              <w:rPr>
                <w:noProof/>
                <w:webHidden/>
              </w:rPr>
            </w:r>
            <w:r>
              <w:rPr>
                <w:noProof/>
                <w:webHidden/>
              </w:rPr>
              <w:fldChar w:fldCharType="separate"/>
            </w:r>
            <w:r>
              <w:rPr>
                <w:noProof/>
                <w:webHidden/>
              </w:rPr>
              <w:t>81</w:t>
            </w:r>
            <w:r>
              <w:rPr>
                <w:noProof/>
                <w:webHidden/>
              </w:rPr>
              <w:fldChar w:fldCharType="end"/>
            </w:r>
          </w:hyperlink>
        </w:p>
        <w:p w:rsidR="00DF1A33" w:rsidRDefault="00456F01">
          <w:pPr>
            <w:pStyle w:val="TOC1"/>
            <w:rPr>
              <w:rFonts w:eastAsiaTheme="minorEastAsia"/>
              <w:caps w:val="0"/>
              <w:noProof/>
              <w:sz w:val="22"/>
              <w:szCs w:val="22"/>
              <w:lang w:eastAsia="en-GB"/>
            </w:rPr>
          </w:pPr>
          <w:hyperlink w:anchor="_Toc509414878" w:history="1">
            <w:r>
              <w:rPr>
                <w:rStyle w:val="Hyperlink"/>
                <w:noProof/>
              </w:rPr>
              <w:t>Annex 7: Open Data in an International Conte</w:t>
            </w:r>
            <w:r>
              <w:rPr>
                <w:rStyle w:val="Hyperlink"/>
                <w:noProof/>
              </w:rPr>
              <w:t>xt</w:t>
            </w:r>
            <w:r>
              <w:rPr>
                <w:noProof/>
                <w:webHidden/>
              </w:rPr>
              <w:tab/>
            </w:r>
            <w:r>
              <w:rPr>
                <w:noProof/>
                <w:webHidden/>
              </w:rPr>
              <w:fldChar w:fldCharType="begin"/>
            </w:r>
            <w:r>
              <w:rPr>
                <w:noProof/>
                <w:webHidden/>
              </w:rPr>
              <w:instrText xml:space="preserve"> PAGEREF _Toc509414878 \h </w:instrText>
            </w:r>
            <w:r>
              <w:rPr>
                <w:noProof/>
                <w:webHidden/>
              </w:rPr>
            </w:r>
            <w:r>
              <w:rPr>
                <w:noProof/>
                <w:webHidden/>
              </w:rPr>
              <w:fldChar w:fldCharType="separate"/>
            </w:r>
            <w:r>
              <w:rPr>
                <w:noProof/>
                <w:webHidden/>
              </w:rPr>
              <w:t>83</w:t>
            </w:r>
            <w:r>
              <w:rPr>
                <w:noProof/>
                <w:webHidden/>
              </w:rPr>
              <w:fldChar w:fldCharType="end"/>
            </w:r>
          </w:hyperlink>
        </w:p>
        <w:p w:rsidR="00DF1A33" w:rsidRDefault="00456F01">
          <w:pPr>
            <w:pStyle w:val="TOC1"/>
            <w:rPr>
              <w:rFonts w:eastAsiaTheme="minorEastAsia"/>
              <w:caps w:val="0"/>
              <w:noProof/>
              <w:sz w:val="22"/>
              <w:szCs w:val="22"/>
              <w:lang w:eastAsia="en-GB"/>
            </w:rPr>
          </w:pPr>
          <w:hyperlink w:anchor="_Toc509414879" w:history="1">
            <w:r>
              <w:rPr>
                <w:rStyle w:val="Hyperlink"/>
                <w:noProof/>
              </w:rPr>
              <w:t>Annex 8: Analytical methods</w:t>
            </w:r>
            <w:r>
              <w:rPr>
                <w:noProof/>
                <w:webHidden/>
              </w:rPr>
              <w:tab/>
            </w:r>
            <w:r>
              <w:rPr>
                <w:noProof/>
                <w:webHidden/>
              </w:rPr>
              <w:fldChar w:fldCharType="begin"/>
            </w:r>
            <w:r>
              <w:rPr>
                <w:noProof/>
                <w:webHidden/>
              </w:rPr>
              <w:instrText xml:space="preserve"> PAGEREF _Toc509414879 \h </w:instrText>
            </w:r>
            <w:r>
              <w:rPr>
                <w:noProof/>
                <w:webHidden/>
              </w:rPr>
            </w:r>
            <w:r>
              <w:rPr>
                <w:noProof/>
                <w:webHidden/>
              </w:rPr>
              <w:fldChar w:fldCharType="separate"/>
            </w:r>
            <w:r>
              <w:rPr>
                <w:noProof/>
                <w:webHidden/>
              </w:rPr>
              <w:t>87</w:t>
            </w:r>
            <w:r>
              <w:rPr>
                <w:noProof/>
                <w:webHidden/>
              </w:rPr>
              <w:fldChar w:fldCharType="end"/>
            </w:r>
          </w:hyperlink>
        </w:p>
        <w:p w:rsidR="00DF1A33" w:rsidRDefault="00456F01">
          <w:pPr>
            <w:pStyle w:val="TOC1"/>
            <w:rPr>
              <w:rFonts w:asciiTheme="minorHAnsi" w:eastAsiaTheme="minorEastAsia" w:hAnsiTheme="minorHAnsi" w:cstheme="minorBidi"/>
              <w:caps w:val="0"/>
              <w:noProof/>
              <w:sz w:val="22"/>
              <w:szCs w:val="22"/>
              <w:lang w:eastAsia="en-GB"/>
            </w:rPr>
          </w:pPr>
          <w:hyperlink w:anchor="_Toc509414880" w:history="1">
            <w:r>
              <w:rPr>
                <w:rStyle w:val="Hyperlink"/>
                <w:noProof/>
              </w:rPr>
              <w:t>Annex 9: Success Stories on Open Data</w:t>
            </w:r>
            <w:r>
              <w:rPr>
                <w:noProof/>
                <w:webHidden/>
              </w:rPr>
              <w:tab/>
            </w:r>
            <w:r>
              <w:rPr>
                <w:noProof/>
                <w:webHidden/>
              </w:rPr>
              <w:fldChar w:fldCharType="begin"/>
            </w:r>
            <w:r>
              <w:rPr>
                <w:noProof/>
                <w:webHidden/>
              </w:rPr>
              <w:instrText xml:space="preserve"> PAGEREF _Toc509414880 \h </w:instrText>
            </w:r>
            <w:r>
              <w:rPr>
                <w:noProof/>
                <w:webHidden/>
              </w:rPr>
            </w:r>
            <w:r>
              <w:rPr>
                <w:noProof/>
                <w:webHidden/>
              </w:rPr>
              <w:fldChar w:fldCharType="separate"/>
            </w:r>
            <w:r>
              <w:rPr>
                <w:noProof/>
                <w:webHidden/>
              </w:rPr>
              <w:t>97</w:t>
            </w:r>
            <w:r>
              <w:rPr>
                <w:noProof/>
                <w:webHidden/>
              </w:rPr>
              <w:fldChar w:fldCharType="end"/>
            </w:r>
          </w:hyperlink>
        </w:p>
        <w:p w:rsidR="00DF1A33" w:rsidRDefault="00456F01">
          <w:pPr>
            <w:pStyle w:val="TOCHeading"/>
            <w:spacing w:before="120" w:after="120"/>
            <w:jc w:val="both"/>
            <w:rPr>
              <w:b w:val="0"/>
              <w:noProof/>
              <w:sz w:val="22"/>
            </w:rPr>
          </w:pPr>
          <w:r>
            <w:rPr>
              <w:b w:val="0"/>
              <w:noProof/>
            </w:rPr>
            <w:fldChar w:fldCharType="end"/>
          </w:r>
          <w:r>
            <w:rPr>
              <w:b w:val="0"/>
              <w:noProof/>
              <w:sz w:val="22"/>
              <w:szCs w:val="22"/>
            </w:rPr>
            <w:t xml:space="preserve"> </w:t>
          </w:r>
        </w:p>
      </w:sdtContent>
    </w:sdt>
    <w:p w:rsidR="00DF1A33" w:rsidRDefault="00DF1A33">
      <w:pPr>
        <w:rPr>
          <w:noProof/>
          <w:sz w:val="20"/>
          <w:szCs w:val="20"/>
        </w:rPr>
        <w:sectPr w:rsidR="00DF1A33">
          <w:headerReference w:type="even" r:id="rId20"/>
          <w:headerReference w:type="default" r:id="rId21"/>
          <w:footerReference w:type="even" r:id="rId22"/>
          <w:footerReference w:type="default" r:id="rId23"/>
          <w:headerReference w:type="first" r:id="rId24"/>
          <w:footerReference w:type="first" r:id="rId25"/>
          <w:pgSz w:w="11906" w:h="16838"/>
          <w:pgMar w:top="1020" w:right="1701" w:bottom="1020" w:left="1587" w:header="601" w:footer="1077" w:gutter="0"/>
          <w:pgNumType w:start="1"/>
          <w:cols w:space="720"/>
          <w:titlePg/>
        </w:sectPr>
      </w:pPr>
    </w:p>
    <w:p w:rsidR="00DF1A33" w:rsidRDefault="00456F01">
      <w:pPr>
        <w:pStyle w:val="Heading1"/>
        <w:rPr>
          <w:noProof/>
        </w:rPr>
      </w:pPr>
      <w:bookmarkStart w:id="2" w:name="_Toc504119195"/>
      <w:bookmarkStart w:id="3" w:name="_Toc504119360"/>
      <w:bookmarkStart w:id="4" w:name="_Toc504119460"/>
      <w:bookmarkStart w:id="5" w:name="_Toc504119550"/>
      <w:bookmarkStart w:id="6" w:name="_Toc504119647"/>
      <w:bookmarkStart w:id="7" w:name="_Toc504119737"/>
      <w:bookmarkStart w:id="8" w:name="_Toc504119826"/>
      <w:bookmarkStart w:id="9" w:name="_Toc504120161"/>
      <w:bookmarkStart w:id="10" w:name="_Toc504119196"/>
      <w:bookmarkStart w:id="11" w:name="_Toc504119361"/>
      <w:bookmarkStart w:id="12" w:name="_Toc504119461"/>
      <w:bookmarkStart w:id="13" w:name="_Toc504119551"/>
      <w:bookmarkStart w:id="14" w:name="_Toc504119648"/>
      <w:bookmarkStart w:id="15" w:name="_Toc504119738"/>
      <w:bookmarkStart w:id="16" w:name="_Toc504119827"/>
      <w:bookmarkStart w:id="17" w:name="_Toc504120162"/>
      <w:bookmarkStart w:id="18" w:name="_Toc504119197"/>
      <w:bookmarkStart w:id="19" w:name="_Toc504119362"/>
      <w:bookmarkStart w:id="20" w:name="_Toc504119462"/>
      <w:bookmarkStart w:id="21" w:name="_Toc504119552"/>
      <w:bookmarkStart w:id="22" w:name="_Toc504119649"/>
      <w:bookmarkStart w:id="23" w:name="_Toc504119739"/>
      <w:bookmarkStart w:id="24" w:name="_Toc504119828"/>
      <w:bookmarkStart w:id="25" w:name="_Toc504120163"/>
      <w:bookmarkStart w:id="26" w:name="_Toc481484459"/>
      <w:bookmarkStart w:id="27" w:name="_Toc504142930"/>
      <w:bookmarkStart w:id="28" w:name="_Toc504151636"/>
      <w:bookmarkStart w:id="29" w:name="_Toc504382920"/>
      <w:bookmarkStart w:id="30" w:name="_Toc504391063"/>
      <w:bookmarkStart w:id="31" w:name="_Toc504403152"/>
      <w:bookmarkStart w:id="32" w:name="_Toc504743622"/>
      <w:bookmarkStart w:id="33" w:name="_Toc504751173"/>
      <w:bookmarkStart w:id="34" w:name="_Toc504751347"/>
      <w:bookmarkStart w:id="35" w:name="_Toc505181970"/>
      <w:bookmarkStart w:id="36" w:name="_Toc505248624"/>
      <w:bookmarkStart w:id="37" w:name="_Toc505266500"/>
      <w:bookmarkStart w:id="38" w:name="_Toc505335351"/>
      <w:bookmarkStart w:id="39" w:name="_Toc505345822"/>
      <w:bookmarkStart w:id="40" w:name="_Toc505346410"/>
      <w:bookmarkStart w:id="41" w:name="_Toc505696647"/>
      <w:bookmarkStart w:id="42" w:name="_Toc505698133"/>
      <w:bookmarkStart w:id="43" w:name="_Toc505705133"/>
      <w:bookmarkStart w:id="44" w:name="_Toc505773125"/>
      <w:bookmarkStart w:id="45" w:name="_Toc505856839"/>
      <w:bookmarkStart w:id="46" w:name="_Toc505862283"/>
      <w:bookmarkStart w:id="47" w:name="_Toc505864848"/>
      <w:bookmarkStart w:id="48" w:name="_Toc505868703"/>
      <w:bookmarkStart w:id="49" w:name="_Toc505869170"/>
      <w:bookmarkStart w:id="50" w:name="_Toc506363014"/>
      <w:bookmarkStart w:id="51" w:name="_Toc506369511"/>
      <w:bookmarkStart w:id="52" w:name="_Toc506376102"/>
      <w:bookmarkStart w:id="53" w:name="_Toc506378415"/>
      <w:bookmarkStart w:id="54" w:name="_Toc506378495"/>
      <w:bookmarkStart w:id="55" w:name="_Toc509412593"/>
      <w:bookmarkStart w:id="56" w:name="_Toc509414769"/>
      <w:bookmarkStart w:id="57" w:name="_Toc509414825"/>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noProof/>
        </w:rPr>
        <w:lastRenderedPageBreak/>
        <w:t>Introduction: Political and legal context</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This impact assessment accompanies the proposal for a review of the Directive of the European Parliament </w:t>
      </w:r>
      <w:r>
        <w:rPr>
          <w:rFonts w:ascii="Times New Roman" w:hAnsi="Times New Roman" w:cs="Times New Roman"/>
          <w:noProof/>
          <w:sz w:val="24"/>
          <w:szCs w:val="24"/>
        </w:rPr>
        <w:t>and of the Council amending Directive 2003/98/EC on the re-use of public sector information</w:t>
      </w:r>
      <w:r>
        <w:rPr>
          <w:rStyle w:val="FootnoteReference"/>
          <w:rFonts w:ascii="Times New Roman" w:hAnsi="Times New Roman" w:cs="Times New Roman"/>
          <w:noProof/>
          <w:sz w:val="24"/>
          <w:szCs w:val="24"/>
        </w:rPr>
        <w:footnoteReference w:id="2"/>
      </w:r>
      <w:r>
        <w:rPr>
          <w:rFonts w:ascii="Times New Roman" w:hAnsi="Times New Roman" w:cs="Times New Roman"/>
          <w:noProof/>
          <w:sz w:val="24"/>
          <w:szCs w:val="24"/>
        </w:rPr>
        <w:t xml:space="preserve"> (PSI Directive). The Directive was adopted by the EU legislators in order to harmonise the basic re-use conditions across the EU and to remove major barriers to re-use in the internal market, thus ensuring a competitive environment conducive to the develo</w:t>
      </w:r>
      <w:r>
        <w:rPr>
          <w:rFonts w:ascii="Times New Roman" w:hAnsi="Times New Roman" w:cs="Times New Roman"/>
          <w:noProof/>
          <w:sz w:val="24"/>
          <w:szCs w:val="24"/>
        </w:rPr>
        <w:t>pment of a market for information-based products and services. The Directive introduced provisions on non-discrimination, charging, exclusive arrangements, transparency, licensing and practical tools facilitating the re-use of public sector documents.</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noProof/>
          <w:sz w:val="24"/>
          <w:szCs w:val="24"/>
        </w:rPr>
        <w:t>Directive was revised in 2013. The modifications introduced an obligation to allow the re-use of public data, access to which is granted under national legislation, expanded the scope of the Directive to include documents from public libraries, museums and</w:t>
      </w:r>
      <w:r>
        <w:rPr>
          <w:rFonts w:ascii="Times New Roman" w:hAnsi="Times New Roman" w:cs="Times New Roman"/>
          <w:noProof/>
          <w:sz w:val="24"/>
          <w:szCs w:val="24"/>
        </w:rPr>
        <w:t xml:space="preserve"> archives, established a default charging rule limited to the marginal cost for reproduction, provision and dissemination of the information, and obliged public sector bodies to be more transparent about the charging rules and conditions they apply. The am</w:t>
      </w:r>
      <w:r>
        <w:rPr>
          <w:rFonts w:ascii="Times New Roman" w:hAnsi="Times New Roman" w:cs="Times New Roman"/>
          <w:noProof/>
          <w:sz w:val="24"/>
          <w:szCs w:val="24"/>
        </w:rPr>
        <w:t>ending Directive was implemented into national legislation by all 28 EU Member States.</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Article 13 of the Directive calls on the European Commission to carry out a review of the application of the Directive and to communicate the results, together with any </w:t>
      </w:r>
      <w:r>
        <w:rPr>
          <w:rFonts w:ascii="Times New Roman" w:hAnsi="Times New Roman" w:cs="Times New Roman"/>
          <w:noProof/>
          <w:sz w:val="24"/>
          <w:szCs w:val="24"/>
        </w:rPr>
        <w:t xml:space="preserve">proposal for amendments, before 18 July 2018. At the same time, this review is an important part of the initiative on accessibility and re-use of public and publicly funded data announced by the Mid-Term Review of the Digital Single Market (DSM) strategy. </w:t>
      </w:r>
    </w:p>
    <w:p w:rsidR="00DF1A33" w:rsidRDefault="00456F01">
      <w:pPr>
        <w:jc w:val="both"/>
        <w:rPr>
          <w:rFonts w:ascii="Times New Roman" w:hAnsi="Times New Roman"/>
          <w:noProof/>
          <w:sz w:val="24"/>
        </w:rPr>
      </w:pPr>
      <w:r>
        <w:rPr>
          <w:rFonts w:ascii="Times New Roman" w:hAnsi="Times New Roman" w:cs="Times New Roman"/>
          <w:noProof/>
          <w:sz w:val="24"/>
          <w:szCs w:val="24"/>
        </w:rPr>
        <w:t>In the last years, the Commission took a series of key measures to improve the framework conditions for data-driven innovation in Europe. With the General Data Protection Regulation</w:t>
      </w:r>
      <w:r>
        <w:rPr>
          <w:rFonts w:ascii="Times New Roman" w:hAnsi="Times New Roman" w:cs="Times New Roman"/>
          <w:noProof/>
          <w:sz w:val="24"/>
          <w:szCs w:val="24"/>
          <w:vertAlign w:val="superscript"/>
        </w:rPr>
        <w:footnoteReference w:id="3"/>
      </w:r>
      <w:r>
        <w:rPr>
          <w:rFonts w:ascii="Times New Roman" w:hAnsi="Times New Roman" w:cs="Times New Roman"/>
          <w:noProof/>
          <w:sz w:val="24"/>
          <w:szCs w:val="24"/>
        </w:rPr>
        <w:t xml:space="preserve"> (GDPR) and the revision of the ePrivacy rules</w:t>
      </w:r>
      <w:r>
        <w:rPr>
          <w:rFonts w:ascii="Times New Roman" w:hAnsi="Times New Roman" w:cs="Times New Roman"/>
          <w:noProof/>
          <w:sz w:val="24"/>
          <w:szCs w:val="24"/>
          <w:vertAlign w:val="superscript"/>
        </w:rPr>
        <w:footnoteReference w:id="4"/>
      </w:r>
      <w:r>
        <w:rPr>
          <w:rFonts w:ascii="Times New Roman" w:hAnsi="Times New Roman" w:cs="Times New Roman"/>
          <w:noProof/>
          <w:sz w:val="24"/>
          <w:szCs w:val="24"/>
        </w:rPr>
        <w:t>, the EU has set a solid f</w:t>
      </w:r>
      <w:r>
        <w:rPr>
          <w:rFonts w:ascii="Times New Roman" w:hAnsi="Times New Roman" w:cs="Times New Roman"/>
          <w:noProof/>
          <w:sz w:val="24"/>
          <w:szCs w:val="24"/>
        </w:rPr>
        <w:t>ramework for digital trust which is a precondition for a competitive EU data economy. With the objective of further improving the efficient use of data across the EU, the Digital Single Market strategy put in place a series of important actions in this dir</w:t>
      </w:r>
      <w:r>
        <w:rPr>
          <w:rFonts w:ascii="Times New Roman" w:hAnsi="Times New Roman" w:cs="Times New Roman"/>
          <w:noProof/>
          <w:sz w:val="24"/>
          <w:szCs w:val="24"/>
        </w:rPr>
        <w:t xml:space="preserve">ection.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is now proposing a package of measures as a key step towards </w:t>
      </w:r>
      <w:r>
        <w:rPr>
          <w:rFonts w:ascii="Times New Roman" w:hAnsi="Times New Roman"/>
          <w:noProof/>
          <w:sz w:val="24"/>
        </w:rPr>
        <w:t>a common data space in the EU</w:t>
      </w:r>
      <w:r>
        <w:rPr>
          <w:rFonts w:ascii="Times New Roman" w:hAnsi="Times New Roman" w:cs="Times New Roman"/>
          <w:noProof/>
          <w:sz w:val="24"/>
          <w:szCs w:val="24"/>
        </w:rPr>
        <w:t xml:space="preserve"> on a scale that will enable the emergence of new data-based products and services. The measures put forward are: 1) a proposal for a review o</w:t>
      </w:r>
      <w:r>
        <w:rPr>
          <w:rFonts w:ascii="Times New Roman" w:hAnsi="Times New Roman" w:cs="Times New Roman"/>
          <w:noProof/>
          <w:sz w:val="24"/>
          <w:szCs w:val="24"/>
        </w:rPr>
        <w:t>f the Directive on the re-use of public sector information (PSI Directive)</w:t>
      </w:r>
      <w:r>
        <w:rPr>
          <w:rStyle w:val="FootnoteReference"/>
          <w:rFonts w:ascii="Times New Roman" w:hAnsi="Times New Roman" w:cs="Times New Roman"/>
          <w:noProof/>
          <w:sz w:val="24"/>
          <w:szCs w:val="24"/>
        </w:rPr>
        <w:footnoteReference w:id="5"/>
      </w:r>
      <w:r>
        <w:rPr>
          <w:rFonts w:ascii="Times New Roman" w:hAnsi="Times New Roman" w:cs="Times New Roman"/>
          <w:noProof/>
          <w:sz w:val="24"/>
          <w:szCs w:val="24"/>
        </w:rPr>
        <w:t xml:space="preserve">, 2) a technical </w:t>
      </w:r>
      <w:r>
        <w:rPr>
          <w:rFonts w:ascii="Times New Roman" w:hAnsi="Times New Roman" w:cs="Times New Roman"/>
          <w:noProof/>
          <w:sz w:val="24"/>
          <w:szCs w:val="24"/>
        </w:rPr>
        <w:lastRenderedPageBreak/>
        <w:t>update of the Recommendation on access to and preservation of scientific information</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and 3) guidance on sharing private sector data</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xml:space="preserve">. The proposed measures cover </w:t>
      </w:r>
      <w:r>
        <w:rPr>
          <w:rFonts w:ascii="Times New Roman" w:hAnsi="Times New Roman" w:cs="Times New Roman"/>
          <w:noProof/>
          <w:sz w:val="24"/>
          <w:szCs w:val="24"/>
        </w:rPr>
        <w:t>different types of data and therefore have different levels of intensity. At the same time, they all work towards the broader goal of bringing together data, as a key source of innovation and growth, from different sectors, countries and disciplines into a</w:t>
      </w:r>
      <w:r>
        <w:rPr>
          <w:rFonts w:ascii="Times New Roman" w:hAnsi="Times New Roman" w:cs="Times New Roman"/>
          <w:noProof/>
          <w:sz w:val="24"/>
          <w:szCs w:val="24"/>
        </w:rPr>
        <w:t xml:space="preserve"> common data space. </w:t>
      </w:r>
    </w:p>
    <w:p w:rsidR="00DF1A33" w:rsidRDefault="00456F01">
      <w:pPr>
        <w:jc w:val="both"/>
        <w:rPr>
          <w:rFonts w:ascii="Times New Roman" w:hAnsi="Times New Roman"/>
          <w:i/>
          <w:noProof/>
          <w:sz w:val="24"/>
        </w:rPr>
      </w:pPr>
      <w:r>
        <w:rPr>
          <w:rFonts w:ascii="Times New Roman" w:hAnsi="Times New Roman" w:cs="Times New Roman"/>
          <w:noProof/>
          <w:sz w:val="24"/>
          <w:szCs w:val="24"/>
        </w:rPr>
        <w:t>The present document builds upon the evaluation of the functioning of the Directive and assesses a number of policy options aimed at updating the regulatory framework.</w:t>
      </w:r>
    </w:p>
    <w:p w:rsidR="00DF1A33" w:rsidRDefault="00456F01">
      <w:pPr>
        <w:pStyle w:val="Heading2"/>
        <w:rPr>
          <w:noProof/>
        </w:rPr>
      </w:pPr>
      <w:bookmarkStart w:id="58" w:name="_Toc503452270"/>
      <w:bookmarkStart w:id="59" w:name="_Toc503797250"/>
      <w:bookmarkStart w:id="60" w:name="_Toc503800707"/>
      <w:bookmarkStart w:id="61" w:name="_Toc504142931"/>
      <w:bookmarkStart w:id="62" w:name="_Toc504151637"/>
      <w:bookmarkStart w:id="63" w:name="_Toc504382921"/>
      <w:bookmarkStart w:id="64" w:name="_Toc504391064"/>
      <w:bookmarkStart w:id="65" w:name="_Toc504403153"/>
      <w:bookmarkStart w:id="66" w:name="_Toc504743623"/>
      <w:bookmarkStart w:id="67" w:name="_Toc504751174"/>
      <w:bookmarkStart w:id="68" w:name="_Toc504751348"/>
      <w:bookmarkStart w:id="69" w:name="_Toc505181971"/>
      <w:bookmarkStart w:id="70" w:name="_Toc505248625"/>
      <w:bookmarkStart w:id="71" w:name="_Toc505266501"/>
      <w:bookmarkStart w:id="72" w:name="_Toc505335352"/>
      <w:bookmarkStart w:id="73" w:name="_Toc505345823"/>
      <w:bookmarkStart w:id="74" w:name="_Toc505346411"/>
      <w:bookmarkStart w:id="75" w:name="_Toc505696648"/>
      <w:bookmarkStart w:id="76" w:name="_Toc505698134"/>
      <w:bookmarkStart w:id="77" w:name="_Toc505701647"/>
      <w:bookmarkStart w:id="78" w:name="_Toc505705134"/>
      <w:bookmarkStart w:id="79" w:name="_Toc505773126"/>
      <w:bookmarkStart w:id="80" w:name="_Toc505856840"/>
      <w:bookmarkStart w:id="81" w:name="_Toc505862284"/>
      <w:bookmarkStart w:id="82" w:name="_Toc505864849"/>
      <w:bookmarkStart w:id="83" w:name="_Toc505868704"/>
      <w:bookmarkStart w:id="84" w:name="_Toc505869171"/>
      <w:bookmarkStart w:id="85" w:name="_Toc506363015"/>
      <w:bookmarkStart w:id="86" w:name="_Toc506369512"/>
      <w:bookmarkStart w:id="87" w:name="_Toc506376103"/>
      <w:bookmarkStart w:id="88" w:name="_Toc506378416"/>
      <w:bookmarkStart w:id="89" w:name="_Toc506378496"/>
      <w:bookmarkStart w:id="90" w:name="_Toc509412594"/>
      <w:bookmarkStart w:id="91" w:name="_Toc509414770"/>
      <w:bookmarkStart w:id="92" w:name="_Toc509414826"/>
      <w:r>
        <w:rPr>
          <w:noProof/>
        </w:rPr>
        <w:t>Policy context</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The public sector in all Member States produces vast</w:t>
      </w:r>
      <w:r>
        <w:rPr>
          <w:rFonts w:ascii="Times New Roman" w:hAnsi="Times New Roman" w:cs="Times New Roman"/>
          <w:noProof/>
          <w:sz w:val="24"/>
          <w:szCs w:val="24"/>
        </w:rPr>
        <w:t xml:space="preserve"> amounts of data, e.g. meteorological data, digital maps, statistics and legal information. This information is a valuable resource for the digital economy. It is not only used as valuable raw material for the production of data-based services and applicat</w:t>
      </w:r>
      <w:r>
        <w:rPr>
          <w:rFonts w:ascii="Times New Roman" w:hAnsi="Times New Roman" w:cs="Times New Roman"/>
          <w:noProof/>
          <w:sz w:val="24"/>
          <w:szCs w:val="24"/>
        </w:rPr>
        <w:t xml:space="preserve">ions, but also brings greater efficiency to the delivery of private and public services and better informed decision-making. Therefore, the European Commission has been promoting the re-use of public sector information for several years.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Access</w:t>
      </w:r>
      <w:r>
        <w:rPr>
          <w:rFonts w:ascii="Times New Roman" w:hAnsi="Times New Roman"/>
          <w:noProof/>
          <w:sz w:val="24"/>
        </w:rPr>
        <w:t xml:space="preserve"> to </w:t>
      </w:r>
      <w:r>
        <w:rPr>
          <w:rFonts w:ascii="Times New Roman" w:hAnsi="Times New Roman" w:cs="Times New Roman"/>
          <w:noProof/>
          <w:sz w:val="24"/>
          <w:szCs w:val="24"/>
        </w:rPr>
        <w:t>and re-</w:t>
      </w:r>
      <w:r>
        <w:rPr>
          <w:rFonts w:ascii="Times New Roman" w:hAnsi="Times New Roman" w:cs="Times New Roman"/>
          <w:noProof/>
          <w:sz w:val="24"/>
          <w:szCs w:val="24"/>
        </w:rPr>
        <w:t>use of public sector information together with the EU open data policy play a major role in improving transparency of public services delivery and the use of supporting technology by public sector bodies in general across the EU. There has been a general t</w:t>
      </w:r>
      <w:r>
        <w:rPr>
          <w:rFonts w:ascii="Times New Roman" w:hAnsi="Times New Roman" w:cs="Times New Roman"/>
          <w:noProof/>
          <w:sz w:val="24"/>
          <w:szCs w:val="24"/>
        </w:rPr>
        <w:t>rend across the EU indicating significant improvement on cross-border availability of digital public services and accessibility of public websites from mobile devices.</w:t>
      </w:r>
      <w:r>
        <w:rPr>
          <w:rFonts w:ascii="Times New Roman" w:hAnsi="Times New Roman" w:cs="Times New Roman"/>
          <w:noProof/>
          <w:sz w:val="24"/>
          <w:szCs w:val="24"/>
          <w:vertAlign w:val="superscript"/>
        </w:rPr>
        <w:footnoteReference w:id="8"/>
      </w:r>
      <w:r>
        <w:rPr>
          <w:rFonts w:ascii="Times New Roman" w:hAnsi="Times New Roman" w:cs="Times New Roman"/>
          <w:noProof/>
          <w:sz w:val="24"/>
          <w:szCs w:val="24"/>
        </w:rPr>
        <w:t xml:space="preserve"> </w:t>
      </w:r>
    </w:p>
    <w:p w:rsidR="00DF1A33" w:rsidRDefault="00456F01">
      <w:pPr>
        <w:jc w:val="both"/>
        <w:rPr>
          <w:rFonts w:ascii="Times New Roman" w:hAnsi="Times New Roman"/>
          <w:noProof/>
          <w:sz w:val="24"/>
          <w:lang w:val="en-US"/>
        </w:rPr>
      </w:pPr>
      <w:r>
        <w:rPr>
          <w:rFonts w:ascii="Times New Roman" w:hAnsi="Times New Roman" w:cs="Times New Roman"/>
          <w:noProof/>
          <w:sz w:val="24"/>
          <w:szCs w:val="24"/>
        </w:rPr>
        <w:t>As an important feature, the EU open data policy is implemented through close collabor</w:t>
      </w:r>
      <w:r>
        <w:rPr>
          <w:rFonts w:ascii="Times New Roman" w:hAnsi="Times New Roman" w:cs="Times New Roman"/>
          <w:noProof/>
          <w:sz w:val="24"/>
          <w:szCs w:val="24"/>
        </w:rPr>
        <w:t>ation with Member States, notably in a dedicated expert group</w:t>
      </w:r>
      <w:r>
        <w:rPr>
          <w:rFonts w:ascii="Times New Roman" w:hAnsi="Times New Roman"/>
          <w:noProof/>
          <w:sz w:val="24"/>
          <w:vertAlign w:val="superscript"/>
        </w:rPr>
        <w:footnoteReference w:id="9"/>
      </w:r>
      <w:r>
        <w:rPr>
          <w:rFonts w:ascii="Times New Roman" w:hAnsi="Times New Roman" w:cs="Times New Roman"/>
          <w:noProof/>
          <w:sz w:val="24"/>
          <w:szCs w:val="24"/>
        </w:rPr>
        <w:t>, through the European Data Portal</w:t>
      </w:r>
      <w:r>
        <w:rPr>
          <w:rFonts w:ascii="Times New Roman" w:hAnsi="Times New Roman"/>
          <w:noProof/>
          <w:sz w:val="24"/>
          <w:vertAlign w:val="superscript"/>
        </w:rPr>
        <w:footnoteReference w:id="10"/>
      </w:r>
      <w:r>
        <w:rPr>
          <w:rFonts w:ascii="Times New Roman" w:hAnsi="Times New Roman" w:cs="Times New Roman"/>
          <w:noProof/>
          <w:sz w:val="24"/>
          <w:szCs w:val="24"/>
        </w:rPr>
        <w:t xml:space="preserve"> supporting publication of datasets and their discoverability across Europe, and by research and innovation actions under the H2020 programme</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 xml:space="preserve">The Commission </w:t>
      </w:r>
      <w:r>
        <w:rPr>
          <w:rFonts w:ascii="Times New Roman" w:hAnsi="Times New Roman" w:cs="Times New Roman"/>
          <w:noProof/>
          <w:sz w:val="24"/>
          <w:szCs w:val="24"/>
        </w:rPr>
        <w:t>has also given guidance to Member States on charging, formats and key datasets in Notice 2014/C 240/01.</w:t>
      </w:r>
    </w:p>
    <w:p w:rsidR="00DF1A33" w:rsidRDefault="00456F01">
      <w:pPr>
        <w:jc w:val="both"/>
        <w:rPr>
          <w:rFonts w:ascii="Times New Roman" w:hAnsi="Times New Roman" w:cs="Times New Roman"/>
          <w:noProof/>
          <w:sz w:val="24"/>
          <w:szCs w:val="24"/>
        </w:rPr>
      </w:pPr>
      <w:bookmarkStart w:id="93" w:name="_Toc503452271"/>
      <w:bookmarkStart w:id="94" w:name="_Toc503797251"/>
      <w:bookmarkStart w:id="95" w:name="_Toc503800708"/>
      <w:bookmarkStart w:id="96" w:name="_Toc504142932"/>
      <w:bookmarkStart w:id="97" w:name="_Toc504151638"/>
      <w:bookmarkStart w:id="98" w:name="_Toc504382922"/>
      <w:bookmarkStart w:id="99" w:name="_Toc504391065"/>
      <w:bookmarkStart w:id="100" w:name="_Toc504403154"/>
      <w:bookmarkStart w:id="101" w:name="_Toc504743624"/>
      <w:bookmarkStart w:id="102" w:name="_Toc504751175"/>
      <w:bookmarkStart w:id="103" w:name="_Toc504751349"/>
      <w:bookmarkStart w:id="104" w:name="_Toc505181972"/>
      <w:bookmarkStart w:id="105" w:name="_Toc505248626"/>
      <w:bookmarkStart w:id="106" w:name="_Toc505266502"/>
      <w:bookmarkStart w:id="107" w:name="_Toc505335353"/>
      <w:bookmarkStart w:id="108" w:name="_Toc505345824"/>
      <w:bookmarkStart w:id="109" w:name="_Toc505346412"/>
      <w:bookmarkStart w:id="110" w:name="_Toc505696650"/>
      <w:bookmarkStart w:id="111" w:name="_Toc505698136"/>
      <w:bookmarkStart w:id="112" w:name="_Toc505701649"/>
      <w:bookmarkStart w:id="113" w:name="_Toc505705136"/>
      <w:bookmarkStart w:id="114" w:name="_Toc505773127"/>
      <w:bookmarkStart w:id="115" w:name="_Toc505856841"/>
      <w:bookmarkStart w:id="116" w:name="_Toc505862285"/>
      <w:r>
        <w:rPr>
          <w:rFonts w:ascii="Times New Roman" w:hAnsi="Times New Roman" w:cs="Times New Roman"/>
          <w:noProof/>
          <w:sz w:val="24"/>
          <w:szCs w:val="24"/>
        </w:rPr>
        <w:t>Countries outside the EU have also adopted policies and legislation to unleash the power of government data, with the United States being the pioneer an</w:t>
      </w:r>
      <w:r>
        <w:rPr>
          <w:rFonts w:ascii="Times New Roman" w:hAnsi="Times New Roman" w:cs="Times New Roman"/>
          <w:noProof/>
          <w:sz w:val="24"/>
          <w:szCs w:val="24"/>
        </w:rPr>
        <w:t>d others, such as Japan, Canada or Australia, following suit (see Annex 7 for a comparative overview).</w:t>
      </w:r>
    </w:p>
    <w:p w:rsidR="00DF1A33" w:rsidRDefault="00456F01">
      <w:pPr>
        <w:jc w:val="both"/>
        <w:rPr>
          <w:rFonts w:ascii="Times New Roman" w:hAnsi="Times New Roman"/>
          <w:noProof/>
          <w:sz w:val="24"/>
        </w:rPr>
      </w:pPr>
      <w:r>
        <w:rPr>
          <w:rFonts w:ascii="Times New Roman" w:hAnsi="Times New Roman" w:cs="Times New Roman"/>
          <w:noProof/>
          <w:sz w:val="24"/>
          <w:szCs w:val="24"/>
        </w:rPr>
        <w:t xml:space="preserve">The importance of openness with respect to publicly held and publicly funded data, in particular research data, is recognised globally. </w:t>
      </w:r>
      <w:r>
        <w:rPr>
          <w:rFonts w:ascii="Times New Roman" w:hAnsi="Times New Roman"/>
          <w:noProof/>
          <w:sz w:val="24"/>
        </w:rPr>
        <w:t xml:space="preserve">In </w:t>
      </w:r>
      <w:r>
        <w:rPr>
          <w:rFonts w:ascii="Times New Roman" w:hAnsi="Times New Roman" w:cs="Times New Roman"/>
          <w:noProof/>
          <w:sz w:val="24"/>
          <w:szCs w:val="24"/>
        </w:rPr>
        <w:t>particular, OE</w:t>
      </w:r>
      <w:r>
        <w:rPr>
          <w:rFonts w:ascii="Times New Roman" w:hAnsi="Times New Roman" w:cs="Times New Roman"/>
          <w:noProof/>
          <w:sz w:val="24"/>
          <w:szCs w:val="24"/>
        </w:rPr>
        <w:t xml:space="preserve">CD Council </w:t>
      </w:r>
      <w:r>
        <w:rPr>
          <w:rFonts w:ascii="Times New Roman" w:hAnsi="Times New Roman" w:cs="Times New Roman"/>
          <w:noProof/>
          <w:sz w:val="24"/>
          <w:szCs w:val="24"/>
        </w:rPr>
        <w:lastRenderedPageBreak/>
        <w:t>Recommendations exist on access to and use of public sector information</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 xml:space="preserve"> and on access to research data from public funding</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Additionally</w:t>
      </w:r>
      <w:r>
        <w:rPr>
          <w:rFonts w:ascii="Times New Roman" w:hAnsi="Times New Roman"/>
          <w:noProof/>
          <w:sz w:val="24"/>
        </w:rPr>
        <w:t>, G8 leaders signed an Open Data Charter</w:t>
      </w:r>
      <w:r>
        <w:rPr>
          <w:rFonts w:ascii="Times New Roman" w:hAnsi="Times New Roman"/>
          <w:noProof/>
          <w:sz w:val="24"/>
          <w:vertAlign w:val="superscript"/>
        </w:rPr>
        <w:footnoteReference w:id="13"/>
      </w:r>
      <w:r>
        <w:rPr>
          <w:rFonts w:ascii="Times New Roman" w:hAnsi="Times New Roman"/>
          <w:noProof/>
          <w:sz w:val="24"/>
        </w:rPr>
        <w:t xml:space="preserve"> which set out five strategic principles that all G8 members are t</w:t>
      </w:r>
      <w:r>
        <w:rPr>
          <w:rFonts w:ascii="Times New Roman" w:hAnsi="Times New Roman"/>
          <w:noProof/>
          <w:sz w:val="24"/>
        </w:rPr>
        <w:t>o act on. These include an expectation that all government data will be published openly by default, alongside principles to increase the quality, quantity and re-use of the data that is released. G8 members have also identified fourteen high-value areas –</w:t>
      </w:r>
      <w:r>
        <w:rPr>
          <w:rFonts w:ascii="Times New Roman" w:hAnsi="Times New Roman"/>
          <w:noProof/>
          <w:sz w:val="24"/>
        </w:rPr>
        <w:t xml:space="preserve"> from education to transport, and from health to crime and justice – from which they will release data.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In its commitments to implement the G8 Open Data Charter</w:t>
      </w:r>
      <w:r>
        <w:rPr>
          <w:rFonts w:ascii="Times New Roman" w:hAnsi="Times New Roman" w:cs="Times New Roman"/>
          <w:noProof/>
          <w:sz w:val="24"/>
          <w:szCs w:val="24"/>
          <w:vertAlign w:val="superscript"/>
        </w:rPr>
        <w:footnoteReference w:id="14"/>
      </w:r>
      <w:r>
        <w:rPr>
          <w:rFonts w:ascii="Times New Roman" w:hAnsi="Times New Roman" w:cs="Times New Roman"/>
          <w:noProof/>
          <w:sz w:val="24"/>
          <w:szCs w:val="24"/>
        </w:rPr>
        <w:t>, the EU also committed to the publication by the EU Member States of core and high-value data</w:t>
      </w:r>
      <w:r>
        <w:rPr>
          <w:rFonts w:ascii="Times New Roman" w:hAnsi="Times New Roman" w:cs="Times New Roman"/>
          <w:noProof/>
          <w:sz w:val="24"/>
          <w:szCs w:val="24"/>
        </w:rPr>
        <w:t>sets in line with the G8 principles. Creating a list of such datasets, which would be open and free by default, has the potential to facilitate the emergence of a new range of pan-European data products and services developed on the basis of mutually compl</w:t>
      </w:r>
      <w:r>
        <w:rPr>
          <w:rFonts w:ascii="Times New Roman" w:hAnsi="Times New Roman" w:cs="Times New Roman"/>
          <w:noProof/>
          <w:sz w:val="24"/>
          <w:szCs w:val="24"/>
        </w:rPr>
        <w:t>ementary cross-border datasets. However, the OECD Council Recommendations and the Open Data Charter are not compulsory for Member States to implement, therefore a stronger instrument proves to be necessary at EU level.</w:t>
      </w:r>
    </w:p>
    <w:p w:rsidR="00DF1A33" w:rsidRDefault="00456F01">
      <w:pPr>
        <w:jc w:val="both"/>
        <w:rPr>
          <w:rFonts w:ascii="Times New Roman" w:hAnsi="Times New Roman"/>
          <w:noProof/>
          <w:sz w:val="24"/>
        </w:rPr>
      </w:pPr>
      <w:r>
        <w:rPr>
          <w:rFonts w:ascii="Times New Roman" w:hAnsi="Times New Roman" w:cs="Times New Roman"/>
          <w:noProof/>
          <w:sz w:val="24"/>
          <w:szCs w:val="24"/>
        </w:rPr>
        <w:t>Apart from political commitment, ther</w:t>
      </w:r>
      <w:r>
        <w:rPr>
          <w:rFonts w:ascii="Times New Roman" w:hAnsi="Times New Roman" w:cs="Times New Roman"/>
          <w:noProof/>
          <w:sz w:val="24"/>
          <w:szCs w:val="24"/>
        </w:rPr>
        <w:t>e is also broad stakeholder support for the inclusion of the datasets defined in the category of 'core data sets', as defined in the G8 Open Data Charter, so as to ensure their immediate availability in Europe</w:t>
      </w:r>
      <w:r>
        <w:rPr>
          <w:rFonts w:ascii="Times New Roman" w:hAnsi="Times New Roman"/>
          <w:noProof/>
          <w:sz w:val="24"/>
          <w:vertAlign w:val="superscript"/>
        </w:rPr>
        <w:footnoteReference w:id="15"/>
      </w:r>
      <w:r>
        <w:rPr>
          <w:rFonts w:ascii="Times New Roman" w:hAnsi="Times New Roman" w:cs="Times New Roman"/>
          <w:noProof/>
          <w:sz w:val="24"/>
          <w:szCs w:val="24"/>
        </w:rPr>
        <w:t>, with some categories standing out as particu</w:t>
      </w:r>
      <w:r>
        <w:rPr>
          <w:rFonts w:ascii="Times New Roman" w:hAnsi="Times New Roman" w:cs="Times New Roman"/>
          <w:noProof/>
          <w:sz w:val="24"/>
          <w:szCs w:val="24"/>
        </w:rPr>
        <w:t xml:space="preserve">larly relevant. These include above all geospatial data, closely followed by information in the field of transport, statistics, earth observation, environment and public finances. </w:t>
      </w:r>
    </w:p>
    <w:p w:rsidR="00DF1A33" w:rsidRDefault="00456F01">
      <w:pPr>
        <w:pStyle w:val="Heading2"/>
        <w:rPr>
          <w:noProof/>
        </w:rPr>
      </w:pPr>
      <w:bookmarkStart w:id="117" w:name="_Toc505864850"/>
      <w:bookmarkStart w:id="118" w:name="_Toc505868705"/>
      <w:bookmarkStart w:id="119" w:name="_Toc505869172"/>
      <w:bookmarkStart w:id="120" w:name="_Toc506363016"/>
      <w:bookmarkStart w:id="121" w:name="_Toc506369513"/>
      <w:bookmarkStart w:id="122" w:name="_Toc506376104"/>
      <w:bookmarkStart w:id="123" w:name="_Toc506378417"/>
      <w:bookmarkStart w:id="124" w:name="_Toc506378497"/>
      <w:bookmarkStart w:id="125" w:name="_Toc509412595"/>
      <w:bookmarkStart w:id="126" w:name="_Toc509414771"/>
      <w:bookmarkStart w:id="127" w:name="_Toc509414827"/>
      <w:r>
        <w:rPr>
          <w:noProof/>
        </w:rPr>
        <w:t>Legal context</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The PSI Directive is a legal instrument allowing for the impl</w:t>
      </w:r>
      <w:r>
        <w:rPr>
          <w:rFonts w:ascii="Times New Roman" w:hAnsi="Times New Roman" w:cs="Times New Roman"/>
          <w:noProof/>
          <w:sz w:val="24"/>
          <w:szCs w:val="24"/>
        </w:rPr>
        <w:t xml:space="preserve">ementation of a horizontal policy, with a wide field of application. A detailed discussion on the interplay between the Directive and other EU legal acts and policies (in particular the challenges and opportunities related to legislation on the protection </w:t>
      </w:r>
      <w:r>
        <w:rPr>
          <w:rFonts w:ascii="Times New Roman" w:hAnsi="Times New Roman" w:cs="Times New Roman"/>
          <w:noProof/>
          <w:sz w:val="24"/>
          <w:szCs w:val="24"/>
        </w:rPr>
        <w:t>of personal data, the Database Directive and the INSPIRE Directive) is presented in the Evaluation Report annexed to this Impact Assessment</w:t>
      </w:r>
      <w:r>
        <w:rPr>
          <w:rStyle w:val="FootnoteReference"/>
          <w:rFonts w:ascii="Times New Roman" w:hAnsi="Times New Roman" w:cs="Times New Roman"/>
          <w:noProof/>
          <w:sz w:val="24"/>
          <w:szCs w:val="24"/>
        </w:rPr>
        <w:footnoteReference w:id="16"/>
      </w:r>
      <w:r>
        <w:rPr>
          <w:rFonts w:ascii="Times New Roman" w:hAnsi="Times New Roman" w:cs="Times New Roman"/>
          <w:noProof/>
          <w:sz w:val="24"/>
          <w:szCs w:val="24"/>
        </w:rPr>
        <w:t>. The evaluation indicates that the PSI Directive is overall coherent with other relevant EU legislation. Neverthele</w:t>
      </w:r>
      <w:r>
        <w:rPr>
          <w:rFonts w:ascii="Times New Roman" w:hAnsi="Times New Roman" w:cs="Times New Roman"/>
          <w:noProof/>
          <w:sz w:val="24"/>
          <w:szCs w:val="24"/>
        </w:rPr>
        <w:t xml:space="preserve">ss, a technical clarification on the </w:t>
      </w:r>
      <w:r>
        <w:rPr>
          <w:rFonts w:ascii="Times New Roman" w:hAnsi="Times New Roman" w:cs="Times New Roman"/>
          <w:noProof/>
          <w:sz w:val="24"/>
          <w:szCs w:val="24"/>
        </w:rPr>
        <w:lastRenderedPageBreak/>
        <w:t>relation with in particular the Database Directive and the INSPIRE Directive may be useful.</w:t>
      </w:r>
    </w:p>
    <w:p w:rsidR="00DF1A33" w:rsidRDefault="00456F01">
      <w:pPr>
        <w:pStyle w:val="Heading3"/>
        <w:keepNext w:val="0"/>
        <w:keepLines/>
        <w:spacing w:before="200" w:after="0" w:line="276" w:lineRule="auto"/>
        <w:ind w:left="720"/>
        <w:jc w:val="left"/>
        <w:rPr>
          <w:noProof/>
          <w:szCs w:val="24"/>
        </w:rPr>
      </w:pPr>
      <w:bookmarkStart w:id="128" w:name="_Toc509412596"/>
      <w:bookmarkStart w:id="129" w:name="_Toc509414772"/>
      <w:bookmarkStart w:id="130" w:name="_Toc509414828"/>
      <w:bookmarkStart w:id="131" w:name="_Toc503452272"/>
      <w:bookmarkStart w:id="132" w:name="_Toc503797252"/>
      <w:bookmarkStart w:id="133" w:name="_Toc503800709"/>
      <w:bookmarkStart w:id="134" w:name="_Toc504142933"/>
      <w:bookmarkStart w:id="135" w:name="_Toc504151639"/>
      <w:bookmarkStart w:id="136" w:name="_Toc504382923"/>
      <w:bookmarkStart w:id="137" w:name="_Toc504391066"/>
      <w:bookmarkStart w:id="138" w:name="_Toc504403155"/>
      <w:bookmarkStart w:id="139" w:name="_Toc504743625"/>
      <w:bookmarkStart w:id="140" w:name="_Toc504751176"/>
      <w:bookmarkStart w:id="141" w:name="_Toc504751350"/>
      <w:bookmarkStart w:id="142" w:name="_Toc505181973"/>
      <w:bookmarkStart w:id="143" w:name="_Toc505248627"/>
      <w:bookmarkStart w:id="144" w:name="_Toc505266503"/>
      <w:bookmarkStart w:id="145" w:name="_Toc505335354"/>
      <w:bookmarkStart w:id="146" w:name="_Toc505345825"/>
      <w:bookmarkStart w:id="147" w:name="_Toc505346413"/>
      <w:bookmarkStart w:id="148" w:name="_Toc505696651"/>
      <w:bookmarkStart w:id="149" w:name="_Toc505698137"/>
      <w:bookmarkStart w:id="150" w:name="_Toc505701650"/>
      <w:bookmarkStart w:id="151" w:name="_Toc505705137"/>
      <w:bookmarkStart w:id="152" w:name="_Toc505773128"/>
      <w:bookmarkStart w:id="153" w:name="_Toc505856842"/>
      <w:bookmarkStart w:id="154" w:name="_Toc505862286"/>
      <w:bookmarkStart w:id="155" w:name="_Toc505864851"/>
      <w:bookmarkStart w:id="156" w:name="_Toc505868706"/>
      <w:bookmarkStart w:id="157" w:name="_Toc505869173"/>
      <w:bookmarkStart w:id="158" w:name="_Toc506363017"/>
      <w:bookmarkStart w:id="159" w:name="_Toc506369514"/>
      <w:bookmarkStart w:id="160" w:name="_Toc506376105"/>
      <w:bookmarkStart w:id="161" w:name="_Toc506378418"/>
      <w:bookmarkStart w:id="162" w:name="_Toc506378498"/>
      <w:r>
        <w:rPr>
          <w:noProof/>
          <w:szCs w:val="24"/>
        </w:rPr>
        <w:t>Data protection legislation</w:t>
      </w:r>
      <w:bookmarkEnd w:id="128"/>
      <w:bookmarkEnd w:id="129"/>
      <w:bookmarkEnd w:id="130"/>
    </w:p>
    <w:p w:rsidR="00DF1A33" w:rsidRDefault="00456F01">
      <w:pPr>
        <w:jc w:val="both"/>
        <w:rPr>
          <w:rFonts w:ascii="Times New Roman" w:hAnsi="Times New Roman"/>
          <w:noProof/>
          <w:sz w:val="24"/>
          <w:lang w:val="en-US"/>
        </w:rPr>
      </w:pPr>
      <w:r>
        <w:rPr>
          <w:rFonts w:ascii="Times New Roman" w:hAnsi="Times New Roman" w:cs="Times New Roman"/>
          <w:noProof/>
          <w:sz w:val="24"/>
          <w:szCs w:val="24"/>
        </w:rPr>
        <w:t>The rules on re-use of public sector information must be applied in full compliance with data prote</w:t>
      </w:r>
      <w:r>
        <w:rPr>
          <w:rFonts w:ascii="Times New Roman" w:hAnsi="Times New Roman" w:cs="Times New Roman"/>
          <w:noProof/>
          <w:sz w:val="24"/>
          <w:szCs w:val="24"/>
        </w:rPr>
        <w:t xml:space="preserve">ction legislation. This is made clear in the text of the PSI Directive. The relationship with the PSI Directive is also made explicit in recital 154 of the GDPR which states that the PSI Directive </w:t>
      </w:r>
      <w:r>
        <w:rPr>
          <w:rFonts w:ascii="Times New Roman" w:hAnsi="Times New Roman"/>
          <w:i/>
          <w:noProof/>
          <w:sz w:val="24"/>
          <w:lang w:val="en-US"/>
        </w:rPr>
        <w:t>'leaves intact and in no way affect</w:t>
      </w:r>
      <w:r>
        <w:rPr>
          <w:rFonts w:ascii="Times New Roman" w:hAnsi="Times New Roman" w:cs="Times New Roman"/>
          <w:i/>
          <w:noProof/>
          <w:sz w:val="24"/>
          <w:szCs w:val="24"/>
          <w:lang w:val="en-US"/>
        </w:rPr>
        <w:t>s</w:t>
      </w:r>
      <w:r>
        <w:rPr>
          <w:rFonts w:ascii="Times New Roman" w:hAnsi="Times New Roman"/>
          <w:i/>
          <w:noProof/>
          <w:sz w:val="24"/>
          <w:lang w:val="en-US"/>
        </w:rPr>
        <w:t xml:space="preserve"> the level of protection of natural persons with regard to the processing of personal data under the provisions of Union and national law, and in particular does not alter the obligations and rights set out in [the GDPR]</w:t>
      </w:r>
      <w:r>
        <w:rPr>
          <w:rFonts w:ascii="Times New Roman" w:hAnsi="Times New Roman" w:cs="Times New Roman"/>
          <w:i/>
          <w:noProof/>
          <w:sz w:val="24"/>
          <w:szCs w:val="24"/>
          <w:lang w:val="en-US"/>
        </w:rPr>
        <w:t>'</w:t>
      </w:r>
      <w:r>
        <w:rPr>
          <w:rFonts w:ascii="Times New Roman" w:hAnsi="Times New Roman" w:cs="Times New Roman"/>
          <w:noProof/>
          <w:sz w:val="24"/>
          <w:szCs w:val="24"/>
          <w:lang w:val="en-US"/>
        </w:rPr>
        <w:t>.</w:t>
      </w:r>
    </w:p>
    <w:p w:rsidR="00DF1A33" w:rsidRDefault="00456F01">
      <w:pPr>
        <w:jc w:val="both"/>
        <w:rPr>
          <w:rFonts w:ascii="Times New Roman" w:hAnsi="Times New Roman"/>
          <w:noProof/>
          <w:sz w:val="24"/>
          <w:lang w:val="en-US"/>
        </w:rPr>
      </w:pPr>
      <w:r>
        <w:rPr>
          <w:rFonts w:ascii="Times New Roman" w:hAnsi="Times New Roman"/>
          <w:noProof/>
          <w:sz w:val="24"/>
          <w:lang w:val="en-US"/>
        </w:rPr>
        <w:t>The Article 29 Working Party on O</w:t>
      </w:r>
      <w:r>
        <w:rPr>
          <w:rFonts w:ascii="Times New Roman" w:hAnsi="Times New Roman"/>
          <w:noProof/>
          <w:sz w:val="24"/>
          <w:lang w:val="en-US"/>
        </w:rPr>
        <w:t>pen Data and Public Sector Information Re-use</w:t>
      </w:r>
      <w:r>
        <w:rPr>
          <w:rFonts w:ascii="Times New Roman" w:hAnsi="Times New Roman"/>
          <w:noProof/>
          <w:sz w:val="24"/>
          <w:vertAlign w:val="superscript"/>
          <w:lang w:val="en-US"/>
        </w:rPr>
        <w:footnoteReference w:id="17"/>
      </w:r>
      <w:r>
        <w:rPr>
          <w:rFonts w:ascii="Times New Roman" w:hAnsi="Times New Roman"/>
          <w:noProof/>
          <w:sz w:val="24"/>
          <w:lang w:val="en-US"/>
        </w:rPr>
        <w:t xml:space="preserve"> stated in its opinion: </w:t>
      </w:r>
      <w:r>
        <w:rPr>
          <w:rFonts w:ascii="Times New Roman" w:hAnsi="Times New Roman"/>
          <w:i/>
          <w:noProof/>
          <w:sz w:val="24"/>
          <w:lang w:val="en-US"/>
        </w:rPr>
        <w:t xml:space="preserve">'wherever personal data are involved, data protection law must help guide the selection process of what personal data can or cannot be made available for reuse and what measures to take </w:t>
      </w:r>
      <w:r>
        <w:rPr>
          <w:rFonts w:ascii="Times New Roman" w:hAnsi="Times New Roman"/>
          <w:i/>
          <w:noProof/>
          <w:sz w:val="24"/>
          <w:lang w:val="en-US"/>
        </w:rPr>
        <w:t>to safeguard personal data'. </w:t>
      </w:r>
      <w:r>
        <w:rPr>
          <w:rFonts w:ascii="Times New Roman" w:hAnsi="Times New Roman"/>
          <w:noProof/>
          <w:sz w:val="24"/>
          <w:lang w:val="en-US"/>
        </w:rPr>
        <w:t xml:space="preserve"> Any processing of personal data needs to be based on one of the legal grounds foreseen in the GDPR. </w:t>
      </w:r>
    </w:p>
    <w:p w:rsidR="00DF1A33" w:rsidRDefault="00456F01">
      <w:pPr>
        <w:jc w:val="both"/>
        <w:rPr>
          <w:rFonts w:ascii="Times New Roman" w:hAnsi="Times New Roman"/>
          <w:noProof/>
          <w:sz w:val="24"/>
          <w:lang w:val="en-US"/>
        </w:rPr>
      </w:pPr>
      <w:r>
        <w:rPr>
          <w:rFonts w:ascii="Times New Roman" w:hAnsi="Times New Roman" w:cs="Times New Roman"/>
          <w:noProof/>
          <w:sz w:val="24"/>
          <w:szCs w:val="24"/>
          <w:lang w:val="en-US"/>
        </w:rPr>
        <w:t>As demonstrated by the results of the online public consultation, the majority of stakeholders agree</w:t>
      </w:r>
      <w:r>
        <w:rPr>
          <w:rFonts w:ascii="Times New Roman" w:hAnsi="Times New Roman"/>
          <w:noProof/>
          <w:sz w:val="24"/>
          <w:lang w:val="en-US"/>
        </w:rPr>
        <w:t xml:space="preserve"> </w:t>
      </w:r>
      <w:r>
        <w:rPr>
          <w:rFonts w:ascii="Times New Roman" w:hAnsi="Times New Roman" w:cs="Times New Roman"/>
          <w:noProof/>
          <w:sz w:val="24"/>
          <w:szCs w:val="24"/>
          <w:lang w:val="en-US"/>
        </w:rPr>
        <w:t>that the PSI Directive i</w:t>
      </w:r>
      <w:r>
        <w:rPr>
          <w:rFonts w:ascii="Times New Roman" w:hAnsi="Times New Roman" w:cs="Times New Roman"/>
          <w:noProof/>
          <w:sz w:val="24"/>
          <w:szCs w:val="24"/>
          <w:lang w:val="en-US"/>
        </w:rPr>
        <w:t>s well aligned with current and new rules on the protection of personal data.</w:t>
      </w:r>
      <w:r>
        <w:rPr>
          <w:rFonts w:ascii="Times New Roman" w:hAnsi="Times New Roman"/>
          <w:noProof/>
          <w:sz w:val="24"/>
          <w:lang w:val="en-US"/>
        </w:rPr>
        <w:t xml:space="preserve"> This suggests that the Directive contains sufficient safeguards at the level of legislation. </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However, some stakeholders voiced uncertainty over the functioning of the PSI Direct</w:t>
      </w:r>
      <w:r>
        <w:rPr>
          <w:rFonts w:ascii="Times New Roman" w:hAnsi="Times New Roman" w:cs="Times New Roman"/>
          <w:noProof/>
          <w:sz w:val="24"/>
          <w:szCs w:val="24"/>
          <w:lang w:val="en-US"/>
        </w:rPr>
        <w:t>ive in the changing regulatory environment. From the stakeholder dialogue process, it emerged that while the principle of precedence of data protection rules over PSI re-use obligations is undisputed and well understood,  public sector bodies may encounter</w:t>
      </w:r>
      <w:r>
        <w:rPr>
          <w:rFonts w:ascii="Times New Roman" w:hAnsi="Times New Roman" w:cs="Times New Roman"/>
          <w:noProof/>
          <w:sz w:val="24"/>
          <w:szCs w:val="24"/>
          <w:lang w:val="en-US"/>
        </w:rPr>
        <w:t xml:space="preserve"> practical implementation questions on how to facilitate re-use while ensuring compliance with the GDPR in situations where certain public registers also contain personal data (e.g. car registration databases or hospital records). This most often concerns </w:t>
      </w:r>
      <w:r>
        <w:rPr>
          <w:rFonts w:ascii="Times New Roman" w:hAnsi="Times New Roman" w:cs="Times New Roman"/>
          <w:noProof/>
          <w:sz w:val="24"/>
          <w:szCs w:val="24"/>
          <w:lang w:val="en-US"/>
        </w:rPr>
        <w:t>the suitability of techniques that can be used for anonymization or ways by which purpose limitation can be ensured. In some Member States the legislation transposing the PSI-Directive addresses such issues (e.g. in Belgium the legislation implementing the</w:t>
      </w:r>
      <w:r>
        <w:rPr>
          <w:rFonts w:ascii="Times New Roman" w:hAnsi="Times New Roman" w:cs="Times New Roman"/>
          <w:noProof/>
          <w:sz w:val="24"/>
          <w:szCs w:val="24"/>
          <w:lang w:val="en-US"/>
        </w:rPr>
        <w:t xml:space="preserve"> PSI Directive foresees that public sector bodies can seek advice from the data protection authority on the specific techniques to be used</w:t>
      </w:r>
      <w:r>
        <w:rPr>
          <w:rStyle w:val="FootnoteReference"/>
          <w:rFonts w:ascii="Times New Roman" w:hAnsi="Times New Roman" w:cs="Times New Roman"/>
          <w:noProof/>
          <w:sz w:val="24"/>
          <w:szCs w:val="24"/>
          <w:lang w:val="en-US"/>
        </w:rPr>
        <w:footnoteReference w:id="18"/>
      </w:r>
      <w:r>
        <w:rPr>
          <w:rFonts w:ascii="Times New Roman" w:hAnsi="Times New Roman" w:cs="Times New Roman"/>
          <w:noProof/>
          <w:sz w:val="24"/>
          <w:szCs w:val="24"/>
          <w:lang w:val="en-US"/>
        </w:rPr>
        <w:t>), while in others this is tackled at the level of the recommended licensing agreements between the data holder and t</w:t>
      </w:r>
      <w:r>
        <w:rPr>
          <w:rFonts w:ascii="Times New Roman" w:hAnsi="Times New Roman" w:cs="Times New Roman"/>
          <w:noProof/>
          <w:sz w:val="24"/>
          <w:szCs w:val="24"/>
          <w:lang w:val="en-US"/>
        </w:rPr>
        <w:t>he re-user (e.g. Spain</w:t>
      </w:r>
      <w:r>
        <w:rPr>
          <w:rStyle w:val="FootnoteReference"/>
          <w:rFonts w:ascii="Times New Roman" w:hAnsi="Times New Roman" w:cs="Times New Roman"/>
          <w:noProof/>
          <w:sz w:val="24"/>
          <w:szCs w:val="24"/>
          <w:lang w:val="en-US"/>
        </w:rPr>
        <w:footnoteReference w:id="19"/>
      </w:r>
      <w:r>
        <w:rPr>
          <w:rFonts w:ascii="Times New Roman" w:hAnsi="Times New Roman" w:cs="Times New Roman"/>
          <w:noProof/>
          <w:sz w:val="24"/>
          <w:szCs w:val="24"/>
          <w:lang w:val="en-US"/>
        </w:rPr>
        <w:t xml:space="preserve">). </w:t>
      </w:r>
    </w:p>
    <w:p w:rsidR="00DF1A33" w:rsidRDefault="00456F01">
      <w:pPr>
        <w:jc w:val="both"/>
        <w:rPr>
          <w:rFonts w:ascii="Times New Roman" w:hAnsi="Times New Roman"/>
          <w:noProof/>
          <w:sz w:val="24"/>
          <w:lang w:val="en-US"/>
        </w:rPr>
      </w:pPr>
      <w:r>
        <w:rPr>
          <w:rFonts w:ascii="Times New Roman" w:hAnsi="Times New Roman" w:cs="Times New Roman"/>
          <w:noProof/>
          <w:sz w:val="24"/>
          <w:szCs w:val="24"/>
          <w:lang w:val="en-US"/>
        </w:rPr>
        <w:t>In order to help public sector bodies with applying anonymization techniques, this review acknowledges that anonymization has a cost and that it should be possible for public sector bodies to recover such costs as part of the marginal costs or full cost re</w:t>
      </w:r>
      <w:r>
        <w:rPr>
          <w:rFonts w:ascii="Times New Roman" w:hAnsi="Times New Roman" w:cs="Times New Roman"/>
          <w:noProof/>
          <w:sz w:val="24"/>
          <w:szCs w:val="24"/>
          <w:lang w:val="en-US"/>
        </w:rPr>
        <w:t xml:space="preserve">covery </w:t>
      </w:r>
      <w:r>
        <w:rPr>
          <w:rFonts w:ascii="Times New Roman" w:hAnsi="Times New Roman" w:cs="Times New Roman"/>
          <w:noProof/>
          <w:sz w:val="24"/>
          <w:szCs w:val="24"/>
          <w:lang w:val="en-US"/>
        </w:rPr>
        <w:lastRenderedPageBreak/>
        <w:t>principles. In addition, the support towards development of privacy-preserving technologies is an important part of the Horizon 2020 innovation actions in the field of the data economy – a wider policy framework to which the review of the PSI Direct</w:t>
      </w:r>
      <w:r>
        <w:rPr>
          <w:rFonts w:ascii="Times New Roman" w:hAnsi="Times New Roman" w:cs="Times New Roman"/>
          <w:noProof/>
          <w:sz w:val="24"/>
          <w:szCs w:val="24"/>
          <w:lang w:val="en-US"/>
        </w:rPr>
        <w:t xml:space="preserve">ive belongs.  </w:t>
      </w:r>
    </w:p>
    <w:p w:rsidR="00DF1A33" w:rsidRDefault="00DF1A33">
      <w:pPr>
        <w:jc w:val="both"/>
        <w:rPr>
          <w:rFonts w:ascii="Times New Roman" w:hAnsi="Times New Roman"/>
          <w:noProof/>
          <w:sz w:val="24"/>
          <w:lang w:val="en-US"/>
        </w:rPr>
      </w:pPr>
    </w:p>
    <w:p w:rsidR="00DF1A33" w:rsidRDefault="00456F01">
      <w:pPr>
        <w:pStyle w:val="Heading3"/>
        <w:keepNext w:val="0"/>
        <w:keepLines/>
        <w:spacing w:before="200" w:after="0" w:line="276" w:lineRule="auto"/>
        <w:ind w:left="720"/>
        <w:jc w:val="left"/>
        <w:rPr>
          <w:noProof/>
          <w:szCs w:val="24"/>
          <w:lang w:val="en-US"/>
        </w:rPr>
      </w:pPr>
      <w:bookmarkStart w:id="163" w:name="_Toc509412597"/>
      <w:bookmarkStart w:id="164" w:name="_Toc509414773"/>
      <w:bookmarkStart w:id="165" w:name="_Toc509414829"/>
      <w:r>
        <w:rPr>
          <w:noProof/>
          <w:szCs w:val="24"/>
          <w:lang w:val="en-US"/>
        </w:rPr>
        <w:t>Other relevant legal instruments</w:t>
      </w:r>
      <w:bookmarkEnd w:id="163"/>
      <w:bookmarkEnd w:id="164"/>
      <w:bookmarkEnd w:id="165"/>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terms of the interplay with intellectual property rights, the PSI Directive excludes from the scope content for which parties other than the public sector bodies ('third parties') hold intellectual proper</w:t>
      </w:r>
      <w:r>
        <w:rPr>
          <w:rFonts w:ascii="Times New Roman" w:hAnsi="Times New Roman" w:cs="Times New Roman"/>
          <w:noProof/>
          <w:sz w:val="24"/>
          <w:szCs w:val="24"/>
          <w:lang w:val="en-US"/>
        </w:rPr>
        <w:t xml:space="preserve">ty rights. Public sector bodies cannot give away what they do not own. </w:t>
      </w:r>
    </w:p>
    <w:p w:rsidR="00DF1A33" w:rsidRDefault="00456F01">
      <w:pPr>
        <w:jc w:val="both"/>
        <w:rPr>
          <w:rFonts w:ascii="Times New Roman" w:hAnsi="Times New Roman"/>
          <w:noProof/>
          <w:sz w:val="24"/>
          <w:lang w:val="en-US"/>
        </w:rPr>
      </w:pPr>
      <w:r>
        <w:rPr>
          <w:rFonts w:ascii="Times New Roman" w:hAnsi="Times New Roman" w:cs="Times New Roman"/>
          <w:noProof/>
          <w:sz w:val="24"/>
          <w:szCs w:val="24"/>
          <w:lang w:val="en-US"/>
        </w:rPr>
        <w:t>Some specific issues have been signalled in the evaluation process about the interaction between the PSI Directive and the Database Directive</w:t>
      </w:r>
      <w:r>
        <w:rPr>
          <w:rFonts w:ascii="Times New Roman" w:hAnsi="Times New Roman" w:cs="Times New Roman"/>
          <w:noProof/>
          <w:sz w:val="24"/>
          <w:szCs w:val="24"/>
          <w:vertAlign w:val="superscript"/>
          <w:lang w:val="en-US"/>
        </w:rPr>
        <w:footnoteReference w:id="20"/>
      </w:r>
      <w:r>
        <w:rPr>
          <w:rFonts w:ascii="Times New Roman" w:hAnsi="Times New Roman" w:cs="Times New Roman"/>
          <w:noProof/>
          <w:sz w:val="24"/>
          <w:szCs w:val="24"/>
          <w:lang w:val="en-US"/>
        </w:rPr>
        <w:t>. W</w:t>
      </w:r>
      <w:r>
        <w:rPr>
          <w:rFonts w:ascii="Times New Roman" w:hAnsi="Times New Roman"/>
          <w:noProof/>
          <w:sz w:val="24"/>
          <w:lang w:val="en-US"/>
        </w:rPr>
        <w:t xml:space="preserve">hile public sector bodies have a right </w:t>
      </w:r>
      <w:r>
        <w:rPr>
          <w:rFonts w:ascii="Times New Roman" w:hAnsi="Times New Roman"/>
          <w:noProof/>
          <w:sz w:val="24"/>
          <w:lang w:val="en-US"/>
        </w:rPr>
        <w:t xml:space="preserve">under Article 7 of the Database Directive to prevent extraction and/or reutilization of substantial content of databases on which </w:t>
      </w:r>
      <w:r>
        <w:rPr>
          <w:rFonts w:ascii="Times New Roman" w:hAnsi="Times New Roman"/>
          <w:i/>
          <w:noProof/>
          <w:sz w:val="24"/>
          <w:lang w:val="en-US"/>
        </w:rPr>
        <w:t>'there has been qualitatively and/or quantitatively a substantial investment in either the obtaining, verification or presenta</w:t>
      </w:r>
      <w:r>
        <w:rPr>
          <w:rFonts w:ascii="Times New Roman" w:hAnsi="Times New Roman"/>
          <w:i/>
          <w:noProof/>
          <w:sz w:val="24"/>
          <w:lang w:val="en-US"/>
        </w:rPr>
        <w:t>tion of the contents'</w:t>
      </w:r>
      <w:r>
        <w:rPr>
          <w:rFonts w:ascii="Times New Roman" w:hAnsi="Times New Roman"/>
          <w:noProof/>
          <w:sz w:val="24"/>
          <w:lang w:val="en-US"/>
        </w:rPr>
        <w:t>, such right cannot be invoked in order to prevent re-use permitted in accordance with the provisions of the PSI Directive. The ongoing reviews of both the Database</w:t>
      </w:r>
      <w:r>
        <w:rPr>
          <w:rStyle w:val="FootnoteReference"/>
          <w:rFonts w:ascii="Times New Roman" w:hAnsi="Times New Roman"/>
          <w:noProof/>
          <w:sz w:val="24"/>
          <w:lang w:val="en-US"/>
        </w:rPr>
        <w:footnoteReference w:id="21"/>
      </w:r>
      <w:r>
        <w:rPr>
          <w:rFonts w:ascii="Times New Roman" w:hAnsi="Times New Roman"/>
          <w:noProof/>
          <w:sz w:val="24"/>
          <w:lang w:val="en-US"/>
        </w:rPr>
        <w:t xml:space="preserve"> and the PSI</w:t>
      </w:r>
      <w:r>
        <w:rPr>
          <w:rStyle w:val="FootnoteReference"/>
          <w:rFonts w:ascii="Times New Roman" w:hAnsi="Times New Roman"/>
          <w:noProof/>
          <w:sz w:val="24"/>
          <w:lang w:val="en-US"/>
        </w:rPr>
        <w:footnoteReference w:id="22"/>
      </w:r>
      <w:r>
        <w:rPr>
          <w:rFonts w:ascii="Times New Roman" w:hAnsi="Times New Roman"/>
          <w:noProof/>
          <w:sz w:val="24"/>
          <w:lang w:val="en-US"/>
        </w:rPr>
        <w:t xml:space="preserve"> Directives can help to clarify this issue. </w:t>
      </w:r>
    </w:p>
    <w:p w:rsidR="00DF1A33" w:rsidRDefault="00456F01">
      <w:pPr>
        <w:jc w:val="both"/>
        <w:rPr>
          <w:noProof/>
          <w:szCs w:val="24"/>
          <w:lang w:val="en-US"/>
        </w:rPr>
      </w:pPr>
      <w:r>
        <w:rPr>
          <w:rFonts w:ascii="Times New Roman" w:hAnsi="Times New Roman"/>
          <w:noProof/>
          <w:sz w:val="24"/>
          <w:lang w:val="en-US"/>
        </w:rPr>
        <w:t>Of similar importance is the relation between the PSI and the INSPIRE Directive. In 2007, the INSPIRE Directive laid down general rules aimed at the establishment of the Infrastructure for Spatial Information in the European Union, for the purposes of envi</w:t>
      </w:r>
      <w:r>
        <w:rPr>
          <w:rFonts w:ascii="Times New Roman" w:hAnsi="Times New Roman"/>
          <w:noProof/>
          <w:sz w:val="24"/>
          <w:lang w:val="en-US"/>
        </w:rPr>
        <w:t xml:space="preserve">ronmental policies and policies which may have an impact on the environment. The Directive applies to data held by or on behalf of public authorities for the performance of their public tasks. </w:t>
      </w:r>
      <w:r>
        <w:rPr>
          <w:rFonts w:ascii="Times New Roman" w:hAnsi="Times New Roman" w:cs="Times New Roman"/>
          <w:noProof/>
          <w:sz w:val="24"/>
          <w:szCs w:val="24"/>
          <w:lang w:val="en-US"/>
        </w:rPr>
        <w:t>Article 2 and recital</w:t>
      </w:r>
      <w:r>
        <w:rPr>
          <w:rFonts w:ascii="Times New Roman" w:hAnsi="Times New Roman"/>
          <w:noProof/>
          <w:sz w:val="24"/>
          <w:lang w:val="en-US"/>
        </w:rPr>
        <w:t xml:space="preserve"> 8 of the INSPIRE Directive establishes th</w:t>
      </w:r>
      <w:r>
        <w:rPr>
          <w:rFonts w:ascii="Times New Roman" w:hAnsi="Times New Roman"/>
          <w:noProof/>
          <w:sz w:val="24"/>
          <w:lang w:val="en-US"/>
        </w:rPr>
        <w:t xml:space="preserve">at it is without prejudice to the PSI Directive, the objectives of which are complementary. However, it must be made sure that the INSPIRE Directive does not enter into conflict with the PSI </w:t>
      </w:r>
      <w:r>
        <w:rPr>
          <w:rFonts w:ascii="Times New Roman" w:hAnsi="Times New Roman" w:cs="Times New Roman"/>
          <w:noProof/>
          <w:sz w:val="24"/>
          <w:szCs w:val="24"/>
          <w:lang w:val="en-US"/>
        </w:rPr>
        <w:t>Directive</w:t>
      </w:r>
      <w:r>
        <w:rPr>
          <w:rFonts w:ascii="Times New Roman" w:hAnsi="Times New Roman"/>
          <w:noProof/>
          <w:sz w:val="24"/>
          <w:lang w:val="en-US"/>
        </w:rPr>
        <w:t>, and that any spatial information held by public bodies</w:t>
      </w:r>
      <w:r>
        <w:rPr>
          <w:rFonts w:ascii="Times New Roman" w:hAnsi="Times New Roman"/>
          <w:noProof/>
          <w:sz w:val="24"/>
          <w:lang w:val="en-US"/>
        </w:rPr>
        <w:t xml:space="preserve"> can be reached according to the rules laid out by the PSI Directive.  </w:t>
      </w:r>
    </w:p>
    <w:p w:rsidR="00DF1A33" w:rsidRDefault="00456F01">
      <w:pPr>
        <w:pStyle w:val="Heading2"/>
        <w:rPr>
          <w:noProof/>
        </w:rPr>
      </w:pPr>
      <w:bookmarkStart w:id="166" w:name="_Toc509412598"/>
      <w:bookmarkStart w:id="167" w:name="_Toc509414774"/>
      <w:bookmarkStart w:id="168" w:name="_Toc509414830"/>
      <w:r>
        <w:rPr>
          <w:noProof/>
        </w:rPr>
        <w:t>Economic context</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6"/>
      <w:bookmarkEnd w:id="167"/>
      <w:bookmarkEnd w:id="168"/>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The European data market is growing fast and could, with the right framework conditions in place, grow to 4% of the overall EU GDP.</w:t>
      </w:r>
      <w:r>
        <w:rPr>
          <w:rFonts w:ascii="Times New Roman" w:hAnsi="Times New Roman" w:cs="Times New Roman"/>
          <w:noProof/>
          <w:sz w:val="24"/>
          <w:szCs w:val="24"/>
          <w:vertAlign w:val="superscript"/>
        </w:rPr>
        <w:footnoteReference w:id="23"/>
      </w:r>
      <w:r>
        <w:rPr>
          <w:rFonts w:ascii="Times New Roman" w:hAnsi="Times New Roman" w:cs="Times New Roman"/>
          <w:noProof/>
          <w:sz w:val="24"/>
          <w:szCs w:val="24"/>
        </w:rPr>
        <w:t xml:space="preserve"> </w:t>
      </w:r>
      <w:r>
        <w:rPr>
          <w:rFonts w:ascii="Times New Roman" w:hAnsi="Times New Roman"/>
          <w:noProof/>
          <w:sz w:val="24"/>
        </w:rPr>
        <w:t xml:space="preserve">Since the public sector is one of </w:t>
      </w:r>
      <w:r>
        <w:rPr>
          <w:rFonts w:ascii="Times New Roman" w:hAnsi="Times New Roman"/>
          <w:noProof/>
          <w:sz w:val="24"/>
        </w:rPr>
        <w:t>the economy's most data-intensive sectors</w:t>
      </w:r>
      <w:r>
        <w:rPr>
          <w:rStyle w:val="FootnoteReference"/>
          <w:rFonts w:ascii="Times New Roman" w:hAnsi="Times New Roman"/>
          <w:noProof/>
          <w:sz w:val="24"/>
        </w:rPr>
        <w:footnoteReference w:id="24"/>
      </w:r>
      <w:r>
        <w:rPr>
          <w:rFonts w:ascii="Times New Roman" w:hAnsi="Times New Roman"/>
          <w:noProof/>
          <w:sz w:val="24"/>
        </w:rPr>
        <w:t>, t</w:t>
      </w:r>
      <w:r>
        <w:rPr>
          <w:rFonts w:ascii="Times New Roman" w:hAnsi="Times New Roman" w:cs="Times New Roman"/>
          <w:noProof/>
          <w:sz w:val="24"/>
          <w:szCs w:val="24"/>
        </w:rPr>
        <w:t>he EU open data market</w:t>
      </w:r>
      <w:r>
        <w:rPr>
          <w:rStyle w:val="FootnoteReference"/>
          <w:rFonts w:ascii="Times New Roman" w:hAnsi="Times New Roman"/>
          <w:noProof/>
          <w:sz w:val="24"/>
        </w:rPr>
        <w:footnoteReference w:id="25"/>
      </w:r>
      <w:r>
        <w:rPr>
          <w:rFonts w:ascii="Times New Roman" w:hAnsi="Times New Roman" w:cs="Times New Roman"/>
          <w:noProof/>
          <w:sz w:val="24"/>
          <w:szCs w:val="24"/>
        </w:rPr>
        <w:t xml:space="preserve"> is a key building block of the overall EU data economy.</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t>Public sector information is used across the economy by a range of companies, but it is particularly important for the growth of st</w:t>
      </w:r>
      <w:r>
        <w:rPr>
          <w:rFonts w:ascii="Times New Roman" w:hAnsi="Times New Roman" w:cs="Times New Roman"/>
          <w:noProof/>
          <w:sz w:val="24"/>
          <w:szCs w:val="24"/>
          <w:lang w:val="en-US"/>
        </w:rPr>
        <w:t>art-ups and SMEs. An EU incubator for data start-ups discovered a positive correlation between strong and proactive open data policies in Member States and the number of successful applicants from those countries.</w:t>
      </w:r>
      <w:r>
        <w:rPr>
          <w:rFonts w:ascii="Times New Roman" w:hAnsi="Times New Roman" w:cs="Times New Roman"/>
          <w:noProof/>
          <w:sz w:val="24"/>
          <w:szCs w:val="24"/>
          <w:vertAlign w:val="superscript"/>
          <w:lang w:val="en-US"/>
        </w:rPr>
        <w:footnoteReference w:id="26"/>
      </w:r>
      <w:r>
        <w:rPr>
          <w:rFonts w:ascii="Times New Roman" w:hAnsi="Times New Roman" w:cs="Times New Roman"/>
          <w:noProof/>
          <w:sz w:val="24"/>
          <w:szCs w:val="24"/>
        </w:rPr>
        <w:t xml:space="preserve"> In a recent survey</w:t>
      </w:r>
      <w:r>
        <w:rPr>
          <w:rStyle w:val="FootnoteReference"/>
          <w:noProof/>
          <w:szCs w:val="24"/>
        </w:rPr>
        <w:footnoteReference w:id="27"/>
      </w:r>
      <w:r>
        <w:rPr>
          <w:rFonts w:ascii="Times New Roman" w:hAnsi="Times New Roman" w:cs="Times New Roman"/>
          <w:noProof/>
          <w:sz w:val="24"/>
          <w:szCs w:val="24"/>
        </w:rPr>
        <w:t xml:space="preserve"> of 450 executives fro</w:t>
      </w:r>
      <w:r>
        <w:rPr>
          <w:rFonts w:ascii="Times New Roman" w:hAnsi="Times New Roman" w:cs="Times New Roman"/>
          <w:noProof/>
          <w:sz w:val="24"/>
          <w:szCs w:val="24"/>
        </w:rPr>
        <w:t>m European digital start-ups and conventional businesses, 50% confirmed they had used open data to build a new product or service.</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It is also </w:t>
      </w:r>
      <w:r>
        <w:rPr>
          <w:rFonts w:ascii="Times New Roman" w:hAnsi="Times New Roman" w:cs="Times New Roman"/>
          <w:noProof/>
          <w:sz w:val="24"/>
          <w:szCs w:val="24"/>
        </w:rPr>
        <w:t xml:space="preserve">a critical asset for the development of new technologies such as Artificial Intelligence (AI), which requires the </w:t>
      </w:r>
      <w:r>
        <w:rPr>
          <w:rFonts w:ascii="Times New Roman" w:hAnsi="Times New Roman" w:cs="Times New Roman"/>
          <w:noProof/>
          <w:sz w:val="24"/>
          <w:szCs w:val="24"/>
        </w:rPr>
        <w:t>processing of vast amounts of high-quality data.</w:t>
      </w:r>
      <w:r>
        <w:rPr>
          <w:rStyle w:val="FootnoteReference"/>
          <w:rFonts w:ascii="Times New Roman" w:hAnsi="Times New Roman"/>
          <w:noProof/>
          <w:sz w:val="24"/>
        </w:rPr>
        <w:footnoteReference w:id="28"/>
      </w:r>
    </w:p>
    <w:p w:rsidR="00DF1A33" w:rsidRDefault="00456F01">
      <w:pPr>
        <w:jc w:val="both"/>
        <w:rPr>
          <w:rFonts w:ascii="Times New Roman" w:hAnsi="Times New Roman" w:cs="Times New Roman"/>
          <w:noProof/>
          <w:sz w:val="24"/>
          <w:szCs w:val="24"/>
        </w:rPr>
      </w:pPr>
      <w:r>
        <w:rPr>
          <w:rFonts w:ascii="Times New Roman" w:hAnsi="Times New Roman"/>
          <w:noProof/>
          <w:sz w:val="24"/>
        </w:rPr>
        <w:t>Numerous studies in the last decade have attempted to quantify the economic value generated by the re-use of public sector information.</w:t>
      </w:r>
      <w:r>
        <w:rPr>
          <w:rStyle w:val="FootnoteReference"/>
          <w:rFonts w:ascii="Times New Roman" w:hAnsi="Times New Roman"/>
          <w:noProof/>
          <w:sz w:val="24"/>
        </w:rPr>
        <w:footnoteReference w:id="29"/>
      </w:r>
      <w:r>
        <w:rPr>
          <w:rFonts w:ascii="Times New Roman" w:hAnsi="Times New Roman"/>
          <w:noProof/>
          <w:sz w:val="24"/>
        </w:rPr>
        <w:t xml:space="preserve"> All the studies converge in concluding that the re-use of open data leads to substantial economic and societal benefits. Depending on the methodology used (e.g. the definition of 'open data', the focus on the direct impact on the data economy or wider soc</w:t>
      </w:r>
      <w:r>
        <w:rPr>
          <w:rFonts w:ascii="Times New Roman" w:hAnsi="Times New Roman"/>
          <w:noProof/>
          <w:sz w:val="24"/>
        </w:rPr>
        <w:t>io-economic impacts, etc.) various figures have been put forward. The support study for this IA assesses the current direct economic value of open data</w:t>
      </w:r>
      <w:r>
        <w:rPr>
          <w:rStyle w:val="FootnoteReference"/>
          <w:rFonts w:ascii="Times New Roman" w:hAnsi="Times New Roman"/>
          <w:noProof/>
          <w:sz w:val="24"/>
        </w:rPr>
        <w:footnoteReference w:id="30"/>
      </w:r>
      <w:r>
        <w:rPr>
          <w:rFonts w:ascii="Times New Roman" w:hAnsi="Times New Roman"/>
          <w:noProof/>
          <w:sz w:val="24"/>
        </w:rPr>
        <w:t xml:space="preserve"> to be 52 billion EUR a year for the 28 EU Member States.</w:t>
      </w:r>
      <w:r>
        <w:rPr>
          <w:rStyle w:val="FootnoteReference"/>
          <w:rFonts w:ascii="Times New Roman" w:hAnsi="Times New Roman"/>
          <w:noProof/>
          <w:sz w:val="24"/>
        </w:rPr>
        <w:footnoteReference w:id="31"/>
      </w:r>
      <w:r>
        <w:rPr>
          <w:rFonts w:ascii="Times New Roman" w:hAnsi="Times New Roman"/>
          <w:noProof/>
          <w:sz w:val="24"/>
        </w:rPr>
        <w:t xml:space="preserve"> </w:t>
      </w:r>
    </w:p>
    <w:p w:rsidR="00DF1A33" w:rsidRDefault="00456F01">
      <w:pPr>
        <w:jc w:val="both"/>
        <w:rPr>
          <w:rFonts w:ascii="Times New Roman" w:hAnsi="Times New Roman"/>
          <w:noProof/>
          <w:sz w:val="24"/>
        </w:rPr>
      </w:pPr>
      <w:r>
        <w:rPr>
          <w:rFonts w:ascii="Times New Roman" w:hAnsi="Times New Roman" w:cs="Times New Roman"/>
          <w:noProof/>
          <w:sz w:val="24"/>
          <w:szCs w:val="24"/>
        </w:rPr>
        <w:t>The European Data Portal 2015 study led by C</w:t>
      </w:r>
      <w:r>
        <w:rPr>
          <w:rFonts w:ascii="Times New Roman" w:hAnsi="Times New Roman" w:cs="Times New Roman"/>
          <w:noProof/>
          <w:sz w:val="24"/>
          <w:szCs w:val="24"/>
        </w:rPr>
        <w:t>apGemini</w:t>
      </w:r>
      <w:r>
        <w:rPr>
          <w:rStyle w:val="FootnoteReference"/>
          <w:rFonts w:ascii="Times New Roman" w:hAnsi="Times New Roman"/>
          <w:noProof/>
          <w:sz w:val="24"/>
        </w:rPr>
        <w:footnoteReference w:id="32"/>
      </w:r>
      <w:r>
        <w:rPr>
          <w:rFonts w:ascii="Times New Roman" w:hAnsi="Times New Roman" w:cs="Times New Roman"/>
          <w:noProof/>
          <w:sz w:val="24"/>
          <w:szCs w:val="24"/>
        </w:rPr>
        <w:t xml:space="preserve"> (and updated in 2017</w:t>
      </w:r>
      <w:r>
        <w:rPr>
          <w:rStyle w:val="FootnoteReference"/>
          <w:rFonts w:ascii="Times New Roman" w:hAnsi="Times New Roman"/>
          <w:noProof/>
          <w:sz w:val="24"/>
        </w:rPr>
        <w:footnoteReference w:id="33"/>
      </w:r>
      <w:r>
        <w:rPr>
          <w:rFonts w:ascii="Times New Roman" w:hAnsi="Times New Roman" w:cs="Times New Roman"/>
          <w:noProof/>
          <w:sz w:val="24"/>
          <w:szCs w:val="24"/>
        </w:rPr>
        <w:t xml:space="preserve">) </w:t>
      </w:r>
      <w:r>
        <w:rPr>
          <w:rFonts w:ascii="Times New Roman" w:hAnsi="Times New Roman" w:cs="Times New Roman"/>
          <w:noProof/>
          <w:sz w:val="24"/>
          <w:szCs w:val="24"/>
          <w:lang w:eastAsia="nl-NL"/>
        </w:rPr>
        <w:t xml:space="preserve">undertook a separate assessment of the economic benefits for open data by looking at four key indicators and how they could evolve until 2020: direct market size, number of jobs created, cost savings and efficiency gains. </w:t>
      </w:r>
    </w:p>
    <w:p w:rsidR="00DF1A33" w:rsidRDefault="00456F01">
      <w:pPr>
        <w:jc w:val="center"/>
        <w:rPr>
          <w:rFonts w:ascii="Times New Roman" w:hAnsi="Times New Roman" w:cs="Times New Roman"/>
          <w:noProof/>
        </w:rPr>
      </w:pPr>
      <w:r>
        <w:rPr>
          <w:rFonts w:ascii="Times New Roman" w:hAnsi="Times New Roman" w:cs="Times New Roman"/>
          <w:noProof/>
          <w:sz w:val="24"/>
          <w:szCs w:val="24"/>
          <w:lang w:eastAsia="en-GB"/>
        </w:rPr>
        <w:drawing>
          <wp:inline distT="0" distB="0" distL="0" distR="0" wp14:anchorId="147E78CB" wp14:editId="52ECC741">
            <wp:extent cx="3663227" cy="18346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64723" cy="1835410"/>
                    </a:xfrm>
                    <a:prstGeom prst="rect">
                      <a:avLst/>
                    </a:prstGeom>
                    <a:noFill/>
                    <a:ln>
                      <a:noFill/>
                    </a:ln>
                  </pic:spPr>
                </pic:pic>
              </a:graphicData>
            </a:graphic>
          </wp:inline>
        </w:drawing>
      </w:r>
    </w:p>
    <w:p w:rsidR="00DF1A33" w:rsidRDefault="00456F01">
      <w:pPr>
        <w:pStyle w:val="Caption"/>
        <w:rPr>
          <w:rFonts w:ascii="Times New Roman" w:hAnsi="Times New Roman"/>
          <w:noProof/>
        </w:rPr>
      </w:pPr>
      <w:r>
        <w:rPr>
          <w:rFonts w:ascii="Times New Roman" w:hAnsi="Times New Roman"/>
          <w:noProof/>
        </w:rPr>
        <w:t xml:space="preserve">Figure </w:t>
      </w:r>
      <w:r>
        <w:rPr>
          <w:rFonts w:ascii="Times New Roman" w:hAnsi="Times New Roman"/>
          <w:b w:val="0"/>
          <w:bCs w:val="0"/>
          <w:noProof/>
        </w:rPr>
        <w:fldChar w:fldCharType="begin"/>
      </w:r>
      <w:r>
        <w:rPr>
          <w:rFonts w:ascii="Times New Roman" w:hAnsi="Times New Roman"/>
          <w:noProof/>
        </w:rPr>
        <w:instrText xml:space="preserve"> SEQ Figure \* ARABIC </w:instrText>
      </w:r>
      <w:r>
        <w:rPr>
          <w:rFonts w:ascii="Times New Roman" w:hAnsi="Times New Roman"/>
          <w:b w:val="0"/>
          <w:bCs w:val="0"/>
          <w:noProof/>
        </w:rPr>
        <w:fldChar w:fldCharType="separate"/>
      </w:r>
      <w:r>
        <w:rPr>
          <w:rFonts w:ascii="Times New Roman" w:hAnsi="Times New Roman"/>
          <w:noProof/>
        </w:rPr>
        <w:t>1</w:t>
      </w:r>
      <w:r>
        <w:rPr>
          <w:rFonts w:ascii="Times New Roman" w:hAnsi="Times New Roman"/>
          <w:b w:val="0"/>
          <w:bCs w:val="0"/>
          <w:noProof/>
        </w:rPr>
        <w:fldChar w:fldCharType="end"/>
      </w:r>
      <w:r>
        <w:rPr>
          <w:rFonts w:ascii="Times New Roman" w:hAnsi="Times New Roman"/>
          <w:b w:val="0"/>
          <w:bCs w:val="0"/>
          <w:noProof/>
        </w:rPr>
        <w:t xml:space="preserve">- </w:t>
      </w:r>
      <w:r>
        <w:rPr>
          <w:rFonts w:ascii="Times New Roman" w:hAnsi="Times New Roman"/>
          <w:bCs w:val="0"/>
          <w:noProof/>
        </w:rPr>
        <w:t xml:space="preserve">The economic value of open data for </w:t>
      </w:r>
      <w:r>
        <w:rPr>
          <w:rFonts w:ascii="Times New Roman" w:hAnsi="Times New Roman"/>
          <w:noProof/>
        </w:rPr>
        <w:t>EU28+</w:t>
      </w:r>
      <w:r>
        <w:rPr>
          <w:rFonts w:ascii="Times New Roman" w:hAnsi="Times New Roman"/>
          <w:bCs w:val="0"/>
          <w:noProof/>
        </w:rPr>
        <w:t xml:space="preserve"> in 2020</w:t>
      </w:r>
      <w:r>
        <w:rPr>
          <w:rFonts w:ascii="Times New Roman" w:hAnsi="Times New Roman"/>
          <w:bCs w:val="0"/>
          <w:noProof/>
        </w:rPr>
        <w:br/>
      </w:r>
      <w:r>
        <w:rPr>
          <w:rFonts w:ascii="Times New Roman" w:hAnsi="Times New Roman"/>
          <w:noProof/>
        </w:rPr>
        <w:t>Source: European Data Portal, Analytical Report No 9: The Economic Benefits of Open Data, 2017</w:t>
      </w:r>
      <w:bookmarkStart w:id="169" w:name="_Toc503452274"/>
    </w:p>
    <w:p w:rsidR="00DF1A33" w:rsidRDefault="00456F01">
      <w:pPr>
        <w:pStyle w:val="Caption"/>
        <w:jc w:val="both"/>
        <w:rPr>
          <w:rFonts w:ascii="Times New Roman" w:eastAsiaTheme="minorHAnsi" w:hAnsi="Times New Roman"/>
          <w:b w:val="0"/>
          <w:bCs w:val="0"/>
          <w:noProof/>
          <w:color w:val="auto"/>
          <w:sz w:val="24"/>
          <w:szCs w:val="24"/>
          <w:lang w:val="en-US" w:eastAsia="en-US"/>
        </w:rPr>
      </w:pPr>
      <w:r>
        <w:rPr>
          <w:rFonts w:ascii="Times New Roman" w:eastAsiaTheme="minorHAnsi" w:hAnsi="Times New Roman"/>
          <w:b w:val="0"/>
          <w:bCs w:val="0"/>
          <w:noProof/>
          <w:color w:val="auto"/>
          <w:sz w:val="24"/>
          <w:szCs w:val="24"/>
          <w:lang w:val="en-US" w:eastAsia="en-US"/>
        </w:rPr>
        <w:t xml:space="preserve">Next to the considerable economic benefits, opening up government data </w:t>
      </w:r>
      <w:r>
        <w:rPr>
          <w:rFonts w:ascii="Times New Roman" w:eastAsiaTheme="minorHAnsi" w:hAnsi="Times New Roman"/>
          <w:b w:val="0"/>
          <w:bCs w:val="0"/>
          <w:noProof/>
          <w:color w:val="auto"/>
          <w:sz w:val="24"/>
          <w:szCs w:val="24"/>
          <w:lang w:val="en-US" w:eastAsia="en-US"/>
        </w:rPr>
        <w:t>leads to a whole range of social benefits</w:t>
      </w:r>
      <w:r>
        <w:rPr>
          <w:rStyle w:val="FootnoteReference"/>
          <w:rFonts w:ascii="Times New Roman" w:eastAsiaTheme="minorHAnsi" w:hAnsi="Times New Roman" w:cstheme="minorBidi"/>
          <w:b w:val="0"/>
          <w:bCs w:val="0"/>
          <w:noProof/>
          <w:color w:val="auto"/>
          <w:sz w:val="24"/>
          <w:szCs w:val="22"/>
          <w:lang w:eastAsia="en-US"/>
        </w:rPr>
        <w:footnoteReference w:id="34"/>
      </w:r>
      <w:r>
        <w:rPr>
          <w:rFonts w:ascii="Times New Roman" w:eastAsiaTheme="minorHAnsi" w:hAnsi="Times New Roman"/>
          <w:b w:val="0"/>
          <w:bCs w:val="0"/>
          <w:noProof/>
          <w:color w:val="auto"/>
          <w:sz w:val="24"/>
          <w:szCs w:val="24"/>
          <w:lang w:val="en-US" w:eastAsia="en-US"/>
        </w:rPr>
        <w:t xml:space="preserve"> experienced by the consumers of products and services offered by direct open data re-users.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lang w:val="en-US"/>
        </w:rPr>
        <w:t>Open data has the potential to increase the efficiency of government through better policy  making, including 1.7 billio</w:t>
      </w:r>
      <w:r>
        <w:rPr>
          <w:rFonts w:ascii="Times New Roman" w:hAnsi="Times New Roman" w:cs="Times New Roman"/>
          <w:noProof/>
          <w:sz w:val="24"/>
          <w:szCs w:val="24"/>
          <w:lang w:val="en-US"/>
        </w:rPr>
        <w:t>n EUR cost savings for the EU 28 public administrations.</w:t>
      </w:r>
      <w:r>
        <w:rPr>
          <w:rStyle w:val="FootnoteReference"/>
          <w:rFonts w:ascii="Times New Roman" w:hAnsi="Times New Roman" w:cs="Times New Roman"/>
          <w:noProof/>
          <w:sz w:val="24"/>
          <w:szCs w:val="24"/>
          <w:lang w:val="en-US"/>
        </w:rPr>
        <w:footnoteReference w:id="35"/>
      </w:r>
      <w:r>
        <w:rPr>
          <w:rFonts w:ascii="Times New Roman" w:hAnsi="Times New Roman" w:cs="Times New Roman"/>
          <w:noProof/>
          <w:sz w:val="24"/>
          <w:szCs w:val="24"/>
          <w:lang w:val="en-US"/>
        </w:rPr>
        <w:t xml:space="preserve"> Finally, it helps in bridging the gap be</w:t>
      </w:r>
      <w:r>
        <w:rPr>
          <w:rFonts w:ascii="Times New Roman" w:hAnsi="Times New Roman" w:cs="Times New Roman"/>
          <w:noProof/>
          <w:sz w:val="24"/>
          <w:szCs w:val="24"/>
          <w:lang w:val="en-US"/>
        </w:rPr>
        <w:softHyphen/>
        <w:t>tween government and citizens in terms of information</w:t>
      </w:r>
      <w:r>
        <w:rPr>
          <w:rFonts w:ascii="Times New Roman" w:hAnsi="Times New Roman" w:cs="Times New Roman"/>
          <w:noProof/>
          <w:sz w:val="24"/>
          <w:szCs w:val="24"/>
          <w:vertAlign w:val="superscript"/>
          <w:lang w:val="en-US"/>
        </w:rPr>
        <w:footnoteReference w:id="36"/>
      </w:r>
      <w:r>
        <w:rPr>
          <w:rFonts w:ascii="Times New Roman" w:hAnsi="Times New Roman" w:cs="Times New Roman"/>
          <w:noProof/>
          <w:sz w:val="24"/>
          <w:szCs w:val="24"/>
          <w:lang w:val="en-US"/>
        </w:rPr>
        <w:t xml:space="preserve"> and, in general, leads to increased social inclu</w:t>
      </w:r>
      <w:r>
        <w:rPr>
          <w:rFonts w:ascii="Times New Roman" w:hAnsi="Times New Roman" w:cs="Times New Roman"/>
          <w:noProof/>
          <w:sz w:val="24"/>
          <w:szCs w:val="24"/>
          <w:lang w:val="en-US"/>
        </w:rPr>
        <w:softHyphen/>
        <w:t>sion and empowerment, civic participa</w:t>
      </w:r>
      <w:r>
        <w:rPr>
          <w:rFonts w:ascii="Times New Roman" w:hAnsi="Times New Roman" w:cs="Times New Roman"/>
          <w:noProof/>
          <w:sz w:val="24"/>
          <w:szCs w:val="24"/>
          <w:lang w:val="en-US"/>
        </w:rPr>
        <w:softHyphen/>
        <w:t>tion, and suppo</w:t>
      </w:r>
      <w:r>
        <w:rPr>
          <w:rFonts w:ascii="Times New Roman" w:hAnsi="Times New Roman" w:cs="Times New Roman"/>
          <w:noProof/>
          <w:sz w:val="24"/>
          <w:szCs w:val="24"/>
          <w:lang w:val="en-US"/>
        </w:rPr>
        <w:t>rts personal decision-making capabilities.</w:t>
      </w:r>
      <w:r>
        <w:rPr>
          <w:rFonts w:ascii="Times New Roman" w:hAnsi="Times New Roman"/>
          <w:noProof/>
          <w:sz w:val="24"/>
          <w:vertAlign w:val="superscript"/>
          <w:lang w:val="en-US"/>
        </w:rPr>
        <w:footnoteReference w:id="37"/>
      </w:r>
      <w:bookmarkStart w:id="170" w:name="_Toc503796952"/>
      <w:bookmarkStart w:id="171" w:name="_Toc503797027"/>
      <w:bookmarkStart w:id="172" w:name="_Toc503797102"/>
      <w:bookmarkStart w:id="173" w:name="_Toc503797177"/>
      <w:bookmarkStart w:id="174" w:name="_Toc503797255"/>
      <w:bookmarkStart w:id="175" w:name="_Toc503800712"/>
      <w:bookmarkEnd w:id="169"/>
      <w:bookmarkEnd w:id="170"/>
      <w:bookmarkEnd w:id="171"/>
      <w:bookmarkEnd w:id="172"/>
      <w:bookmarkEnd w:id="173"/>
      <w:bookmarkEnd w:id="174"/>
      <w:bookmarkEnd w:id="175"/>
    </w:p>
    <w:p w:rsidR="00DF1A33" w:rsidRDefault="00456F01">
      <w:pPr>
        <w:pStyle w:val="Heading1"/>
        <w:rPr>
          <w:noProof/>
        </w:rPr>
      </w:pPr>
      <w:bookmarkStart w:id="176" w:name="_Toc504142935"/>
      <w:bookmarkStart w:id="177" w:name="_Toc504151641"/>
      <w:bookmarkStart w:id="178" w:name="_Toc504382925"/>
      <w:bookmarkStart w:id="179" w:name="_Toc504391068"/>
      <w:bookmarkStart w:id="180" w:name="_Toc504403157"/>
      <w:bookmarkStart w:id="181" w:name="_Toc504743627"/>
      <w:bookmarkStart w:id="182" w:name="_Toc504751178"/>
      <w:bookmarkStart w:id="183" w:name="_Toc504751352"/>
      <w:bookmarkStart w:id="184" w:name="_Toc505181974"/>
      <w:bookmarkStart w:id="185" w:name="_Toc505248628"/>
      <w:bookmarkStart w:id="186" w:name="_Toc505266504"/>
      <w:bookmarkStart w:id="187" w:name="_Toc505335355"/>
      <w:bookmarkStart w:id="188" w:name="_Toc505345826"/>
      <w:bookmarkStart w:id="189" w:name="_Toc505346414"/>
      <w:bookmarkStart w:id="190" w:name="_Toc505696652"/>
      <w:bookmarkStart w:id="191" w:name="_Toc505698138"/>
      <w:bookmarkStart w:id="192" w:name="_Toc505701651"/>
      <w:bookmarkStart w:id="193" w:name="_Toc505705138"/>
      <w:bookmarkStart w:id="194" w:name="_Toc505773129"/>
      <w:bookmarkStart w:id="195" w:name="_Toc505856843"/>
      <w:bookmarkStart w:id="196" w:name="_Toc505862287"/>
      <w:bookmarkStart w:id="197" w:name="_Toc505864852"/>
      <w:bookmarkStart w:id="198" w:name="_Toc505868707"/>
      <w:bookmarkStart w:id="199" w:name="_Toc505869174"/>
      <w:bookmarkStart w:id="200" w:name="_Toc506363018"/>
      <w:bookmarkStart w:id="201" w:name="_Toc506369515"/>
      <w:bookmarkStart w:id="202" w:name="_Toc506376106"/>
      <w:bookmarkStart w:id="203" w:name="_Toc506378419"/>
      <w:bookmarkStart w:id="204" w:name="_Toc506378499"/>
      <w:bookmarkStart w:id="205" w:name="_Toc509412599"/>
      <w:bookmarkStart w:id="206" w:name="_Toc509414775"/>
      <w:bookmarkStart w:id="207" w:name="_Toc509414831"/>
      <w:r>
        <w:rPr>
          <w:noProof/>
        </w:rPr>
        <w:t>Problem definition</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Pr>
          <w:noProof/>
        </w:rPr>
        <w:t xml:space="preserve"> </w:t>
      </w:r>
    </w:p>
    <w:p w:rsidR="00DF1A33" w:rsidRDefault="00456F01">
      <w:pPr>
        <w:pStyle w:val="Heading2"/>
        <w:rPr>
          <w:noProof/>
        </w:rPr>
      </w:pPr>
      <w:bookmarkStart w:id="208" w:name="_Toc504142936"/>
      <w:bookmarkStart w:id="209" w:name="_Toc504151642"/>
      <w:bookmarkStart w:id="210" w:name="_Toc504382926"/>
      <w:bookmarkStart w:id="211" w:name="_Toc504391069"/>
      <w:bookmarkStart w:id="212" w:name="_Toc504403158"/>
      <w:bookmarkStart w:id="213" w:name="_Toc504743628"/>
      <w:bookmarkStart w:id="214" w:name="_Toc504751179"/>
      <w:bookmarkStart w:id="215" w:name="_Toc504751353"/>
      <w:bookmarkStart w:id="216" w:name="_Toc505181975"/>
      <w:bookmarkStart w:id="217" w:name="_Toc505248629"/>
      <w:bookmarkStart w:id="218" w:name="_Toc505266505"/>
      <w:bookmarkStart w:id="219" w:name="_Toc505335356"/>
      <w:bookmarkStart w:id="220" w:name="_Toc505345827"/>
      <w:bookmarkStart w:id="221" w:name="_Toc505346415"/>
      <w:bookmarkStart w:id="222" w:name="_Toc505696653"/>
      <w:bookmarkStart w:id="223" w:name="_Toc505698139"/>
      <w:bookmarkStart w:id="224" w:name="_Toc505701652"/>
      <w:bookmarkStart w:id="225" w:name="_Toc505705139"/>
      <w:bookmarkStart w:id="226" w:name="_Toc505773130"/>
      <w:bookmarkStart w:id="227" w:name="_Toc505856844"/>
      <w:bookmarkStart w:id="228" w:name="_Toc505862288"/>
      <w:bookmarkStart w:id="229" w:name="_Toc505864853"/>
      <w:bookmarkStart w:id="230" w:name="_Toc505868708"/>
      <w:bookmarkStart w:id="231" w:name="_Toc505869175"/>
      <w:bookmarkStart w:id="232" w:name="_Toc506363019"/>
      <w:bookmarkStart w:id="233" w:name="_Toc506369516"/>
      <w:bookmarkStart w:id="234" w:name="_Toc506376107"/>
      <w:bookmarkStart w:id="235" w:name="_Toc506378420"/>
      <w:bookmarkStart w:id="236" w:name="_Toc506378500"/>
      <w:bookmarkStart w:id="237" w:name="_Toc509412600"/>
      <w:bookmarkStart w:id="238" w:name="_Toc509414776"/>
      <w:bookmarkStart w:id="239" w:name="_Toc509414832"/>
      <w:r>
        <w:rPr>
          <w:noProof/>
        </w:rPr>
        <w:t>Ensuring the success of the open data policy in the evolving digital environment</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rsidR="00DF1A33" w:rsidRDefault="00456F01">
      <w:pPr>
        <w:pStyle w:val="Text1"/>
        <w:ind w:left="0"/>
        <w:rPr>
          <w:noProof/>
          <w:lang w:val="en-US"/>
        </w:rPr>
      </w:pPr>
      <w:r>
        <w:rPr>
          <w:noProof/>
          <w:lang w:val="en-US"/>
        </w:rPr>
        <w:t xml:space="preserve">The </w:t>
      </w:r>
      <w:r>
        <w:rPr>
          <w:b/>
          <w:noProof/>
          <w:lang w:val="en-US"/>
        </w:rPr>
        <w:t>Evaluation Report of the PSI Directive</w:t>
      </w:r>
      <w:r>
        <w:rPr>
          <w:rStyle w:val="FootnoteReference"/>
          <w:b/>
          <w:noProof/>
          <w:lang w:val="en-US"/>
        </w:rPr>
        <w:footnoteReference w:id="38"/>
      </w:r>
      <w:r>
        <w:rPr>
          <w:b/>
          <w:noProof/>
          <w:lang w:val="en-US"/>
        </w:rPr>
        <w:t xml:space="preserve"> </w:t>
      </w:r>
      <w:r>
        <w:rPr>
          <w:noProof/>
          <w:lang w:val="en-US"/>
        </w:rPr>
        <w:t xml:space="preserve">(annexed to this Impact Assessment) </w:t>
      </w:r>
      <w:r>
        <w:rPr>
          <w:rFonts w:eastAsiaTheme="minorHAnsi"/>
          <w:noProof/>
          <w:lang w:val="en-US"/>
        </w:rPr>
        <w:t>shows that</w:t>
      </w:r>
      <w:r>
        <w:rPr>
          <w:rFonts w:eastAsiaTheme="minorHAnsi"/>
          <w:b/>
          <w:noProof/>
          <w:lang w:val="en-US"/>
        </w:rPr>
        <w:t xml:space="preserve"> overall the instrument works well</w:t>
      </w:r>
      <w:r>
        <w:rPr>
          <w:rFonts w:eastAsiaTheme="minorHAnsi"/>
          <w:noProof/>
          <w:lang w:val="en-US"/>
        </w:rPr>
        <w:t>. The report</w:t>
      </w:r>
      <w:r>
        <w:rPr>
          <w:noProof/>
          <w:lang w:val="en-US"/>
        </w:rPr>
        <w:t xml:space="preserve"> comes to the following key conclusions:</w:t>
      </w:r>
      <w:r>
        <w:rPr>
          <w:rFonts w:eastAsia="Calibri"/>
          <w:noProof/>
          <w:szCs w:val="24"/>
        </w:rPr>
        <w:t xml:space="preserve"> </w:t>
      </w:r>
      <w:bookmarkStart w:id="240" w:name="_Toc481484461"/>
    </w:p>
    <w:tbl>
      <w:tblPr>
        <w:tblStyle w:val="TableGrid"/>
        <w:tblW w:w="0" w:type="auto"/>
        <w:tblLook w:val="04A0" w:firstRow="1" w:lastRow="0" w:firstColumn="1" w:lastColumn="0" w:noHBand="0" w:noVBand="1"/>
      </w:tblPr>
      <w:tblGrid>
        <w:gridCol w:w="8834"/>
      </w:tblGrid>
      <w:tr w:rsidR="00DF1A33">
        <w:tc>
          <w:tcPr>
            <w:tcW w:w="8834" w:type="dxa"/>
          </w:tcPr>
          <w:p w:rsidR="00DF1A33" w:rsidRDefault="00456F01">
            <w:pPr>
              <w:spacing w:line="276" w:lineRule="auto"/>
              <w:jc w:val="both"/>
              <w:rPr>
                <w:rFonts w:eastAsiaTheme="minorHAnsi"/>
                <w:noProof/>
                <w:sz w:val="24"/>
                <w:lang w:val="en-US" w:eastAsia="en-US"/>
              </w:rPr>
            </w:pPr>
            <w:r>
              <w:rPr>
                <w:rFonts w:eastAsiaTheme="minorHAnsi"/>
                <w:noProof/>
                <w:sz w:val="24"/>
                <w:lang w:val="en-US"/>
              </w:rPr>
              <w:t xml:space="preserve">The PSI Directive continues to </w:t>
            </w:r>
            <w:r>
              <w:rPr>
                <w:rFonts w:eastAsiaTheme="minorHAnsi" w:cstheme="minorBidi"/>
                <w:noProof/>
                <w:sz w:val="24"/>
                <w:szCs w:val="22"/>
                <w:lang w:val="en-US" w:eastAsia="en-US"/>
              </w:rPr>
              <w:t>contribute</w:t>
            </w:r>
            <w:r>
              <w:rPr>
                <w:rFonts w:eastAsiaTheme="minorHAnsi"/>
                <w:noProof/>
                <w:sz w:val="24"/>
                <w:lang w:val="en-US"/>
              </w:rPr>
              <w:t xml:space="preserve"> to the achievement of its main policy objectives, which are to stimulate the digital content market for PSI-based products and</w:t>
            </w:r>
            <w:r>
              <w:rPr>
                <w:rFonts w:eastAsiaTheme="minorHAnsi"/>
                <w:noProof/>
                <w:sz w:val="24"/>
                <w:lang w:val="en-US"/>
              </w:rPr>
              <w:t xml:space="preserve"> services, to stimulate cross-border exploitation of PSI and to prevent distortions of competition on the EU market. Since 2015, Member States have made substantial progress in terms of open data maturity and more datasets of better quality have become ava</w:t>
            </w:r>
            <w:r>
              <w:rPr>
                <w:rFonts w:eastAsiaTheme="minorHAnsi"/>
                <w:noProof/>
                <w:sz w:val="24"/>
                <w:lang w:val="en-US"/>
              </w:rPr>
              <w:t xml:space="preserve">ilable. At the same time, the instrument has had a favourable impact on transparency, citizen empowerment and public sector efficiency. </w:t>
            </w:r>
          </w:p>
          <w:p w:rsidR="00DF1A33" w:rsidRDefault="00DF1A33">
            <w:pPr>
              <w:spacing w:line="276" w:lineRule="auto"/>
              <w:jc w:val="both"/>
              <w:rPr>
                <w:rFonts w:eastAsiaTheme="minorHAnsi"/>
                <w:noProof/>
                <w:sz w:val="24"/>
                <w:lang w:val="en-US" w:eastAsia="en-US"/>
              </w:rPr>
            </w:pPr>
          </w:p>
          <w:p w:rsidR="00DF1A33" w:rsidRDefault="00456F01">
            <w:pPr>
              <w:spacing w:line="276" w:lineRule="auto"/>
              <w:jc w:val="both"/>
              <w:rPr>
                <w:noProof/>
                <w:sz w:val="24"/>
                <w:szCs w:val="24"/>
              </w:rPr>
            </w:pPr>
            <w:r>
              <w:rPr>
                <w:rFonts w:eastAsiaTheme="minorHAnsi"/>
                <w:noProof/>
                <w:sz w:val="24"/>
                <w:lang w:val="en-US"/>
              </w:rPr>
              <w:t>However, there are a number of issues that would need to be addressed in order to fully exploit the potential of publi</w:t>
            </w:r>
            <w:r>
              <w:rPr>
                <w:rFonts w:eastAsiaTheme="minorHAnsi"/>
                <w:noProof/>
                <w:sz w:val="24"/>
                <w:lang w:val="en-US"/>
              </w:rPr>
              <w:t>c sector information for the European economy and society: provision of real-time access to dynamic data via adequate technical means, increasing the supply of high-value public data for re-use (e.g. from semi-private entities executing public tasks and re</w:t>
            </w:r>
            <w:r>
              <w:rPr>
                <w:rFonts w:eastAsiaTheme="minorHAnsi"/>
                <w:noProof/>
                <w:sz w:val="24"/>
                <w:lang w:val="en-US"/>
              </w:rPr>
              <w:t>search establishments), the existence of new forms of exclusive arrangements, the use of exceptions to the principle of charging the marginal cost and the relationship between the PSI Directive and certain related legal instruments.</w:t>
            </w:r>
          </w:p>
          <w:p w:rsidR="00DF1A33" w:rsidRDefault="00DF1A33">
            <w:pPr>
              <w:pStyle w:val="ListParagraph"/>
              <w:ind w:left="360"/>
              <w:jc w:val="both"/>
              <w:rPr>
                <w:noProof/>
                <w:sz w:val="24"/>
                <w:szCs w:val="24"/>
              </w:rPr>
            </w:pPr>
          </w:p>
        </w:tc>
      </w:tr>
    </w:tbl>
    <w:p w:rsidR="00DF1A33" w:rsidRDefault="00456F01">
      <w:pPr>
        <w:jc w:val="both"/>
        <w:rPr>
          <w:noProof/>
        </w:rPr>
      </w:pPr>
      <w:r>
        <w:rPr>
          <w:rFonts w:ascii="Times New Roman" w:hAnsi="Times New Roman"/>
          <w:noProof/>
          <w:sz w:val="24"/>
          <w:lang w:val="en-US"/>
        </w:rPr>
        <w:t>The review should help to address the remaining barriers to the re-use of PSI and address the new needs created by technical change. In addition, the review of the Directive can address the trend of some Member States embarking on legislative initiatives a</w:t>
      </w:r>
      <w:r>
        <w:rPr>
          <w:rFonts w:ascii="Times New Roman" w:hAnsi="Times New Roman"/>
          <w:noProof/>
          <w:sz w:val="24"/>
          <w:lang w:val="en-US"/>
        </w:rPr>
        <w:t>ddressing the re-use of new categories of datasets, while other Member States are not. It is also important to remember, however, that any intervention designed to address these issues will need to take into account the existing budget constraints for publ</w:t>
      </w:r>
      <w:r>
        <w:rPr>
          <w:rFonts w:ascii="Times New Roman" w:hAnsi="Times New Roman"/>
          <w:noProof/>
          <w:sz w:val="24"/>
          <w:lang w:val="en-US"/>
        </w:rPr>
        <w:t>ic authorities. While certain measures may be highly desirable from the perspective of opening up more public sector data and making it more easily re-usable,  the costs of their implementation will need to be carefully weighed against the expected benefit</w:t>
      </w:r>
      <w:r>
        <w:rPr>
          <w:rFonts w:ascii="Times New Roman" w:hAnsi="Times New Roman"/>
          <w:noProof/>
          <w:sz w:val="24"/>
          <w:lang w:val="en-US"/>
        </w:rPr>
        <w:t xml:space="preserve">s, and their intensity may need to be modulated respectively. </w:t>
      </w:r>
    </w:p>
    <w:p w:rsidR="00DF1A33" w:rsidRDefault="00456F01">
      <w:pPr>
        <w:pStyle w:val="Heading2"/>
        <w:rPr>
          <w:noProof/>
        </w:rPr>
      </w:pPr>
      <w:bookmarkStart w:id="241" w:name="_Toc504142937"/>
      <w:bookmarkStart w:id="242" w:name="_Toc504151643"/>
      <w:bookmarkStart w:id="243" w:name="_Toc504382927"/>
      <w:bookmarkStart w:id="244" w:name="_Toc504391070"/>
      <w:bookmarkStart w:id="245" w:name="_Toc504403159"/>
      <w:bookmarkStart w:id="246" w:name="_Toc504743629"/>
      <w:bookmarkStart w:id="247" w:name="_Toc504751180"/>
      <w:bookmarkStart w:id="248" w:name="_Toc504751354"/>
      <w:bookmarkStart w:id="249" w:name="_Toc505181976"/>
      <w:bookmarkStart w:id="250" w:name="_Toc505248630"/>
      <w:bookmarkStart w:id="251" w:name="_Toc505266506"/>
      <w:bookmarkStart w:id="252" w:name="_Toc505335357"/>
      <w:bookmarkStart w:id="253" w:name="_Toc505345828"/>
      <w:bookmarkStart w:id="254" w:name="_Toc505346416"/>
      <w:bookmarkStart w:id="255" w:name="_Toc505696654"/>
      <w:bookmarkStart w:id="256" w:name="_Toc505698140"/>
      <w:bookmarkStart w:id="257" w:name="_Toc505701653"/>
      <w:bookmarkStart w:id="258" w:name="_Toc505705140"/>
      <w:bookmarkStart w:id="259" w:name="_Toc505773131"/>
      <w:bookmarkStart w:id="260" w:name="_Toc505856845"/>
      <w:bookmarkStart w:id="261" w:name="_Toc505862289"/>
      <w:bookmarkStart w:id="262" w:name="_Toc505864854"/>
      <w:bookmarkStart w:id="263" w:name="_Toc505868709"/>
      <w:bookmarkStart w:id="264" w:name="_Toc505869176"/>
      <w:bookmarkStart w:id="265" w:name="_Toc506363020"/>
      <w:bookmarkStart w:id="266" w:name="_Toc506369517"/>
      <w:bookmarkStart w:id="267" w:name="_Toc506376108"/>
      <w:bookmarkStart w:id="268" w:name="_Toc506378421"/>
      <w:bookmarkStart w:id="269" w:name="_Toc506378501"/>
      <w:bookmarkStart w:id="270" w:name="_Toc509412601"/>
      <w:bookmarkStart w:id="271" w:name="_Toc509414777"/>
      <w:bookmarkStart w:id="272" w:name="_Toc509414833"/>
      <w:r>
        <w:rPr>
          <w:noProof/>
        </w:rPr>
        <w:t>What are the problems and the problem drivers?</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rsidR="00DF1A33" w:rsidRDefault="00456F01">
      <w:pPr>
        <w:pStyle w:val="Heading3"/>
        <w:keepLines/>
        <w:spacing w:before="200" w:after="0" w:line="276" w:lineRule="auto"/>
        <w:ind w:left="720"/>
        <w:jc w:val="left"/>
        <w:rPr>
          <w:noProof/>
        </w:rPr>
      </w:pPr>
      <w:bookmarkStart w:id="273" w:name="_Toc506363021"/>
      <w:bookmarkStart w:id="274" w:name="_Toc506369518"/>
      <w:bookmarkStart w:id="275" w:name="_Toc506376109"/>
      <w:bookmarkStart w:id="276" w:name="_Toc506378422"/>
      <w:bookmarkStart w:id="277" w:name="_Toc506378502"/>
      <w:bookmarkStart w:id="278" w:name="_Toc509412602"/>
      <w:bookmarkStart w:id="279" w:name="_Toc509414778"/>
      <w:bookmarkStart w:id="280" w:name="_Toc509414834"/>
      <w:bookmarkStart w:id="281" w:name="_Toc503452283"/>
      <w:bookmarkStart w:id="282" w:name="_Toc503797277"/>
      <w:bookmarkStart w:id="283" w:name="_Toc503800734"/>
      <w:bookmarkStart w:id="284" w:name="_Toc504142938"/>
      <w:bookmarkStart w:id="285" w:name="_Toc504151644"/>
      <w:bookmarkStart w:id="286" w:name="_Toc504382928"/>
      <w:bookmarkStart w:id="287" w:name="_Toc504391071"/>
      <w:bookmarkStart w:id="288" w:name="_Toc504403160"/>
      <w:bookmarkStart w:id="289" w:name="_Toc504743630"/>
      <w:bookmarkStart w:id="290" w:name="_Toc504751181"/>
      <w:bookmarkStart w:id="291" w:name="_Toc504751355"/>
      <w:bookmarkStart w:id="292" w:name="_Toc505181977"/>
      <w:bookmarkStart w:id="293" w:name="_Toc505248631"/>
      <w:bookmarkStart w:id="294" w:name="_Toc505266507"/>
      <w:bookmarkStart w:id="295" w:name="_Toc505335358"/>
      <w:bookmarkStart w:id="296" w:name="_Toc505345829"/>
      <w:bookmarkStart w:id="297" w:name="_Toc505346417"/>
      <w:bookmarkStart w:id="298" w:name="_Toc505696655"/>
      <w:bookmarkStart w:id="299" w:name="_Toc505698141"/>
      <w:bookmarkStart w:id="300" w:name="_Toc505701654"/>
      <w:bookmarkStart w:id="301" w:name="_Toc505705141"/>
      <w:bookmarkStart w:id="302" w:name="_Toc505773132"/>
      <w:bookmarkStart w:id="303" w:name="_Toc505856846"/>
      <w:bookmarkStart w:id="304" w:name="_Toc505862290"/>
      <w:bookmarkStart w:id="305" w:name="_Toc505864855"/>
      <w:bookmarkStart w:id="306" w:name="_Toc505868710"/>
      <w:bookmarkStart w:id="307" w:name="_Toc505869177"/>
      <w:r>
        <w:rPr>
          <w:noProof/>
        </w:rPr>
        <w:t>Contextual drivers</w:t>
      </w:r>
      <w:bookmarkEnd w:id="273"/>
      <w:bookmarkEnd w:id="274"/>
      <w:bookmarkEnd w:id="275"/>
      <w:bookmarkEnd w:id="276"/>
      <w:bookmarkEnd w:id="277"/>
      <w:bookmarkEnd w:id="278"/>
      <w:bookmarkEnd w:id="279"/>
      <w:bookmarkEnd w:id="280"/>
    </w:p>
    <w:p w:rsidR="00DF1A33" w:rsidRDefault="00456F01">
      <w:pPr>
        <w:keepNext/>
        <w:jc w:val="both"/>
        <w:rPr>
          <w:rFonts w:ascii="Times New Roman" w:hAnsi="Times New Roman"/>
          <w:noProof/>
          <w:sz w:val="24"/>
        </w:rPr>
      </w:pPr>
      <w:r>
        <w:rPr>
          <w:rFonts w:ascii="Times New Roman" w:hAnsi="Times New Roman"/>
          <w:noProof/>
          <w:sz w:val="24"/>
        </w:rPr>
        <w:t xml:space="preserve">The advent of new technologies, in particular in the areas of data analytics and the Internet of Things, has had a significant </w:t>
      </w:r>
      <w:r>
        <w:rPr>
          <w:rFonts w:ascii="Times New Roman" w:hAnsi="Times New Roman"/>
          <w:noProof/>
          <w:sz w:val="24"/>
        </w:rPr>
        <w:t>impact on the way data can be exploited in the economy. Two key consequences of this trend are a growing demand from businesses for dynamic data and the need to have access to a larger pool of data.</w:t>
      </w:r>
    </w:p>
    <w:p w:rsidR="00DF1A33" w:rsidRDefault="00456F01">
      <w:pPr>
        <w:jc w:val="both"/>
        <w:rPr>
          <w:rFonts w:ascii="Times New Roman" w:hAnsi="Times New Roman"/>
          <w:noProof/>
          <w:sz w:val="24"/>
        </w:rPr>
      </w:pPr>
      <w:r>
        <w:rPr>
          <w:rFonts w:ascii="Times New Roman" w:hAnsi="Times New Roman"/>
          <w:noProof/>
          <w:sz w:val="24"/>
        </w:rPr>
        <w:t>Dynamic data is captured by sensors, which become ever sm</w:t>
      </w:r>
      <w:r>
        <w:rPr>
          <w:rFonts w:ascii="Times New Roman" w:hAnsi="Times New Roman"/>
          <w:noProof/>
          <w:sz w:val="24"/>
        </w:rPr>
        <w:t>aller, more performant and cheaper.</w:t>
      </w:r>
      <w:r>
        <w:rPr>
          <w:rStyle w:val="FootnoteReference"/>
          <w:rFonts w:ascii="Times New Roman" w:hAnsi="Times New Roman"/>
          <w:noProof/>
          <w:sz w:val="24"/>
        </w:rPr>
        <w:footnoteReference w:id="39"/>
      </w:r>
      <w:r>
        <w:rPr>
          <w:rFonts w:ascii="Times New Roman" w:hAnsi="Times New Roman"/>
          <w:noProof/>
          <w:sz w:val="24"/>
        </w:rPr>
        <w:t xml:space="preserve"> They hold valuable real-time data from industrial processes, personal activities or physical phenomena. This trend is further enhanced by increasing connectivity and sensor usage. It is estimated that 11 billion devices</w:t>
      </w:r>
      <w:r>
        <w:rPr>
          <w:rFonts w:ascii="Times New Roman" w:hAnsi="Times New Roman"/>
          <w:noProof/>
          <w:sz w:val="24"/>
        </w:rPr>
        <w:t xml:space="preserve"> are currently connected to the Internet and this should almost triple to 30 billion by 2020. The public sector, in line with widespread digitisation efforts and the impact of initiatives such as Smart Cities, will also produce growing amounts of sensor-ge</w:t>
      </w:r>
      <w:r>
        <w:rPr>
          <w:rFonts w:ascii="Times New Roman" w:hAnsi="Times New Roman"/>
          <w:noProof/>
          <w:sz w:val="24"/>
        </w:rPr>
        <w:t>nerated data. A</w:t>
      </w:r>
      <w:r>
        <w:rPr>
          <w:rFonts w:ascii="Times New Roman" w:hAnsi="Times New Roman" w:cs="Times New Roman"/>
          <w:noProof/>
          <w:sz w:val="24"/>
          <w:szCs w:val="24"/>
        </w:rPr>
        <w:t>ccess to such dynamic data can be greatly enhanced if public sector data holders use application programming interfaces (APIs), which allow controlled data access and exchange leading to new ways of interacting in an online environment.</w:t>
      </w:r>
      <w:r>
        <w:rPr>
          <w:rFonts w:ascii="Times New Roman" w:hAnsi="Times New Roman" w:cs="Times New Roman"/>
          <w:noProof/>
          <w:sz w:val="24"/>
          <w:szCs w:val="24"/>
          <w:vertAlign w:val="superscript"/>
        </w:rPr>
        <w:footnoteReference w:id="40"/>
      </w:r>
    </w:p>
    <w:p w:rsidR="00DF1A33" w:rsidRDefault="00456F01">
      <w:pPr>
        <w:jc w:val="both"/>
        <w:rPr>
          <w:rFonts w:ascii="Times New Roman" w:hAnsi="Times New Roman"/>
          <w:noProof/>
          <w:sz w:val="24"/>
        </w:rPr>
      </w:pPr>
      <w:r>
        <w:rPr>
          <w:rFonts w:ascii="Times New Roman" w:hAnsi="Times New Roman"/>
          <w:noProof/>
          <w:sz w:val="24"/>
        </w:rPr>
        <w:t>Apa</w:t>
      </w:r>
      <w:r>
        <w:rPr>
          <w:rFonts w:ascii="Times New Roman" w:hAnsi="Times New Roman"/>
          <w:noProof/>
          <w:sz w:val="24"/>
        </w:rPr>
        <w:t>rt from the rise in commercial exploitation of dynamic data, another contextual driver fuelled by advances in data processing technologies</w:t>
      </w:r>
      <w:r>
        <w:rPr>
          <w:rStyle w:val="FootnoteReference"/>
          <w:rFonts w:ascii="Times New Roman" w:hAnsi="Times New Roman"/>
          <w:noProof/>
          <w:sz w:val="24"/>
        </w:rPr>
        <w:footnoteReference w:id="41"/>
      </w:r>
      <w:r>
        <w:rPr>
          <w:rFonts w:ascii="Times New Roman" w:hAnsi="Times New Roman"/>
          <w:noProof/>
          <w:sz w:val="24"/>
        </w:rPr>
        <w:t xml:space="preserve"> is the need for businesses to be able to combine data from different sources. There are increasing economic opportun</w:t>
      </w:r>
      <w:r>
        <w:rPr>
          <w:rFonts w:ascii="Times New Roman" w:hAnsi="Times New Roman"/>
          <w:noProof/>
          <w:sz w:val="24"/>
        </w:rPr>
        <w:t>ities in accessing, using and re-using large volumes of data of different types and from different sources. Therefore it is important that different types of data are available for use in the data economy. At the same time, there is considerable heterogene</w:t>
      </w:r>
      <w:r>
        <w:rPr>
          <w:rFonts w:ascii="Times New Roman" w:hAnsi="Times New Roman"/>
          <w:noProof/>
          <w:sz w:val="24"/>
        </w:rPr>
        <w:t>ity in the types of data available from one Member State to another</w:t>
      </w:r>
      <w:r>
        <w:rPr>
          <w:rStyle w:val="FootnoteReference"/>
          <w:rFonts w:ascii="Times New Roman" w:hAnsi="Times New Roman"/>
          <w:noProof/>
          <w:sz w:val="24"/>
        </w:rPr>
        <w:footnoteReference w:id="42"/>
      </w:r>
      <w:r>
        <w:rPr>
          <w:rFonts w:ascii="Times New Roman" w:hAnsi="Times New Roman"/>
          <w:noProof/>
          <w:sz w:val="24"/>
        </w:rPr>
        <w:t>,</w:t>
      </w:r>
      <w:r>
        <w:rPr>
          <w:rStyle w:val="FootnoteReference"/>
          <w:rFonts w:ascii="Times New Roman" w:hAnsi="Times New Roman"/>
          <w:noProof/>
          <w:sz w:val="24"/>
        </w:rPr>
        <w:t xml:space="preserve"> </w:t>
      </w:r>
      <w:r>
        <w:rPr>
          <w:rFonts w:ascii="Times New Roman" w:hAnsi="Times New Roman"/>
          <w:noProof/>
          <w:sz w:val="24"/>
        </w:rPr>
        <w:t>with some countries moving ahead through legislation and making more types of data freely available in new areas of public interest, while others are lagging behind.</w:t>
      </w:r>
    </w:p>
    <w:p w:rsidR="00DF1A33" w:rsidRDefault="00456F01">
      <w:pPr>
        <w:jc w:val="both"/>
        <w:rPr>
          <w:rFonts w:ascii="Times New Roman" w:hAnsi="Times New Roman"/>
          <w:noProof/>
          <w:sz w:val="24"/>
        </w:rPr>
      </w:pPr>
      <w:r>
        <w:rPr>
          <w:rFonts w:ascii="Times New Roman" w:hAnsi="Times New Roman"/>
          <w:noProof/>
          <w:sz w:val="24"/>
        </w:rPr>
        <w:t xml:space="preserve">In this context, </w:t>
      </w:r>
      <w:r>
        <w:rPr>
          <w:rFonts w:ascii="Times New Roman" w:hAnsi="Times New Roman" w:cs="Times New Roman"/>
          <w:noProof/>
          <w:sz w:val="24"/>
          <w:szCs w:val="24"/>
        </w:rPr>
        <w:t>there is an understandable tendency on the part of commercial players to seek preferential access to large public datasets. These datasets can give a competitive advantage for added-value information services and products, or be used to train artificial in</w:t>
      </w:r>
      <w:r>
        <w:rPr>
          <w:rFonts w:ascii="Times New Roman" w:hAnsi="Times New Roman" w:cs="Times New Roman"/>
          <w:noProof/>
          <w:sz w:val="24"/>
          <w:szCs w:val="24"/>
        </w:rPr>
        <w:t xml:space="preserve">telligence systems. This has led to </w:t>
      </w:r>
      <w:r>
        <w:rPr>
          <w:rFonts w:ascii="Times New Roman" w:hAnsi="Times New Roman"/>
          <w:noProof/>
          <w:sz w:val="24"/>
        </w:rPr>
        <w:t>the emergence of cases in which preferential arrangements between public sector bodies and commercial players have led to data lock-in, thus making the prospect of the exploitation of such data by other actors commercial</w:t>
      </w:r>
      <w:r>
        <w:rPr>
          <w:rFonts w:ascii="Times New Roman" w:hAnsi="Times New Roman"/>
          <w:noProof/>
          <w:sz w:val="24"/>
        </w:rPr>
        <w:t>ly unviable.</w:t>
      </w:r>
    </w:p>
    <w:p w:rsidR="00DF1A33" w:rsidRDefault="00456F01">
      <w:pPr>
        <w:jc w:val="both"/>
        <w:rPr>
          <w:rFonts w:ascii="Times New Roman" w:hAnsi="Times New Roman"/>
          <w:noProof/>
          <w:sz w:val="24"/>
        </w:rPr>
      </w:pPr>
      <w:r>
        <w:rPr>
          <w:rFonts w:ascii="Times New Roman" w:hAnsi="Times New Roman" w:cs="Times New Roman"/>
          <w:noProof/>
          <w:sz w:val="24"/>
          <w:szCs w:val="24"/>
        </w:rPr>
        <w:t xml:space="preserve">Finally, </w:t>
      </w:r>
      <w:r>
        <w:rPr>
          <w:rFonts w:ascii="Times New Roman" w:hAnsi="Times New Roman"/>
          <w:noProof/>
          <w:sz w:val="24"/>
        </w:rPr>
        <w:t>the long-standing budgetary pressure on public sector bodies encourages some of them to cover a part of their operating costs from commercial activities, such as charging for the re-use of their data. Although seemingly it would appea</w:t>
      </w:r>
      <w:r>
        <w:rPr>
          <w:rFonts w:ascii="Times New Roman" w:hAnsi="Times New Roman"/>
          <w:noProof/>
          <w:sz w:val="24"/>
        </w:rPr>
        <w:t>r that in an environment where public authorities are subject to budget constraints, revenue generation from data could be a viable source of financing, it has been proved that this approach leads to sub-optimal results from a macro-economic perspective.</w:t>
      </w:r>
      <w:r>
        <w:rPr>
          <w:rStyle w:val="FootnoteReference"/>
          <w:rFonts w:ascii="Times New Roman" w:hAnsi="Times New Roman"/>
          <w:noProof/>
          <w:sz w:val="24"/>
        </w:rPr>
        <w:footnoteReference w:id="43"/>
      </w:r>
      <w:r>
        <w:rPr>
          <w:rFonts w:ascii="Times New Roman" w:hAnsi="Times New Roman"/>
          <w:noProof/>
          <w:sz w:val="24"/>
        </w:rPr>
        <w:t xml:space="preserve"> </w:t>
      </w:r>
      <w:r>
        <w:rPr>
          <w:rFonts w:ascii="Times New Roman" w:hAnsi="Times New Roman"/>
          <w:noProof/>
          <w:sz w:val="24"/>
        </w:rPr>
        <w:t>One of the widely accepted and evidence-based</w:t>
      </w:r>
      <w:r>
        <w:rPr>
          <w:rStyle w:val="FootnoteReference"/>
          <w:rFonts w:ascii="Times New Roman" w:hAnsi="Times New Roman"/>
          <w:noProof/>
          <w:sz w:val="24"/>
        </w:rPr>
        <w:footnoteReference w:id="44"/>
      </w:r>
      <w:r>
        <w:rPr>
          <w:rFonts w:ascii="Times New Roman" w:hAnsi="Times New Roman"/>
          <w:noProof/>
          <w:sz w:val="24"/>
        </w:rPr>
        <w:t xml:space="preserve"> principles of the amending Directive 2013/37 EU is that public sector bodies should not apply any charges or limit them to what is needed to cover the marginal costs of reproduction and dissemination of the da</w:t>
      </w:r>
      <w:r>
        <w:rPr>
          <w:rFonts w:ascii="Times New Roman" w:hAnsi="Times New Roman"/>
          <w:noProof/>
          <w:sz w:val="24"/>
        </w:rPr>
        <w:t>ta. Since in the digital environment such costs are minimal, the charging principle of the PSI Directive can be said to be that of zero (or at most marginal cost) pricing.</w:t>
      </w:r>
    </w:p>
    <w:p w:rsidR="00DF1A33" w:rsidRDefault="00456F01">
      <w:pPr>
        <w:jc w:val="both"/>
        <w:rPr>
          <w:rFonts w:ascii="Times New Roman" w:hAnsi="Times New Roman"/>
          <w:noProof/>
          <w:sz w:val="24"/>
        </w:rPr>
      </w:pPr>
      <w:r>
        <w:rPr>
          <w:rFonts w:ascii="Times New Roman" w:hAnsi="Times New Roman"/>
          <w:noProof/>
          <w:sz w:val="24"/>
        </w:rPr>
        <w:t>These contextual drivers are at the basis of the following four problem areas identi</w:t>
      </w:r>
      <w:r>
        <w:rPr>
          <w:rFonts w:ascii="Times New Roman" w:hAnsi="Times New Roman"/>
          <w:noProof/>
          <w:sz w:val="24"/>
        </w:rPr>
        <w:t>fied in the evaluation of the Directive and discussed below: 1) Insufficient use of methods for access and re-use of dynamic data by machines; 2) Market entry barriers and fragmentation; 3) Insufficient availability of public and publicly-funded data for r</w:t>
      </w:r>
      <w:r>
        <w:rPr>
          <w:rFonts w:ascii="Times New Roman" w:hAnsi="Times New Roman"/>
          <w:noProof/>
          <w:sz w:val="24"/>
        </w:rPr>
        <w:t>e-use; 4) Distortion of competition in the internal market. All these problem areas prevent the full  exploitation of the economic opportunities offered by public sector information and create fragmentation on the single market, albeit to different degrees</w:t>
      </w:r>
      <w:r>
        <w:rPr>
          <w:rFonts w:ascii="Times New Roman" w:hAnsi="Times New Roman"/>
          <w:noProof/>
          <w:sz w:val="24"/>
        </w:rPr>
        <w:t>. The public consultation process has confirmed that the first three are the most significant and would require swift regulatory intervention. The fourth one is a new, emerging issue, which has had limited negative impact so far, but given the growing sign</w:t>
      </w:r>
      <w:r>
        <w:rPr>
          <w:rFonts w:ascii="Times New Roman" w:hAnsi="Times New Roman"/>
          <w:noProof/>
          <w:sz w:val="24"/>
        </w:rPr>
        <w:t xml:space="preserve">ificance of data in the economy it is reasonable to expect that its impact will grow, thus justifying intervention at this stage. </w:t>
      </w:r>
    </w:p>
    <w:p w:rsidR="00DF1A33" w:rsidRDefault="00456F01">
      <w:pPr>
        <w:pStyle w:val="Heading3"/>
        <w:keepNext w:val="0"/>
        <w:keepLines/>
        <w:spacing w:before="200" w:after="0" w:line="276" w:lineRule="auto"/>
        <w:ind w:left="720"/>
        <w:jc w:val="left"/>
        <w:rPr>
          <w:noProof/>
          <w:szCs w:val="24"/>
        </w:rPr>
      </w:pPr>
      <w:bookmarkStart w:id="308" w:name="_Toc506363022"/>
      <w:bookmarkStart w:id="309" w:name="_Toc506369519"/>
      <w:bookmarkStart w:id="310" w:name="_Toc506376110"/>
      <w:bookmarkStart w:id="311" w:name="_Toc506378423"/>
      <w:bookmarkStart w:id="312" w:name="_Toc506378503"/>
      <w:bookmarkStart w:id="313" w:name="_Toc509412603"/>
      <w:bookmarkStart w:id="314" w:name="_Toc509414779"/>
      <w:bookmarkStart w:id="315" w:name="_Toc509414835"/>
      <w:r>
        <w:rPr>
          <w:noProof/>
          <w:szCs w:val="24"/>
        </w:rPr>
        <w:t>Problem area No. 1:  Insufficient use of methods for access and re-use of dynamic data</w:t>
      </w:r>
      <w:bookmarkEnd w:id="281"/>
      <w:bookmarkEnd w:id="282"/>
      <w:bookmarkEnd w:id="283"/>
      <w:bookmarkEnd w:id="284"/>
      <w:bookmarkEnd w:id="285"/>
      <w:bookmarkEnd w:id="286"/>
      <w:bookmarkEnd w:id="287"/>
      <w:bookmarkEnd w:id="288"/>
      <w:bookmarkEnd w:id="289"/>
      <w:bookmarkEnd w:id="290"/>
      <w:bookmarkEnd w:id="291"/>
      <w:r>
        <w:rPr>
          <w:noProof/>
          <w:szCs w:val="24"/>
        </w:rPr>
        <w:t xml:space="preserve"> by machines</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DF1A33" w:rsidRDefault="00456F01">
      <w:pPr>
        <w:jc w:val="both"/>
        <w:rPr>
          <w:rFonts w:ascii="Times New Roman" w:hAnsi="Times New Roman"/>
          <w:noProof/>
          <w:sz w:val="24"/>
        </w:rPr>
      </w:pPr>
      <w:r>
        <w:rPr>
          <w:rFonts w:ascii="Times New Roman" w:hAnsi="Times New Roman"/>
          <w:noProof/>
          <w:sz w:val="24"/>
        </w:rPr>
        <w:t>T</w:t>
      </w:r>
      <w:r>
        <w:rPr>
          <w:rFonts w:ascii="Times New Roman" w:hAnsi="Times New Roman" w:cs="Times New Roman"/>
          <w:noProof/>
          <w:sz w:val="24"/>
          <w:szCs w:val="24"/>
        </w:rPr>
        <w:t xml:space="preserve">he percentage of dynamic </w:t>
      </w:r>
      <w:r>
        <w:rPr>
          <w:rFonts w:ascii="Times New Roman" w:hAnsi="Times New Roman" w:cs="Times New Roman"/>
          <w:noProof/>
          <w:sz w:val="24"/>
          <w:szCs w:val="24"/>
        </w:rPr>
        <w:t>data being made available by public sector bodies, despite its high re-use potential, is still very low.</w:t>
      </w:r>
      <w:r>
        <w:rPr>
          <w:rStyle w:val="FootnoteReference"/>
          <w:rFonts w:ascii="Times New Roman" w:hAnsi="Times New Roman" w:cs="Times New Roman"/>
          <w:noProof/>
          <w:sz w:val="24"/>
          <w:szCs w:val="24"/>
        </w:rPr>
        <w:footnoteReference w:id="45"/>
      </w:r>
      <w:r>
        <w:rPr>
          <w:rFonts w:ascii="Times New Roman" w:hAnsi="Times New Roman"/>
          <w:noProof/>
          <w:sz w:val="24"/>
        </w:rPr>
        <w:t xml:space="preserve"> The Impact Assessment study confirms that the delivery of dynamic data is an important challenge for public bodies collecting that type of information</w:t>
      </w:r>
      <w:r>
        <w:rPr>
          <w:rFonts w:ascii="Times New Roman" w:hAnsi="Times New Roman"/>
          <w:noProof/>
          <w:sz w:val="24"/>
        </w:rPr>
        <w:t xml:space="preserve"> as many of those are not adequately equipped.</w:t>
      </w:r>
      <w:r>
        <w:rPr>
          <w:rStyle w:val="FootnoteReference"/>
          <w:rFonts w:ascii="Times New Roman" w:hAnsi="Times New Roman"/>
          <w:noProof/>
          <w:sz w:val="24"/>
        </w:rPr>
        <w:footnoteReference w:id="46"/>
      </w:r>
      <w:r>
        <w:rPr>
          <w:rFonts w:ascii="Times New Roman" w:hAnsi="Times New Roman"/>
          <w:noProof/>
          <w:sz w:val="24"/>
        </w:rPr>
        <w:t xml:space="preserve"> </w:t>
      </w:r>
      <w:r>
        <w:rPr>
          <w:rFonts w:ascii="Times New Roman" w:hAnsi="Times New Roman" w:cs="Times New Roman"/>
          <w:noProof/>
          <w:sz w:val="24"/>
          <w:szCs w:val="24"/>
        </w:rPr>
        <w:t xml:space="preserve">This can be due to the </w:t>
      </w:r>
      <w:r>
        <w:rPr>
          <w:rFonts w:ascii="Times New Roman" w:eastAsia="LiberationSans" w:hAnsi="Times New Roman"/>
          <w:noProof/>
          <w:sz w:val="24"/>
          <w:szCs w:val="24"/>
          <w:lang w:eastAsia="en-GB"/>
        </w:rPr>
        <w:t>technical limitations and requirements that appear when the frequency to update datasets is shorter than a minute, or to the lack of resources.</w:t>
      </w:r>
      <w:r>
        <w:rPr>
          <w:rFonts w:ascii="Times New Roman" w:hAnsi="Times New Roman" w:cs="Times New Roman"/>
          <w:noProof/>
          <w:sz w:val="24"/>
          <w:szCs w:val="24"/>
        </w:rPr>
        <w:t xml:space="preserve"> </w:t>
      </w:r>
      <w:r>
        <w:rPr>
          <w:rFonts w:ascii="Times New Roman" w:hAnsi="Times New Roman"/>
          <w:noProof/>
          <w:sz w:val="24"/>
        </w:rPr>
        <w:t>Additional drivers behind this problem ar</w:t>
      </w:r>
      <w:r>
        <w:rPr>
          <w:rFonts w:ascii="Times New Roman" w:hAnsi="Times New Roman"/>
          <w:noProof/>
          <w:sz w:val="24"/>
        </w:rPr>
        <w:t>e low awareness of the benefits of APIs and low awareness of the value that real-time data has for the creation of commercial applications. The insufficient use of APIs or other methods for access and the re-use of dynamic data by machines has been confirm</w:t>
      </w:r>
      <w:r>
        <w:rPr>
          <w:rFonts w:ascii="Times New Roman" w:hAnsi="Times New Roman"/>
          <w:noProof/>
          <w:sz w:val="24"/>
        </w:rPr>
        <w:t xml:space="preserve">ed by stakeholders, in particular from the re-user community, who </w:t>
      </w:r>
      <w:r>
        <w:rPr>
          <w:rFonts w:ascii="Times New Roman" w:hAnsi="Times New Roman"/>
          <w:noProof/>
          <w:sz w:val="24"/>
          <w:szCs w:val="24"/>
        </w:rPr>
        <w:t>recognise this issue as one of the main barriers for data re-use. This was for instance emphasised in the Commission's 2017 public consultation on 'Building a European data economy initiativ</w:t>
      </w:r>
      <w:r>
        <w:rPr>
          <w:rFonts w:ascii="Times New Roman" w:hAnsi="Times New Roman"/>
          <w:noProof/>
          <w:sz w:val="24"/>
          <w:szCs w:val="24"/>
        </w:rPr>
        <w:t>e' where the summary report noted that 68% of respondents clearly support an increased use of APIs.</w:t>
      </w:r>
      <w:r>
        <w:rPr>
          <w:rFonts w:ascii="Times New Roman" w:hAnsi="Times New Roman"/>
          <w:noProof/>
          <w:sz w:val="24"/>
          <w:vertAlign w:val="superscript"/>
        </w:rPr>
        <w:footnoteReference w:id="47"/>
      </w:r>
    </w:p>
    <w:p w:rsidR="00DF1A33" w:rsidRDefault="00456F01">
      <w:pPr>
        <w:jc w:val="both"/>
        <w:rPr>
          <w:rFonts w:ascii="Times New Roman" w:hAnsi="Times New Roman"/>
          <w:noProof/>
          <w:sz w:val="24"/>
        </w:rPr>
      </w:pPr>
      <w:r>
        <w:rPr>
          <w:rFonts w:ascii="Times New Roman" w:hAnsi="Times New Roman"/>
          <w:noProof/>
          <w:sz w:val="24"/>
        </w:rPr>
        <w:t>In a recent study based on a representative sample of the total volume of public sector information (20,000 datasets), it was found that while the majority</w:t>
      </w:r>
      <w:r>
        <w:rPr>
          <w:rFonts w:ascii="Times New Roman" w:hAnsi="Times New Roman"/>
          <w:noProof/>
          <w:sz w:val="24"/>
        </w:rPr>
        <w:t xml:space="preserve"> of services generated from open data are based on real-time data (66%), less than 1% of the data published in open portals are updated in real time.</w:t>
      </w:r>
      <w:r>
        <w:rPr>
          <w:rFonts w:ascii="Times New Roman" w:hAnsi="Times New Roman"/>
          <w:noProof/>
          <w:sz w:val="24"/>
          <w:vertAlign w:val="superscript"/>
        </w:rPr>
        <w:footnoteReference w:id="48"/>
      </w:r>
      <w:r>
        <w:rPr>
          <w:rFonts w:ascii="Times New Roman" w:hAnsi="Times New Roman"/>
          <w:noProof/>
          <w:sz w:val="24"/>
        </w:rPr>
        <w:t xml:space="preserve"> While the usability and commercial potential of dynamic data is directly related to its immediate availab</w:t>
      </w:r>
      <w:r>
        <w:rPr>
          <w:rFonts w:ascii="Times New Roman" w:hAnsi="Times New Roman"/>
          <w:noProof/>
          <w:sz w:val="24"/>
        </w:rPr>
        <w:t>ility, there is little awareness and competence among the public sector institutions regarding the available tools and methods, such as APIs, that could enable such availability. Given the budget pressure, there is also reluctance to invest in new technolo</w:t>
      </w:r>
      <w:r>
        <w:rPr>
          <w:rFonts w:ascii="Times New Roman" w:hAnsi="Times New Roman"/>
          <w:noProof/>
          <w:sz w:val="24"/>
        </w:rPr>
        <w:t>gies.</w:t>
      </w:r>
    </w:p>
    <w:p w:rsidR="00DF1A33" w:rsidRDefault="00456F01">
      <w:pPr>
        <w:jc w:val="both"/>
        <w:rPr>
          <w:rFonts w:ascii="Times New Roman" w:hAnsi="Times New Roman" w:cs="Times New Roman"/>
          <w:noProof/>
          <w:sz w:val="24"/>
        </w:rPr>
      </w:pPr>
      <w:r>
        <w:rPr>
          <w:rFonts w:ascii="Times New Roman" w:hAnsi="Times New Roman" w:cs="Times New Roman"/>
          <w:noProof/>
          <w:sz w:val="24"/>
          <w:szCs w:val="24"/>
        </w:rPr>
        <w:t>Apart from the fact that public data is not systematically provided through APIs, there are considerable differences between Member States in this area.</w:t>
      </w:r>
      <w:r>
        <w:rPr>
          <w:rFonts w:ascii="Times New Roman" w:hAnsi="Times New Roman" w:cs="Times New Roman"/>
          <w:noProof/>
          <w:sz w:val="24"/>
          <w:szCs w:val="24"/>
          <w:vertAlign w:val="superscript"/>
        </w:rPr>
        <w:footnoteReference w:id="49"/>
      </w:r>
      <w:r>
        <w:rPr>
          <w:rFonts w:ascii="Times New Roman" w:hAnsi="Times New Roman" w:cs="Times New Roman"/>
          <w:noProof/>
          <w:sz w:val="24"/>
          <w:szCs w:val="24"/>
        </w:rPr>
        <w:t xml:space="preserve"> This is for example clear in the way in which their national portals can be accessed.  </w:t>
      </w:r>
      <w:r>
        <w:rPr>
          <w:rFonts w:ascii="Times New Roman" w:hAnsi="Times New Roman" w:cs="Times New Roman"/>
          <w:noProof/>
          <w:sz w:val="24"/>
          <w:szCs w:val="24"/>
          <w:lang w:val="uz-Cyrl-UZ"/>
        </w:rPr>
        <w:t>Austria t</w:t>
      </w:r>
      <w:r>
        <w:rPr>
          <w:rFonts w:ascii="Times New Roman" w:hAnsi="Times New Roman" w:cs="Times New Roman"/>
          <w:noProof/>
          <w:sz w:val="24"/>
          <w:szCs w:val="24"/>
          <w:lang w:val="uz-Cyrl-UZ"/>
        </w:rPr>
        <w:t>ops</w:t>
      </w:r>
      <w:r>
        <w:rPr>
          <w:rFonts w:ascii="Times New Roman" w:hAnsi="Times New Roman" w:cs="Times New Roman"/>
          <w:noProof/>
          <w:sz w:val="24"/>
          <w:szCs w:val="24"/>
        </w:rPr>
        <w:t xml:space="preserve"> </w:t>
      </w:r>
      <w:r>
        <w:rPr>
          <w:rFonts w:ascii="Times New Roman" w:hAnsi="Times New Roman" w:cs="Times New Roman"/>
          <w:noProof/>
          <w:sz w:val="24"/>
          <w:szCs w:val="24"/>
          <w:lang w:val="uz-Cyrl-UZ"/>
        </w:rPr>
        <w:t>the lis</w:t>
      </w:r>
      <w:r>
        <w:rPr>
          <w:rFonts w:ascii="Times New Roman" w:hAnsi="Times New Roman" w:cs="Times New Roman"/>
          <w:noProof/>
          <w:sz w:val="24"/>
          <w:szCs w:val="24"/>
        </w:rPr>
        <w:t>t</w:t>
      </w:r>
      <w:r>
        <w:rPr>
          <w:rFonts w:ascii="Times New Roman" w:hAnsi="Times New Roman" w:cs="Times New Roman"/>
          <w:noProof/>
          <w:sz w:val="24"/>
          <w:szCs w:val="24"/>
          <w:lang w:val="uz-Cyrl-UZ"/>
        </w:rPr>
        <w:t xml:space="preserve">, with 71-85% of all visits to its portal deriving from machine traffic. Romania comes second, with 41-55% of its traffic coming via API calls, followed by the UK with 26-40% of visits. 22 </w:t>
      </w:r>
      <w:r>
        <w:rPr>
          <w:rFonts w:ascii="Times New Roman" w:hAnsi="Times New Roman" w:cs="Times New Roman"/>
          <w:noProof/>
          <w:sz w:val="24"/>
          <w:szCs w:val="24"/>
        </w:rPr>
        <w:t>out</w:t>
      </w:r>
      <w:r>
        <w:rPr>
          <w:rFonts w:ascii="Times New Roman" w:hAnsi="Times New Roman"/>
          <w:noProof/>
          <w:sz w:val="24"/>
        </w:rPr>
        <w:t xml:space="preserve"> </w:t>
      </w:r>
      <w:r>
        <w:rPr>
          <w:rFonts w:ascii="Times New Roman" w:hAnsi="Times New Roman" w:cs="Times New Roman"/>
          <w:noProof/>
          <w:sz w:val="24"/>
          <w:szCs w:val="24"/>
          <w:lang w:val="uz-Cyrl-UZ"/>
        </w:rPr>
        <w:t xml:space="preserve">of 28 Member States had API traffic of less than </w:t>
      </w:r>
      <w:r>
        <w:rPr>
          <w:rFonts w:ascii="Times New Roman" w:hAnsi="Times New Roman" w:cs="Times New Roman"/>
          <w:noProof/>
          <w:sz w:val="24"/>
          <w:szCs w:val="24"/>
          <w:lang w:val="uz-Cyrl-UZ"/>
        </w:rPr>
        <w:t>10%.</w:t>
      </w:r>
      <w:r>
        <w:rPr>
          <w:rFonts w:ascii="Times New Roman" w:hAnsi="Times New Roman" w:cs="Times New Roman"/>
          <w:noProof/>
          <w:sz w:val="24"/>
          <w:szCs w:val="24"/>
          <w:vertAlign w:val="superscript"/>
          <w:lang w:val="uz-Cyrl-UZ"/>
        </w:rPr>
        <w:footnoteReference w:id="50"/>
      </w:r>
      <w:r>
        <w:rPr>
          <w:rFonts w:ascii="Times New Roman" w:hAnsi="Times New Roman" w:cs="Times New Roman"/>
          <w:noProof/>
          <w:sz w:val="24"/>
          <w:szCs w:val="24"/>
          <w:lang w:val="uz-Cyrl-UZ"/>
        </w:rPr>
        <w:t xml:space="preserve"> </w:t>
      </w:r>
      <w:r>
        <w:rPr>
          <w:rFonts w:ascii="Times New Roman" w:hAnsi="Times New Roman" w:cs="Times New Roman"/>
          <w:noProof/>
          <w:sz w:val="24"/>
          <w:szCs w:val="24"/>
        </w:rPr>
        <w:t>The figures are encouraging in the sense that the most costly investments on the national level have already been made. Yet, it can be safely assumed that on the lower levels of government, the provision of APIs and their actual usage are less widesp</w:t>
      </w:r>
      <w:r>
        <w:rPr>
          <w:rFonts w:ascii="Times New Roman" w:hAnsi="Times New Roman" w:cs="Times New Roman"/>
          <w:noProof/>
          <w:sz w:val="24"/>
          <w:szCs w:val="24"/>
        </w:rPr>
        <w:t>read, despite clear benefits: cities produce data in many forms and from many sources, and the wide variety of formats makes it difficult to scale open data applications from city to city.</w:t>
      </w:r>
      <w:r>
        <w:rPr>
          <w:rStyle w:val="FootnoteReference"/>
          <w:rFonts w:ascii="Times New Roman" w:hAnsi="Times New Roman" w:cs="Times New Roman"/>
          <w:noProof/>
          <w:sz w:val="24"/>
          <w:szCs w:val="24"/>
        </w:rPr>
        <w:footnoteReference w:id="51"/>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The results of the online public consultation indicate that stakeh</w:t>
      </w:r>
      <w:r>
        <w:rPr>
          <w:rFonts w:ascii="Times New Roman" w:hAnsi="Times New Roman" w:cs="Times New Roman"/>
          <w:noProof/>
          <w:sz w:val="24"/>
          <w:szCs w:val="24"/>
        </w:rPr>
        <w:t>olders in general ask for wider availability of dynamic data and APIs from the public sector.</w:t>
      </w:r>
      <w:r>
        <w:rPr>
          <w:rStyle w:val="FootnoteReference"/>
          <w:noProof/>
          <w:szCs w:val="24"/>
        </w:rPr>
        <w:footnoteReference w:id="52"/>
      </w:r>
      <w:r>
        <w:rPr>
          <w:rFonts w:ascii="Times New Roman" w:hAnsi="Times New Roman" w:cs="Times New Roman"/>
          <w:noProof/>
          <w:sz w:val="24"/>
          <w:szCs w:val="24"/>
        </w:rPr>
        <w:t xml:space="preserve"> 77% of stakeholders were in favour or strongly in favour of further investments to be made to encourage public sector bodies to provide dynamic data in real time</w:t>
      </w:r>
      <w:r>
        <w:rPr>
          <w:rFonts w:ascii="Times New Roman" w:hAnsi="Times New Roman" w:cs="Times New Roman"/>
          <w:noProof/>
          <w:sz w:val="24"/>
          <w:szCs w:val="24"/>
        </w:rPr>
        <w:t xml:space="preserve"> and invest in technical solutions facilitating data usability, in particular through APIs. Respondents also requested </w:t>
      </w:r>
      <w:r>
        <w:rPr>
          <w:rFonts w:ascii="Times New Roman" w:hAnsi="Times New Roman"/>
          <w:noProof/>
          <w:sz w:val="24"/>
        </w:rPr>
        <w:t>dynamic data generated by the public sector for further re-use.</w:t>
      </w:r>
      <w:r>
        <w:rPr>
          <w:rFonts w:ascii="Times New Roman" w:hAnsi="Times New Roman" w:cs="Times New Roman"/>
          <w:noProof/>
          <w:sz w:val="24"/>
          <w:szCs w:val="24"/>
        </w:rPr>
        <w:t xml:space="preserve"> This position was strongly voiced by the PSI re-users in particular.</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noProof/>
          <w:sz w:val="24"/>
          <w:szCs w:val="24"/>
        </w:rPr>
        <w:t>findings of the Evaluation Report</w:t>
      </w:r>
      <w:r>
        <w:rPr>
          <w:rStyle w:val="FootnoteReference"/>
          <w:rFonts w:ascii="Times New Roman" w:hAnsi="Times New Roman" w:cs="Times New Roman"/>
          <w:noProof/>
          <w:sz w:val="24"/>
          <w:szCs w:val="24"/>
        </w:rPr>
        <w:footnoteReference w:id="53"/>
      </w:r>
      <w:r>
        <w:rPr>
          <w:rFonts w:ascii="Times New Roman" w:hAnsi="Times New Roman" w:cs="Times New Roman"/>
          <w:noProof/>
          <w:sz w:val="24"/>
          <w:szCs w:val="24"/>
        </w:rPr>
        <w:t xml:space="preserve"> and a dedicated external study</w:t>
      </w:r>
      <w:r>
        <w:rPr>
          <w:rStyle w:val="FootnoteReference"/>
          <w:rFonts w:ascii="Times New Roman" w:hAnsi="Times New Roman" w:cs="Times New Roman"/>
          <w:noProof/>
          <w:sz w:val="24"/>
          <w:szCs w:val="24"/>
        </w:rPr>
        <w:footnoteReference w:id="54"/>
      </w:r>
      <w:r>
        <w:rPr>
          <w:rFonts w:ascii="Times New Roman" w:hAnsi="Times New Roman" w:cs="Times New Roman"/>
          <w:noProof/>
          <w:sz w:val="24"/>
          <w:szCs w:val="24"/>
        </w:rPr>
        <w:t xml:space="preserve"> confirm that </w:t>
      </w:r>
      <w:r>
        <w:rPr>
          <w:rFonts w:ascii="Times New Roman" w:hAnsi="Times New Roman" w:cs="Times New Roman"/>
          <w:noProof/>
          <w:sz w:val="24"/>
          <w:szCs w:val="24"/>
          <w:lang w:val="en-US"/>
        </w:rPr>
        <w:t>instead of this being just a legal requirement which is imposed on public sector bodies, additional practical support is necessary for many public sector bodies across Europe t</w:t>
      </w:r>
      <w:r>
        <w:rPr>
          <w:rFonts w:ascii="Times New Roman" w:hAnsi="Times New Roman" w:cs="Times New Roman"/>
          <w:noProof/>
          <w:sz w:val="24"/>
          <w:szCs w:val="24"/>
          <w:lang w:val="en-US"/>
        </w:rPr>
        <w:t>o move towards web-based functionalities and a more wide-spread use of dynamic data and APIs in general. P</w:t>
      </w:r>
      <w:r>
        <w:rPr>
          <w:rFonts w:ascii="Times New Roman" w:hAnsi="Times New Roman"/>
          <w:noProof/>
          <w:sz w:val="24"/>
          <w:lang w:val="en-US"/>
        </w:rPr>
        <w:t xml:space="preserve">ublic sector bodies </w:t>
      </w:r>
      <w:r>
        <w:rPr>
          <w:rFonts w:ascii="Times New Roman" w:hAnsi="Times New Roman" w:cs="Times New Roman"/>
          <w:noProof/>
          <w:sz w:val="24"/>
          <w:szCs w:val="24"/>
          <w:lang w:val="en-US"/>
        </w:rPr>
        <w:t>seem to need additional assistance to be able to offer</w:t>
      </w:r>
      <w:r>
        <w:rPr>
          <w:rFonts w:ascii="Times New Roman" w:hAnsi="Times New Roman"/>
          <w:noProof/>
          <w:sz w:val="24"/>
          <w:lang w:val="en-US"/>
        </w:rPr>
        <w:t xml:space="preserve"> data as a service</w:t>
      </w:r>
      <w:r>
        <w:rPr>
          <w:rFonts w:ascii="Times New Roman" w:hAnsi="Times New Roman" w:cs="Times New Roman"/>
          <w:noProof/>
          <w:sz w:val="24"/>
          <w:szCs w:val="24"/>
          <w:lang w:val="en-US"/>
        </w:rPr>
        <w:t xml:space="preserve"> and in a dynamic way. </w:t>
      </w:r>
      <w:r>
        <w:rPr>
          <w:rFonts w:ascii="Times New Roman" w:hAnsi="Times New Roman"/>
          <w:noProof/>
          <w:sz w:val="24"/>
          <w:lang w:val="en-US"/>
        </w:rPr>
        <w:t>It is important to note that this a</w:t>
      </w:r>
      <w:r>
        <w:rPr>
          <w:rFonts w:ascii="Times New Roman" w:hAnsi="Times New Roman"/>
          <w:noProof/>
          <w:sz w:val="24"/>
          <w:lang w:val="en-US"/>
        </w:rPr>
        <w:t xml:space="preserve">pproach cannot apply to all types of PSI (e.g. court decisions), but will be invaluable for others, as document-based mechanisms in various cases will not work (e.g. </w:t>
      </w:r>
      <w:r>
        <w:rPr>
          <w:rFonts w:ascii="Times New Roman" w:hAnsi="Times New Roman" w:cs="Times New Roman"/>
          <w:noProof/>
          <w:sz w:val="24"/>
          <w:szCs w:val="24"/>
          <w:lang w:val="en-US"/>
        </w:rPr>
        <w:t xml:space="preserve">in the case of </w:t>
      </w:r>
      <w:r>
        <w:rPr>
          <w:rFonts w:ascii="Times New Roman" w:hAnsi="Times New Roman"/>
          <w:noProof/>
          <w:sz w:val="24"/>
          <w:lang w:val="en-US"/>
        </w:rPr>
        <w:t xml:space="preserve">location apps). </w:t>
      </w:r>
    </w:p>
    <w:p w:rsidR="00DF1A33" w:rsidRDefault="00456F01">
      <w:pPr>
        <w:jc w:val="both"/>
        <w:rPr>
          <w:rFonts w:ascii="Times New Roman" w:hAnsi="Times New Roman"/>
          <w:noProof/>
          <w:sz w:val="24"/>
        </w:rPr>
      </w:pPr>
      <w:r>
        <w:rPr>
          <w:rFonts w:ascii="Times New Roman" w:hAnsi="Times New Roman" w:cs="Times New Roman"/>
          <w:noProof/>
          <w:sz w:val="24"/>
          <w:szCs w:val="24"/>
        </w:rPr>
        <w:t>While other technological trends such as the need for mach</w:t>
      </w:r>
      <w:r>
        <w:rPr>
          <w:rFonts w:ascii="Times New Roman" w:hAnsi="Times New Roman" w:cs="Times New Roman"/>
          <w:noProof/>
          <w:sz w:val="24"/>
          <w:szCs w:val="24"/>
        </w:rPr>
        <w:t>ine-readable data and interoperability have been integrated in the last revision of the PSI Directive, the need for timely availability of dynamic data is just mentioned once in recital 12.</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As a consequence, the</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insufficient use of technologies for the </w:t>
      </w:r>
      <w:r>
        <w:rPr>
          <w:rFonts w:ascii="Times New Roman" w:hAnsi="Times New Roman" w:cs="Times New Roman"/>
          <w:noProof/>
          <w:sz w:val="24"/>
          <w:szCs w:val="24"/>
        </w:rPr>
        <w:t>management of dynamic</w:t>
      </w:r>
      <w:r>
        <w:rPr>
          <w:rFonts w:ascii="Times New Roman" w:hAnsi="Times New Roman" w:cs="Times New Roman"/>
          <w:b/>
          <w:noProof/>
          <w:sz w:val="24"/>
          <w:szCs w:val="24"/>
        </w:rPr>
        <w:t xml:space="preserve"> </w:t>
      </w:r>
      <w:r>
        <w:rPr>
          <w:rFonts w:ascii="Times New Roman" w:hAnsi="Times New Roman" w:cs="Times New Roman"/>
          <w:noProof/>
          <w:sz w:val="24"/>
          <w:szCs w:val="24"/>
        </w:rPr>
        <w:t>data by the public sector</w:t>
      </w:r>
      <w:r>
        <w:rPr>
          <w:rFonts w:ascii="Times New Roman" w:hAnsi="Times New Roman"/>
          <w:noProof/>
          <w:sz w:val="24"/>
        </w:rPr>
        <w:t xml:space="preserve"> results in more difficult access to public data repositories, lower machine-readability of dynamic data and lower suitability of data for processing (visualisation, integration into 3</w:t>
      </w:r>
      <w:r>
        <w:rPr>
          <w:rFonts w:ascii="Times New Roman" w:hAnsi="Times New Roman"/>
          <w:noProof/>
          <w:sz w:val="24"/>
          <w:vertAlign w:val="superscript"/>
        </w:rPr>
        <w:t>rd</w:t>
      </w:r>
      <w:r>
        <w:rPr>
          <w:rFonts w:ascii="Times New Roman" w:hAnsi="Times New Roman"/>
          <w:noProof/>
          <w:sz w:val="24"/>
        </w:rPr>
        <w:t xml:space="preserve"> party applications). This in turn leads to a sub-optimal use of dynamic data from the public sector for the creation of value-added services.</w:t>
      </w:r>
    </w:p>
    <w:p w:rsidR="00DF1A33" w:rsidRDefault="00456F01">
      <w:pPr>
        <w:pStyle w:val="Heading3"/>
        <w:keepLines/>
        <w:spacing w:before="200" w:after="0" w:line="276" w:lineRule="auto"/>
        <w:jc w:val="left"/>
        <w:rPr>
          <w:noProof/>
        </w:rPr>
      </w:pPr>
      <w:bookmarkStart w:id="316" w:name="_Toc506362022"/>
      <w:bookmarkStart w:id="317" w:name="_Toc506362636"/>
      <w:bookmarkStart w:id="318" w:name="_Toc506363023"/>
      <w:bookmarkStart w:id="319" w:name="_Toc506363267"/>
      <w:bookmarkStart w:id="320" w:name="_Toc506366640"/>
      <w:bookmarkStart w:id="321" w:name="_Toc506367592"/>
      <w:bookmarkStart w:id="322" w:name="_Toc506369390"/>
      <w:bookmarkStart w:id="323" w:name="_Toc506369520"/>
      <w:bookmarkStart w:id="324" w:name="_Toc506372617"/>
      <w:bookmarkStart w:id="325" w:name="_Toc506372984"/>
      <w:bookmarkStart w:id="326" w:name="_Toc506374068"/>
      <w:bookmarkStart w:id="327" w:name="_Toc506370265"/>
      <w:bookmarkStart w:id="328" w:name="_Toc506370894"/>
      <w:bookmarkStart w:id="329" w:name="_Toc506371888"/>
      <w:bookmarkStart w:id="330" w:name="_Toc506372888"/>
      <w:bookmarkStart w:id="331" w:name="_Toc506373991"/>
      <w:bookmarkStart w:id="332" w:name="_Toc506375307"/>
      <w:bookmarkStart w:id="333" w:name="_Toc506376481"/>
      <w:bookmarkStart w:id="334" w:name="_Toc506377298"/>
      <w:bookmarkStart w:id="335" w:name="_Toc506377431"/>
      <w:bookmarkStart w:id="336" w:name="_Toc506377489"/>
      <w:bookmarkStart w:id="337" w:name="_Toc506377627"/>
      <w:bookmarkStart w:id="338" w:name="_Toc506379882"/>
      <w:bookmarkStart w:id="339" w:name="_Toc506378504"/>
      <w:bookmarkStart w:id="340" w:name="_Toc506382215"/>
      <w:bookmarkStart w:id="341" w:name="_Toc506383757"/>
      <w:bookmarkStart w:id="342" w:name="_Toc504142939"/>
      <w:bookmarkStart w:id="343" w:name="_Toc504151645"/>
      <w:bookmarkStart w:id="344" w:name="_Toc504382929"/>
      <w:bookmarkStart w:id="345" w:name="_Toc504391072"/>
      <w:bookmarkStart w:id="346" w:name="_Toc504403161"/>
      <w:bookmarkStart w:id="347" w:name="_Toc504743631"/>
      <w:bookmarkStart w:id="348" w:name="_Toc504751182"/>
      <w:bookmarkStart w:id="349" w:name="_Toc504751356"/>
      <w:bookmarkStart w:id="350" w:name="_Toc505181978"/>
      <w:bookmarkStart w:id="351" w:name="_Toc505248632"/>
      <w:bookmarkStart w:id="352" w:name="_Toc505266508"/>
      <w:bookmarkStart w:id="353" w:name="_Toc505335359"/>
      <w:bookmarkStart w:id="354" w:name="_Toc505345830"/>
      <w:bookmarkStart w:id="355" w:name="_Toc505346418"/>
      <w:bookmarkStart w:id="356" w:name="_Toc505696656"/>
      <w:bookmarkStart w:id="357" w:name="_Toc505698142"/>
      <w:bookmarkStart w:id="358" w:name="_Toc505701655"/>
      <w:bookmarkStart w:id="359" w:name="_Toc505705142"/>
      <w:bookmarkStart w:id="360" w:name="_Toc505773133"/>
      <w:bookmarkStart w:id="361" w:name="_Toc505856847"/>
      <w:bookmarkStart w:id="362" w:name="_Toc505862291"/>
      <w:bookmarkStart w:id="363" w:name="_Toc505864856"/>
      <w:bookmarkStart w:id="364" w:name="_Toc505868711"/>
      <w:bookmarkStart w:id="365" w:name="_Toc505869178"/>
      <w:bookmarkStart w:id="366" w:name="_Toc506363024"/>
      <w:bookmarkStart w:id="367" w:name="_Toc506369521"/>
      <w:bookmarkStart w:id="368" w:name="_Toc506376111"/>
      <w:bookmarkStart w:id="369" w:name="_Toc506378424"/>
      <w:bookmarkStart w:id="370" w:name="_Toc506378505"/>
      <w:bookmarkStart w:id="371" w:name="_Toc509412604"/>
      <w:bookmarkStart w:id="372" w:name="_Toc509414780"/>
      <w:bookmarkStart w:id="373" w:name="_Toc509414836"/>
      <w:bookmarkStart w:id="374" w:name="_Toc503452284"/>
      <w:bookmarkStart w:id="375" w:name="_Toc503797278"/>
      <w:bookmarkStart w:id="376" w:name="_Toc50380073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Pr>
          <w:noProof/>
          <w:szCs w:val="24"/>
        </w:rPr>
        <w:t>Problem area No. 2: Market entry barriers and fragmentation</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Pr>
          <w:noProof/>
          <w:szCs w:val="24"/>
        </w:rPr>
        <w:t xml:space="preserve"> </w:t>
      </w:r>
    </w:p>
    <w:bookmarkEnd w:id="374"/>
    <w:bookmarkEnd w:id="375"/>
    <w:bookmarkEnd w:id="376"/>
    <w:p w:rsidR="00DF1A33" w:rsidRDefault="00456F01">
      <w:pPr>
        <w:jc w:val="both"/>
        <w:rPr>
          <w:rFonts w:ascii="Times New Roman" w:hAnsi="Times New Roman"/>
          <w:noProof/>
          <w:sz w:val="24"/>
        </w:rPr>
      </w:pPr>
      <w:r>
        <w:rPr>
          <w:rFonts w:ascii="Times New Roman" w:hAnsi="Times New Roman"/>
          <w:noProof/>
          <w:sz w:val="24"/>
        </w:rPr>
        <w:t>Public institutions holding high-value datasets (suc</w:t>
      </w:r>
      <w:r>
        <w:rPr>
          <w:rFonts w:ascii="Times New Roman" w:hAnsi="Times New Roman"/>
          <w:noProof/>
          <w:sz w:val="24"/>
        </w:rPr>
        <w:t xml:space="preserve">h as hydrographic or meteorological data, or digital maps) are often expected or required to maximise revenue from the re-use of this data in order to cover part of their operational costs. </w:t>
      </w:r>
    </w:p>
    <w:p w:rsidR="00DF1A33" w:rsidRDefault="00456F01">
      <w:pPr>
        <w:jc w:val="both"/>
        <w:rPr>
          <w:rFonts w:ascii="Times New Roman" w:hAnsi="Times New Roman"/>
          <w:noProof/>
          <w:sz w:val="24"/>
        </w:rPr>
      </w:pPr>
      <w:r>
        <w:rPr>
          <w:rFonts w:ascii="Times New Roman" w:hAnsi="Times New Roman"/>
          <w:noProof/>
          <w:sz w:val="24"/>
        </w:rPr>
        <w:t>This is, however, unjustified from the macroeconomic point of vie</w:t>
      </w:r>
      <w:r>
        <w:rPr>
          <w:rFonts w:ascii="Times New Roman" w:hAnsi="Times New Roman"/>
          <w:noProof/>
          <w:sz w:val="24"/>
        </w:rPr>
        <w:t>w. Public sector information is a non-rivalrous good that can be re-used multiple times and its high price elasticity means that a decrease in price triggers a surge in usage. It is produced as part of a public service, so its creation does not depend on m</w:t>
      </w:r>
      <w:r>
        <w:rPr>
          <w:rFonts w:ascii="Times New Roman" w:hAnsi="Times New Roman"/>
          <w:noProof/>
          <w:sz w:val="24"/>
        </w:rPr>
        <w:t>arket forces. Most importantly, cheap or free government data generates extra commercial activity, especially by SMEs, which translates into more jobs and revenue from taxes. In addition, the public sector is itself a key user of the data, so part of the i</w:t>
      </w:r>
      <w:r>
        <w:rPr>
          <w:rFonts w:ascii="Times New Roman" w:hAnsi="Times New Roman"/>
          <w:noProof/>
          <w:sz w:val="24"/>
        </w:rPr>
        <w:t>ncome for one public sector body leads to costs for others, as well as to a suboptimal use of the data for public purposes. Finally, charging generates substantial costs for public sector bodies producing the data, since it presupposes, amongst other thing</w:t>
      </w:r>
      <w:r>
        <w:rPr>
          <w:rFonts w:ascii="Times New Roman" w:hAnsi="Times New Roman"/>
          <w:noProof/>
          <w:sz w:val="24"/>
        </w:rPr>
        <w:t>s, that an invoicing and control system is in place.</w:t>
      </w:r>
    </w:p>
    <w:p w:rsidR="00DF1A33" w:rsidRDefault="00456F01">
      <w:pPr>
        <w:jc w:val="both"/>
        <w:rPr>
          <w:rFonts w:ascii="Times New Roman" w:hAnsi="Times New Roman"/>
          <w:noProof/>
          <w:sz w:val="24"/>
        </w:rPr>
      </w:pPr>
      <w:r>
        <w:rPr>
          <w:rFonts w:ascii="Times New Roman" w:hAnsi="Times New Roman"/>
          <w:noProof/>
          <w:sz w:val="24"/>
        </w:rPr>
        <w:t>These arguments were the basis of the 2013 change from a full-cost charging regime to a regime based on (at maximum) the marginal costs of dissemination. Some of the arguments are further elaborated in s</w:t>
      </w:r>
      <w:r>
        <w:rPr>
          <w:rFonts w:ascii="Times New Roman" w:hAnsi="Times New Roman"/>
          <w:noProof/>
          <w:sz w:val="24"/>
        </w:rPr>
        <w:t>ection 6.1 below.</w:t>
      </w:r>
    </w:p>
    <w:p w:rsidR="00DF1A33" w:rsidRDefault="00456F01">
      <w:pPr>
        <w:jc w:val="both"/>
        <w:rPr>
          <w:rFonts w:ascii="Times New Roman" w:hAnsi="Times New Roman"/>
          <w:noProof/>
          <w:sz w:val="24"/>
        </w:rPr>
      </w:pPr>
      <w:r>
        <w:rPr>
          <w:rFonts w:ascii="Times New Roman" w:hAnsi="Times New Roman"/>
          <w:noProof/>
          <w:sz w:val="24"/>
        </w:rPr>
        <w:t>The current PSI Directive presents a number of exceptions to the rule that public sector bodies can charge at maximum the marginal cost of dissemination for making their datasets available. This is the case for public sector bodies that a</w:t>
      </w:r>
      <w:r>
        <w:rPr>
          <w:rFonts w:ascii="Times New Roman" w:hAnsi="Times New Roman"/>
          <w:noProof/>
          <w:sz w:val="24"/>
        </w:rPr>
        <w:t>re required to generate revenue to cover a substantial part of their costs relating to the performance of their public tasks. While there is no evidence that would indicate that there has been an excessive use of exceptions, the Impact Assessment study and</w:t>
      </w:r>
      <w:r>
        <w:rPr>
          <w:rFonts w:ascii="Times New Roman" w:hAnsi="Times New Roman"/>
          <w:noProof/>
          <w:sz w:val="24"/>
        </w:rPr>
        <w:t xml:space="preserve"> the Evaluation Report</w:t>
      </w:r>
      <w:r>
        <w:rPr>
          <w:rStyle w:val="FootnoteReference"/>
          <w:rFonts w:ascii="Times New Roman" w:hAnsi="Times New Roman"/>
          <w:noProof/>
          <w:sz w:val="24"/>
        </w:rPr>
        <w:footnoteReference w:id="55"/>
      </w:r>
      <w:r>
        <w:rPr>
          <w:rFonts w:ascii="Times New Roman" w:hAnsi="Times New Roman"/>
          <w:noProof/>
          <w:sz w:val="24"/>
        </w:rPr>
        <w:t xml:space="preserve"> confirm that the use of exceptions has led to</w:t>
      </w:r>
      <w:r>
        <w:rPr>
          <w:rStyle w:val="FootnoteReference"/>
          <w:rFonts w:ascii="Times New Roman" w:hAnsi="Times New Roman"/>
          <w:noProof/>
          <w:sz w:val="24"/>
        </w:rPr>
        <w:t xml:space="preserve"> </w:t>
      </w:r>
      <w:r>
        <w:rPr>
          <w:rFonts w:ascii="Times New Roman" w:hAnsi="Times New Roman"/>
          <w:noProof/>
          <w:sz w:val="24"/>
        </w:rPr>
        <w:t>incoherent and widely varying charging practices for the re-use of similar datasets across the EU.</w:t>
      </w:r>
      <w:r>
        <w:rPr>
          <w:rStyle w:val="FootnoteReference"/>
          <w:rFonts w:ascii="Times New Roman" w:hAnsi="Times New Roman"/>
          <w:noProof/>
          <w:sz w:val="24"/>
        </w:rPr>
        <w:footnoteReference w:id="56"/>
      </w:r>
      <w:r>
        <w:rPr>
          <w:rFonts w:ascii="Times New Roman" w:hAnsi="Times New Roman"/>
          <w:noProof/>
          <w:sz w:val="24"/>
        </w:rPr>
        <w:t xml:space="preserve"> This is made worse by diverging licensing practices, as confirmed by 67% of respondent</w:t>
      </w:r>
      <w:r>
        <w:rPr>
          <w:rFonts w:ascii="Times New Roman" w:hAnsi="Times New Roman"/>
          <w:noProof/>
          <w:sz w:val="24"/>
        </w:rPr>
        <w:t xml:space="preserve">s to the online consultation. </w:t>
      </w:r>
    </w:p>
    <w:p w:rsidR="00DF1A33" w:rsidRDefault="00456F01">
      <w:pPr>
        <w:jc w:val="both"/>
        <w:rPr>
          <w:rFonts w:ascii="Times New Roman" w:hAnsi="Times New Roman"/>
          <w:noProof/>
          <w:sz w:val="24"/>
        </w:rPr>
      </w:pPr>
      <w:r>
        <w:rPr>
          <w:rFonts w:ascii="Times New Roman" w:hAnsi="Times New Roman"/>
          <w:noProof/>
          <w:sz w:val="24"/>
        </w:rPr>
        <w:t>The resulting situation is one where there is market fragmentation, with higher entry barriers in some Member States than in others, as shown in the example below. Moreover, the Impact assessment study found that heterogeneou</w:t>
      </w:r>
      <w:r>
        <w:rPr>
          <w:rFonts w:ascii="Times New Roman" w:hAnsi="Times New Roman"/>
          <w:noProof/>
          <w:sz w:val="24"/>
        </w:rPr>
        <w:t>s practices in terms of charging persist not only between Member States but also between public sector bodies within the same state</w:t>
      </w:r>
      <w:r>
        <w:rPr>
          <w:rStyle w:val="FootnoteReference"/>
          <w:rFonts w:ascii="Times New Roman" w:hAnsi="Times New Roman"/>
          <w:noProof/>
          <w:sz w:val="24"/>
        </w:rPr>
        <w:footnoteReference w:id="57"/>
      </w:r>
      <w:r>
        <w:rPr>
          <w:rFonts w:ascii="Times New Roman" w:hAnsi="Times New Roman"/>
          <w:noProof/>
          <w:sz w:val="24"/>
        </w:rPr>
        <w:t>. Across the EU, public organisations charge considerably different prices for a dataset with the same quality and type of d</w:t>
      </w:r>
      <w:r>
        <w:rPr>
          <w:rFonts w:ascii="Times New Roman" w:hAnsi="Times New Roman"/>
          <w:noProof/>
          <w:sz w:val="24"/>
        </w:rPr>
        <w:t>ata. Re-users from different countries complained about these different practices.</w:t>
      </w:r>
      <w:r>
        <w:rPr>
          <w:rStyle w:val="FootnoteReference"/>
          <w:rFonts w:ascii="Times New Roman" w:hAnsi="Times New Roman"/>
          <w:noProof/>
          <w:sz w:val="24"/>
        </w:rPr>
        <w:footnoteReference w:id="58"/>
      </w:r>
      <w:r>
        <w:rPr>
          <w:rFonts w:ascii="Times New Roman" w:hAnsi="Times New Roman"/>
          <w:noProof/>
          <w:sz w:val="24"/>
        </w:rPr>
        <w:t xml:space="preserve"> In addition to market fragmentation, the charging and licencing practices</w:t>
      </w:r>
      <w:r>
        <w:rPr>
          <w:rFonts w:ascii="Times New Roman" w:hAnsi="Times New Roman"/>
          <w:b/>
          <w:noProof/>
          <w:sz w:val="24"/>
        </w:rPr>
        <w:t xml:space="preserve"> </w:t>
      </w:r>
      <w:r>
        <w:rPr>
          <w:rFonts w:ascii="Times New Roman" w:hAnsi="Times New Roman"/>
          <w:noProof/>
          <w:sz w:val="24"/>
        </w:rPr>
        <w:t>negatively affect the extent of PSI re-use by SMEs and start-ups. They result in an uneven playing</w:t>
      </w:r>
      <w:r>
        <w:rPr>
          <w:rFonts w:ascii="Times New Roman" w:hAnsi="Times New Roman"/>
          <w:noProof/>
          <w:sz w:val="24"/>
        </w:rPr>
        <w:t xml:space="preserve"> field among re-users, given that large, multinational companies can easily afford the acquisition of public datasets, which are outside the reach of innovative SMEs or start-ups. This translates into an opportunity cost to be borne by the entire society a</w:t>
      </w:r>
      <w:r>
        <w:rPr>
          <w:rFonts w:ascii="Times New Roman" w:hAnsi="Times New Roman"/>
          <w:noProof/>
          <w:sz w:val="24"/>
        </w:rPr>
        <w:t>s a more limited number of innovative services and products can be developed.</w:t>
      </w:r>
      <w:r>
        <w:rPr>
          <w:rStyle w:val="FootnoteReference"/>
          <w:rFonts w:ascii="Times New Roman" w:hAnsi="Times New Roman"/>
          <w:noProof/>
          <w:sz w:val="24"/>
        </w:rPr>
        <w:footnoteReference w:id="59"/>
      </w:r>
      <w:r>
        <w:rPr>
          <w:rFonts w:ascii="Times New Roman" w:hAnsi="Times New Roman"/>
          <w:noProof/>
          <w:sz w:val="24"/>
        </w:rPr>
        <w:t xml:space="preserve">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834"/>
      </w:tblGrid>
      <w:tr w:rsidR="00DF1A33">
        <w:tc>
          <w:tcPr>
            <w:tcW w:w="8834" w:type="dxa"/>
          </w:tcPr>
          <w:p w:rsidR="00DF1A33" w:rsidRDefault="00456F01">
            <w:pPr>
              <w:jc w:val="both"/>
              <w:rPr>
                <w:i/>
                <w:noProof/>
                <w:sz w:val="22"/>
                <w:szCs w:val="22"/>
              </w:rPr>
            </w:pPr>
            <w:r>
              <w:rPr>
                <w:i/>
                <w:noProof/>
                <w:sz w:val="22"/>
                <w:szCs w:val="22"/>
              </w:rPr>
              <w:t>Example No 1: a Swedish company Seapilot produces digital navigation apps based on marine chart data from hydrographic offices across the EU. However, widely divergent pricing</w:t>
            </w:r>
            <w:r>
              <w:rPr>
                <w:i/>
                <w:noProof/>
                <w:sz w:val="22"/>
                <w:szCs w:val="22"/>
              </w:rPr>
              <w:t xml:space="preserve"> models (e.g. one off payment, royalties, fees linked to updates) and the resulting charges applied (EUR 2,745 in France to EUR 18,900 in Italy</w:t>
            </w:r>
            <w:r>
              <w:rPr>
                <w:rStyle w:val="FootnoteReference"/>
                <w:i/>
                <w:noProof/>
                <w:sz w:val="22"/>
                <w:szCs w:val="22"/>
              </w:rPr>
              <w:footnoteReference w:id="60"/>
            </w:r>
            <w:r>
              <w:rPr>
                <w:i/>
                <w:noProof/>
                <w:sz w:val="22"/>
                <w:szCs w:val="22"/>
              </w:rPr>
              <w:t xml:space="preserve">) make it increasingly difficult to compete on a global scale, especially given that equivalent US data is free </w:t>
            </w:r>
            <w:r>
              <w:rPr>
                <w:i/>
                <w:noProof/>
                <w:sz w:val="22"/>
                <w:szCs w:val="22"/>
              </w:rPr>
              <w:t>of charge.</w:t>
            </w:r>
          </w:p>
          <w:p w:rsidR="00DF1A33" w:rsidRDefault="00DF1A33">
            <w:pPr>
              <w:jc w:val="both"/>
              <w:rPr>
                <w:i/>
                <w:noProof/>
                <w:sz w:val="22"/>
                <w:szCs w:val="22"/>
              </w:rPr>
            </w:pPr>
          </w:p>
          <w:p w:rsidR="00DF1A33" w:rsidRDefault="00456F01">
            <w:pPr>
              <w:jc w:val="both"/>
              <w:rPr>
                <w:i/>
                <w:noProof/>
                <w:sz w:val="24"/>
                <w:highlight w:val="yellow"/>
              </w:rPr>
            </w:pPr>
            <w:r>
              <w:rPr>
                <w:i/>
                <w:noProof/>
                <w:sz w:val="22"/>
                <w:szCs w:val="22"/>
              </w:rPr>
              <w:t>Example No 2: In Belgium, the company register is made available for re-use at a price of 75,000 EUR annually</w:t>
            </w:r>
            <w:r>
              <w:rPr>
                <w:rStyle w:val="FootnoteReference"/>
                <w:i/>
                <w:noProof/>
                <w:sz w:val="22"/>
                <w:szCs w:val="22"/>
              </w:rPr>
              <w:footnoteReference w:id="61"/>
            </w:r>
            <w:r>
              <w:rPr>
                <w:i/>
                <w:noProof/>
                <w:sz w:val="22"/>
                <w:szCs w:val="22"/>
              </w:rPr>
              <w:t xml:space="preserve">, leading to a situation in which start-ups and SMEs face a market entry barrier so that this dataset of high socio-economic interest </w:t>
            </w:r>
            <w:r>
              <w:rPr>
                <w:i/>
                <w:noProof/>
                <w:sz w:val="22"/>
                <w:szCs w:val="22"/>
              </w:rPr>
              <w:t>is effectively re-used by only two companies.</w:t>
            </w:r>
          </w:p>
        </w:tc>
      </w:tr>
    </w:tbl>
    <w:p w:rsidR="00DF1A33" w:rsidRDefault="00456F01">
      <w:pPr>
        <w:spacing w:after="0"/>
        <w:jc w:val="both"/>
        <w:rPr>
          <w:rFonts w:ascii="Times New Roman" w:hAnsi="Times New Roman"/>
          <w:noProof/>
          <w:sz w:val="24"/>
        </w:rPr>
      </w:pPr>
      <w:r>
        <w:rPr>
          <w:rFonts w:ascii="Times New Roman" w:hAnsi="Times New Roman"/>
          <w:noProof/>
          <w:sz w:val="24"/>
        </w:rPr>
        <w:t>As for the views of stakeholders on charging and its impact on market fragmentation, in the online public consultation most of the respondents indicated they were in favour of abolishing the current exceptions</w:t>
      </w:r>
      <w:r>
        <w:rPr>
          <w:rFonts w:ascii="Times New Roman" w:hAnsi="Times New Roman"/>
          <w:noProof/>
          <w:sz w:val="24"/>
        </w:rPr>
        <w:t xml:space="preserve"> or at least clarifying the circumstances under which these exceptions could be allowed. However, there was a clear split between PSI holders and PSI re-users, with the latter clearly in favour of abolishing or at least clarifying these exceptions and the </w:t>
      </w:r>
      <w:r>
        <w:rPr>
          <w:rFonts w:ascii="Times New Roman" w:hAnsi="Times New Roman"/>
          <w:noProof/>
          <w:sz w:val="24"/>
        </w:rPr>
        <w:t>former mostly of the opinion that they should not be changed and need no clarification.</w:t>
      </w:r>
    </w:p>
    <w:p w:rsidR="00DF1A33" w:rsidRDefault="00456F01">
      <w:pPr>
        <w:pStyle w:val="Heading3"/>
        <w:keepLines/>
        <w:spacing w:before="200" w:after="0" w:line="276" w:lineRule="auto"/>
        <w:ind w:left="720"/>
        <w:jc w:val="left"/>
        <w:rPr>
          <w:noProof/>
          <w:szCs w:val="24"/>
        </w:rPr>
      </w:pPr>
      <w:bookmarkStart w:id="377" w:name="_Toc503452285"/>
      <w:bookmarkStart w:id="378" w:name="_Toc503797279"/>
      <w:bookmarkStart w:id="379" w:name="_Toc503800736"/>
      <w:bookmarkStart w:id="380" w:name="_Toc504142940"/>
      <w:bookmarkStart w:id="381" w:name="_Toc504151646"/>
      <w:bookmarkStart w:id="382" w:name="_Toc504382930"/>
      <w:bookmarkStart w:id="383" w:name="_Toc504391073"/>
      <w:bookmarkStart w:id="384" w:name="_Toc504403162"/>
      <w:bookmarkStart w:id="385" w:name="_Toc504743632"/>
      <w:bookmarkStart w:id="386" w:name="_Toc504751183"/>
      <w:bookmarkStart w:id="387" w:name="_Toc504751357"/>
      <w:bookmarkStart w:id="388" w:name="_Toc505181979"/>
      <w:bookmarkStart w:id="389" w:name="_Toc505248633"/>
      <w:bookmarkStart w:id="390" w:name="_Toc505266509"/>
      <w:bookmarkStart w:id="391" w:name="_Toc505335360"/>
      <w:bookmarkStart w:id="392" w:name="_Toc505345831"/>
      <w:bookmarkStart w:id="393" w:name="_Toc505346419"/>
      <w:bookmarkStart w:id="394" w:name="_Toc505696657"/>
      <w:bookmarkStart w:id="395" w:name="_Toc505698143"/>
      <w:bookmarkStart w:id="396" w:name="_Toc505701656"/>
      <w:bookmarkStart w:id="397" w:name="_Toc505705143"/>
      <w:bookmarkStart w:id="398" w:name="_Toc505773134"/>
      <w:bookmarkStart w:id="399" w:name="_Toc505856848"/>
      <w:bookmarkStart w:id="400" w:name="_Toc505862292"/>
      <w:bookmarkStart w:id="401" w:name="_Toc505864857"/>
      <w:bookmarkStart w:id="402" w:name="_Toc505868712"/>
      <w:bookmarkStart w:id="403" w:name="_Toc505869179"/>
      <w:bookmarkStart w:id="404" w:name="_Toc506363025"/>
      <w:bookmarkStart w:id="405" w:name="_Toc506369522"/>
      <w:bookmarkStart w:id="406" w:name="_Toc506376112"/>
      <w:bookmarkStart w:id="407" w:name="_Toc506378425"/>
      <w:bookmarkStart w:id="408" w:name="_Toc506378506"/>
      <w:bookmarkStart w:id="409" w:name="_Toc509412605"/>
      <w:bookmarkStart w:id="410" w:name="_Toc509414781"/>
      <w:bookmarkStart w:id="411" w:name="_Toc509414837"/>
      <w:r>
        <w:rPr>
          <w:noProof/>
          <w:szCs w:val="24"/>
        </w:rPr>
        <w:t>Problem area No. 3: Insufficient availability of public and publicly funded data for re-use</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DF1A33" w:rsidRDefault="00456F01">
      <w:pPr>
        <w:keepNext/>
        <w:jc w:val="both"/>
        <w:rPr>
          <w:rFonts w:ascii="Times New Roman" w:hAnsi="Times New Roman"/>
          <w:i/>
          <w:noProof/>
          <w:sz w:val="24"/>
        </w:rPr>
      </w:pPr>
      <w:r>
        <w:rPr>
          <w:rFonts w:ascii="Times New Roman" w:hAnsi="Times New Roman"/>
          <w:i/>
          <w:noProof/>
          <w:sz w:val="24"/>
        </w:rPr>
        <w:t xml:space="preserve">2.2.4.1 Data held by public undertakings in the transport and utility </w:t>
      </w:r>
      <w:r>
        <w:rPr>
          <w:rFonts w:ascii="Times New Roman" w:hAnsi="Times New Roman"/>
          <w:i/>
          <w:noProof/>
          <w:sz w:val="24"/>
        </w:rPr>
        <w:t>domains</w:t>
      </w:r>
    </w:p>
    <w:p w:rsidR="00DF1A33" w:rsidRDefault="00456F01">
      <w:pPr>
        <w:keepNext/>
        <w:jc w:val="both"/>
        <w:rPr>
          <w:rFonts w:ascii="Times New Roman" w:hAnsi="Times New Roman"/>
          <w:noProof/>
          <w:sz w:val="24"/>
        </w:rPr>
      </w:pPr>
      <w:r>
        <w:rPr>
          <w:rFonts w:ascii="Times New Roman" w:hAnsi="Times New Roman"/>
          <w:noProof/>
          <w:sz w:val="24"/>
        </w:rPr>
        <w:t>Public sector tasks may be carried out not only by public authorities themselves but can instead be entrusted to entities with organisational or management links to the public sector, or those that lack such links but benefit from public funding (p</w:t>
      </w:r>
      <w:r>
        <w:rPr>
          <w:rFonts w:ascii="Times New Roman" w:hAnsi="Times New Roman"/>
          <w:noProof/>
          <w:sz w:val="24"/>
        </w:rPr>
        <w:t>ublic undertakings). In some cases public sector tasks are also performed by private entities which act on the basis of special or exclusive rights or concessions from public sector bodies. This is typically the case in the transport and utility domains (p</w:t>
      </w:r>
      <w:r>
        <w:rPr>
          <w:rFonts w:ascii="Times New Roman" w:hAnsi="Times New Roman"/>
          <w:noProof/>
          <w:sz w:val="24"/>
        </w:rPr>
        <w:t xml:space="preserve">rovision of water, electricity, etc.). Currently, </w:t>
      </w:r>
      <w:r>
        <w:rPr>
          <w:rFonts w:ascii="Times New Roman" w:hAnsi="Times New Roman" w:cs="Times New Roman"/>
          <w:noProof/>
          <w:sz w:val="24"/>
          <w:szCs w:val="24"/>
        </w:rPr>
        <w:t xml:space="preserve">data </w:t>
      </w:r>
      <w:r>
        <w:rPr>
          <w:rFonts w:ascii="Times New Roman" w:hAnsi="Times New Roman"/>
          <w:noProof/>
          <w:sz w:val="24"/>
        </w:rPr>
        <w:t>held by public undertakings in these domains does not fall under the scope of the Directive.</w:t>
      </w:r>
    </w:p>
    <w:p w:rsidR="00DF1A33" w:rsidRDefault="00456F01">
      <w:pPr>
        <w:jc w:val="both"/>
        <w:rPr>
          <w:rFonts w:ascii="Times New Roman" w:hAnsi="Times New Roman" w:cs="Times New Roman"/>
          <w:noProof/>
          <w:sz w:val="24"/>
          <w:szCs w:val="24"/>
        </w:rPr>
      </w:pPr>
      <w:r>
        <w:rPr>
          <w:rFonts w:ascii="Times New Roman" w:hAnsi="Times New Roman"/>
          <w:noProof/>
          <w:sz w:val="24"/>
        </w:rPr>
        <w:t xml:space="preserve">Data held by entities active in the transport and utility domains is amongst the most valuable for </w:t>
      </w:r>
      <w:r>
        <w:rPr>
          <w:rFonts w:ascii="Times New Roman" w:hAnsi="Times New Roman"/>
          <w:noProof/>
          <w:sz w:val="24"/>
        </w:rPr>
        <w:t>stakeholders in the data economy and it can serve as the basis for a number of added-value services and applications. Opening up this data is of considerable value for commercial re-use. T</w:t>
      </w:r>
      <w:r>
        <w:rPr>
          <w:rFonts w:ascii="Times New Roman" w:hAnsi="Times New Roman" w:cs="Times New Roman"/>
          <w:noProof/>
          <w:sz w:val="24"/>
          <w:szCs w:val="24"/>
        </w:rPr>
        <w:t>opics such as environment, transportation, energy or housing were am</w:t>
      </w:r>
      <w:r>
        <w:rPr>
          <w:rFonts w:ascii="Times New Roman" w:hAnsi="Times New Roman" w:cs="Times New Roman"/>
          <w:noProof/>
          <w:sz w:val="24"/>
          <w:szCs w:val="24"/>
        </w:rPr>
        <w:t>ong the domains most often consulted in open data portals in 2016.</w:t>
      </w:r>
      <w:r>
        <w:rPr>
          <w:rFonts w:ascii="Times New Roman" w:hAnsi="Times New Roman"/>
          <w:noProof/>
          <w:vertAlign w:val="superscript"/>
        </w:rPr>
        <w:footnoteReference w:id="62"/>
      </w:r>
      <w:r>
        <w:rPr>
          <w:rFonts w:ascii="Times New Roman" w:hAnsi="Times New Roman" w:cs="Times New Roman"/>
          <w:noProof/>
          <w:sz w:val="24"/>
          <w:szCs w:val="24"/>
        </w:rPr>
        <w:t xml:space="preserve"> National figures confirm that data from transport and traffic domains are very popular. In Spain, of all the applications with a business model behind, 47% are created with transport data.</w:t>
      </w:r>
      <w:r>
        <w:rPr>
          <w:rFonts w:ascii="Times New Roman" w:hAnsi="Times New Roman" w:cs="Times New Roman"/>
          <w:noProof/>
          <w:sz w:val="24"/>
          <w:szCs w:val="24"/>
        </w:rPr>
        <w:t xml:space="preserve"> It is also important to remember that due to their link with the public sector, entities active in transport and utility domains are subject to a dedicated public procurement regime.</w:t>
      </w:r>
      <w:r>
        <w:rPr>
          <w:rStyle w:val="FootnoteReference"/>
          <w:rFonts w:ascii="Times New Roman" w:hAnsi="Times New Roman" w:cs="Times New Roman"/>
          <w:noProof/>
          <w:sz w:val="24"/>
          <w:szCs w:val="24"/>
        </w:rPr>
        <w:footnoteReference w:id="63"/>
      </w:r>
      <w:r>
        <w:rPr>
          <w:rFonts w:ascii="Times New Roman" w:hAnsi="Times New Roman" w:cs="Times New Roman"/>
          <w:noProof/>
          <w:sz w:val="24"/>
          <w:szCs w:val="24"/>
        </w:rPr>
        <w:t xml:space="preserve">  Moreover, historically these operators have had to operate in a strict</w:t>
      </w:r>
      <w:r>
        <w:rPr>
          <w:rFonts w:ascii="Times New Roman" w:hAnsi="Times New Roman" w:cs="Times New Roman"/>
          <w:noProof/>
          <w:sz w:val="24"/>
          <w:szCs w:val="24"/>
        </w:rPr>
        <w:t>er regulatory environment compared with other businesses. Examples are to be found in the area of infrastructure provision where ex-ante or ex-post regulation has been established to enhance competition and reduce monopolistic or dominant positions in thes</w:t>
      </w:r>
      <w:r>
        <w:rPr>
          <w:rFonts w:ascii="Times New Roman" w:hAnsi="Times New Roman" w:cs="Times New Roman"/>
          <w:noProof/>
          <w:sz w:val="24"/>
          <w:szCs w:val="24"/>
        </w:rPr>
        <w:t>e sectors. Often governments or public companies still hold large shares in these infrastructure companies, or these companies operate under concessions or other exclusive contracts with public sector bodies.</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As explained in the Impact Assessment study</w:t>
      </w:r>
      <w:r>
        <w:rPr>
          <w:rStyle w:val="FootnoteReference"/>
          <w:rFonts w:ascii="Times New Roman" w:hAnsi="Times New Roman" w:cs="Times New Roman"/>
          <w:noProof/>
          <w:sz w:val="24"/>
          <w:szCs w:val="24"/>
        </w:rPr>
        <w:footnoteReference w:id="64"/>
      </w:r>
      <w:r>
        <w:rPr>
          <w:rFonts w:ascii="Times New Roman" w:hAnsi="Times New Roman" w:cs="Times New Roman"/>
          <w:noProof/>
          <w:sz w:val="24"/>
          <w:szCs w:val="24"/>
        </w:rPr>
        <w:t>, a</w:t>
      </w:r>
      <w:r>
        <w:rPr>
          <w:rFonts w:ascii="Times New Roman" w:hAnsi="Times New Roman" w:cs="Times New Roman"/>
          <w:noProof/>
          <w:sz w:val="24"/>
          <w:szCs w:val="24"/>
        </w:rPr>
        <w:t xml:space="preserve">ccess to data from entities active in transport and utility domains depends on company preferences, Member States' open data strategies and legislation, and individual re-user activities. As a result, stakeholders of the re-user community are faced with a </w:t>
      </w:r>
      <w:r>
        <w:rPr>
          <w:rFonts w:ascii="Times New Roman" w:hAnsi="Times New Roman" w:cs="Times New Roman"/>
          <w:noProof/>
          <w:sz w:val="24"/>
          <w:szCs w:val="24"/>
        </w:rPr>
        <w:t>situation in the EU where data access and re-use happens at different speeds in different countries and opportunities to develop cross-border applications are limited. It has been stressed that the potential of data-based solutions in those sectors, especi</w:t>
      </w:r>
      <w:r>
        <w:rPr>
          <w:rFonts w:ascii="Times New Roman" w:hAnsi="Times New Roman" w:cs="Times New Roman"/>
          <w:noProof/>
          <w:sz w:val="24"/>
          <w:szCs w:val="24"/>
        </w:rPr>
        <w:t>ally in energy and transport, is significant, but there is insufficient progress in opening up data by the companies themselves. In the transport sector, for example, the study found that in all Member States data availability varies widely across the tran</w:t>
      </w:r>
      <w:r>
        <w:rPr>
          <w:rFonts w:ascii="Times New Roman" w:hAnsi="Times New Roman" w:cs="Times New Roman"/>
          <w:noProof/>
          <w:sz w:val="24"/>
          <w:szCs w:val="24"/>
        </w:rPr>
        <w:t>sport modes. While examples of simple travel information applications are manifold, intermodal service examples are limited, especially as regards door-to-door travel applications.</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The same study</w:t>
      </w:r>
      <w:r>
        <w:rPr>
          <w:rStyle w:val="FootnoteReference"/>
          <w:rFonts w:ascii="Times New Roman" w:hAnsi="Times New Roman" w:cs="Times New Roman"/>
          <w:noProof/>
          <w:sz w:val="24"/>
          <w:szCs w:val="24"/>
        </w:rPr>
        <w:footnoteReference w:id="65"/>
      </w:r>
      <w:r>
        <w:rPr>
          <w:rFonts w:ascii="Times New Roman" w:hAnsi="Times New Roman" w:cs="Times New Roman"/>
          <w:noProof/>
          <w:sz w:val="24"/>
          <w:szCs w:val="24"/>
        </w:rPr>
        <w:t xml:space="preserve"> found that the general interest of public undertakings to g</w:t>
      </w:r>
      <w:r>
        <w:rPr>
          <w:rFonts w:ascii="Times New Roman" w:hAnsi="Times New Roman" w:cs="Times New Roman"/>
          <w:noProof/>
          <w:sz w:val="24"/>
          <w:szCs w:val="24"/>
        </w:rPr>
        <w:t>enerate profits to have returns on the investments related to the specific datasets represents a major barrier to sharing their data. Another barrier to sharing data with public organisations is the complexity of regulation on public undertakings in genera</w:t>
      </w:r>
      <w:r>
        <w:rPr>
          <w:rFonts w:ascii="Times New Roman" w:hAnsi="Times New Roman" w:cs="Times New Roman"/>
          <w:noProof/>
          <w:sz w:val="24"/>
          <w:szCs w:val="24"/>
        </w:rPr>
        <w:t>l.</w:t>
      </w:r>
    </w:p>
    <w:p w:rsidR="00DF1A33" w:rsidRDefault="00456F01">
      <w:pPr>
        <w:jc w:val="both"/>
        <w:rPr>
          <w:rFonts w:ascii="Times New Roman" w:hAnsi="Times New Roman"/>
          <w:noProof/>
          <w:sz w:val="24"/>
        </w:rPr>
      </w:pPr>
      <w:r>
        <w:rPr>
          <w:rFonts w:ascii="Times New Roman" w:hAnsi="Times New Roman" w:cs="Times New Roman"/>
          <w:noProof/>
          <w:sz w:val="24"/>
          <w:szCs w:val="24"/>
        </w:rPr>
        <w:t xml:space="preserve">Some examples of what can be done when data from </w:t>
      </w:r>
      <w:r>
        <w:rPr>
          <w:rFonts w:ascii="Times New Roman" w:hAnsi="Times New Roman"/>
          <w:noProof/>
          <w:sz w:val="24"/>
        </w:rPr>
        <w:t>entities active in transport and utility domains</w:t>
      </w:r>
      <w:r>
        <w:rPr>
          <w:rFonts w:ascii="Times New Roman" w:hAnsi="Times New Roman" w:cs="Times New Roman"/>
          <w:noProof/>
          <w:sz w:val="24"/>
          <w:szCs w:val="24"/>
        </w:rPr>
        <w:t xml:space="preserve"> is opened up are provided be</w:t>
      </w:r>
      <w:r>
        <w:rPr>
          <w:rFonts w:ascii="Times New Roman" w:hAnsi="Times New Roman"/>
          <w:noProof/>
          <w:sz w:val="24"/>
        </w:rPr>
        <w:t>low.</w:t>
      </w:r>
      <w:r>
        <w:rPr>
          <w:rStyle w:val="FootnoteReference"/>
          <w:rFonts w:ascii="Times New Roman" w:hAnsi="Times New Roman"/>
          <w:noProof/>
          <w:sz w:val="24"/>
        </w:rPr>
        <w:footnoteReference w:id="66"/>
      </w:r>
      <w:r>
        <w:rPr>
          <w:rFonts w:ascii="Times New Roman" w:hAnsi="Times New Roman"/>
          <w:noProof/>
          <w:sz w:val="24"/>
        </w:rPr>
        <w:t xml:space="preserve">  </w:t>
      </w:r>
    </w:p>
    <w:p w:rsidR="00DF1A33" w:rsidRDefault="00456F01">
      <w:pPr>
        <w:pBdr>
          <w:top w:val="single" w:sz="4" w:space="1" w:color="auto"/>
          <w:left w:val="single" w:sz="4" w:space="4" w:color="auto"/>
          <w:bottom w:val="single" w:sz="4" w:space="1" w:color="auto"/>
          <w:right w:val="single" w:sz="4" w:space="4" w:color="auto"/>
        </w:pBdr>
        <w:jc w:val="both"/>
        <w:rPr>
          <w:rFonts w:ascii="Times New Roman" w:hAnsi="Times New Roman" w:cs="Times New Roman"/>
          <w:i/>
          <w:noProof/>
        </w:rPr>
      </w:pPr>
      <w:r>
        <w:rPr>
          <w:rFonts w:ascii="Times New Roman" w:hAnsi="Times New Roman" w:cs="Times New Roman"/>
          <w:i/>
          <w:noProof/>
        </w:rPr>
        <w:t>Example No 1: A Copenhagen-based start-up Tomorrow</w:t>
      </w:r>
      <w:r>
        <w:rPr>
          <w:rStyle w:val="FootnoteReference"/>
          <w:rFonts w:ascii="Times New Roman" w:hAnsi="Times New Roman" w:cs="Times New Roman"/>
          <w:i/>
          <w:noProof/>
        </w:rPr>
        <w:footnoteReference w:id="67"/>
      </w:r>
      <w:r>
        <w:rPr>
          <w:rFonts w:ascii="Times New Roman" w:hAnsi="Times New Roman" w:cs="Times New Roman"/>
          <w:i/>
          <w:noProof/>
        </w:rPr>
        <w:t>uses real-time data from energy grid operators to act as a data brok</w:t>
      </w:r>
      <w:r>
        <w:rPr>
          <w:rFonts w:ascii="Times New Roman" w:hAnsi="Times New Roman" w:cs="Times New Roman"/>
          <w:i/>
          <w:noProof/>
        </w:rPr>
        <w:t xml:space="preserve">er for historical energy data and to offer dynamic APIs to track the origin of electricity in real time and to forecast consumption, enabling lower emissions, higher renewables and cheaper electricity. </w:t>
      </w:r>
    </w:p>
    <w:p w:rsidR="00DF1A33" w:rsidRDefault="00456F0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noProof/>
        </w:rPr>
      </w:pPr>
      <w:r>
        <w:rPr>
          <w:rFonts w:ascii="Times New Roman" w:hAnsi="Times New Roman" w:cs="Times New Roman"/>
          <w:i/>
          <w:noProof/>
        </w:rPr>
        <w:t>Example No 2: Transport for London (TfL)</w:t>
      </w:r>
      <w:r>
        <w:rPr>
          <w:rStyle w:val="FootnoteReference"/>
          <w:rFonts w:ascii="Times New Roman" w:hAnsi="Times New Roman" w:cs="Times New Roman"/>
          <w:i/>
          <w:noProof/>
        </w:rPr>
        <w:footnoteReference w:id="68"/>
      </w:r>
      <w:r>
        <w:rPr>
          <w:rFonts w:ascii="Times New Roman" w:hAnsi="Times New Roman" w:cs="Times New Roman"/>
          <w:i/>
          <w:noProof/>
        </w:rPr>
        <w:t xml:space="preserve"> released vi</w:t>
      </w:r>
      <w:r>
        <w:rPr>
          <w:rFonts w:ascii="Times New Roman" w:hAnsi="Times New Roman" w:cs="Times New Roman"/>
          <w:i/>
          <w:noProof/>
        </w:rPr>
        <w:t>a an API over 200 data sets (bus and metro arrivals, departures, status, cycle hire docking station status, etc.) which created a community of 14,400 developers with over 600 apps. London has gained around 100 million GBP direct value by technological inve</w:t>
      </w:r>
      <w:r>
        <w:rPr>
          <w:rFonts w:ascii="Times New Roman" w:hAnsi="Times New Roman" w:cs="Times New Roman"/>
          <w:i/>
          <w:noProof/>
        </w:rPr>
        <w:t>stment and TfL's open data ecosystem has led to the creation of about 500 directly and 230 indirectly related jobs. TfL praises the effect that the re-use of its data has had in reducing the commuting time of the passengers and thereby improving TfL's effi</w:t>
      </w:r>
      <w:r>
        <w:rPr>
          <w:rFonts w:ascii="Times New Roman" w:hAnsi="Times New Roman" w:cs="Times New Roman"/>
          <w:i/>
          <w:noProof/>
        </w:rPr>
        <w:t>ciency.</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The examples above show the positive developments in these sectors. Still, overall there is a mismatch between the expectations of the re-users and the data actually available</w:t>
      </w:r>
      <w:r>
        <w:rPr>
          <w:rFonts w:ascii="Times New Roman" w:hAnsi="Times New Roman"/>
          <w:noProof/>
          <w:sz w:val="24"/>
        </w:rPr>
        <w:t>. For example, in some Member States o</w:t>
      </w:r>
      <w:r>
        <w:rPr>
          <w:rFonts w:ascii="Times New Roman" w:hAnsi="Times New Roman" w:cs="Times New Roman"/>
          <w:noProof/>
          <w:sz w:val="24"/>
          <w:szCs w:val="24"/>
        </w:rPr>
        <w:t xml:space="preserve">nly 3.9% of all the open data </w:t>
      </w:r>
      <w:r>
        <w:rPr>
          <w:rFonts w:ascii="Times New Roman" w:hAnsi="Times New Roman" w:cs="Times New Roman"/>
          <w:noProof/>
          <w:sz w:val="24"/>
          <w:szCs w:val="24"/>
        </w:rPr>
        <w:t>published is from the transport area.</w:t>
      </w:r>
      <w:r>
        <w:rPr>
          <w:rStyle w:val="FootnoteReference"/>
          <w:rFonts w:ascii="Times New Roman" w:hAnsi="Times New Roman"/>
          <w:noProof/>
          <w:sz w:val="24"/>
        </w:rPr>
        <w:footnoteReference w:id="69"/>
      </w:r>
      <w:r>
        <w:rPr>
          <w:rFonts w:ascii="Times New Roman" w:hAnsi="Times New Roman" w:cs="Times New Roman"/>
          <w:noProof/>
          <w:sz w:val="24"/>
          <w:szCs w:val="24"/>
        </w:rPr>
        <w:t xml:space="preserve"> </w:t>
      </w:r>
      <w:r>
        <w:rPr>
          <w:rFonts w:ascii="Times New Roman" w:hAnsi="Times New Roman"/>
          <w:noProof/>
          <w:sz w:val="24"/>
        </w:rPr>
        <w:t>Save for a few exceptions</w:t>
      </w:r>
      <w:r>
        <w:rPr>
          <w:rStyle w:val="FootnoteReference"/>
          <w:rFonts w:ascii="Times New Roman" w:hAnsi="Times New Roman"/>
          <w:noProof/>
          <w:sz w:val="24"/>
        </w:rPr>
        <w:footnoteReference w:id="70"/>
      </w:r>
      <w:r>
        <w:rPr>
          <w:rFonts w:ascii="Times New Roman" w:hAnsi="Times New Roman"/>
          <w:noProof/>
          <w:sz w:val="24"/>
        </w:rPr>
        <w:t xml:space="preserve">, data generated as a result of activities carried out in the utilities sector is not generally made available for re-use. </w:t>
      </w:r>
      <w:r>
        <w:rPr>
          <w:rFonts w:ascii="Times New Roman" w:hAnsi="Times New Roman"/>
          <w:noProof/>
          <w:sz w:val="24"/>
          <w:szCs w:val="24"/>
        </w:rPr>
        <w:t>Only 23% of the respondents to the public online consultation agreed</w:t>
      </w:r>
      <w:r>
        <w:rPr>
          <w:rFonts w:ascii="Times New Roman" w:hAnsi="Times New Roman"/>
          <w:noProof/>
          <w:sz w:val="24"/>
          <w:szCs w:val="24"/>
        </w:rPr>
        <w:t xml:space="preserve"> that data in these sectors was currently available for re-use. The figure was higher (36%) for transport, while it was considerably lower (14%) for the utilities.</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The stakeholders also indicated that data from the transport and utilities sector should be </w:t>
      </w:r>
      <w:r>
        <w:rPr>
          <w:rFonts w:ascii="Times New Roman" w:hAnsi="Times New Roman" w:cs="Times New Roman"/>
          <w:noProof/>
          <w:sz w:val="24"/>
          <w:szCs w:val="24"/>
        </w:rPr>
        <w:t>more widely available. A large majority (71%) of respondents to the online consultation, in particular from the re-user community, believe that data generated in the context of the provision of a public task by publicly owned companies or by independent ec</w:t>
      </w:r>
      <w:r>
        <w:rPr>
          <w:rFonts w:ascii="Times New Roman" w:hAnsi="Times New Roman" w:cs="Times New Roman"/>
          <w:noProof/>
          <w:sz w:val="24"/>
          <w:szCs w:val="24"/>
        </w:rPr>
        <w:t xml:space="preserve">onomic operators, irrespective of the public or private nature of the data holder, should be made available for re-use. Similarly, an overwhelming majority of replies (81%) indicate that if there were an obligation to make data generated in the context of </w:t>
      </w:r>
      <w:r>
        <w:rPr>
          <w:rFonts w:ascii="Times New Roman" w:hAnsi="Times New Roman" w:cs="Times New Roman"/>
          <w:noProof/>
          <w:sz w:val="24"/>
          <w:szCs w:val="24"/>
        </w:rPr>
        <w:t>the provision of a public task available, such data should be available for all interested re-users for any purpose. Although a minority, there are also more cautious opinions on these issues, in particular from businesses in the fields of transport, energ</w:t>
      </w:r>
      <w:r>
        <w:rPr>
          <w:rFonts w:ascii="Times New Roman" w:hAnsi="Times New Roman" w:cs="Times New Roman"/>
          <w:noProof/>
          <w:sz w:val="24"/>
          <w:szCs w:val="24"/>
        </w:rPr>
        <w:t>y, waste and water. In particular stakeholders from the transport sector have expressed concerns. They believe that data is crucial for maintaining their competitiveness and as a result any requirements to make it more open and re-usable should be carefull</w:t>
      </w:r>
      <w:r>
        <w:rPr>
          <w:rFonts w:ascii="Times New Roman" w:hAnsi="Times New Roman" w:cs="Times New Roman"/>
          <w:noProof/>
          <w:sz w:val="24"/>
          <w:szCs w:val="24"/>
        </w:rPr>
        <w:t xml:space="preserve">y balanced, as new obligations in this regard may distort competition in the sector. Stakeholders from entities active in the transport and utilities sectors have also indicated that imposing data sharing obligations on them may have an impact on ensuring </w:t>
      </w:r>
      <w:r>
        <w:rPr>
          <w:rFonts w:ascii="Times New Roman" w:hAnsi="Times New Roman" w:cs="Times New Roman"/>
          <w:noProof/>
          <w:sz w:val="24"/>
          <w:szCs w:val="24"/>
        </w:rPr>
        <w:t>the security of critical infrastructure. Moreover, some are anxious that compliance with the new requirements will mean an additional administrative burden.</w:t>
      </w:r>
    </w:p>
    <w:p w:rsidR="00DF1A33" w:rsidRDefault="00456F01">
      <w:pPr>
        <w:jc w:val="both"/>
        <w:rPr>
          <w:rFonts w:ascii="Times New Roman" w:hAnsi="Times New Roman"/>
          <w:noProof/>
          <w:sz w:val="24"/>
        </w:rPr>
      </w:pPr>
      <w:r>
        <w:rPr>
          <w:rFonts w:ascii="Times New Roman" w:hAnsi="Times New Roman"/>
          <w:noProof/>
          <w:sz w:val="24"/>
        </w:rPr>
        <w:t>The lack of availability and re-usability of data in the relevant areas has led the Commission to p</w:t>
      </w:r>
      <w:r>
        <w:rPr>
          <w:rFonts w:ascii="Times New Roman" w:hAnsi="Times New Roman"/>
          <w:noProof/>
          <w:sz w:val="24"/>
        </w:rPr>
        <w:t>ropose sector-specific rules. The transport sector was covered by legislation on the provision of EU-wide multimodal travel information services</w:t>
      </w:r>
      <w:r>
        <w:rPr>
          <w:rStyle w:val="FootnoteReference"/>
          <w:rFonts w:ascii="Times New Roman" w:hAnsi="Times New Roman"/>
          <w:noProof/>
          <w:sz w:val="24"/>
        </w:rPr>
        <w:footnoteReference w:id="71"/>
      </w:r>
      <w:r>
        <w:rPr>
          <w:rFonts w:ascii="Times New Roman" w:hAnsi="Times New Roman"/>
          <w:noProof/>
          <w:sz w:val="24"/>
        </w:rPr>
        <w:t>, which will lead to the wide availability of a range of relevant datasets. In the energy sector, a recent prop</w:t>
      </w:r>
      <w:r>
        <w:rPr>
          <w:rFonts w:ascii="Times New Roman" w:hAnsi="Times New Roman"/>
          <w:noProof/>
          <w:sz w:val="24"/>
        </w:rPr>
        <w:t>osal for a recast of the Electricity Directive includes provisions enhancing access to consumer data</w:t>
      </w:r>
      <w:r>
        <w:rPr>
          <w:rStyle w:val="FootnoteReference"/>
          <w:rFonts w:ascii="Times New Roman" w:hAnsi="Times New Roman"/>
          <w:noProof/>
          <w:sz w:val="24"/>
        </w:rPr>
        <w:footnoteReference w:id="72"/>
      </w:r>
      <w:r>
        <w:rPr>
          <w:rFonts w:ascii="Times New Roman" w:hAnsi="Times New Roman"/>
          <w:noProof/>
          <w:sz w:val="24"/>
        </w:rPr>
        <w:t>, while in the water sector the Commission has proposed provisions on the sharing of water parameters data in the context of the review of the Directive on</w:t>
      </w:r>
      <w:r>
        <w:rPr>
          <w:rFonts w:ascii="Times New Roman" w:hAnsi="Times New Roman"/>
          <w:noProof/>
          <w:sz w:val="24"/>
        </w:rPr>
        <w:t xml:space="preserve"> the quality of water intended for human consumption.</w:t>
      </w:r>
      <w:r>
        <w:rPr>
          <w:rStyle w:val="FootnoteReference"/>
          <w:rFonts w:ascii="Times New Roman" w:hAnsi="Times New Roman"/>
          <w:noProof/>
          <w:sz w:val="24"/>
        </w:rPr>
        <w:footnoteReference w:id="73"/>
      </w:r>
      <w:r>
        <w:rPr>
          <w:rFonts w:ascii="Times New Roman" w:hAnsi="Times New Roman"/>
          <w:noProof/>
          <w:sz w:val="24"/>
        </w:rPr>
        <w:t xml:space="preserve"> However, these rules are driven by sector-specific concerns and focus on selected datasets. In the case of transport data, the rules cover both public and private entities, which has lowered the ambiti</w:t>
      </w:r>
      <w:r>
        <w:rPr>
          <w:rFonts w:ascii="Times New Roman" w:hAnsi="Times New Roman"/>
          <w:noProof/>
          <w:sz w:val="24"/>
        </w:rPr>
        <w:t>on level with regard to the availability requirements of some of the data.</w:t>
      </w:r>
    </w:p>
    <w:p w:rsidR="00DF1A33" w:rsidRDefault="00456F01">
      <w:pPr>
        <w:jc w:val="both"/>
        <w:rPr>
          <w:rFonts w:ascii="Times New Roman" w:hAnsi="Times New Roman"/>
          <w:noProof/>
          <w:sz w:val="24"/>
        </w:rPr>
      </w:pPr>
      <w:r>
        <w:rPr>
          <w:rFonts w:ascii="Times New Roman" w:hAnsi="Times New Roman"/>
          <w:noProof/>
          <w:sz w:val="24"/>
        </w:rPr>
        <w:t xml:space="preserve">Consequently, the full innovation potential of public and publicly funded data in the areas of public transport and the utilities sector is currently not realised, and this amounts </w:t>
      </w:r>
      <w:r>
        <w:rPr>
          <w:rFonts w:ascii="Times New Roman" w:hAnsi="Times New Roman"/>
          <w:noProof/>
          <w:sz w:val="24"/>
        </w:rPr>
        <w:t>to missed opportunities, given the economic and societal potential of such data.</w:t>
      </w:r>
    </w:p>
    <w:p w:rsidR="00DF1A33" w:rsidRDefault="00456F01">
      <w:pPr>
        <w:jc w:val="both"/>
        <w:rPr>
          <w:rFonts w:ascii="Times New Roman" w:hAnsi="Times New Roman"/>
          <w:i/>
          <w:noProof/>
          <w:sz w:val="24"/>
        </w:rPr>
      </w:pPr>
      <w:r>
        <w:rPr>
          <w:rFonts w:ascii="Times New Roman" w:hAnsi="Times New Roman"/>
          <w:i/>
          <w:noProof/>
          <w:sz w:val="24"/>
        </w:rPr>
        <w:t>2.2.4.2 Research data</w:t>
      </w:r>
    </w:p>
    <w:p w:rsidR="00DF1A33" w:rsidRDefault="00456F01">
      <w:pPr>
        <w:jc w:val="both"/>
        <w:rPr>
          <w:rFonts w:ascii="Times New Roman" w:hAnsi="Times New Roman"/>
          <w:noProof/>
          <w:sz w:val="24"/>
        </w:rPr>
      </w:pPr>
      <w:r>
        <w:rPr>
          <w:rFonts w:ascii="Times New Roman" w:eastAsia="Times New Roman" w:hAnsi="Times New Roman"/>
          <w:noProof/>
          <w:sz w:val="24"/>
        </w:rPr>
        <w:t>Scientific information produced with public funding is an invaluable resource for innovation, for the broader economy and for addressing societal issues.</w:t>
      </w:r>
      <w:r>
        <w:rPr>
          <w:rFonts w:ascii="Times New Roman" w:eastAsia="Times New Roman" w:hAnsi="Times New Roman"/>
          <w:noProof/>
          <w:sz w:val="24"/>
        </w:rPr>
        <w:t xml:space="preserve"> </w:t>
      </w:r>
      <w:r>
        <w:rPr>
          <w:rFonts w:ascii="Times New Roman" w:hAnsi="Times New Roman"/>
          <w:noProof/>
          <w:sz w:val="24"/>
        </w:rPr>
        <w:t>There is also substantial evidence that data sharing is correlated with better science.</w:t>
      </w:r>
      <w:r>
        <w:rPr>
          <w:rStyle w:val="FootnoteReference"/>
          <w:rFonts w:ascii="Times New Roman" w:hAnsi="Times New Roman"/>
          <w:noProof/>
          <w:sz w:val="24"/>
        </w:rPr>
        <w:footnoteReference w:id="74"/>
      </w:r>
      <w:r>
        <w:rPr>
          <w:rFonts w:ascii="Times New Roman" w:hAnsi="Times New Roman"/>
          <w:noProof/>
          <w:sz w:val="24"/>
        </w:rPr>
        <w:t xml:space="preserve"> </w:t>
      </w:r>
      <w:r>
        <w:rPr>
          <w:rFonts w:ascii="Times New Roman" w:eastAsia="Times New Roman" w:hAnsi="Times New Roman"/>
          <w:noProof/>
          <w:sz w:val="24"/>
        </w:rPr>
        <w:t>Nevertheless, scientific information is often not readily available for re-use, d</w:t>
      </w:r>
      <w:r>
        <w:rPr>
          <w:rFonts w:ascii="Times New Roman" w:hAnsi="Times New Roman"/>
          <w:noProof/>
          <w:sz w:val="24"/>
        </w:rPr>
        <w:t xml:space="preserve">espite growing acceptance of the Open Access approach to research data both globally </w:t>
      </w:r>
      <w:r>
        <w:rPr>
          <w:rFonts w:ascii="Times New Roman" w:hAnsi="Times New Roman"/>
          <w:noProof/>
          <w:sz w:val="24"/>
        </w:rPr>
        <w:t>and in the EU.</w:t>
      </w:r>
      <w:r>
        <w:rPr>
          <w:rStyle w:val="FootnoteReference"/>
          <w:rFonts w:ascii="Times New Roman" w:hAnsi="Times New Roman"/>
          <w:noProof/>
          <w:sz w:val="24"/>
        </w:rPr>
        <w:footnoteReference w:id="75"/>
      </w:r>
    </w:p>
    <w:p w:rsidR="00DF1A33" w:rsidRDefault="00456F01">
      <w:pPr>
        <w:spacing w:after="0"/>
        <w:jc w:val="both"/>
        <w:rPr>
          <w:rFonts w:ascii="Times New Roman" w:hAnsi="Times New Roman"/>
          <w:noProof/>
          <w:sz w:val="24"/>
        </w:rPr>
      </w:pPr>
      <w:r>
        <w:rPr>
          <w:rFonts w:ascii="Times New Roman" w:hAnsi="Times New Roman"/>
          <w:noProof/>
          <w:sz w:val="24"/>
        </w:rPr>
        <w:t xml:space="preserve">This is related to the following factors: </w:t>
      </w:r>
    </w:p>
    <w:p w:rsidR="00DF1A33" w:rsidRDefault="00456F01">
      <w:pPr>
        <w:pStyle w:val="ListParagraph"/>
        <w:numPr>
          <w:ilvl w:val="0"/>
          <w:numId w:val="5"/>
        </w:numPr>
        <w:jc w:val="both"/>
        <w:rPr>
          <w:rFonts w:ascii="Times New Roman" w:hAnsi="Times New Roman"/>
          <w:noProof/>
          <w:sz w:val="24"/>
        </w:rPr>
      </w:pPr>
      <w:r>
        <w:rPr>
          <w:rFonts w:ascii="Times New Roman" w:hAnsi="Times New Roman"/>
          <w:noProof/>
          <w:sz w:val="24"/>
        </w:rPr>
        <w:t>Fragmentation of policies</w:t>
      </w:r>
      <w:r>
        <w:rPr>
          <w:rFonts w:ascii="Times New Roman" w:hAnsi="Times New Roman" w:cs="Times New Roman"/>
          <w:noProof/>
          <w:sz w:val="24"/>
          <w:szCs w:val="24"/>
        </w:rPr>
        <w:t xml:space="preserve"> due to the dependence</w:t>
      </w:r>
      <w:r>
        <w:rPr>
          <w:rFonts w:ascii="Times New Roman" w:hAnsi="Times New Roman"/>
          <w:noProof/>
          <w:sz w:val="24"/>
        </w:rPr>
        <w:t xml:space="preserve"> on a wide range of institutional and (national or other) funding mandates and arrangements, and weak compliance: </w:t>
      </w:r>
      <w:r>
        <w:rPr>
          <w:rFonts w:ascii="Times New Roman" w:hAnsi="Times New Roman" w:cs="Times New Roman"/>
          <w:noProof/>
          <w:sz w:val="24"/>
          <w:szCs w:val="24"/>
        </w:rPr>
        <w:t>the funding</w:t>
      </w:r>
      <w:r>
        <w:rPr>
          <w:rFonts w:ascii="Times New Roman" w:hAnsi="Times New Roman"/>
          <w:noProof/>
          <w:sz w:val="24"/>
        </w:rPr>
        <w:t xml:space="preserve"> mandates are often not p</w:t>
      </w:r>
      <w:r>
        <w:rPr>
          <w:rFonts w:ascii="Times New Roman" w:hAnsi="Times New Roman"/>
          <w:noProof/>
          <w:sz w:val="24"/>
        </w:rPr>
        <w:t>roperly implemented.</w:t>
      </w:r>
    </w:p>
    <w:p w:rsidR="00DF1A33" w:rsidRDefault="00456F01">
      <w:pPr>
        <w:pStyle w:val="ListParagraph"/>
        <w:numPr>
          <w:ilvl w:val="0"/>
          <w:numId w:val="5"/>
        </w:numPr>
        <w:jc w:val="both"/>
        <w:rPr>
          <w:rFonts w:ascii="Times New Roman" w:hAnsi="Times New Roman"/>
          <w:noProof/>
          <w:sz w:val="24"/>
        </w:rPr>
      </w:pPr>
      <w:r>
        <w:rPr>
          <w:rFonts w:ascii="Times New Roman" w:hAnsi="Times New Roman"/>
          <w:noProof/>
          <w:sz w:val="24"/>
        </w:rPr>
        <w:t>Policy framework not fully fit for purpose,</w:t>
      </w:r>
      <w:r>
        <w:rPr>
          <w:rFonts w:ascii="Times New Roman" w:hAnsi="Times New Roman" w:cs="Times New Roman"/>
          <w:noProof/>
          <w:sz w:val="24"/>
          <w:szCs w:val="24"/>
        </w:rPr>
        <w:t xml:space="preserve"> given that t</w:t>
      </w:r>
      <w:r>
        <w:rPr>
          <w:rFonts w:ascii="Times New Roman" w:hAnsi="Times New Roman" w:cs="Times New Roman"/>
          <w:noProof/>
          <w:sz w:val="24"/>
          <w:szCs w:val="24"/>
          <w:lang w:val="en-US"/>
        </w:rPr>
        <w:t>he 2012 Commission Recommendation on access and preservation of scientific information</w:t>
      </w:r>
      <w:r>
        <w:rPr>
          <w:rFonts w:ascii="Times New Roman" w:hAnsi="Times New Roman"/>
          <w:noProof/>
          <w:sz w:val="24"/>
          <w:vertAlign w:val="superscript"/>
          <w:lang w:val="en-US"/>
        </w:rPr>
        <w:footnoteReference w:id="76"/>
      </w:r>
      <w:r>
        <w:rPr>
          <w:rFonts w:ascii="Times New Roman" w:hAnsi="Times New Roman" w:cs="Times New Roman"/>
          <w:noProof/>
          <w:sz w:val="24"/>
          <w:szCs w:val="24"/>
          <w:lang w:val="en-US"/>
        </w:rPr>
        <w:t xml:space="preserve"> is no longer up to date. Notably, it does not take into account the recent EU policy develo</w:t>
      </w:r>
      <w:r>
        <w:rPr>
          <w:rFonts w:ascii="Times New Roman" w:hAnsi="Times New Roman" w:cs="Times New Roman"/>
          <w:noProof/>
          <w:sz w:val="24"/>
          <w:szCs w:val="24"/>
          <w:lang w:val="en-US"/>
        </w:rPr>
        <w:t xml:space="preserve">pments in the areas of Open Science, and the spread of machine-generated and dynamic data. </w:t>
      </w:r>
    </w:p>
    <w:p w:rsidR="00DF1A33" w:rsidRDefault="00456F01">
      <w:pPr>
        <w:pStyle w:val="ListParagraph"/>
        <w:numPr>
          <w:ilvl w:val="0"/>
          <w:numId w:val="5"/>
        </w:numPr>
        <w:jc w:val="both"/>
        <w:rPr>
          <w:rFonts w:ascii="Times New Roman" w:hAnsi="Times New Roman"/>
          <w:noProof/>
          <w:sz w:val="24"/>
        </w:rPr>
      </w:pPr>
      <w:r>
        <w:rPr>
          <w:rFonts w:ascii="Times New Roman" w:hAnsi="Times New Roman"/>
          <w:noProof/>
          <w:sz w:val="24"/>
        </w:rPr>
        <w:t>Lack of focus on re-use</w:t>
      </w:r>
      <w:r>
        <w:rPr>
          <w:rFonts w:ascii="Times New Roman" w:hAnsi="Times New Roman" w:cs="Times New Roman"/>
          <w:noProof/>
          <w:sz w:val="24"/>
          <w:szCs w:val="24"/>
        </w:rPr>
        <w:t xml:space="preserve"> since open</w:t>
      </w:r>
      <w:r>
        <w:rPr>
          <w:rFonts w:ascii="Times New Roman" w:hAnsi="Times New Roman"/>
          <w:noProof/>
          <w:sz w:val="24"/>
        </w:rPr>
        <w:t xml:space="preserve"> access mandates focus on access to scientific information, </w:t>
      </w:r>
      <w:r>
        <w:rPr>
          <w:rFonts w:ascii="Times New Roman" w:hAnsi="Times New Roman" w:cs="Times New Roman"/>
          <w:noProof/>
          <w:sz w:val="24"/>
          <w:szCs w:val="24"/>
        </w:rPr>
        <w:t xml:space="preserve">while </w:t>
      </w:r>
      <w:r>
        <w:rPr>
          <w:rFonts w:ascii="Times New Roman" w:hAnsi="Times New Roman"/>
          <w:noProof/>
          <w:sz w:val="24"/>
        </w:rPr>
        <w:t>re-use</w:t>
      </w:r>
      <w:r>
        <w:rPr>
          <w:rFonts w:ascii="Times New Roman" w:hAnsi="Times New Roman" w:cs="Times New Roman"/>
          <w:noProof/>
          <w:sz w:val="24"/>
          <w:szCs w:val="24"/>
        </w:rPr>
        <w:t xml:space="preserve"> of this information is</w:t>
      </w:r>
      <w:r>
        <w:rPr>
          <w:rFonts w:ascii="Times New Roman" w:hAnsi="Times New Roman"/>
          <w:noProof/>
          <w:sz w:val="24"/>
        </w:rPr>
        <w:t xml:space="preserve"> dealt with in disparate ways. </w:t>
      </w:r>
    </w:p>
    <w:p w:rsidR="00DF1A33" w:rsidRDefault="00456F01">
      <w:pPr>
        <w:pStyle w:val="ListParagraph"/>
        <w:numPr>
          <w:ilvl w:val="0"/>
          <w:numId w:val="5"/>
        </w:numPr>
        <w:jc w:val="both"/>
        <w:rPr>
          <w:rFonts w:ascii="Times New Roman" w:hAnsi="Times New Roman"/>
          <w:noProof/>
          <w:sz w:val="24"/>
        </w:rPr>
      </w:pPr>
      <w:r>
        <w:rPr>
          <w:rFonts w:ascii="Times New Roman" w:hAnsi="Times New Roman"/>
          <w:noProof/>
          <w:sz w:val="24"/>
        </w:rPr>
        <w:t>Lack of incentives/rewards to allow the re-use of research data:</w:t>
      </w:r>
      <w:r>
        <w:rPr>
          <w:rFonts w:ascii="Times New Roman" w:hAnsi="Times New Roman" w:cs="Times New Roman"/>
          <w:noProof/>
          <w:sz w:val="24"/>
          <w:szCs w:val="24"/>
        </w:rPr>
        <w:t xml:space="preserve"> </w:t>
      </w:r>
      <w:r>
        <w:rPr>
          <w:rFonts w:ascii="Times New Roman" w:hAnsi="Times New Roman"/>
          <w:noProof/>
          <w:sz w:val="24"/>
        </w:rPr>
        <w:t>Many researchers remain reticent on the idea of opening their results</w:t>
      </w:r>
      <w:r>
        <w:rPr>
          <w:rFonts w:ascii="Times New Roman" w:hAnsi="Times New Roman" w:cs="Times New Roman"/>
          <w:noProof/>
          <w:sz w:val="24"/>
          <w:szCs w:val="24"/>
        </w:rPr>
        <w:t xml:space="preserve"> due to the lack of awareness on the potential benefits of open science. Also there are no individual rewards compensating</w:t>
      </w:r>
      <w:r>
        <w:rPr>
          <w:rFonts w:ascii="Times New Roman" w:hAnsi="Times New Roman" w:cs="Times New Roman"/>
          <w:noProof/>
          <w:sz w:val="24"/>
          <w:szCs w:val="24"/>
        </w:rPr>
        <w:t xml:space="preserve"> for potential </w:t>
      </w:r>
      <w:r>
        <w:rPr>
          <w:rFonts w:ascii="Times New Roman" w:hAnsi="Times New Roman"/>
          <w:noProof/>
          <w:sz w:val="24"/>
        </w:rPr>
        <w:t>loss of competitive advantage of keeping results closed.</w:t>
      </w:r>
    </w:p>
    <w:p w:rsidR="00DF1A33" w:rsidRDefault="00456F01">
      <w:pPr>
        <w:jc w:val="both"/>
        <w:rPr>
          <w:rFonts w:ascii="Times New Roman" w:hAnsi="Times New Roman"/>
          <w:noProof/>
          <w:sz w:val="24"/>
        </w:rPr>
      </w:pPr>
      <w:r>
        <w:rPr>
          <w:rFonts w:ascii="Times New Roman" w:hAnsi="Times New Roman" w:cs="Times New Roman"/>
          <w:noProof/>
          <w:sz w:val="24"/>
          <w:szCs w:val="24"/>
          <w:lang w:val="en-US"/>
        </w:rPr>
        <w:t>T</w:t>
      </w:r>
      <w:r>
        <w:rPr>
          <w:rFonts w:ascii="Times New Roman" w:hAnsi="Times New Roman"/>
          <w:noProof/>
          <w:sz w:val="24"/>
        </w:rPr>
        <w:t>he Impact Assessment study</w:t>
      </w:r>
      <w:r>
        <w:rPr>
          <w:rStyle w:val="FootnoteReference"/>
          <w:rFonts w:ascii="Times New Roman" w:hAnsi="Times New Roman"/>
          <w:noProof/>
          <w:sz w:val="24"/>
        </w:rPr>
        <w:footnoteReference w:id="77"/>
      </w:r>
      <w:r>
        <w:rPr>
          <w:rFonts w:ascii="Times New Roman" w:hAnsi="Times New Roman"/>
          <w:noProof/>
          <w:sz w:val="24"/>
        </w:rPr>
        <w:t xml:space="preserve"> confirms that there is consensus in the literature about the lack of research data sharing and puts forward various examples from bibliometric analysis and surveys of researchers, ranging from only 13% up to to 79% of research data being shared. The study</w:t>
      </w:r>
      <w:r>
        <w:rPr>
          <w:rFonts w:ascii="Times New Roman" w:hAnsi="Times New Roman"/>
          <w:noProof/>
          <w:sz w:val="24"/>
        </w:rPr>
        <w:t xml:space="preserve"> also confirms that there is a wide range of underlying reasons impeding the sharing of research data. Among them the most prominent causes seem to be the different data sharing cultures in the different disciplines, legal certainty regarding copyright ove</w:t>
      </w:r>
      <w:r>
        <w:rPr>
          <w:rFonts w:ascii="Times New Roman" w:hAnsi="Times New Roman"/>
          <w:noProof/>
          <w:sz w:val="24"/>
        </w:rPr>
        <w:t>r the datasets concerned or the reluctance of companies to share data with researchers when they know that the data will be openly shared. Many of these statements have also been expressed in a dedicated workshop on 'Open Research Data'</w:t>
      </w:r>
      <w:r>
        <w:rPr>
          <w:rStyle w:val="FootnoteReference"/>
          <w:rFonts w:ascii="Times New Roman" w:hAnsi="Times New Roman"/>
          <w:noProof/>
          <w:sz w:val="24"/>
        </w:rPr>
        <w:footnoteReference w:id="78"/>
      </w:r>
      <w:r>
        <w:rPr>
          <w:rFonts w:ascii="Times New Roman" w:hAnsi="Times New Roman"/>
          <w:noProof/>
          <w:sz w:val="24"/>
        </w:rPr>
        <w:t xml:space="preserve"> and in a public he</w:t>
      </w:r>
      <w:r>
        <w:rPr>
          <w:rFonts w:ascii="Times New Roman" w:hAnsi="Times New Roman"/>
          <w:noProof/>
          <w:sz w:val="24"/>
        </w:rPr>
        <w:t>aring on the PSI Directive review.</w:t>
      </w:r>
      <w:r>
        <w:rPr>
          <w:rStyle w:val="FootnoteReference"/>
          <w:rFonts w:ascii="Times New Roman" w:hAnsi="Times New Roman"/>
          <w:noProof/>
          <w:sz w:val="24"/>
        </w:rPr>
        <w:footnoteReference w:id="79"/>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2012 Commission Recommendation on access and preservation of scientific information has created a framework for open access to research results at the European level. It has led to substantial progress across the EU </w:t>
      </w:r>
      <w:r>
        <w:rPr>
          <w:rFonts w:ascii="Times New Roman" w:hAnsi="Times New Roman" w:cs="Times New Roman"/>
          <w:noProof/>
          <w:sz w:val="24"/>
          <w:szCs w:val="24"/>
          <w:lang w:val="en-US"/>
        </w:rPr>
        <w:t>in opening up research information.</w:t>
      </w:r>
      <w:r>
        <w:rPr>
          <w:rStyle w:val="FootnoteReference"/>
          <w:rFonts w:ascii="Times New Roman" w:hAnsi="Times New Roman" w:cs="Times New Roman"/>
          <w:noProof/>
          <w:sz w:val="24"/>
          <w:szCs w:val="24"/>
          <w:lang w:val="en-US"/>
        </w:rPr>
        <w:footnoteReference w:id="80"/>
      </w:r>
      <w:r>
        <w:rPr>
          <w:rFonts w:ascii="Times New Roman" w:hAnsi="Times New Roman" w:cs="Times New Roman"/>
          <w:noProof/>
          <w:sz w:val="24"/>
          <w:szCs w:val="24"/>
          <w:lang w:val="en-US"/>
        </w:rPr>
        <w:t xml:space="preserve"> At the same time Member States reports collected in 2017</w:t>
      </w:r>
      <w:r>
        <w:rPr>
          <w:rStyle w:val="FootnoteReference"/>
          <w:rFonts w:ascii="Times New Roman" w:hAnsi="Times New Roman" w:cs="Times New Roman"/>
          <w:noProof/>
          <w:sz w:val="24"/>
          <w:szCs w:val="24"/>
          <w:lang w:val="en-US"/>
        </w:rPr>
        <w:footnoteReference w:id="81"/>
      </w:r>
      <w:r>
        <w:rPr>
          <w:rFonts w:ascii="Times New Roman" w:hAnsi="Times New Roman" w:cs="Times New Roman"/>
          <w:noProof/>
          <w:sz w:val="24"/>
          <w:szCs w:val="24"/>
          <w:lang w:val="en-US"/>
        </w:rPr>
        <w:t xml:space="preserve"> show the limits of the non-binding approach. National policies or overall strategies to encourage or mandate Open Access to research data have been adopted in on</w:t>
      </w:r>
      <w:r>
        <w:rPr>
          <w:rFonts w:ascii="Times New Roman" w:hAnsi="Times New Roman" w:cs="Times New Roman"/>
          <w:noProof/>
          <w:sz w:val="24"/>
          <w:szCs w:val="24"/>
          <w:lang w:val="en-US"/>
        </w:rPr>
        <w:t>ly 8 out of 28 Member States.</w:t>
      </w:r>
    </w:p>
    <w:p w:rsidR="00DF1A33" w:rsidRDefault="00456F01">
      <w:pPr>
        <w:jc w:val="center"/>
        <w:rPr>
          <w:noProof/>
        </w:rPr>
      </w:pPr>
      <w:r>
        <w:rPr>
          <w:noProof/>
          <w:lang w:eastAsia="en-GB"/>
        </w:rPr>
        <w:drawing>
          <wp:inline distT="0" distB="0" distL="0" distR="0" wp14:anchorId="60A4FBB4" wp14:editId="3459023B">
            <wp:extent cx="3053861" cy="1306012"/>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6484" cy="1307134"/>
                    </a:xfrm>
                    <a:prstGeom prst="rect">
                      <a:avLst/>
                    </a:prstGeom>
                    <a:noFill/>
                    <a:ln>
                      <a:noFill/>
                    </a:ln>
                  </pic:spPr>
                </pic:pic>
              </a:graphicData>
            </a:graphic>
          </wp:inline>
        </w:drawing>
      </w:r>
    </w:p>
    <w:p w:rsidR="00DF1A33" w:rsidRDefault="00456F01">
      <w:pPr>
        <w:pStyle w:val="Text2"/>
        <w:keepNext/>
        <w:ind w:left="142"/>
        <w:jc w:val="left"/>
        <w:rPr>
          <w:b/>
          <w:noProof/>
          <w:color w:val="4F81BD" w:themeColor="accent1"/>
          <w:sz w:val="18"/>
          <w:lang w:eastAsia="nl-NL"/>
        </w:rPr>
      </w:pPr>
      <w:r>
        <w:rPr>
          <w:b/>
          <w:noProof/>
          <w:color w:val="4F81BD" w:themeColor="accent1"/>
          <w:sz w:val="18"/>
          <w:lang w:eastAsia="nl-NL"/>
        </w:rPr>
        <w:t xml:space="preserve">Figure </w:t>
      </w:r>
      <w:r>
        <w:rPr>
          <w:b/>
          <w:noProof/>
          <w:color w:val="4F81BD" w:themeColor="accent1"/>
          <w:sz w:val="18"/>
          <w:lang w:eastAsia="nl-NL"/>
        </w:rPr>
        <w:fldChar w:fldCharType="begin"/>
      </w:r>
      <w:r>
        <w:rPr>
          <w:b/>
          <w:noProof/>
          <w:color w:val="4F81BD" w:themeColor="accent1"/>
          <w:sz w:val="18"/>
          <w:lang w:eastAsia="nl-NL"/>
        </w:rPr>
        <w:instrText xml:space="preserve"> SEQ Figure \* ARABIC </w:instrText>
      </w:r>
      <w:r>
        <w:rPr>
          <w:b/>
          <w:noProof/>
          <w:color w:val="4F81BD" w:themeColor="accent1"/>
          <w:sz w:val="18"/>
          <w:lang w:eastAsia="nl-NL"/>
        </w:rPr>
        <w:fldChar w:fldCharType="separate"/>
      </w:r>
      <w:r>
        <w:rPr>
          <w:b/>
          <w:noProof/>
          <w:color w:val="4F81BD" w:themeColor="accent1"/>
          <w:sz w:val="18"/>
          <w:lang w:eastAsia="nl-NL"/>
        </w:rPr>
        <w:t>2</w:t>
      </w:r>
      <w:r>
        <w:rPr>
          <w:b/>
          <w:noProof/>
          <w:color w:val="4F81BD" w:themeColor="accent1"/>
          <w:sz w:val="18"/>
          <w:lang w:eastAsia="nl-NL"/>
        </w:rPr>
        <w:fldChar w:fldCharType="end"/>
      </w:r>
      <w:r>
        <w:rPr>
          <w:b/>
          <w:noProof/>
          <w:color w:val="4F81BD" w:themeColor="accent1"/>
          <w:sz w:val="18"/>
          <w:lang w:eastAsia="nl-NL"/>
        </w:rPr>
        <w:t xml:space="preserve"> - Member States reporting on national level strategies or policies for open access to research data</w:t>
      </w:r>
    </w:p>
    <w:p w:rsidR="00DF1A33" w:rsidRDefault="00456F01">
      <w:pPr>
        <w:jc w:val="both"/>
        <w:rPr>
          <w:rFonts w:ascii="Times New Roman" w:eastAsia="Times New Roman" w:hAnsi="Times New Roman"/>
          <w:noProof/>
          <w:sz w:val="24"/>
        </w:rPr>
      </w:pPr>
      <w:r>
        <w:rPr>
          <w:rFonts w:ascii="Times New Roman" w:hAnsi="Times New Roman" w:cs="Times New Roman"/>
          <w:noProof/>
          <w:sz w:val="24"/>
          <w:szCs w:val="24"/>
        </w:rPr>
        <w:t>While it is true that some Member States also reported that such open access policies with</w:t>
      </w:r>
      <w:r>
        <w:rPr>
          <w:rFonts w:ascii="Times New Roman" w:hAnsi="Times New Roman" w:cs="Times New Roman"/>
          <w:noProof/>
          <w:sz w:val="24"/>
          <w:szCs w:val="24"/>
        </w:rPr>
        <w:t xml:space="preserve"> respect to research data exist for at least 'some academic institutions and/or research centres' (18 Member States reported this to be the case), the FAIR principles, a community standard for findable, accessible, interoperable and re-usable research data</w:t>
      </w:r>
      <w:r>
        <w:rPr>
          <w:rFonts w:ascii="Times New Roman" w:hAnsi="Times New Roman" w:cs="Times New Roman"/>
          <w:noProof/>
          <w:sz w:val="24"/>
          <w:szCs w:val="24"/>
        </w:rPr>
        <w:t>, is supported either at national or at institutional level in only 16 Member States.</w:t>
      </w:r>
      <w:r>
        <w:rPr>
          <w:rStyle w:val="FootnoteReference"/>
          <w:rFonts w:ascii="Times New Roman" w:hAnsi="Times New Roman" w:cs="Times New Roman"/>
          <w:noProof/>
          <w:sz w:val="24"/>
          <w:szCs w:val="24"/>
        </w:rPr>
        <w:footnoteReference w:id="82"/>
      </w:r>
      <w:r>
        <w:rPr>
          <w:rFonts w:ascii="Times New Roman" w:hAnsi="Times New Roman" w:cs="Times New Roman"/>
          <w:noProof/>
          <w:sz w:val="24"/>
          <w:szCs w:val="24"/>
        </w:rPr>
        <w:t xml:space="preserve"> </w:t>
      </w:r>
      <w:r>
        <w:rPr>
          <w:rFonts w:ascii="Times New Roman" w:eastAsia="Times New Roman" w:hAnsi="Times New Roman"/>
          <w:noProof/>
          <w:sz w:val="24"/>
        </w:rPr>
        <w:t>Where mandates for open access are in place, they are often not enforced. 44% of respondents in the Figshare survey declare that they have an institutional mandate but i</w:t>
      </w:r>
      <w:r>
        <w:rPr>
          <w:rFonts w:ascii="Times New Roman" w:eastAsia="Times New Roman" w:hAnsi="Times New Roman"/>
          <w:noProof/>
          <w:sz w:val="24"/>
        </w:rPr>
        <w:t>t is not enforced.</w:t>
      </w:r>
      <w:r>
        <w:rPr>
          <w:noProof/>
          <w:vertAlign w:val="superscript"/>
        </w:rPr>
        <w:footnoteReference w:id="83"/>
      </w:r>
      <w:r>
        <w:rPr>
          <w:rFonts w:ascii="Times New Roman" w:eastAsia="Times New Roman" w:hAnsi="Times New Roman"/>
          <w:noProof/>
          <w:sz w:val="24"/>
        </w:rPr>
        <w:t xml:space="preserve"> </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Moreover, data resulting from publicly funded research is often not fully open or not open under harmonised and clear terms. This trend is shown by the data and analysis from the OpenAIRE Infrastructure</w:t>
      </w:r>
      <w:r>
        <w:rPr>
          <w:rStyle w:val="FootnoteReference"/>
          <w:rFonts w:ascii="Times New Roman" w:hAnsi="Times New Roman" w:cs="Times New Roman"/>
          <w:noProof/>
          <w:sz w:val="24"/>
          <w:szCs w:val="24"/>
          <w:lang w:val="en-US"/>
        </w:rPr>
        <w:footnoteReference w:id="84"/>
      </w:r>
      <w:r>
        <w:rPr>
          <w:rFonts w:ascii="Times New Roman" w:hAnsi="Times New Roman" w:cs="Times New Roman"/>
          <w:noProof/>
          <w:sz w:val="24"/>
          <w:szCs w:val="24"/>
          <w:lang w:val="en-US"/>
        </w:rPr>
        <w:t xml:space="preserve"> from October 2017, where H2020 </w:t>
      </w:r>
      <w:r>
        <w:rPr>
          <w:rFonts w:ascii="Times New Roman" w:hAnsi="Times New Roman" w:cs="Times New Roman"/>
          <w:noProof/>
          <w:sz w:val="24"/>
          <w:szCs w:val="24"/>
          <w:lang w:val="en-US"/>
        </w:rPr>
        <w:t xml:space="preserve">publications account for 12,000 articles, but only 404 datasets. </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addition</w:t>
      </w:r>
      <w:r>
        <w:rPr>
          <w:rFonts w:ascii="Times New Roman" w:hAnsi="Times New Roman" w:cs="Times New Roman"/>
          <w:noProof/>
          <w:sz w:val="24"/>
          <w:szCs w:val="24"/>
        </w:rPr>
        <w:t>, there are</w:t>
      </w:r>
      <w:r>
        <w:rPr>
          <w:rFonts w:ascii="Times New Roman" w:hAnsi="Times New Roman" w:cs="Times New Roman"/>
          <w:noProof/>
          <w:sz w:val="24"/>
          <w:szCs w:val="24"/>
          <w:lang w:val="en-US"/>
        </w:rPr>
        <w:t xml:space="preserve"> substantial discrepancies in how open publications are available in the different research areas, and also to what extent research data is actually available. On the o</w:t>
      </w:r>
      <w:r>
        <w:rPr>
          <w:rFonts w:ascii="Times New Roman" w:hAnsi="Times New Roman" w:cs="Times New Roman"/>
          <w:noProof/>
          <w:sz w:val="24"/>
          <w:szCs w:val="24"/>
          <w:lang w:val="en-US"/>
        </w:rPr>
        <w:t>ne hand, there is a flourishing landscape of research data repositories. Among the 1,381 research data repositories</w:t>
      </w:r>
      <w:r>
        <w:rPr>
          <w:rStyle w:val="FootnoteReference"/>
          <w:rFonts w:ascii="Times New Roman" w:hAnsi="Times New Roman" w:cs="Times New Roman"/>
          <w:noProof/>
          <w:sz w:val="24"/>
          <w:szCs w:val="24"/>
          <w:lang w:val="en-US"/>
        </w:rPr>
        <w:footnoteReference w:id="85"/>
      </w:r>
      <w:r>
        <w:rPr>
          <w:rFonts w:ascii="Times New Roman" w:hAnsi="Times New Roman" w:cs="Times New Roman"/>
          <w:noProof/>
          <w:sz w:val="24"/>
          <w:szCs w:val="24"/>
          <w:lang w:val="en-US"/>
        </w:rPr>
        <w:t xml:space="preserve"> examined in the project re3data</w:t>
      </w:r>
      <w:r>
        <w:rPr>
          <w:rStyle w:val="FootnoteReference"/>
          <w:rFonts w:ascii="Times New Roman" w:hAnsi="Times New Roman" w:cs="Times New Roman"/>
          <w:noProof/>
          <w:sz w:val="24"/>
          <w:szCs w:val="24"/>
          <w:lang w:val="en-US"/>
        </w:rPr>
        <w:footnoteReference w:id="86"/>
      </w:r>
      <w:r>
        <w:rPr>
          <w:rFonts w:ascii="Times New Roman" w:hAnsi="Times New Roman" w:cs="Times New Roman"/>
          <w:noProof/>
          <w:sz w:val="24"/>
          <w:szCs w:val="24"/>
          <w:lang w:val="en-US"/>
        </w:rPr>
        <w:t>, 95.5% were qualified as open, meaning accessible without any financial and technical barriers and 86.2% o</w:t>
      </w:r>
      <w:r>
        <w:rPr>
          <w:rFonts w:ascii="Times New Roman" w:hAnsi="Times New Roman" w:cs="Times New Roman"/>
          <w:noProof/>
          <w:sz w:val="24"/>
          <w:szCs w:val="24"/>
          <w:lang w:val="en-US"/>
        </w:rPr>
        <w:t>f their research data content is available in open access data at least partly. On the other hand, an analysis</w:t>
      </w:r>
      <w:r>
        <w:rPr>
          <w:rFonts w:ascii="Times New Roman" w:hAnsi="Times New Roman" w:cs="Times New Roman"/>
          <w:noProof/>
          <w:sz w:val="24"/>
          <w:szCs w:val="24"/>
          <w:vertAlign w:val="superscript"/>
          <w:lang w:val="en-US"/>
        </w:rPr>
        <w:footnoteReference w:id="87"/>
      </w:r>
      <w:r>
        <w:rPr>
          <w:rFonts w:ascii="Times New Roman" w:hAnsi="Times New Roman" w:cs="Times New Roman"/>
          <w:noProof/>
          <w:sz w:val="24"/>
          <w:szCs w:val="24"/>
          <w:lang w:val="en-US"/>
        </w:rPr>
        <w:t xml:space="preserve"> of the URL links embedded in papers published by the American Astronomical Society over 15 years found that 44% of those links were broken 10 ye</w:t>
      </w:r>
      <w:r>
        <w:rPr>
          <w:rFonts w:ascii="Times New Roman" w:hAnsi="Times New Roman" w:cs="Times New Roman"/>
          <w:noProof/>
          <w:sz w:val="24"/>
          <w:szCs w:val="24"/>
          <w:lang w:val="en-US"/>
        </w:rPr>
        <w:t>ars after the publication. 15-20% of links pointing to curated data archives were broken, while links to project or personal websites decayed at much faster rate. Bibliometric analysis shows that data from only 13% of articles in top-level journals is avai</w:t>
      </w:r>
      <w:r>
        <w:rPr>
          <w:rFonts w:ascii="Times New Roman" w:hAnsi="Times New Roman" w:cs="Times New Roman"/>
          <w:noProof/>
          <w:sz w:val="24"/>
          <w:szCs w:val="24"/>
          <w:lang w:val="en-US"/>
        </w:rPr>
        <w:t xml:space="preserve">lable. </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Finally, there is a problem of diversity and inconsistency of the licensing practices which are not oriented toward favouring re-use.</w:t>
      </w:r>
      <w:r>
        <w:rPr>
          <w:rStyle w:val="FootnoteReference"/>
          <w:rFonts w:ascii="Times New Roman" w:hAnsi="Times New Roman" w:cs="Times New Roman"/>
          <w:noProof/>
          <w:sz w:val="24"/>
          <w:szCs w:val="24"/>
          <w:lang w:val="en-US"/>
        </w:rPr>
        <w:footnoteReference w:id="88"/>
      </w:r>
      <w:r>
        <w:rPr>
          <w:rFonts w:ascii="Times New Roman" w:hAnsi="Times New Roman" w:cs="Times New Roman"/>
          <w:noProof/>
          <w:sz w:val="24"/>
          <w:szCs w:val="24"/>
          <w:lang w:val="en-US"/>
        </w:rPr>
        <w:t xml:space="preserve"> This issue was reported as a shortcoming of the current policy set-up by stakeholders from the research community</w:t>
      </w:r>
      <w:r>
        <w:rPr>
          <w:rFonts w:ascii="Times New Roman" w:hAnsi="Times New Roman" w:cs="Times New Roman"/>
          <w:noProof/>
          <w:sz w:val="24"/>
          <w:szCs w:val="24"/>
          <w:lang w:val="en-US"/>
        </w:rPr>
        <w:t xml:space="preserve"> in a workshop on Open Research Data</w:t>
      </w:r>
      <w:r>
        <w:rPr>
          <w:rStyle w:val="FootnoteReference"/>
          <w:rFonts w:ascii="Times New Roman" w:hAnsi="Times New Roman" w:cs="Times New Roman"/>
          <w:noProof/>
          <w:sz w:val="24"/>
          <w:szCs w:val="24"/>
          <w:lang w:val="en-US"/>
        </w:rPr>
        <w:footnoteReference w:id="89"/>
      </w:r>
      <w:r>
        <w:rPr>
          <w:rFonts w:ascii="Times New Roman" w:hAnsi="Times New Roman" w:cs="Times New Roman"/>
          <w:noProof/>
          <w:sz w:val="24"/>
          <w:szCs w:val="24"/>
          <w:lang w:val="en-US"/>
        </w:rPr>
        <w:t xml:space="preserve">. </w:t>
      </w:r>
      <w:r>
        <w:rPr>
          <w:rFonts w:ascii="Times New Roman" w:hAnsi="Times New Roman"/>
          <w:noProof/>
          <w:sz w:val="24"/>
        </w:rPr>
        <w:t>Legal solutions vary among repositories, and even among datasets. Under the FAIR principles</w:t>
      </w:r>
      <w:r>
        <w:rPr>
          <w:rStyle w:val="FootnoteReference"/>
          <w:rFonts w:ascii="Times New Roman" w:hAnsi="Times New Roman"/>
          <w:noProof/>
          <w:sz w:val="24"/>
        </w:rPr>
        <w:footnoteReference w:id="90"/>
      </w:r>
      <w:r>
        <w:rPr>
          <w:rFonts w:ascii="Times New Roman" w:hAnsi="Times New Roman"/>
          <w:noProof/>
          <w:sz w:val="24"/>
        </w:rPr>
        <w:t xml:space="preserve"> researchers retain a margin of discretion to decide on relevant re-use conditions. </w:t>
      </w:r>
      <w:r>
        <w:rPr>
          <w:rFonts w:ascii="Times New Roman" w:hAnsi="Times New Roman" w:cs="Times New Roman"/>
          <w:noProof/>
          <w:sz w:val="24"/>
          <w:szCs w:val="24"/>
          <w:lang w:val="en-US"/>
        </w:rPr>
        <w:t xml:space="preserve">In many cases it is not clear what </w:t>
      </w:r>
      <w:r>
        <w:rPr>
          <w:rFonts w:ascii="Times New Roman" w:hAnsi="Times New Roman" w:cs="Times New Roman"/>
          <w:noProof/>
          <w:sz w:val="24"/>
          <w:szCs w:val="24"/>
          <w:lang w:val="en-US"/>
        </w:rPr>
        <w:t>re-users are allowed to do with the data, or there are unnecessary restrictions.</w:t>
      </w:r>
      <w:r>
        <w:rPr>
          <w:noProof/>
        </w:rPr>
        <w:t xml:space="preserve"> </w:t>
      </w:r>
      <w:r>
        <w:rPr>
          <w:rFonts w:ascii="Times New Roman" w:hAnsi="Times New Roman" w:cs="Times New Roman"/>
          <w:noProof/>
          <w:sz w:val="24"/>
          <w:szCs w:val="24"/>
          <w:lang w:val="en-US"/>
        </w:rPr>
        <w:t>For example, in two recent surveys on curated data resources, respectively over 30% and over 60% of respondents have reported to be unsure about the terms of the license to be</w:t>
      </w:r>
      <w:r>
        <w:rPr>
          <w:rFonts w:ascii="Times New Roman" w:hAnsi="Times New Roman" w:cs="Times New Roman"/>
          <w:noProof/>
          <w:sz w:val="24"/>
          <w:szCs w:val="24"/>
          <w:lang w:val="en-US"/>
        </w:rPr>
        <w:t xml:space="preserve"> used.</w:t>
      </w:r>
      <w:r>
        <w:rPr>
          <w:rStyle w:val="FootnoteReference"/>
          <w:rFonts w:ascii="Times New Roman" w:hAnsi="Times New Roman" w:cs="Times New Roman"/>
          <w:noProof/>
          <w:sz w:val="24"/>
          <w:szCs w:val="24"/>
          <w:lang w:val="en-US"/>
        </w:rPr>
        <w:footnoteReference w:id="91"/>
      </w:r>
    </w:p>
    <w:p w:rsidR="00DF1A33" w:rsidRDefault="00456F01">
      <w:pPr>
        <w:jc w:val="both"/>
        <w:rPr>
          <w:rFonts w:ascii="Times New Roman" w:hAnsi="Times New Roman"/>
          <w:noProof/>
          <w:sz w:val="24"/>
        </w:rPr>
      </w:pPr>
      <w:r>
        <w:rPr>
          <w:rFonts w:ascii="Times New Roman" w:hAnsi="Times New Roman" w:cs="Times New Roman"/>
          <w:noProof/>
          <w:sz w:val="24"/>
          <w:szCs w:val="24"/>
        </w:rPr>
        <w:t>The large majority (81%) of respondents to the online consultation, representing different groups of stakeholders, agreed that there should be one common policy for open access in Europe, binding on all research funding organisations and academic i</w:t>
      </w:r>
      <w:r>
        <w:rPr>
          <w:rFonts w:ascii="Times New Roman" w:hAnsi="Times New Roman" w:cs="Times New Roman"/>
          <w:noProof/>
          <w:sz w:val="24"/>
          <w:szCs w:val="24"/>
        </w:rPr>
        <w:t>nstitutions in Europe. This is currently not the case.</w:t>
      </w:r>
      <w:r>
        <w:rPr>
          <w:rFonts w:ascii="Times New Roman" w:eastAsia="Times New Roman" w:hAnsi="Times New Roman"/>
          <w:noProof/>
          <w:sz w:val="24"/>
        </w:rPr>
        <w:t xml:space="preserve"> Given the non-binding nature of the Recommendation, EU leverage to remedy the above-mentioned weaknesses is limited.</w:t>
      </w:r>
      <w:r>
        <w:rPr>
          <w:rFonts w:ascii="Times New Roman" w:hAnsi="Times New Roman"/>
          <w:noProof/>
          <w:sz w:val="24"/>
        </w:rPr>
        <w:t xml:space="preserve"> As a result, the limited availability of research data for re-use makes it difficult</w:t>
      </w:r>
      <w:r>
        <w:rPr>
          <w:rFonts w:ascii="Times New Roman" w:hAnsi="Times New Roman"/>
          <w:noProof/>
          <w:sz w:val="24"/>
        </w:rPr>
        <w:t xml:space="preserve"> to conduct further scientific research based on such data or to apply data analytics technologies and to mix such data with other public or private datasets to produce added-value services.</w:t>
      </w:r>
      <w:bookmarkStart w:id="412" w:name="_Toc503452286"/>
      <w:bookmarkStart w:id="413" w:name="_Toc503797280"/>
      <w:bookmarkStart w:id="414" w:name="_Toc503800737"/>
    </w:p>
    <w:p w:rsidR="00DF1A33" w:rsidRDefault="00456F01">
      <w:pPr>
        <w:pStyle w:val="Heading3"/>
        <w:keepLines/>
        <w:spacing w:before="200" w:after="0" w:line="276" w:lineRule="auto"/>
        <w:ind w:left="720"/>
        <w:jc w:val="left"/>
        <w:rPr>
          <w:noProof/>
        </w:rPr>
      </w:pPr>
      <w:bookmarkStart w:id="415" w:name="_Toc504142941"/>
      <w:bookmarkStart w:id="416" w:name="_Toc504151647"/>
      <w:bookmarkStart w:id="417" w:name="_Toc504382931"/>
      <w:bookmarkStart w:id="418" w:name="_Toc504391074"/>
      <w:bookmarkStart w:id="419" w:name="_Toc504403163"/>
      <w:bookmarkStart w:id="420" w:name="_Toc504743633"/>
      <w:bookmarkStart w:id="421" w:name="_Toc504751184"/>
      <w:bookmarkStart w:id="422" w:name="_Toc504751358"/>
      <w:bookmarkStart w:id="423" w:name="_Toc505181980"/>
      <w:bookmarkStart w:id="424" w:name="_Toc505248634"/>
      <w:bookmarkStart w:id="425" w:name="_Toc505266510"/>
      <w:bookmarkStart w:id="426" w:name="_Toc505335361"/>
      <w:bookmarkStart w:id="427" w:name="_Toc505345832"/>
      <w:bookmarkStart w:id="428" w:name="_Toc505346420"/>
      <w:bookmarkStart w:id="429" w:name="_Toc505696658"/>
      <w:bookmarkStart w:id="430" w:name="_Toc505698144"/>
      <w:bookmarkStart w:id="431" w:name="_Toc505701657"/>
      <w:bookmarkStart w:id="432" w:name="_Toc505705144"/>
      <w:bookmarkStart w:id="433" w:name="_Toc505773135"/>
      <w:bookmarkStart w:id="434" w:name="_Toc505856849"/>
      <w:bookmarkStart w:id="435" w:name="_Toc505862293"/>
      <w:bookmarkStart w:id="436" w:name="_Toc505864858"/>
      <w:bookmarkStart w:id="437" w:name="_Toc505868713"/>
      <w:bookmarkStart w:id="438" w:name="_Toc505869180"/>
      <w:bookmarkStart w:id="439" w:name="_Toc506363026"/>
      <w:bookmarkStart w:id="440" w:name="_Toc506369523"/>
      <w:bookmarkStart w:id="441" w:name="_Toc506376113"/>
      <w:bookmarkStart w:id="442" w:name="_Toc506378426"/>
      <w:bookmarkStart w:id="443" w:name="_Toc506378507"/>
      <w:bookmarkStart w:id="444" w:name="_Toc509412606"/>
      <w:bookmarkStart w:id="445" w:name="_Toc509414782"/>
      <w:bookmarkStart w:id="446" w:name="_Toc509414838"/>
      <w:r>
        <w:rPr>
          <w:noProof/>
        </w:rPr>
        <w:t>Problem area No. 4: Distortion of competition in the internal mar</w:t>
      </w:r>
      <w:r>
        <w:rPr>
          <w:noProof/>
        </w:rPr>
        <w:t>ket</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While the value of government data increases with the advances of technology, notably due to new fields of application such as the Internet of Things or artificial intelligence, the public sector often lacks expertise or sufficient funding to derive in</w:t>
      </w:r>
      <w:r>
        <w:rPr>
          <w:rFonts w:ascii="Times New Roman" w:hAnsi="Times New Roman" w:cs="Times New Roman"/>
          <w:noProof/>
          <w:sz w:val="24"/>
          <w:szCs w:val="24"/>
        </w:rPr>
        <w:t>sights from the data it holds. New types of partnership agreements are emerging in which companies offer advanced data analytics services/infrastructure in exchange for preferential access to the data. With rapid technological advances and growing opportun</w:t>
      </w:r>
      <w:r>
        <w:rPr>
          <w:rFonts w:ascii="Times New Roman" w:hAnsi="Times New Roman" w:cs="Times New Roman"/>
          <w:noProof/>
          <w:sz w:val="24"/>
          <w:szCs w:val="24"/>
        </w:rPr>
        <w:t>ities in the field of data analytics, these new kind of public-private parterships will become all the more frequent.</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The Impact Assessment study</w:t>
      </w:r>
      <w:r>
        <w:rPr>
          <w:rStyle w:val="FootnoteReference"/>
          <w:rFonts w:ascii="Times New Roman" w:hAnsi="Times New Roman" w:cs="Times New Roman"/>
          <w:noProof/>
          <w:sz w:val="24"/>
          <w:szCs w:val="24"/>
        </w:rPr>
        <w:footnoteReference w:id="92"/>
      </w:r>
      <w:r>
        <w:rPr>
          <w:rFonts w:ascii="Times New Roman" w:hAnsi="Times New Roman" w:cs="Times New Roman"/>
          <w:noProof/>
          <w:sz w:val="24"/>
          <w:szCs w:val="24"/>
        </w:rPr>
        <w:t xml:space="preserve"> found that in practice public sector bodies are not sufficiently aware and trained to understand and spot the</w:t>
      </w:r>
      <w:r>
        <w:rPr>
          <w:rFonts w:ascii="Times New Roman" w:hAnsi="Times New Roman" w:cs="Times New Roman"/>
          <w:noProof/>
          <w:sz w:val="24"/>
          <w:szCs w:val="24"/>
        </w:rPr>
        <w:t xml:space="preserve"> potential risks related to the establishment of exclusive arrangements with regard to the datasets that they hold. In certain situations, public sector bodies are financially obliged to rely on exclusive agreements in order to be able to afford the costs </w:t>
      </w:r>
      <w:r>
        <w:rPr>
          <w:rFonts w:ascii="Times New Roman" w:hAnsi="Times New Roman" w:cs="Times New Roman"/>
          <w:noProof/>
          <w:sz w:val="24"/>
          <w:szCs w:val="24"/>
        </w:rPr>
        <w:t xml:space="preserve">of new initiatives linked to, for example, digitisation or new services. In such circumstances, agreements that inadvertently lead to a situation of exclusivity on the data may pass unnoticed.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In order to create a level playing field among re-users, the P</w:t>
      </w:r>
      <w:r>
        <w:rPr>
          <w:rFonts w:ascii="Times New Roman" w:hAnsi="Times New Roman" w:cs="Times New Roman"/>
          <w:noProof/>
          <w:sz w:val="24"/>
          <w:szCs w:val="24"/>
        </w:rPr>
        <w:t>SI Directive in principle prohibits exclusive agreements for the re-use of public sector information, as well as any other form of discrimination between re-users. This means that publicly funded data cannot be given to only one or a limited set of compani</w:t>
      </w:r>
      <w:r>
        <w:rPr>
          <w:rFonts w:ascii="Times New Roman" w:hAnsi="Times New Roman" w:cs="Times New Roman"/>
          <w:noProof/>
          <w:sz w:val="24"/>
          <w:szCs w:val="24"/>
        </w:rPr>
        <w:t>es, and that the conditions for re-use must be the same for all.</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Taking into account that the number of public-private arrangements which involve the transfer of public sector information will be on the rise due to the new possibilities of data exploitatio</w:t>
      </w:r>
      <w:r>
        <w:rPr>
          <w:rFonts w:ascii="Times New Roman" w:hAnsi="Times New Roman" w:cs="Times New Roman"/>
          <w:noProof/>
          <w:sz w:val="24"/>
          <w:szCs w:val="24"/>
        </w:rPr>
        <w:t>n that the public sector itself cannot ensure, a targeted policy response appears necessary.</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This is also motivated by the fact that public bodies and potential re-users of the data believe that exclusive exploitation of data is very rarely justified. Howe</w:t>
      </w:r>
      <w:r>
        <w:rPr>
          <w:rFonts w:ascii="Times New Roman" w:hAnsi="Times New Roman" w:cs="Times New Roman"/>
          <w:noProof/>
          <w:sz w:val="24"/>
          <w:szCs w:val="24"/>
        </w:rPr>
        <w:t>ver, businesses commonly entering into exclusive agreements tend to say that this advantage in exploitation of data is an essential incentive for the private sector to invest into projects in which otherwise it would have not invested at all.</w:t>
      </w:r>
      <w:r>
        <w:rPr>
          <w:rStyle w:val="FootnoteReference"/>
          <w:rFonts w:ascii="Times New Roman" w:hAnsi="Times New Roman" w:cs="Times New Roman"/>
          <w:noProof/>
          <w:sz w:val="24"/>
          <w:szCs w:val="24"/>
        </w:rPr>
        <w:footnoteReference w:id="93"/>
      </w:r>
    </w:p>
    <w:p w:rsidR="00DF1A33" w:rsidRDefault="00456F01">
      <w:pPr>
        <w:jc w:val="both"/>
        <w:rPr>
          <w:noProof/>
        </w:rPr>
      </w:pPr>
      <w:r>
        <w:rPr>
          <w:rFonts w:ascii="Times New Roman" w:hAnsi="Times New Roman" w:cs="Times New Roman"/>
          <w:noProof/>
          <w:sz w:val="24"/>
          <w:szCs w:val="24"/>
        </w:rPr>
        <w:t>The stakehol</w:t>
      </w:r>
      <w:r>
        <w:rPr>
          <w:rFonts w:ascii="Times New Roman" w:hAnsi="Times New Roman" w:cs="Times New Roman"/>
          <w:noProof/>
          <w:sz w:val="24"/>
          <w:szCs w:val="24"/>
        </w:rPr>
        <w:t xml:space="preserve">ders’ consultation confirms such conflicting views from yet another angle: while Member States generally report they are not aware of exclusive arrangements based on public sector information, other stakeholders signal that problems in this area persist. </w:t>
      </w:r>
      <w:r>
        <w:rPr>
          <w:rFonts w:ascii="Times New Roman" w:hAnsi="Times New Roman"/>
          <w:noProof/>
          <w:sz w:val="24"/>
        </w:rPr>
        <w:t>J</w:t>
      </w:r>
      <w:r>
        <w:rPr>
          <w:rFonts w:ascii="Times New Roman" w:hAnsi="Times New Roman"/>
          <w:noProof/>
          <w:sz w:val="24"/>
        </w:rPr>
        <w:t>ust 38% of the respondents</w:t>
      </w:r>
      <w:r>
        <w:rPr>
          <w:rFonts w:ascii="Times New Roman" w:hAnsi="Times New Roman" w:cs="Times New Roman"/>
          <w:noProof/>
          <w:sz w:val="24"/>
          <w:szCs w:val="24"/>
        </w:rPr>
        <w:t xml:space="preserve"> to the public online consultation consider that such agreements are used only exceptionally and are limited to the cases allowed under the Directive (digitisation of cultural resources, public service necessity). Additionally, am</w:t>
      </w:r>
      <w:r>
        <w:rPr>
          <w:rFonts w:ascii="Times New Roman" w:hAnsi="Times New Roman" w:cs="Times New Roman"/>
          <w:noProof/>
          <w:sz w:val="24"/>
          <w:szCs w:val="24"/>
        </w:rPr>
        <w:t>ong the respondents to the public consultation who indicated that certain provisions of the Directive could be clarified, many referred to the area of exclusive agreements.</w:t>
      </w:r>
      <w:r>
        <w:rPr>
          <w:rFonts w:ascii="Times New Roman" w:hAnsi="Times New Roman"/>
          <w:noProof/>
          <w:sz w:val="24"/>
        </w:rPr>
        <w:t xml:space="preserve"> </w:t>
      </w:r>
      <w:r>
        <w:rPr>
          <w:rFonts w:ascii="Times New Roman" w:hAnsi="Times New Roman" w:cs="Times New Roman"/>
          <w:noProof/>
          <w:sz w:val="24"/>
          <w:szCs w:val="24"/>
        </w:rPr>
        <w:t>This request was also reiterated by several representatives of the re-use community</w:t>
      </w:r>
      <w:r>
        <w:rPr>
          <w:rFonts w:ascii="Times New Roman" w:hAnsi="Times New Roman" w:cs="Times New Roman"/>
          <w:noProof/>
          <w:sz w:val="24"/>
          <w:szCs w:val="24"/>
        </w:rPr>
        <w:t xml:space="preserve"> present at the High-level Round-table discussion on Public Sector Information in January 2018.</w:t>
      </w:r>
      <w:r>
        <w:rPr>
          <w:rStyle w:val="FootnoteReference"/>
          <w:rFonts w:ascii="Times New Roman" w:hAnsi="Times New Roman" w:cs="Times New Roman"/>
          <w:noProof/>
          <w:sz w:val="24"/>
          <w:szCs w:val="24"/>
        </w:rPr>
        <w:footnoteReference w:id="94"/>
      </w:r>
      <w:r>
        <w:rPr>
          <w:rFonts w:ascii="Times New Roman" w:hAnsi="Times New Roman" w:cs="Times New Roman"/>
          <w:noProof/>
          <w:sz w:val="24"/>
          <w:szCs w:val="24"/>
        </w:rPr>
        <w:t xml:space="preserve"> </w:t>
      </w:r>
      <w:r>
        <w:rPr>
          <w:noProof/>
        </w:rPr>
        <w:t xml:space="preserve">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contradictory voices referred to above can be explained by the nature of the examples mentioned by stakeholders and experts in the context of the Impact </w:t>
      </w:r>
      <w:r>
        <w:rPr>
          <w:rFonts w:ascii="Times New Roman" w:hAnsi="Times New Roman" w:cs="Times New Roman"/>
          <w:noProof/>
          <w:sz w:val="24"/>
          <w:szCs w:val="24"/>
        </w:rPr>
        <w:t>Assessment study</w:t>
      </w:r>
      <w:r>
        <w:rPr>
          <w:rStyle w:val="FootnoteReference"/>
          <w:rFonts w:ascii="Times New Roman" w:hAnsi="Times New Roman" w:cs="Times New Roman"/>
          <w:noProof/>
          <w:sz w:val="24"/>
          <w:szCs w:val="24"/>
        </w:rPr>
        <w:footnoteReference w:id="95"/>
      </w:r>
      <w:r>
        <w:rPr>
          <w:rFonts w:ascii="Times New Roman" w:hAnsi="Times New Roman" w:cs="Times New Roman"/>
          <w:noProof/>
          <w:sz w:val="24"/>
          <w:szCs w:val="24"/>
        </w:rPr>
        <w:t xml:space="preserve"> and the broader consultation process. They mostly concern new types of agreements that are not a classical relation between a public sector body and a re-user, but involve a compensation in kind in exchange for preferential conditions to </w:t>
      </w:r>
      <w:r>
        <w:rPr>
          <w:rFonts w:ascii="Times New Roman" w:hAnsi="Times New Roman" w:cs="Times New Roman"/>
          <w:noProof/>
          <w:sz w:val="24"/>
          <w:szCs w:val="24"/>
        </w:rPr>
        <w:t>use the data. This kind of situation is not addressed by the current provisions of the Directive.</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The examples mentioned by stakeholders come in the first place from the context of smart cities. They concern cases of the exclusive use of sensor data by the</w:t>
      </w:r>
      <w:r>
        <w:rPr>
          <w:rFonts w:ascii="Times New Roman" w:hAnsi="Times New Roman" w:cs="Times New Roman"/>
          <w:noProof/>
          <w:sz w:val="24"/>
          <w:szCs w:val="24"/>
        </w:rPr>
        <w:t xml:space="preserve"> company installing the sensors, the exclusive use of data on street lighting, and arrangements between certain cities and service providers of navigation and localisation services involving privileged use of public data. Some local authorities are activel</w:t>
      </w:r>
      <w:r>
        <w:rPr>
          <w:rFonts w:ascii="Times New Roman" w:hAnsi="Times New Roman" w:cs="Times New Roman"/>
          <w:noProof/>
          <w:sz w:val="24"/>
          <w:szCs w:val="24"/>
        </w:rPr>
        <w:t>y pursuing these kinds of partnerships, in order to limit their costs and to get hold of some of the data from private companies.</w:t>
      </w:r>
      <w:r>
        <w:rPr>
          <w:rStyle w:val="FootnoteReference"/>
          <w:rFonts w:ascii="Times New Roman" w:hAnsi="Times New Roman" w:cs="Times New Roman"/>
          <w:noProof/>
          <w:sz w:val="24"/>
          <w:szCs w:val="24"/>
        </w:rPr>
        <w:footnoteReference w:id="96"/>
      </w:r>
      <w:r>
        <w:rPr>
          <w:rFonts w:ascii="Times New Roman" w:hAnsi="Times New Roman" w:cs="Times New Roman"/>
          <w:noProof/>
          <w:sz w:val="24"/>
          <w:szCs w:val="24"/>
        </w:rPr>
        <w:t xml:space="preserve"> Another area concerns the use of health records. Examples of agreements involving public health services and companies in the</w:t>
      </w:r>
      <w:r>
        <w:rPr>
          <w:rFonts w:ascii="Times New Roman" w:hAnsi="Times New Roman" w:cs="Times New Roman"/>
          <w:noProof/>
          <w:sz w:val="24"/>
          <w:szCs w:val="24"/>
        </w:rPr>
        <w:t xml:space="preserve"> UK, Belgium and Italy have recently attracted the attention of the press and the relevant authorities for reasons related in particular to data protection.</w:t>
      </w:r>
      <w:r>
        <w:rPr>
          <w:rStyle w:val="FootnoteReference"/>
          <w:rFonts w:ascii="Times New Roman" w:hAnsi="Times New Roman" w:cs="Times New Roman"/>
          <w:noProof/>
          <w:sz w:val="24"/>
          <w:szCs w:val="24"/>
        </w:rPr>
        <w:footnoteReference w:id="97"/>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The new types of arrangements where in kind compensation is given in exchange for preferential use</w:t>
      </w:r>
      <w:r>
        <w:rPr>
          <w:rFonts w:ascii="Times New Roman" w:hAnsi="Times New Roman" w:cs="Times New Roman"/>
          <w:noProof/>
          <w:sz w:val="24"/>
          <w:szCs w:val="24"/>
        </w:rPr>
        <w:t xml:space="preserve"> of public data have clear advantages for both the public authority and the companies involved. At the same time, they could lead to a situation in which no other commercial re-users would have an incentive to re-use the same dataset in a similar manner, w</w:t>
      </w:r>
      <w:r>
        <w:rPr>
          <w:rFonts w:ascii="Times New Roman" w:hAnsi="Times New Roman" w:cs="Times New Roman"/>
          <w:noProof/>
          <w:sz w:val="24"/>
          <w:szCs w:val="24"/>
        </w:rPr>
        <w:t xml:space="preserve">hich would in practice circumvent the provisions of the PSI Directive on non-exclusivity and non-discrimination, as illustrated by the example below. </w:t>
      </w:r>
    </w:p>
    <w:tbl>
      <w:tblPr>
        <w:tblW w:w="0" w:type="auto"/>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5"/>
      </w:tblGrid>
      <w:tr w:rsidR="00DF1A33">
        <w:trPr>
          <w:trHeight w:val="326"/>
        </w:trPr>
        <w:tc>
          <w:tcPr>
            <w:tcW w:w="8565" w:type="dxa"/>
          </w:tcPr>
          <w:p w:rsidR="00DF1A33" w:rsidRDefault="00456F01">
            <w:pPr>
              <w:ind w:left="-53"/>
              <w:jc w:val="both"/>
              <w:rPr>
                <w:rFonts w:ascii="Times New Roman" w:hAnsi="Times New Roman"/>
                <w:i/>
                <w:noProof/>
                <w:sz w:val="24"/>
              </w:rPr>
            </w:pPr>
            <w:r>
              <w:rPr>
                <w:rFonts w:ascii="Times New Roman" w:hAnsi="Times New Roman"/>
                <w:i/>
                <w:noProof/>
                <w:sz w:val="24"/>
              </w:rPr>
              <w:t>Example: One of the largest National Health Service providers in Britain provided Google-owned artificial</w:t>
            </w:r>
            <w:r>
              <w:rPr>
                <w:rFonts w:ascii="Times New Roman" w:hAnsi="Times New Roman"/>
                <w:i/>
                <w:noProof/>
                <w:sz w:val="24"/>
              </w:rPr>
              <w:t xml:space="preserve"> intelligence company DeepMind with 1.6 million patient records to assist in the management of acute kidney injury by using technology to track patients’ symptoms and send alerts to doctors. Although this partnership does not in principle exclude other com</w:t>
            </w:r>
            <w:r>
              <w:rPr>
                <w:rFonts w:ascii="Times New Roman" w:hAnsi="Times New Roman"/>
                <w:i/>
                <w:noProof/>
                <w:sz w:val="24"/>
              </w:rPr>
              <w:t>panies from being provided access to NHS data (and re-use it), Google’s lead in this regard could distort incentives for competition. Moreover, the NHS will have invested, and continues to do so, resources and human capital in this partnership.</w:t>
            </w:r>
          </w:p>
        </w:tc>
      </w:tr>
    </w:tbl>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Another concern relates to the different negotiation power and knowledge base of the partners, which could be exploited by the private partner. </w:t>
      </w:r>
      <w:r>
        <w:rPr>
          <w:rFonts w:ascii="Times New Roman" w:hAnsi="Times New Roman"/>
          <w:noProof/>
          <w:sz w:val="24"/>
          <w:lang w:val="en-US"/>
        </w:rPr>
        <w:t>Due attention needs to be paid to contract clauses or situations where preferential use of the data is considere</w:t>
      </w:r>
      <w:r>
        <w:rPr>
          <w:rFonts w:ascii="Times New Roman" w:hAnsi="Times New Roman"/>
          <w:noProof/>
          <w:sz w:val="24"/>
          <w:lang w:val="en-US"/>
        </w:rPr>
        <w:t>d as one of the benefits for the private party.</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All of the above confirms that in the context of new types of agreements between public authorities and private companies, in which the value of public datasets can be captured by one or a limited number of p</w:t>
      </w:r>
      <w:r>
        <w:rPr>
          <w:rFonts w:ascii="Times New Roman" w:hAnsi="Times New Roman" w:cs="Times New Roman"/>
          <w:noProof/>
          <w:sz w:val="24"/>
          <w:szCs w:val="24"/>
        </w:rPr>
        <w:t>layers, the risk of side-lining smaller entities, in particular start-ups and SMEs, is considerable. This risk will tend to grow in the near future with the expected rise of the number of public-private arrangements that will be made to meet with the growi</w:t>
      </w:r>
      <w:r>
        <w:rPr>
          <w:rFonts w:ascii="Times New Roman" w:hAnsi="Times New Roman" w:cs="Times New Roman"/>
          <w:noProof/>
          <w:sz w:val="24"/>
          <w:szCs w:val="24"/>
        </w:rPr>
        <w:t>ng opportunities and following demand in data analytics.</w:t>
      </w:r>
    </w:p>
    <w:p w:rsidR="00DF1A33" w:rsidRDefault="00456F01">
      <w:pPr>
        <w:pStyle w:val="Heading2"/>
        <w:rPr>
          <w:noProof/>
        </w:rPr>
      </w:pPr>
      <w:bookmarkStart w:id="447" w:name="_Toc504142942"/>
      <w:bookmarkStart w:id="448" w:name="_Toc504151648"/>
      <w:bookmarkStart w:id="449" w:name="_Toc504382932"/>
      <w:bookmarkStart w:id="450" w:name="_Toc504391075"/>
      <w:bookmarkStart w:id="451" w:name="_Toc504403164"/>
      <w:bookmarkStart w:id="452" w:name="_Toc504743634"/>
      <w:bookmarkStart w:id="453" w:name="_Toc504751185"/>
      <w:bookmarkStart w:id="454" w:name="_Toc504751359"/>
      <w:bookmarkStart w:id="455" w:name="_Toc505181981"/>
      <w:bookmarkStart w:id="456" w:name="_Toc505248635"/>
      <w:bookmarkStart w:id="457" w:name="_Toc505266511"/>
      <w:bookmarkStart w:id="458" w:name="_Toc505335362"/>
      <w:bookmarkStart w:id="459" w:name="_Toc505345833"/>
      <w:bookmarkStart w:id="460" w:name="_Toc505346421"/>
      <w:bookmarkStart w:id="461" w:name="_Toc505696659"/>
      <w:bookmarkStart w:id="462" w:name="_Toc505698145"/>
      <w:bookmarkStart w:id="463" w:name="_Toc505701658"/>
      <w:bookmarkStart w:id="464" w:name="_Toc505705145"/>
      <w:bookmarkStart w:id="465" w:name="_Toc505773136"/>
      <w:bookmarkStart w:id="466" w:name="_Toc505856850"/>
      <w:bookmarkStart w:id="467" w:name="_Toc505862294"/>
      <w:bookmarkStart w:id="468" w:name="_Toc505864859"/>
      <w:bookmarkStart w:id="469" w:name="_Toc505868714"/>
      <w:bookmarkStart w:id="470" w:name="_Toc505869181"/>
      <w:bookmarkStart w:id="471" w:name="_Toc506363027"/>
      <w:bookmarkStart w:id="472" w:name="_Toc506369524"/>
      <w:bookmarkStart w:id="473" w:name="_Toc506376114"/>
      <w:bookmarkStart w:id="474" w:name="_Toc506378427"/>
      <w:bookmarkStart w:id="475" w:name="_Toc506378508"/>
      <w:bookmarkStart w:id="476" w:name="_Toc509412607"/>
      <w:bookmarkStart w:id="477" w:name="_Toc509414783"/>
      <w:bookmarkStart w:id="478" w:name="_Toc509414839"/>
      <w:bookmarkStart w:id="479" w:name="_Toc481484463"/>
      <w:r>
        <w:rPr>
          <w:noProof/>
        </w:rPr>
        <w:t>Who is affected and in what ways?</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PSI Directive broadly affects two sets of stakeholders: public sector bodies and re-users.</w:t>
      </w:r>
      <w:r>
        <w:rPr>
          <w:rFonts w:ascii="Times New Roman" w:hAnsi="Times New Roman"/>
          <w:b/>
          <w:noProof/>
          <w:sz w:val="24"/>
        </w:rPr>
        <w:t xml:space="preserve"> </w:t>
      </w:r>
      <w:r>
        <w:rPr>
          <w:rFonts w:ascii="Times New Roman" w:hAnsi="Times New Roman" w:cs="Times New Roman"/>
          <w:noProof/>
          <w:sz w:val="24"/>
          <w:szCs w:val="24"/>
          <w:lang w:val="en-US"/>
        </w:rPr>
        <w:t>The beneficiaries of open data policies can be found in all economic s</w:t>
      </w:r>
      <w:r>
        <w:rPr>
          <w:rFonts w:ascii="Times New Roman" w:hAnsi="Times New Roman" w:cs="Times New Roman"/>
          <w:noProof/>
          <w:sz w:val="24"/>
          <w:szCs w:val="24"/>
          <w:lang w:val="en-US"/>
        </w:rPr>
        <w:t>ectors.</w:t>
      </w:r>
    </w:p>
    <w:p w:rsidR="00DF1A33" w:rsidRDefault="00456F01">
      <w:pPr>
        <w:jc w:val="both"/>
        <w:rPr>
          <w:rFonts w:ascii="Times New Roman" w:hAnsi="Times New Roman"/>
          <w:noProof/>
          <w:sz w:val="24"/>
        </w:rPr>
      </w:pPr>
      <w:r>
        <w:rPr>
          <w:rFonts w:ascii="Times New Roman" w:hAnsi="Times New Roman"/>
          <w:b/>
          <w:noProof/>
          <w:sz w:val="24"/>
        </w:rPr>
        <w:t xml:space="preserve">Annex </w:t>
      </w:r>
      <w:r>
        <w:rPr>
          <w:rFonts w:ascii="Times New Roman" w:hAnsi="Times New Roman" w:cs="Times New Roman"/>
          <w:b/>
          <w:noProof/>
          <w:sz w:val="24"/>
          <w:szCs w:val="24"/>
        </w:rPr>
        <w:t>4</w:t>
      </w:r>
      <w:r>
        <w:rPr>
          <w:rFonts w:ascii="Times New Roman" w:hAnsi="Times New Roman" w:cs="Times New Roman"/>
          <w:noProof/>
          <w:sz w:val="24"/>
          <w:szCs w:val="24"/>
        </w:rPr>
        <w:t xml:space="preserve"> to this document shows in detail how many stakeholders are affected and how.</w:t>
      </w:r>
    </w:p>
    <w:p w:rsidR="00DF1A33" w:rsidRDefault="00456F01">
      <w:pPr>
        <w:pStyle w:val="Heading3"/>
        <w:keepLines/>
        <w:spacing w:before="200" w:after="0" w:line="276" w:lineRule="auto"/>
        <w:ind w:left="720"/>
        <w:jc w:val="left"/>
        <w:rPr>
          <w:noProof/>
          <w:szCs w:val="24"/>
        </w:rPr>
      </w:pPr>
      <w:bookmarkStart w:id="480" w:name="_Toc505696660"/>
      <w:bookmarkStart w:id="481" w:name="_Toc505698146"/>
      <w:bookmarkStart w:id="482" w:name="_Toc505701659"/>
      <w:bookmarkStart w:id="483" w:name="_Toc505705146"/>
      <w:bookmarkStart w:id="484" w:name="_Toc505773137"/>
      <w:bookmarkStart w:id="485" w:name="_Toc505856851"/>
      <w:bookmarkStart w:id="486" w:name="_Toc505862295"/>
      <w:bookmarkStart w:id="487" w:name="_Toc505864860"/>
      <w:bookmarkStart w:id="488" w:name="_Toc505868715"/>
      <w:bookmarkStart w:id="489" w:name="_Toc505869182"/>
      <w:bookmarkStart w:id="490" w:name="_Toc506363028"/>
      <w:bookmarkStart w:id="491" w:name="_Toc506369525"/>
      <w:bookmarkStart w:id="492" w:name="_Toc506376115"/>
      <w:bookmarkStart w:id="493" w:name="_Toc506378428"/>
      <w:bookmarkStart w:id="494" w:name="_Toc506378509"/>
      <w:bookmarkStart w:id="495" w:name="_Toc509412608"/>
      <w:bookmarkStart w:id="496" w:name="_Toc509414784"/>
      <w:bookmarkStart w:id="497" w:name="_Toc509414840"/>
      <w:bookmarkStart w:id="498" w:name="_Toc504142943"/>
      <w:bookmarkStart w:id="499" w:name="_Toc504151649"/>
      <w:bookmarkStart w:id="500" w:name="_Toc504382933"/>
      <w:bookmarkStart w:id="501" w:name="_Toc504391076"/>
      <w:bookmarkStart w:id="502" w:name="_Toc504403165"/>
      <w:bookmarkStart w:id="503" w:name="_Toc504743635"/>
      <w:bookmarkStart w:id="504" w:name="_Toc504751186"/>
      <w:bookmarkStart w:id="505" w:name="_Toc504751360"/>
      <w:bookmarkStart w:id="506" w:name="_Toc505181982"/>
      <w:bookmarkStart w:id="507" w:name="_Toc505248636"/>
      <w:bookmarkStart w:id="508" w:name="_Toc505266512"/>
      <w:bookmarkStart w:id="509" w:name="_Toc505335363"/>
      <w:bookmarkStart w:id="510" w:name="_Toc505345834"/>
      <w:bookmarkStart w:id="511" w:name="_Toc505346422"/>
      <w:r>
        <w:rPr>
          <w:noProof/>
          <w:szCs w:val="24"/>
        </w:rPr>
        <w:t>Public sector</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Pr>
          <w:noProof/>
          <w:szCs w:val="24"/>
        </w:rPr>
        <w:t xml:space="preserve"> </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main aim of the Directive is to ensure the availability of information held by the public sector, therefore public sector bodies across the EU a</w:t>
      </w:r>
      <w:r>
        <w:rPr>
          <w:rFonts w:ascii="Times New Roman" w:hAnsi="Times New Roman" w:cs="Times New Roman"/>
          <w:noProof/>
          <w:sz w:val="24"/>
          <w:szCs w:val="24"/>
          <w:lang w:val="en-US"/>
        </w:rPr>
        <w:t>re affected by its provisions. They bear the compliance costs of the legislation including for any changes to the regulatory framework. At the same time, public sector bodies use open data to improve policies and the delivery of public services. The rise o</w:t>
      </w:r>
      <w:r>
        <w:rPr>
          <w:rFonts w:ascii="Times New Roman" w:hAnsi="Times New Roman" w:cs="Times New Roman"/>
          <w:noProof/>
          <w:sz w:val="24"/>
          <w:szCs w:val="24"/>
          <w:lang w:val="en-US"/>
        </w:rPr>
        <w:t>f 'data for policy'</w:t>
      </w:r>
      <w:r>
        <w:rPr>
          <w:rStyle w:val="FootnoteReference"/>
          <w:rFonts w:ascii="Times New Roman" w:hAnsi="Times New Roman" w:cs="Times New Roman"/>
          <w:noProof/>
          <w:sz w:val="24"/>
          <w:szCs w:val="24"/>
          <w:lang w:val="en-US"/>
        </w:rPr>
        <w:footnoteReference w:id="98"/>
      </w:r>
      <w:r>
        <w:rPr>
          <w:rFonts w:ascii="Times New Roman" w:hAnsi="Times New Roman" w:cs="Times New Roman"/>
          <w:noProof/>
          <w:sz w:val="24"/>
          <w:szCs w:val="24"/>
          <w:lang w:val="en-US"/>
        </w:rPr>
        <w:t xml:space="preserve"> initiatives testifies the growing importance of data for the public sector at large. In addition, the research and educational organisations and public undertakings in the transport and utilities sector would be affected as new address</w:t>
      </w:r>
      <w:r>
        <w:rPr>
          <w:rFonts w:ascii="Times New Roman" w:hAnsi="Times New Roman" w:cs="Times New Roman"/>
          <w:noProof/>
          <w:sz w:val="24"/>
          <w:szCs w:val="24"/>
          <w:lang w:val="en-US"/>
        </w:rPr>
        <w:t>ees of the Directive. However, they  are also among the beneficiaries of open data policies.</w:t>
      </w:r>
    </w:p>
    <w:p w:rsidR="00DF1A33" w:rsidRDefault="00456F01">
      <w:pPr>
        <w:pStyle w:val="Heading3"/>
        <w:keepLines/>
        <w:spacing w:before="200" w:after="0" w:line="276" w:lineRule="auto"/>
        <w:ind w:left="720"/>
        <w:jc w:val="left"/>
        <w:rPr>
          <w:noProof/>
        </w:rPr>
      </w:pPr>
      <w:bookmarkStart w:id="512" w:name="_Toc505863064"/>
      <w:bookmarkStart w:id="513" w:name="_Toc505863065"/>
      <w:bookmarkStart w:id="514" w:name="_Toc504142945"/>
      <w:bookmarkStart w:id="515" w:name="_Toc504151651"/>
      <w:bookmarkStart w:id="516" w:name="_Toc504382935"/>
      <w:bookmarkStart w:id="517" w:name="_Toc504391078"/>
      <w:bookmarkStart w:id="518" w:name="_Toc504403167"/>
      <w:bookmarkStart w:id="519" w:name="_Toc504743637"/>
      <w:bookmarkStart w:id="520" w:name="_Toc504751188"/>
      <w:bookmarkStart w:id="521" w:name="_Toc504751362"/>
      <w:bookmarkStart w:id="522" w:name="_Toc505181984"/>
      <w:bookmarkStart w:id="523" w:name="_Toc505248638"/>
      <w:bookmarkStart w:id="524" w:name="_Toc505266514"/>
      <w:bookmarkStart w:id="525" w:name="_Toc505335365"/>
      <w:bookmarkStart w:id="526" w:name="_Toc505345836"/>
      <w:bookmarkStart w:id="527" w:name="_Toc505346424"/>
      <w:bookmarkStart w:id="528" w:name="_Toc505696663"/>
      <w:bookmarkStart w:id="529" w:name="_Toc505698149"/>
      <w:bookmarkStart w:id="530" w:name="_Toc505701662"/>
      <w:bookmarkStart w:id="531" w:name="_Toc505705149"/>
      <w:bookmarkStart w:id="532" w:name="_Toc505773140"/>
      <w:bookmarkStart w:id="533" w:name="_Toc505856852"/>
      <w:bookmarkStart w:id="534" w:name="_Toc505862296"/>
      <w:bookmarkStart w:id="535" w:name="_Toc505864861"/>
      <w:bookmarkStart w:id="536" w:name="_Toc505868716"/>
      <w:bookmarkStart w:id="537" w:name="_Toc505869183"/>
      <w:bookmarkStart w:id="538" w:name="_Toc506363029"/>
      <w:bookmarkStart w:id="539" w:name="_Toc506369526"/>
      <w:bookmarkStart w:id="540" w:name="_Toc506376116"/>
      <w:bookmarkStart w:id="541" w:name="_Toc506378429"/>
      <w:bookmarkStart w:id="542" w:name="_Toc506378510"/>
      <w:bookmarkStart w:id="543" w:name="_Toc509412609"/>
      <w:bookmarkStart w:id="544" w:name="_Toc509414785"/>
      <w:bookmarkStart w:id="545" w:name="_Toc509414841"/>
      <w:bookmarkEnd w:id="512"/>
      <w:bookmarkEnd w:id="513"/>
      <w:r>
        <w:rPr>
          <w:noProof/>
        </w:rPr>
        <w:t>Private sector</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Pr>
          <w:noProof/>
        </w:rPr>
        <w:t>, in particular SMEs</w:t>
      </w:r>
      <w:bookmarkEnd w:id="535"/>
      <w:bookmarkEnd w:id="536"/>
      <w:bookmarkEnd w:id="537"/>
      <w:bookmarkEnd w:id="538"/>
      <w:bookmarkEnd w:id="539"/>
      <w:bookmarkEnd w:id="540"/>
      <w:bookmarkEnd w:id="541"/>
      <w:bookmarkEnd w:id="542"/>
      <w:bookmarkEnd w:id="543"/>
      <w:bookmarkEnd w:id="544"/>
      <w:bookmarkEnd w:id="545"/>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A myriad of companies of different sizes and expertise participate in the value chains involving the re-use of public sector </w:t>
      </w:r>
      <w:r>
        <w:rPr>
          <w:rFonts w:ascii="Times New Roman" w:hAnsi="Times New Roman" w:cs="Times New Roman"/>
          <w:noProof/>
          <w:sz w:val="24"/>
          <w:szCs w:val="24"/>
        </w:rPr>
        <w:t>information:</w:t>
      </w:r>
    </w:p>
    <w:p w:rsidR="00DF1A33" w:rsidRDefault="00456F01">
      <w:pPr>
        <w:keepNext/>
        <w:jc w:val="center"/>
        <w:rPr>
          <w:noProof/>
        </w:rPr>
      </w:pPr>
      <w:r>
        <w:rPr>
          <w:rFonts w:ascii="Calibri" w:eastAsia="Times New Roman" w:hAnsi="Calibri" w:cs="Times New Roman"/>
          <w:noProof/>
          <w:lang w:eastAsia="en-GB"/>
        </w:rPr>
        <w:drawing>
          <wp:inline distT="0" distB="0" distL="0" distR="0" wp14:anchorId="55B7631B" wp14:editId="7761DC32">
            <wp:extent cx="3030415" cy="751343"/>
            <wp:effectExtent l="0" t="0" r="0" b="0"/>
            <wp:docPr id="8"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t="27885"/>
                    <a:stretch>
                      <a:fillRect/>
                    </a:stretch>
                  </pic:blipFill>
                  <pic:spPr bwMode="auto">
                    <a:xfrm>
                      <a:off x="0" y="0"/>
                      <a:ext cx="3044791" cy="754907"/>
                    </a:xfrm>
                    <a:prstGeom prst="rect">
                      <a:avLst/>
                    </a:prstGeom>
                    <a:noFill/>
                  </pic:spPr>
                </pic:pic>
              </a:graphicData>
            </a:graphic>
          </wp:inline>
        </w:drawing>
      </w:r>
    </w:p>
    <w:p w:rsidR="00DF1A33" w:rsidRDefault="00456F01">
      <w:pPr>
        <w:pStyle w:val="Text2"/>
        <w:keepNext/>
        <w:ind w:left="142"/>
        <w:jc w:val="left"/>
        <w:rPr>
          <w:rFonts w:eastAsia="Calibri"/>
          <w:b/>
          <w:noProof/>
          <w:color w:val="4F81BD" w:themeColor="accent1"/>
          <w:sz w:val="18"/>
          <w:lang w:eastAsia="nl-NL"/>
        </w:rPr>
      </w:pPr>
      <w:r>
        <w:rPr>
          <w:b/>
          <w:noProof/>
          <w:color w:val="4F81BD" w:themeColor="accent1"/>
          <w:sz w:val="18"/>
          <w:lang w:eastAsia="nl-NL"/>
        </w:rPr>
        <w:t xml:space="preserve">Figure </w:t>
      </w:r>
      <w:r>
        <w:rPr>
          <w:b/>
          <w:noProof/>
          <w:color w:val="4F81BD" w:themeColor="accent1"/>
          <w:sz w:val="18"/>
          <w:lang w:eastAsia="nl-NL"/>
        </w:rPr>
        <w:fldChar w:fldCharType="begin"/>
      </w:r>
      <w:r>
        <w:rPr>
          <w:b/>
          <w:noProof/>
          <w:color w:val="4F81BD" w:themeColor="accent1"/>
          <w:sz w:val="18"/>
          <w:lang w:eastAsia="nl-NL"/>
        </w:rPr>
        <w:instrText xml:space="preserve"> SEQ Figure \* ARABIC </w:instrText>
      </w:r>
      <w:r>
        <w:rPr>
          <w:b/>
          <w:noProof/>
          <w:color w:val="4F81BD" w:themeColor="accent1"/>
          <w:sz w:val="18"/>
          <w:lang w:eastAsia="nl-NL"/>
        </w:rPr>
        <w:fldChar w:fldCharType="separate"/>
      </w:r>
      <w:r>
        <w:rPr>
          <w:b/>
          <w:noProof/>
          <w:color w:val="4F81BD" w:themeColor="accent1"/>
          <w:sz w:val="18"/>
          <w:lang w:eastAsia="nl-NL"/>
        </w:rPr>
        <w:t>3</w:t>
      </w:r>
      <w:r>
        <w:rPr>
          <w:b/>
          <w:noProof/>
          <w:color w:val="4F81BD" w:themeColor="accent1"/>
          <w:sz w:val="18"/>
          <w:lang w:eastAsia="nl-NL"/>
        </w:rPr>
        <w:fldChar w:fldCharType="end"/>
      </w:r>
      <w:r>
        <w:rPr>
          <w:b/>
          <w:noProof/>
          <w:color w:val="4F81BD" w:themeColor="accent1"/>
          <w:sz w:val="18"/>
          <w:lang w:eastAsia="nl-NL"/>
        </w:rPr>
        <w:t xml:space="preserve"> - The Data Value Chain and Data Value Chain Archetypes</w:t>
      </w:r>
      <w:r>
        <w:rPr>
          <w:b/>
          <w:noProof/>
          <w:color w:val="4F81BD" w:themeColor="accent1"/>
          <w:sz w:val="18"/>
          <w:lang w:eastAsia="nl-NL"/>
        </w:rPr>
        <w:br/>
        <w:t>Source:</w:t>
      </w:r>
      <w:r>
        <w:rPr>
          <w:rFonts w:eastAsia="Calibri"/>
          <w:b/>
          <w:noProof/>
          <w:color w:val="4F81BD" w:themeColor="accent1"/>
          <w:sz w:val="18"/>
          <w:lang w:eastAsia="nl-NL"/>
        </w:rPr>
        <w:t xml:space="preserve"> EDP Analytical Report 9: The Economic Benefits of Open Data</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Companies active in various fields, (e.g. market/research, economic/financial, publi</w:t>
      </w:r>
      <w:r>
        <w:rPr>
          <w:rFonts w:ascii="Times New Roman" w:hAnsi="Times New Roman" w:cs="Times New Roman"/>
          <w:noProof/>
          <w:sz w:val="24"/>
          <w:szCs w:val="24"/>
        </w:rPr>
        <w:t>shing</w:t>
      </w:r>
      <w:r>
        <w:rPr>
          <w:rStyle w:val="FootnoteReference"/>
          <w:rFonts w:ascii="Times New Roman" w:hAnsi="Times New Roman" w:cs="Times New Roman"/>
          <w:noProof/>
          <w:sz w:val="24"/>
          <w:szCs w:val="24"/>
        </w:rPr>
        <w:footnoteReference w:id="99"/>
      </w:r>
      <w:r>
        <w:rPr>
          <w:rFonts w:ascii="Times New Roman" w:hAnsi="Times New Roman" w:cs="Times New Roman"/>
          <w:noProof/>
          <w:sz w:val="24"/>
          <w:szCs w:val="24"/>
        </w:rPr>
        <w:t>) typically use open data to improve already existing services, in addition to data derived from other sources. Most can be classified as 'aggregators', with a substantial part using open data as their main input towards developing web- or mobile app</w:t>
      </w:r>
      <w:r>
        <w:rPr>
          <w:rFonts w:ascii="Times New Roman" w:hAnsi="Times New Roman" w:cs="Times New Roman"/>
          <w:noProof/>
          <w:sz w:val="24"/>
          <w:szCs w:val="24"/>
        </w:rPr>
        <w:t>lications.</w:t>
      </w:r>
      <w:r>
        <w:rPr>
          <w:rStyle w:val="FootnoteReference"/>
          <w:rFonts w:ascii="Times New Roman" w:hAnsi="Times New Roman" w:cs="Times New Roman"/>
          <w:noProof/>
          <w:sz w:val="24"/>
          <w:szCs w:val="24"/>
        </w:rPr>
        <w:footnoteReference w:id="100"/>
      </w:r>
      <w:r>
        <w:rPr>
          <w:rFonts w:ascii="Times New Roman" w:hAnsi="Times New Roman" w:cs="Times New Roman"/>
          <w:noProof/>
          <w:sz w:val="24"/>
          <w:szCs w:val="24"/>
        </w:rPr>
        <w:t xml:space="preserve"> Most companies benefiting from open data are SMEs, which represent 99.8% of companies active on the European data market.</w:t>
      </w:r>
      <w:r>
        <w:rPr>
          <w:rStyle w:val="FootnoteReference"/>
          <w:rFonts w:ascii="Times New Roman" w:hAnsi="Times New Roman" w:cs="Times New Roman"/>
          <w:noProof/>
          <w:sz w:val="24"/>
          <w:szCs w:val="24"/>
        </w:rPr>
        <w:footnoteReference w:id="101"/>
      </w:r>
    </w:p>
    <w:p w:rsidR="00DF1A33" w:rsidRDefault="00456F01">
      <w:pPr>
        <w:pStyle w:val="Heading2"/>
        <w:rPr>
          <w:noProof/>
        </w:rPr>
      </w:pPr>
      <w:bookmarkStart w:id="546" w:name="_Toc504142947"/>
      <w:bookmarkStart w:id="547" w:name="_Toc504151653"/>
      <w:bookmarkStart w:id="548" w:name="_Toc504382937"/>
      <w:bookmarkStart w:id="549" w:name="_Toc504391080"/>
      <w:bookmarkStart w:id="550" w:name="_Toc504403169"/>
      <w:bookmarkStart w:id="551" w:name="_Toc504743639"/>
      <w:bookmarkStart w:id="552" w:name="_Toc504751191"/>
      <w:bookmarkStart w:id="553" w:name="_Toc504751365"/>
      <w:bookmarkStart w:id="554" w:name="_Toc505181985"/>
      <w:bookmarkStart w:id="555" w:name="_Toc505248639"/>
      <w:bookmarkStart w:id="556" w:name="_Toc505266515"/>
      <w:bookmarkStart w:id="557" w:name="_Toc505335366"/>
      <w:bookmarkStart w:id="558" w:name="_Toc505345837"/>
      <w:bookmarkStart w:id="559" w:name="_Toc505346425"/>
      <w:bookmarkStart w:id="560" w:name="_Toc505696664"/>
      <w:bookmarkStart w:id="561" w:name="_Toc505698150"/>
      <w:bookmarkStart w:id="562" w:name="_Toc505701663"/>
      <w:bookmarkStart w:id="563" w:name="_Toc505705150"/>
      <w:bookmarkStart w:id="564" w:name="_Toc505773141"/>
      <w:bookmarkStart w:id="565" w:name="_Toc505856853"/>
      <w:bookmarkStart w:id="566" w:name="_Toc505862297"/>
      <w:bookmarkStart w:id="567" w:name="_Toc505864862"/>
      <w:bookmarkStart w:id="568" w:name="_Toc505868717"/>
      <w:bookmarkStart w:id="569" w:name="_Toc505869184"/>
      <w:bookmarkStart w:id="570" w:name="_Toc506363030"/>
      <w:bookmarkStart w:id="571" w:name="_Toc506369527"/>
      <w:bookmarkStart w:id="572" w:name="_Toc506376117"/>
      <w:bookmarkStart w:id="573" w:name="_Toc506378430"/>
      <w:bookmarkStart w:id="574" w:name="_Toc506378511"/>
      <w:bookmarkStart w:id="575" w:name="_Toc509412610"/>
      <w:bookmarkStart w:id="576" w:name="_Toc509414786"/>
      <w:bookmarkStart w:id="577" w:name="_Toc509414842"/>
      <w:r>
        <w:rPr>
          <w:noProof/>
        </w:rPr>
        <w:t>How will the problem evolve?</w:t>
      </w:r>
      <w:bookmarkEnd w:id="479"/>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rsidR="00DF1A33" w:rsidRDefault="00456F01">
      <w:pPr>
        <w:jc w:val="both"/>
        <w:rPr>
          <w:noProof/>
          <w:color w:val="000000"/>
          <w:szCs w:val="24"/>
          <w:lang w:val="en-US"/>
        </w:rPr>
      </w:pPr>
      <w:r>
        <w:rPr>
          <w:rFonts w:ascii="Times New Roman" w:hAnsi="Times New Roman" w:cs="Times New Roman"/>
          <w:noProof/>
          <w:sz w:val="24"/>
          <w:szCs w:val="24"/>
          <w:lang w:val="en-US"/>
        </w:rPr>
        <w:t>Overall, the effects of technological change and the trend of individual Member States to le</w:t>
      </w:r>
      <w:r>
        <w:rPr>
          <w:rFonts w:ascii="Times New Roman" w:hAnsi="Times New Roman" w:cs="Times New Roman"/>
          <w:noProof/>
          <w:sz w:val="24"/>
          <w:szCs w:val="24"/>
          <w:lang w:val="en-US"/>
        </w:rPr>
        <w:t xml:space="preserve">gislate on the availability of data in new sectors could lead to an increasing gap in re-use conditions in the EU.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It is expected that there will be exponential growth in the volume of real-time data without enough storage capacity for the newly created d</w:t>
      </w:r>
      <w:r>
        <w:rPr>
          <w:rFonts w:ascii="Times New Roman" w:hAnsi="Times New Roman" w:cs="Times New Roman"/>
          <w:noProof/>
          <w:sz w:val="24"/>
          <w:szCs w:val="24"/>
        </w:rPr>
        <w:t>ata, which will strengthen the need to release the data to those who can make use of it.</w:t>
      </w:r>
      <w:r>
        <w:rPr>
          <w:rStyle w:val="FootnoteReference"/>
          <w:rFonts w:ascii="Times New Roman" w:hAnsi="Times New Roman" w:cs="Times New Roman"/>
          <w:noProof/>
          <w:sz w:val="24"/>
          <w:szCs w:val="24"/>
        </w:rPr>
        <w:footnoteReference w:id="102"/>
      </w:r>
      <w:r>
        <w:rPr>
          <w:rFonts w:ascii="Times New Roman" w:hAnsi="Times New Roman" w:cs="Times New Roman"/>
          <w:noProof/>
          <w:sz w:val="24"/>
          <w:szCs w:val="24"/>
        </w:rPr>
        <w:t xml:space="preserve"> Therefore the use of APIs will be increasingly important and speeding up the take-up of APIs is necessary in order to fully reap the benefits of publicly funded data.</w:t>
      </w:r>
      <w:r>
        <w:rPr>
          <w:rStyle w:val="FootnoteReference"/>
          <w:rFonts w:ascii="Times New Roman" w:hAnsi="Times New Roman" w:cs="Times New Roman"/>
          <w:noProof/>
          <w:sz w:val="24"/>
          <w:szCs w:val="24"/>
        </w:rPr>
        <w:footnoteReference w:id="103"/>
      </w:r>
      <w:r>
        <w:rPr>
          <w:rFonts w:ascii="Times New Roman" w:hAnsi="Times New Roman" w:cs="Times New Roman"/>
          <w:noProof/>
          <w:sz w:val="24"/>
          <w:szCs w:val="24"/>
        </w:rPr>
        <w:t xml:space="preserve"> </w:t>
      </w:r>
    </w:p>
    <w:p w:rsidR="00DF1A33" w:rsidRDefault="00456F01">
      <w:pPr>
        <w:spacing w:after="120"/>
        <w:jc w:val="both"/>
        <w:rPr>
          <w:rFonts w:ascii="Times New Roman" w:hAnsi="Times New Roman" w:cs="Times New Roman"/>
          <w:noProof/>
          <w:sz w:val="24"/>
        </w:rPr>
      </w:pPr>
      <w:r>
        <w:rPr>
          <w:rFonts w:ascii="Times New Roman" w:hAnsi="Times New Roman" w:cs="Times New Roman"/>
          <w:noProof/>
          <w:sz w:val="24"/>
        </w:rPr>
        <w:t>The persistence of the current market access barrier linked to the cost of data is likely to lead to a strengthening of the major economic actors active in the open data markets to the detriment of local innovative SMEs and start-ups.</w:t>
      </w:r>
    </w:p>
    <w:p w:rsidR="00DF1A33" w:rsidRDefault="00456F01">
      <w:pPr>
        <w:jc w:val="both"/>
        <w:rPr>
          <w:rFonts w:ascii="Times New Roman" w:hAnsi="Times New Roman"/>
          <w:noProof/>
          <w:sz w:val="24"/>
        </w:rPr>
      </w:pPr>
      <w:bookmarkStart w:id="578" w:name="_Toc504119215"/>
      <w:bookmarkStart w:id="579" w:name="_Toc504119383"/>
      <w:bookmarkStart w:id="580" w:name="_Toc504119484"/>
      <w:bookmarkStart w:id="581" w:name="_Toc504119574"/>
      <w:bookmarkStart w:id="582" w:name="_Toc504119670"/>
      <w:bookmarkStart w:id="583" w:name="_Toc504119759"/>
      <w:bookmarkStart w:id="584" w:name="_Toc504119848"/>
      <w:bookmarkStart w:id="585" w:name="_Toc504120183"/>
      <w:bookmarkStart w:id="586" w:name="_Toc504119216"/>
      <w:bookmarkStart w:id="587" w:name="_Toc504119384"/>
      <w:bookmarkStart w:id="588" w:name="_Toc504119485"/>
      <w:bookmarkStart w:id="589" w:name="_Toc504119575"/>
      <w:bookmarkStart w:id="590" w:name="_Toc504119671"/>
      <w:bookmarkStart w:id="591" w:name="_Toc504119760"/>
      <w:bookmarkStart w:id="592" w:name="_Toc504119849"/>
      <w:bookmarkStart w:id="593" w:name="_Toc504120184"/>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r>
        <w:rPr>
          <w:rFonts w:ascii="Times New Roman" w:hAnsi="Times New Roman" w:cs="Times New Roman"/>
          <w:noProof/>
          <w:sz w:val="24"/>
          <w:szCs w:val="24"/>
        </w:rPr>
        <w:t>Data in the transport and utilities sector will continue to grow in importance as a source of innovation and new products and services. The implementation of the sectoral EU legislation will improve the availability of data, but the overall potential of op</w:t>
      </w:r>
      <w:r>
        <w:rPr>
          <w:rFonts w:ascii="Times New Roman" w:hAnsi="Times New Roman" w:cs="Times New Roman"/>
          <w:noProof/>
          <w:sz w:val="24"/>
          <w:szCs w:val="24"/>
        </w:rPr>
        <w:t xml:space="preserve">ening up data in these sectors for the economy and society may not be fully realised. </w:t>
      </w:r>
    </w:p>
    <w:p w:rsidR="00DF1A33" w:rsidRDefault="00456F01">
      <w:pPr>
        <w:jc w:val="both"/>
        <w:rPr>
          <w:rFonts w:ascii="Times New Roman" w:hAnsi="Times New Roman"/>
          <w:noProof/>
          <w:sz w:val="24"/>
        </w:rPr>
      </w:pPr>
      <w:r>
        <w:rPr>
          <w:rFonts w:ascii="Times New Roman" w:hAnsi="Times New Roman"/>
          <w:noProof/>
          <w:sz w:val="24"/>
        </w:rPr>
        <w:t>The ongoing efforts to make open access to research information a universally accepted principle across Europe will lead to further results, but it is likely to be a len</w:t>
      </w:r>
      <w:r>
        <w:rPr>
          <w:rFonts w:ascii="Times New Roman" w:hAnsi="Times New Roman"/>
          <w:noProof/>
          <w:sz w:val="24"/>
        </w:rPr>
        <w:t>gthy process and Member States will move at different speeds. Given that researchers themselves are largely in charge of the process of implementing Open Access, the re-usability aspects, such as licensing conditions or technical usability (which are essen</w:t>
      </w:r>
      <w:r>
        <w:rPr>
          <w:rFonts w:ascii="Times New Roman" w:hAnsi="Times New Roman"/>
          <w:noProof/>
          <w:sz w:val="24"/>
        </w:rPr>
        <w:t>tial for ensuring the impact of research data beyond the research community) may not get sufficient attention.</w:t>
      </w:r>
      <w:bookmarkStart w:id="594" w:name="_Toc504142951"/>
      <w:bookmarkStart w:id="595" w:name="_Toc504151657"/>
      <w:bookmarkStart w:id="596" w:name="_Toc504382941"/>
      <w:bookmarkStart w:id="597" w:name="_Toc504391084"/>
      <w:bookmarkStart w:id="598" w:name="_Toc504403173"/>
      <w:r>
        <w:rPr>
          <w:rFonts w:ascii="Times New Roman" w:hAnsi="Times New Roman"/>
          <w:noProof/>
          <w:sz w:val="24"/>
        </w:rPr>
        <w:t xml:space="preserve"> </w:t>
      </w:r>
    </w:p>
    <w:bookmarkEnd w:id="594"/>
    <w:bookmarkEnd w:id="595"/>
    <w:bookmarkEnd w:id="596"/>
    <w:bookmarkEnd w:id="597"/>
    <w:bookmarkEnd w:id="598"/>
    <w:p w:rsidR="00DF1A33" w:rsidRDefault="00456F01">
      <w:pPr>
        <w:jc w:val="both"/>
        <w:rPr>
          <w:rFonts w:ascii="Times New Roman" w:hAnsi="Times New Roman"/>
          <w:noProof/>
          <w:sz w:val="24"/>
        </w:rPr>
      </w:pPr>
      <w:r>
        <w:rPr>
          <w:rFonts w:ascii="Times New Roman" w:hAnsi="Times New Roman"/>
          <w:noProof/>
          <w:sz w:val="24"/>
        </w:rPr>
        <w:t>The trend towards new types of arrangements between the public sector and private companies involving preferential or exclusive use of public da</w:t>
      </w:r>
      <w:r>
        <w:rPr>
          <w:rFonts w:ascii="Times New Roman" w:hAnsi="Times New Roman"/>
          <w:noProof/>
          <w:sz w:val="24"/>
        </w:rPr>
        <w:t>ta is likely to continue. Large companies will intensify their search for the most cost-efficient sources of high-quality data. At the same time, public sector bodies at all levels of government will look for partners who can help them to exploit their dat</w:t>
      </w:r>
      <w:r>
        <w:rPr>
          <w:rFonts w:ascii="Times New Roman" w:hAnsi="Times New Roman"/>
          <w:noProof/>
          <w:sz w:val="24"/>
        </w:rPr>
        <w:t xml:space="preserve">a assets, since the performance of the primary public tasks often makes it difficult to invest in data analytics capacities. </w:t>
      </w:r>
    </w:p>
    <w:p w:rsidR="00DF1A33" w:rsidRDefault="00456F01">
      <w:pPr>
        <w:pStyle w:val="Heading2"/>
        <w:rPr>
          <w:noProof/>
        </w:rPr>
      </w:pPr>
      <w:bookmarkStart w:id="599" w:name="_Toc504119220"/>
      <w:bookmarkStart w:id="600" w:name="_Toc504119388"/>
      <w:bookmarkStart w:id="601" w:name="_Toc504119489"/>
      <w:bookmarkStart w:id="602" w:name="_Toc504119579"/>
      <w:bookmarkStart w:id="603" w:name="_Toc504119675"/>
      <w:bookmarkStart w:id="604" w:name="_Toc504119764"/>
      <w:bookmarkStart w:id="605" w:name="_Toc504119852"/>
      <w:bookmarkStart w:id="606" w:name="_Toc504120187"/>
      <w:bookmarkStart w:id="607" w:name="_Toc504119221"/>
      <w:bookmarkStart w:id="608" w:name="_Toc504119389"/>
      <w:bookmarkStart w:id="609" w:name="_Toc504119490"/>
      <w:bookmarkStart w:id="610" w:name="_Toc504119580"/>
      <w:bookmarkStart w:id="611" w:name="_Toc504119676"/>
      <w:bookmarkStart w:id="612" w:name="_Toc504119765"/>
      <w:bookmarkStart w:id="613" w:name="_Toc504119853"/>
      <w:bookmarkStart w:id="614" w:name="_Toc504120188"/>
      <w:bookmarkStart w:id="615" w:name="_Toc504119222"/>
      <w:bookmarkStart w:id="616" w:name="_Toc504119390"/>
      <w:bookmarkStart w:id="617" w:name="_Toc504119491"/>
      <w:bookmarkStart w:id="618" w:name="_Toc504119581"/>
      <w:bookmarkStart w:id="619" w:name="_Toc504119677"/>
      <w:bookmarkStart w:id="620" w:name="_Toc504119766"/>
      <w:bookmarkStart w:id="621" w:name="_Toc504119854"/>
      <w:bookmarkStart w:id="622" w:name="_Toc504120189"/>
      <w:bookmarkStart w:id="623" w:name="_Toc504119223"/>
      <w:bookmarkStart w:id="624" w:name="_Toc504119391"/>
      <w:bookmarkStart w:id="625" w:name="_Toc504119492"/>
      <w:bookmarkStart w:id="626" w:name="_Toc504119582"/>
      <w:bookmarkStart w:id="627" w:name="_Toc504119678"/>
      <w:bookmarkStart w:id="628" w:name="_Toc504119767"/>
      <w:bookmarkStart w:id="629" w:name="_Toc504119855"/>
      <w:bookmarkStart w:id="630" w:name="_Toc504120190"/>
      <w:bookmarkStart w:id="631" w:name="_Toc504119224"/>
      <w:bookmarkStart w:id="632" w:name="_Toc504119392"/>
      <w:bookmarkStart w:id="633" w:name="_Toc504119493"/>
      <w:bookmarkStart w:id="634" w:name="_Toc504119583"/>
      <w:bookmarkStart w:id="635" w:name="_Toc504119679"/>
      <w:bookmarkStart w:id="636" w:name="_Toc504119768"/>
      <w:bookmarkStart w:id="637" w:name="_Toc504119856"/>
      <w:bookmarkStart w:id="638" w:name="_Toc504120191"/>
      <w:bookmarkStart w:id="639" w:name="_Toc504119225"/>
      <w:bookmarkStart w:id="640" w:name="_Toc504119393"/>
      <w:bookmarkStart w:id="641" w:name="_Toc504119494"/>
      <w:bookmarkStart w:id="642" w:name="_Toc504119584"/>
      <w:bookmarkStart w:id="643" w:name="_Toc504119680"/>
      <w:bookmarkStart w:id="644" w:name="_Toc504119769"/>
      <w:bookmarkStart w:id="645" w:name="_Toc504119857"/>
      <w:bookmarkStart w:id="646" w:name="_Toc504120192"/>
      <w:bookmarkStart w:id="647" w:name="_Toc504119226"/>
      <w:bookmarkStart w:id="648" w:name="_Toc504119394"/>
      <w:bookmarkStart w:id="649" w:name="_Toc504119495"/>
      <w:bookmarkStart w:id="650" w:name="_Toc504119585"/>
      <w:bookmarkStart w:id="651" w:name="_Toc504119681"/>
      <w:bookmarkStart w:id="652" w:name="_Toc504119770"/>
      <w:bookmarkStart w:id="653" w:name="_Toc504119858"/>
      <w:bookmarkStart w:id="654" w:name="_Toc504120193"/>
      <w:bookmarkStart w:id="655" w:name="_Toc504119227"/>
      <w:bookmarkStart w:id="656" w:name="_Toc504119395"/>
      <w:bookmarkStart w:id="657" w:name="_Toc504119496"/>
      <w:bookmarkStart w:id="658" w:name="_Toc504119586"/>
      <w:bookmarkStart w:id="659" w:name="_Toc504119682"/>
      <w:bookmarkStart w:id="660" w:name="_Toc504119771"/>
      <w:bookmarkStart w:id="661" w:name="_Toc504119859"/>
      <w:bookmarkStart w:id="662" w:name="_Toc504120194"/>
      <w:bookmarkStart w:id="663" w:name="_Toc504119228"/>
      <w:bookmarkStart w:id="664" w:name="_Toc504119396"/>
      <w:bookmarkStart w:id="665" w:name="_Toc504119497"/>
      <w:bookmarkStart w:id="666" w:name="_Toc504119587"/>
      <w:bookmarkStart w:id="667" w:name="_Toc504119683"/>
      <w:bookmarkStart w:id="668" w:name="_Toc504119772"/>
      <w:bookmarkStart w:id="669" w:name="_Toc504119860"/>
      <w:bookmarkStart w:id="670" w:name="_Toc504120195"/>
      <w:bookmarkStart w:id="671" w:name="_Toc504119229"/>
      <w:bookmarkStart w:id="672" w:name="_Toc504119397"/>
      <w:bookmarkStart w:id="673" w:name="_Toc504119498"/>
      <w:bookmarkStart w:id="674" w:name="_Toc504119588"/>
      <w:bookmarkStart w:id="675" w:name="_Toc504119684"/>
      <w:bookmarkStart w:id="676" w:name="_Toc504119773"/>
      <w:bookmarkStart w:id="677" w:name="_Toc504119861"/>
      <w:bookmarkStart w:id="678" w:name="_Toc504120196"/>
      <w:bookmarkStart w:id="679" w:name="_Toc504119230"/>
      <w:bookmarkStart w:id="680" w:name="_Toc504119398"/>
      <w:bookmarkStart w:id="681" w:name="_Toc504119499"/>
      <w:bookmarkStart w:id="682" w:name="_Toc504119589"/>
      <w:bookmarkStart w:id="683" w:name="_Toc504119685"/>
      <w:bookmarkStart w:id="684" w:name="_Toc504119774"/>
      <w:bookmarkStart w:id="685" w:name="_Toc504119862"/>
      <w:bookmarkStart w:id="686" w:name="_Toc504120197"/>
      <w:bookmarkStart w:id="687" w:name="_Toc504119231"/>
      <w:bookmarkStart w:id="688" w:name="_Toc504119399"/>
      <w:bookmarkStart w:id="689" w:name="_Toc504119500"/>
      <w:bookmarkStart w:id="690" w:name="_Toc504119590"/>
      <w:bookmarkStart w:id="691" w:name="_Toc504119686"/>
      <w:bookmarkStart w:id="692" w:name="_Toc504119775"/>
      <w:bookmarkStart w:id="693" w:name="_Toc504119863"/>
      <w:bookmarkStart w:id="694" w:name="_Toc504120198"/>
      <w:bookmarkStart w:id="695" w:name="_Toc504119232"/>
      <w:bookmarkStart w:id="696" w:name="_Toc504119400"/>
      <w:bookmarkStart w:id="697" w:name="_Toc504119501"/>
      <w:bookmarkStart w:id="698" w:name="_Toc504119591"/>
      <w:bookmarkStart w:id="699" w:name="_Toc504119687"/>
      <w:bookmarkStart w:id="700" w:name="_Toc504119776"/>
      <w:bookmarkStart w:id="701" w:name="_Toc504119864"/>
      <w:bookmarkStart w:id="702" w:name="_Toc504120199"/>
      <w:bookmarkStart w:id="703" w:name="_Toc504119233"/>
      <w:bookmarkStart w:id="704" w:name="_Toc504119401"/>
      <w:bookmarkStart w:id="705" w:name="_Toc504119502"/>
      <w:bookmarkStart w:id="706" w:name="_Toc504119592"/>
      <w:bookmarkStart w:id="707" w:name="_Toc504119688"/>
      <w:bookmarkStart w:id="708" w:name="_Toc504119777"/>
      <w:bookmarkStart w:id="709" w:name="_Toc504119865"/>
      <w:bookmarkStart w:id="710" w:name="_Toc504120200"/>
      <w:bookmarkStart w:id="711" w:name="_Toc505181990"/>
      <w:bookmarkStart w:id="712" w:name="_Toc505248644"/>
      <w:bookmarkStart w:id="713" w:name="_Toc505266520"/>
      <w:bookmarkStart w:id="714" w:name="_Toc505335371"/>
      <w:bookmarkStart w:id="715" w:name="_Toc505345842"/>
      <w:bookmarkStart w:id="716" w:name="_Toc505346430"/>
      <w:bookmarkStart w:id="717" w:name="_Toc505696669"/>
      <w:bookmarkStart w:id="718" w:name="_Toc505698155"/>
      <w:bookmarkStart w:id="719" w:name="_Toc505701668"/>
      <w:bookmarkStart w:id="720" w:name="_Toc505705155"/>
      <w:bookmarkStart w:id="721" w:name="_Toc505773146"/>
      <w:bookmarkStart w:id="722" w:name="_Toc505856858"/>
      <w:bookmarkStart w:id="723" w:name="_Toc505862302"/>
      <w:bookmarkStart w:id="724" w:name="_Toc505864867"/>
      <w:bookmarkStart w:id="725" w:name="_Toc505868722"/>
      <w:bookmarkStart w:id="726" w:name="_Toc505869189"/>
      <w:bookmarkStart w:id="727" w:name="_Toc506363031"/>
      <w:bookmarkStart w:id="728" w:name="_Toc506369528"/>
      <w:bookmarkStart w:id="729" w:name="_Toc506376118"/>
      <w:bookmarkStart w:id="730" w:name="_Toc506378431"/>
      <w:bookmarkStart w:id="731" w:name="_Toc506378512"/>
      <w:bookmarkStart w:id="732" w:name="_Toc509412611"/>
      <w:bookmarkStart w:id="733" w:name="_Toc509414787"/>
      <w:bookmarkStart w:id="734" w:name="_Toc509414843"/>
      <w:bookmarkStart w:id="735" w:name="_Toc481484464"/>
      <w:bookmarkStart w:id="736" w:name="_Toc504142952"/>
      <w:bookmarkStart w:id="737" w:name="_Toc504151658"/>
      <w:bookmarkStart w:id="738" w:name="_Toc504382942"/>
      <w:bookmarkStart w:id="739" w:name="_Toc504391085"/>
      <w:bookmarkStart w:id="740" w:name="_Toc504403174"/>
      <w:bookmarkStart w:id="741" w:name="_Toc504743644"/>
      <w:bookmarkStart w:id="742" w:name="_Toc504751196"/>
      <w:bookmarkStart w:id="743" w:name="_Toc504751370"/>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Pr>
          <w:noProof/>
        </w:rPr>
        <w:t>REFIT considerations</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rsidR="00DF1A33" w:rsidRDefault="00456F01">
      <w:pPr>
        <w:jc w:val="both"/>
        <w:rPr>
          <w:rFonts w:ascii="Times New Roman" w:hAnsi="Times New Roman"/>
          <w:noProof/>
          <w:sz w:val="24"/>
        </w:rPr>
      </w:pPr>
      <w:r>
        <w:rPr>
          <w:rFonts w:ascii="Times New Roman" w:hAnsi="Times New Roman"/>
          <w:noProof/>
          <w:sz w:val="24"/>
        </w:rPr>
        <w:t>The PSI Directive currently affects two large sets of stakeholders: re-users and public sector bodies, but it</w:t>
      </w:r>
      <w:r>
        <w:rPr>
          <w:rFonts w:ascii="Times New Roman" w:hAnsi="Times New Roman"/>
          <w:noProof/>
          <w:sz w:val="24"/>
        </w:rPr>
        <w:t xml:space="preserve"> only imposes obligations on the latter. When considering these obligations, it should be borne in mind that several requirements of the Directive, notably those related to the practical arrangements for making data available, are part of an overall effort</w:t>
      </w:r>
      <w:r>
        <w:rPr>
          <w:rFonts w:ascii="Times New Roman" w:hAnsi="Times New Roman"/>
          <w:noProof/>
          <w:sz w:val="24"/>
        </w:rPr>
        <w:t xml:space="preserve"> towards digitising the public administration</w:t>
      </w:r>
      <w:r>
        <w:rPr>
          <w:rFonts w:ascii="Times New Roman" w:hAnsi="Times New Roman"/>
          <w:noProof/>
          <w:sz w:val="24"/>
          <w:vertAlign w:val="superscript"/>
        </w:rPr>
        <w:footnoteReference w:id="104"/>
      </w:r>
      <w:r>
        <w:rPr>
          <w:rFonts w:ascii="Times New Roman" w:hAnsi="Times New Roman"/>
          <w:noProof/>
          <w:sz w:val="24"/>
        </w:rPr>
        <w:t xml:space="preserve"> rather than specific PSI Directive-related costs.</w:t>
      </w:r>
    </w:p>
    <w:p w:rsidR="00DF1A33" w:rsidRDefault="00456F01">
      <w:pPr>
        <w:jc w:val="both"/>
        <w:rPr>
          <w:rFonts w:ascii="Times New Roman" w:hAnsi="Times New Roman"/>
          <w:noProof/>
          <w:sz w:val="24"/>
        </w:rPr>
      </w:pPr>
      <w:r>
        <w:rPr>
          <w:rFonts w:ascii="Times New Roman" w:hAnsi="Times New Roman"/>
          <w:noProof/>
          <w:sz w:val="24"/>
        </w:rPr>
        <w:t>While the Evaluation Report</w:t>
      </w:r>
      <w:r>
        <w:rPr>
          <w:rStyle w:val="FootnoteReference"/>
          <w:rFonts w:ascii="Times New Roman" w:hAnsi="Times New Roman"/>
          <w:noProof/>
          <w:sz w:val="24"/>
        </w:rPr>
        <w:footnoteReference w:id="105"/>
      </w:r>
      <w:r>
        <w:rPr>
          <w:rFonts w:ascii="Times New Roman" w:hAnsi="Times New Roman"/>
          <w:noProof/>
          <w:sz w:val="24"/>
        </w:rPr>
        <w:t xml:space="preserve"> shows that there is an overall positive appreciation of the efficiency of the Directive so far, there are areas in which the reduc</w:t>
      </w:r>
      <w:r>
        <w:rPr>
          <w:rFonts w:ascii="Times New Roman" w:hAnsi="Times New Roman"/>
          <w:noProof/>
          <w:sz w:val="24"/>
        </w:rPr>
        <w:t>tion of administrative burden strictly related to the implementation of the Directive could be achieved:</w:t>
      </w:r>
    </w:p>
    <w:p w:rsidR="00DF1A33" w:rsidRDefault="00456F01">
      <w:pPr>
        <w:jc w:val="both"/>
        <w:rPr>
          <w:rFonts w:ascii="Times New Roman" w:hAnsi="Times New Roman"/>
          <w:noProof/>
          <w:sz w:val="24"/>
        </w:rPr>
      </w:pPr>
      <w:r>
        <w:rPr>
          <w:rFonts w:ascii="Times New Roman" w:hAnsi="Times New Roman"/>
          <w:b/>
          <w:noProof/>
          <w:sz w:val="24"/>
        </w:rPr>
        <w:t>Reporting obligations</w:t>
      </w:r>
      <w:r>
        <w:rPr>
          <w:rFonts w:ascii="Times New Roman" w:hAnsi="Times New Roman"/>
          <w:noProof/>
          <w:sz w:val="24"/>
        </w:rPr>
        <w:t>: The current Directive includes a reporting provision (Article 13.2) which obliges Member States to submit, every 3 years, a repo</w:t>
      </w:r>
      <w:r>
        <w:rPr>
          <w:rFonts w:ascii="Times New Roman" w:hAnsi="Times New Roman"/>
          <w:noProof/>
          <w:sz w:val="24"/>
        </w:rPr>
        <w:t xml:space="preserve">rt to the European Commission on a number of issues that enable the Commission to measure the effects of the implementation of the Directive. </w:t>
      </w:r>
    </w:p>
    <w:p w:rsidR="00DF1A33" w:rsidRDefault="00456F01">
      <w:pPr>
        <w:jc w:val="both"/>
        <w:rPr>
          <w:rFonts w:ascii="Times New Roman" w:hAnsi="Times New Roman"/>
          <w:noProof/>
          <w:sz w:val="24"/>
        </w:rPr>
      </w:pPr>
      <w:r>
        <w:rPr>
          <w:rFonts w:ascii="Times New Roman" w:hAnsi="Times New Roman"/>
          <w:b/>
          <w:noProof/>
          <w:sz w:val="24"/>
        </w:rPr>
        <w:t>Dealing with individual re-use requests</w:t>
      </w:r>
      <w:r>
        <w:rPr>
          <w:rFonts w:ascii="Times New Roman" w:hAnsi="Times New Roman"/>
          <w:noProof/>
          <w:sz w:val="24"/>
        </w:rPr>
        <w:t>: The necessity to process re-use requests is the main administrative burd</w:t>
      </w:r>
      <w:r>
        <w:rPr>
          <w:rFonts w:ascii="Times New Roman" w:hAnsi="Times New Roman"/>
          <w:noProof/>
          <w:sz w:val="24"/>
        </w:rPr>
        <w:t>en that can be attributed solely to the PSI Directive (Chapter 2 – Requests for re-use) and has been estimated to be in the range of 30 hours in terms of required time per single request.</w:t>
      </w:r>
      <w:r>
        <w:rPr>
          <w:rFonts w:ascii="Times New Roman" w:hAnsi="Times New Roman"/>
          <w:noProof/>
          <w:sz w:val="24"/>
          <w:vertAlign w:val="superscript"/>
        </w:rPr>
        <w:footnoteReference w:id="106"/>
      </w:r>
      <w:r>
        <w:rPr>
          <w:rFonts w:ascii="Times New Roman" w:hAnsi="Times New Roman"/>
          <w:noProof/>
          <w:sz w:val="24"/>
          <w:vertAlign w:val="superscript"/>
        </w:rPr>
        <w:t xml:space="preserve"> </w:t>
      </w:r>
    </w:p>
    <w:p w:rsidR="00DF1A33" w:rsidRDefault="00456F01">
      <w:pPr>
        <w:jc w:val="both"/>
        <w:rPr>
          <w:rFonts w:ascii="Times New Roman" w:hAnsi="Times New Roman"/>
          <w:noProof/>
          <w:sz w:val="24"/>
        </w:rPr>
      </w:pPr>
      <w:r>
        <w:rPr>
          <w:rFonts w:ascii="Times New Roman" w:hAnsi="Times New Roman"/>
          <w:b/>
          <w:noProof/>
          <w:sz w:val="24"/>
        </w:rPr>
        <w:t>Charging for re-use</w:t>
      </w:r>
      <w:r>
        <w:rPr>
          <w:rFonts w:ascii="Times New Roman" w:hAnsi="Times New Roman"/>
          <w:noProof/>
          <w:sz w:val="24"/>
        </w:rPr>
        <w:t>: In case the public sector body applies charge</w:t>
      </w:r>
      <w:r>
        <w:rPr>
          <w:rFonts w:ascii="Times New Roman" w:hAnsi="Times New Roman"/>
          <w:noProof/>
          <w:sz w:val="24"/>
        </w:rPr>
        <w:t>s for re-use, it incurs additional administrative burden such as the processing of invoicing, but also costs related to the monitoring of compliance with the underlying license arrangements at the source of the charge.</w:t>
      </w:r>
      <w:r>
        <w:rPr>
          <w:rFonts w:ascii="Times New Roman" w:hAnsi="Times New Roman"/>
          <w:noProof/>
          <w:sz w:val="24"/>
          <w:vertAlign w:val="superscript"/>
        </w:rPr>
        <w:footnoteReference w:id="107"/>
      </w:r>
    </w:p>
    <w:p w:rsidR="00DF1A33" w:rsidRDefault="00456F01">
      <w:pPr>
        <w:jc w:val="both"/>
        <w:rPr>
          <w:rFonts w:ascii="Times New Roman" w:hAnsi="Times New Roman"/>
          <w:noProof/>
          <w:sz w:val="24"/>
        </w:rPr>
      </w:pPr>
      <w:r>
        <w:rPr>
          <w:rFonts w:ascii="Times New Roman" w:hAnsi="Times New Roman"/>
          <w:b/>
          <w:noProof/>
          <w:sz w:val="24"/>
        </w:rPr>
        <w:t>Dealing with complaints</w:t>
      </w:r>
      <w:r>
        <w:rPr>
          <w:rFonts w:ascii="Times New Roman" w:hAnsi="Times New Roman"/>
          <w:noProof/>
          <w:sz w:val="24"/>
        </w:rPr>
        <w:t>: A corollary</w:t>
      </w:r>
      <w:r>
        <w:rPr>
          <w:rFonts w:ascii="Times New Roman" w:hAnsi="Times New Roman"/>
          <w:noProof/>
          <w:sz w:val="24"/>
        </w:rPr>
        <w:t xml:space="preserve"> to the individual re-use requests, and to a lesser degree to the use of custom licensing arrangements, is the higher risk of complaints leading to administrative and judicial proceedings (redress procedures).</w:t>
      </w:r>
      <w:r>
        <w:rPr>
          <w:rFonts w:ascii="Times New Roman" w:hAnsi="Times New Roman"/>
          <w:noProof/>
          <w:sz w:val="24"/>
          <w:vertAlign w:val="superscript"/>
        </w:rPr>
        <w:footnoteReference w:id="108"/>
      </w:r>
    </w:p>
    <w:p w:rsidR="00DF1A33" w:rsidRDefault="00456F01">
      <w:pPr>
        <w:jc w:val="both"/>
        <w:rPr>
          <w:rFonts w:ascii="Times New Roman" w:hAnsi="Times New Roman"/>
          <w:noProof/>
          <w:sz w:val="24"/>
        </w:rPr>
      </w:pPr>
      <w:r>
        <w:rPr>
          <w:rFonts w:ascii="Times New Roman" w:hAnsi="Times New Roman"/>
          <w:b/>
          <w:noProof/>
          <w:sz w:val="24"/>
        </w:rPr>
        <w:t>Clarifying the interplay between the PSI Dire</w:t>
      </w:r>
      <w:r>
        <w:rPr>
          <w:rFonts w:ascii="Times New Roman" w:hAnsi="Times New Roman"/>
          <w:b/>
          <w:noProof/>
          <w:sz w:val="24"/>
        </w:rPr>
        <w:t>ctive and other EU acts (INSPIRE and Database Directives)</w:t>
      </w:r>
      <w:r>
        <w:rPr>
          <w:rFonts w:ascii="Times New Roman" w:hAnsi="Times New Roman"/>
          <w:noProof/>
          <w:sz w:val="24"/>
        </w:rPr>
        <w:t>: The coherence with these directives makes the application of the PSI Directive easier and less-resource consuming, due to higher legal certainty.</w:t>
      </w:r>
    </w:p>
    <w:p w:rsidR="00DF1A33" w:rsidRDefault="00456F01">
      <w:pPr>
        <w:jc w:val="both"/>
        <w:rPr>
          <w:rFonts w:ascii="Times New Roman" w:hAnsi="Times New Roman"/>
          <w:noProof/>
          <w:sz w:val="24"/>
        </w:rPr>
      </w:pPr>
      <w:bookmarkStart w:id="744" w:name="_Toc505181991"/>
      <w:bookmarkStart w:id="745" w:name="_Toc505248645"/>
      <w:bookmarkStart w:id="746" w:name="_Toc505266521"/>
      <w:bookmarkStart w:id="747" w:name="_Toc505335372"/>
      <w:bookmarkStart w:id="748" w:name="_Toc505345843"/>
      <w:bookmarkStart w:id="749" w:name="_Toc505346431"/>
      <w:r>
        <w:rPr>
          <w:rFonts w:ascii="Times New Roman" w:hAnsi="Times New Roman"/>
          <w:noProof/>
          <w:sz w:val="24"/>
        </w:rPr>
        <w:t>At the same time, commercial entities (mostly SMEs)</w:t>
      </w:r>
      <w:r>
        <w:rPr>
          <w:rFonts w:ascii="Times New Roman" w:hAnsi="Times New Roman"/>
          <w:noProof/>
          <w:sz w:val="24"/>
        </w:rPr>
        <w:t xml:space="preserve"> will considerably benefit from the online availability of high-quality data without cost. This will eliminate the need to make individual requests, as well as any transactional costs, thus contributing additionally to the REFIT objectives. </w:t>
      </w:r>
    </w:p>
    <w:p w:rsidR="00DF1A33" w:rsidRDefault="00456F01">
      <w:pPr>
        <w:pStyle w:val="Heading2"/>
        <w:rPr>
          <w:noProof/>
        </w:rPr>
      </w:pPr>
      <w:bookmarkStart w:id="750" w:name="_Toc505696670"/>
      <w:bookmarkStart w:id="751" w:name="_Toc505698156"/>
      <w:bookmarkStart w:id="752" w:name="_Toc505701669"/>
      <w:bookmarkStart w:id="753" w:name="_Toc505705156"/>
      <w:bookmarkStart w:id="754" w:name="_Toc505773147"/>
      <w:bookmarkStart w:id="755" w:name="_Toc505856859"/>
      <w:bookmarkStart w:id="756" w:name="_Toc505862303"/>
      <w:bookmarkStart w:id="757" w:name="_Toc505864868"/>
      <w:bookmarkStart w:id="758" w:name="_Toc505868723"/>
      <w:bookmarkStart w:id="759" w:name="_Toc505869190"/>
      <w:bookmarkStart w:id="760" w:name="_Toc506363032"/>
      <w:bookmarkStart w:id="761" w:name="_Toc506369529"/>
      <w:bookmarkStart w:id="762" w:name="_Toc506376119"/>
      <w:bookmarkStart w:id="763" w:name="_Toc506378432"/>
      <w:bookmarkStart w:id="764" w:name="_Toc506378513"/>
      <w:bookmarkStart w:id="765" w:name="_Toc509412612"/>
      <w:bookmarkStart w:id="766" w:name="_Toc509414788"/>
      <w:bookmarkStart w:id="767" w:name="_Toc509414844"/>
      <w:r>
        <w:rPr>
          <w:noProof/>
        </w:rPr>
        <w:t>Access to priv</w:t>
      </w:r>
      <w:r>
        <w:rPr>
          <w:noProof/>
        </w:rPr>
        <w:t>ate sector data for public interest purposes</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rsidR="00DF1A33" w:rsidRDefault="00456F01">
      <w:pPr>
        <w:jc w:val="both"/>
        <w:rPr>
          <w:rFonts w:ascii="Times New Roman" w:hAnsi="Times New Roman"/>
          <w:noProof/>
          <w:sz w:val="24"/>
        </w:rPr>
      </w:pPr>
      <w:r>
        <w:rPr>
          <w:rFonts w:ascii="Times New Roman" w:hAnsi="Times New Roman"/>
          <w:noProof/>
          <w:sz w:val="24"/>
        </w:rPr>
        <w:t>The issue of access to private sector data for public interest purposes was part of the public online consultation on the review of the PSI Directive. While public data is already used to save costs and increase</w:t>
      </w:r>
      <w:r>
        <w:rPr>
          <w:rFonts w:ascii="Times New Roman" w:hAnsi="Times New Roman"/>
          <w:noProof/>
          <w:sz w:val="24"/>
        </w:rPr>
        <w:t xml:space="preserve"> efficiencies within the public sector itself, modern policy making has become a data-intensive activity to such an extent that public institutions rely more and more on access to private sector data to carry out their tasks. This trend was acknowledged by</w:t>
      </w:r>
      <w:r>
        <w:rPr>
          <w:rFonts w:ascii="Times New Roman" w:hAnsi="Times New Roman"/>
          <w:noProof/>
          <w:sz w:val="24"/>
        </w:rPr>
        <w:t xml:space="preserve"> the respondents to the public online consultation, and there was strong support for action in this area, with 81% of the respondents indicating that specific legal measures need to be put in place in order to facilitate access to private sector data for p</w:t>
      </w:r>
      <w:r>
        <w:rPr>
          <w:rFonts w:ascii="Times New Roman" w:hAnsi="Times New Roman"/>
          <w:noProof/>
          <w:sz w:val="24"/>
        </w:rPr>
        <w:t xml:space="preserve">ublic interest purposes. </w:t>
      </w:r>
    </w:p>
    <w:p w:rsidR="00DF1A33" w:rsidRDefault="00456F01">
      <w:pPr>
        <w:jc w:val="both"/>
        <w:rPr>
          <w:rFonts w:ascii="Times New Roman" w:hAnsi="Times New Roman"/>
          <w:noProof/>
          <w:sz w:val="24"/>
        </w:rPr>
      </w:pPr>
      <w:r>
        <w:rPr>
          <w:rFonts w:ascii="Times New Roman" w:hAnsi="Times New Roman"/>
          <w:noProof/>
          <w:sz w:val="24"/>
        </w:rPr>
        <w:t>However, the wider stakeholder engagement process</w:t>
      </w:r>
      <w:r>
        <w:rPr>
          <w:rStyle w:val="FootnoteReference"/>
          <w:rFonts w:ascii="Times New Roman" w:hAnsi="Times New Roman"/>
          <w:noProof/>
          <w:sz w:val="24"/>
        </w:rPr>
        <w:footnoteReference w:id="109"/>
      </w:r>
      <w:r>
        <w:rPr>
          <w:rFonts w:ascii="Times New Roman" w:hAnsi="Times New Roman"/>
          <w:noProof/>
          <w:sz w:val="24"/>
        </w:rPr>
        <w:t xml:space="preserve"> showed that there is still considerable uncertainty regarding the exact objectives, justification and practical methods under which such transfer could take place. Stakeholders fr</w:t>
      </w:r>
      <w:r>
        <w:rPr>
          <w:rFonts w:ascii="Times New Roman" w:hAnsi="Times New Roman"/>
          <w:noProof/>
          <w:sz w:val="24"/>
        </w:rPr>
        <w:t>om the private sector (e.g. telecoms companies) and public undertakings in the transport and utilities sector indicated, notably during a recently held public hearing</w:t>
      </w:r>
      <w:r>
        <w:rPr>
          <w:rStyle w:val="FootnoteReference"/>
          <w:rFonts w:ascii="Times New Roman" w:hAnsi="Times New Roman"/>
          <w:noProof/>
          <w:sz w:val="24"/>
        </w:rPr>
        <w:footnoteReference w:id="110"/>
      </w:r>
      <w:r>
        <w:rPr>
          <w:rFonts w:ascii="Times New Roman" w:hAnsi="Times New Roman"/>
          <w:noProof/>
          <w:sz w:val="24"/>
        </w:rPr>
        <w:t>, that the issue is not ripe for horizontal legislative action at the EU level. This is w</w:t>
      </w:r>
      <w:r>
        <w:rPr>
          <w:rFonts w:ascii="Times New Roman" w:hAnsi="Times New Roman"/>
          <w:noProof/>
          <w:sz w:val="24"/>
        </w:rPr>
        <w:t>hy the subject of access to private data is not included within the policy options discussed in this Impact Assessment and will be addressed separately within the 2018 Data Package.</w:t>
      </w:r>
    </w:p>
    <w:p w:rsidR="00DF1A33" w:rsidRDefault="00456F01">
      <w:pPr>
        <w:pStyle w:val="Heading1"/>
        <w:rPr>
          <w:noProof/>
        </w:rPr>
      </w:pPr>
      <w:bookmarkStart w:id="768" w:name="_Toc505696671"/>
      <w:bookmarkStart w:id="769" w:name="_Toc505698157"/>
      <w:bookmarkStart w:id="770" w:name="_Toc505701670"/>
      <w:bookmarkStart w:id="771" w:name="_Toc505705157"/>
      <w:bookmarkStart w:id="772" w:name="_Toc505773148"/>
      <w:bookmarkStart w:id="773" w:name="_Toc505856860"/>
      <w:bookmarkStart w:id="774" w:name="_Toc505862304"/>
      <w:bookmarkStart w:id="775" w:name="_Toc505864869"/>
      <w:bookmarkStart w:id="776" w:name="_Toc505868724"/>
      <w:bookmarkStart w:id="777" w:name="_Toc505869191"/>
      <w:bookmarkStart w:id="778" w:name="_Toc506363033"/>
      <w:bookmarkStart w:id="779" w:name="_Toc506369530"/>
      <w:bookmarkStart w:id="780" w:name="_Toc506376120"/>
      <w:bookmarkStart w:id="781" w:name="_Toc506378433"/>
      <w:bookmarkStart w:id="782" w:name="_Toc506378514"/>
      <w:bookmarkStart w:id="783" w:name="_Toc509412613"/>
      <w:bookmarkStart w:id="784" w:name="_Toc509414789"/>
      <w:bookmarkStart w:id="785" w:name="_Toc509414845"/>
      <w:r>
        <w:rPr>
          <w:noProof/>
        </w:rPr>
        <w:t>Why should the EU act?</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rsidR="00DF1A33" w:rsidRDefault="00456F01">
      <w:pPr>
        <w:pStyle w:val="Heading2"/>
        <w:rPr>
          <w:noProof/>
        </w:rPr>
      </w:pPr>
      <w:bookmarkStart w:id="786" w:name="_Toc481484465"/>
      <w:bookmarkStart w:id="787" w:name="_Toc504142953"/>
      <w:bookmarkStart w:id="788" w:name="_Toc504151659"/>
      <w:bookmarkStart w:id="789" w:name="_Toc504382943"/>
      <w:bookmarkStart w:id="790" w:name="_Toc504391086"/>
      <w:bookmarkStart w:id="791" w:name="_Toc504403175"/>
      <w:bookmarkStart w:id="792" w:name="_Toc504743645"/>
      <w:bookmarkStart w:id="793" w:name="_Toc504751197"/>
      <w:bookmarkStart w:id="794" w:name="_Toc504751371"/>
      <w:bookmarkStart w:id="795" w:name="_Toc505181992"/>
      <w:bookmarkStart w:id="796" w:name="_Toc505248646"/>
      <w:bookmarkStart w:id="797" w:name="_Toc505266522"/>
      <w:bookmarkStart w:id="798" w:name="_Toc505335373"/>
      <w:bookmarkStart w:id="799" w:name="_Toc505345844"/>
      <w:bookmarkStart w:id="800" w:name="_Toc505346432"/>
      <w:bookmarkStart w:id="801" w:name="_Toc505696672"/>
      <w:bookmarkStart w:id="802" w:name="_Toc505698158"/>
      <w:bookmarkStart w:id="803" w:name="_Toc505701671"/>
      <w:bookmarkStart w:id="804" w:name="_Toc505705158"/>
      <w:bookmarkStart w:id="805" w:name="_Toc505773149"/>
      <w:bookmarkStart w:id="806" w:name="_Toc505856861"/>
      <w:bookmarkStart w:id="807" w:name="_Toc505862305"/>
      <w:bookmarkStart w:id="808" w:name="_Toc505864870"/>
      <w:bookmarkStart w:id="809" w:name="_Toc505868725"/>
      <w:bookmarkStart w:id="810" w:name="_Toc505869192"/>
      <w:bookmarkStart w:id="811" w:name="_Toc506363034"/>
      <w:bookmarkStart w:id="812" w:name="_Toc506369531"/>
      <w:bookmarkStart w:id="813" w:name="_Toc506376121"/>
      <w:bookmarkStart w:id="814" w:name="_Toc506378434"/>
      <w:bookmarkStart w:id="815" w:name="_Toc506378515"/>
      <w:bookmarkStart w:id="816" w:name="_Toc509412614"/>
      <w:bookmarkStart w:id="817" w:name="_Toc509414790"/>
      <w:bookmarkStart w:id="818" w:name="_Toc509414846"/>
      <w:r>
        <w:rPr>
          <w:noProof/>
        </w:rPr>
        <w:t>Legal basis</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rsidR="00DF1A33" w:rsidRDefault="00456F01">
      <w:pPr>
        <w:jc w:val="both"/>
        <w:rPr>
          <w:rFonts w:ascii="Times New Roman" w:hAnsi="Times New Roman" w:cs="Times New Roman"/>
          <w:noProof/>
          <w:sz w:val="24"/>
          <w:szCs w:val="24"/>
        </w:rPr>
      </w:pPr>
      <w:r>
        <w:rPr>
          <w:rFonts w:ascii="Times New Roman" w:hAnsi="Times New Roman"/>
          <w:noProof/>
          <w:sz w:val="24"/>
        </w:rPr>
        <w:t xml:space="preserve">The legal basis for intervention is Article 114 of the Treaty on the Functioning of the European Union. The revision will build on this legislation and any amendment to this Directive should be based on the same legal basis.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In accordance with Article 5(</w:t>
      </w:r>
      <w:r>
        <w:rPr>
          <w:rFonts w:ascii="Times New Roman" w:hAnsi="Times New Roman" w:cs="Times New Roman"/>
          <w:noProof/>
          <w:sz w:val="24"/>
          <w:szCs w:val="24"/>
        </w:rPr>
        <w:t xml:space="preserve">3) of the Treaty on European Union (TEU) any EU action should respect the principle of subsidiarity. This involves assessing two aspects: the necessity test and the EU added value test. </w:t>
      </w:r>
    </w:p>
    <w:p w:rsidR="00DF1A33" w:rsidRDefault="00456F01">
      <w:pPr>
        <w:pStyle w:val="Heading2"/>
        <w:rPr>
          <w:noProof/>
        </w:rPr>
      </w:pPr>
      <w:bookmarkStart w:id="819" w:name="_Toc504134405"/>
      <w:bookmarkStart w:id="820" w:name="_Toc504137207"/>
      <w:bookmarkStart w:id="821" w:name="_Toc481484466"/>
      <w:bookmarkStart w:id="822" w:name="_Toc504142954"/>
      <w:bookmarkStart w:id="823" w:name="_Toc504151660"/>
      <w:bookmarkStart w:id="824" w:name="_Toc504382944"/>
      <w:bookmarkStart w:id="825" w:name="_Toc504391087"/>
      <w:bookmarkStart w:id="826" w:name="_Toc504403176"/>
      <w:bookmarkStart w:id="827" w:name="_Toc504743646"/>
      <w:bookmarkStart w:id="828" w:name="_Toc504751198"/>
      <w:bookmarkStart w:id="829" w:name="_Toc504751372"/>
      <w:bookmarkStart w:id="830" w:name="_Toc505181993"/>
      <w:bookmarkStart w:id="831" w:name="_Toc505248647"/>
      <w:bookmarkStart w:id="832" w:name="_Toc505266523"/>
      <w:bookmarkStart w:id="833" w:name="_Toc505335374"/>
      <w:bookmarkStart w:id="834" w:name="_Toc505345845"/>
      <w:bookmarkStart w:id="835" w:name="_Toc505346433"/>
      <w:bookmarkStart w:id="836" w:name="_Toc505696673"/>
      <w:bookmarkStart w:id="837" w:name="_Toc505698159"/>
      <w:bookmarkStart w:id="838" w:name="_Toc505701672"/>
      <w:bookmarkStart w:id="839" w:name="_Toc505705159"/>
      <w:bookmarkStart w:id="840" w:name="_Toc505773150"/>
      <w:bookmarkStart w:id="841" w:name="_Toc505856862"/>
      <w:bookmarkStart w:id="842" w:name="_Toc505862306"/>
      <w:bookmarkStart w:id="843" w:name="_Toc505864871"/>
      <w:bookmarkStart w:id="844" w:name="_Toc505868726"/>
      <w:bookmarkStart w:id="845" w:name="_Toc505869193"/>
      <w:bookmarkStart w:id="846" w:name="_Toc506363035"/>
      <w:bookmarkStart w:id="847" w:name="_Toc506369532"/>
      <w:bookmarkStart w:id="848" w:name="_Toc506376122"/>
      <w:bookmarkStart w:id="849" w:name="_Toc506378435"/>
      <w:bookmarkStart w:id="850" w:name="_Toc506378516"/>
      <w:bookmarkStart w:id="851" w:name="_Toc509412615"/>
      <w:bookmarkStart w:id="852" w:name="_Toc509414791"/>
      <w:bookmarkStart w:id="853" w:name="_Toc509414847"/>
      <w:bookmarkEnd w:id="819"/>
      <w:bookmarkEnd w:id="820"/>
      <w:r>
        <w:rPr>
          <w:noProof/>
        </w:rPr>
        <w:t>Subsidiarity: Necessity of EU action</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rsidR="00DF1A33" w:rsidRDefault="00456F01">
      <w:pPr>
        <w:jc w:val="both"/>
        <w:rPr>
          <w:rFonts w:ascii="Times New Roman" w:hAnsi="Times New Roman" w:cs="Times New Roman"/>
          <w:noProof/>
          <w:sz w:val="24"/>
          <w:szCs w:val="24"/>
        </w:rPr>
      </w:pPr>
      <w:r>
        <w:rPr>
          <w:rFonts w:ascii="Times New Roman" w:hAnsi="Times New Roman"/>
          <w:noProof/>
          <w:sz w:val="24"/>
        </w:rPr>
        <w:t>The removal of the remaining obs</w:t>
      </w:r>
      <w:r>
        <w:rPr>
          <w:rFonts w:ascii="Times New Roman" w:hAnsi="Times New Roman"/>
          <w:noProof/>
          <w:sz w:val="24"/>
        </w:rPr>
        <w:t>tacles to an open re-use of public sector information and simultaneously aligning the legal framework to the evolving digital socio-economic environment cannot be achieved by Member States alone. Diverging national legal solutions would likely compromise t</w:t>
      </w:r>
      <w:r>
        <w:rPr>
          <w:rFonts w:ascii="Times New Roman" w:hAnsi="Times New Roman"/>
          <w:noProof/>
          <w:sz w:val="24"/>
        </w:rPr>
        <w:t>he growing tendency towards cross-border re-use, whereas the different levels of 'open data readiness' across EU Member States would persist or deepen, having a negative effect on the homogeneity and competitiveness within the Digital Single Market.</w:t>
      </w:r>
    </w:p>
    <w:p w:rsidR="00DF1A33" w:rsidRDefault="00456F01">
      <w:pPr>
        <w:jc w:val="both"/>
        <w:rPr>
          <w:rFonts w:ascii="Times New Roman" w:hAnsi="Times New Roman"/>
          <w:noProof/>
          <w:sz w:val="24"/>
        </w:rPr>
      </w:pPr>
      <w:r>
        <w:rPr>
          <w:rFonts w:ascii="Times New Roman" w:hAnsi="Times New Roman"/>
          <w:noProof/>
          <w:sz w:val="24"/>
        </w:rPr>
        <w:t>The ev</w:t>
      </w:r>
      <w:r>
        <w:rPr>
          <w:rFonts w:ascii="Times New Roman" w:hAnsi="Times New Roman"/>
          <w:noProof/>
          <w:sz w:val="24"/>
        </w:rPr>
        <w:t>idence for such a diverging approach to the furthering of open data policies is already emerging, as countries such as Finland</w:t>
      </w:r>
      <w:r>
        <w:rPr>
          <w:rStyle w:val="FootnoteReference"/>
          <w:rFonts w:ascii="Times New Roman" w:hAnsi="Times New Roman"/>
          <w:noProof/>
          <w:sz w:val="24"/>
        </w:rPr>
        <w:footnoteReference w:id="111"/>
      </w:r>
      <w:r>
        <w:rPr>
          <w:rFonts w:ascii="Times New Roman" w:hAnsi="Times New Roman"/>
          <w:noProof/>
          <w:sz w:val="24"/>
        </w:rPr>
        <w:t>, France</w:t>
      </w:r>
      <w:r>
        <w:rPr>
          <w:rStyle w:val="FootnoteReference"/>
          <w:rFonts w:ascii="Times New Roman" w:hAnsi="Times New Roman"/>
          <w:noProof/>
          <w:sz w:val="24"/>
        </w:rPr>
        <w:footnoteReference w:id="112"/>
      </w:r>
      <w:r>
        <w:rPr>
          <w:rFonts w:ascii="Times New Roman" w:hAnsi="Times New Roman"/>
          <w:noProof/>
          <w:sz w:val="24"/>
        </w:rPr>
        <w:t xml:space="preserve"> or Denmark</w:t>
      </w:r>
      <w:r>
        <w:rPr>
          <w:rStyle w:val="FootnoteReference"/>
          <w:rFonts w:ascii="Times New Roman" w:hAnsi="Times New Roman"/>
          <w:noProof/>
          <w:sz w:val="24"/>
        </w:rPr>
        <w:footnoteReference w:id="113"/>
      </w:r>
      <w:r>
        <w:rPr>
          <w:rFonts w:ascii="Times New Roman" w:hAnsi="Times New Roman"/>
          <w:noProof/>
          <w:sz w:val="24"/>
        </w:rPr>
        <w:t xml:space="preserve"> are enacting legislation which aims to enable the data economy to benefit from new sources of data. These e</w:t>
      </w:r>
      <w:r>
        <w:rPr>
          <w:rFonts w:ascii="Times New Roman" w:hAnsi="Times New Roman"/>
          <w:noProof/>
          <w:sz w:val="24"/>
        </w:rPr>
        <w:t xml:space="preserve">fforts, while in line with the overall objectives of the </w:t>
      </w:r>
      <w:r>
        <w:rPr>
          <w:rFonts w:ascii="Times New Roman" w:hAnsi="Times New Roman" w:cs="Times New Roman"/>
          <w:noProof/>
          <w:sz w:val="24"/>
          <w:szCs w:val="24"/>
        </w:rPr>
        <w:t>DSM strategy</w:t>
      </w:r>
      <w:r>
        <w:rPr>
          <w:rFonts w:ascii="Times New Roman" w:hAnsi="Times New Roman"/>
          <w:noProof/>
          <w:sz w:val="24"/>
        </w:rPr>
        <w:t>, are not coordinated. Combined with slower or non-existent initiatives in other countries, they risk undermining the level playing field for commercial re-users, as well as the developme</w:t>
      </w:r>
      <w:r>
        <w:rPr>
          <w:rFonts w:ascii="Times New Roman" w:hAnsi="Times New Roman"/>
          <w:noProof/>
          <w:sz w:val="24"/>
        </w:rPr>
        <w:t xml:space="preserve">nt of cross-border applications in the EU (insufficient availability of source data across the Member States makes it economically unviable to produce a cross-border service or to replicate an existing data-based service from one Member State to another). </w:t>
      </w:r>
    </w:p>
    <w:p w:rsidR="00DF1A33" w:rsidRDefault="00456F01">
      <w:pPr>
        <w:jc w:val="both"/>
        <w:rPr>
          <w:rFonts w:ascii="Times New Roman" w:hAnsi="Times New Roman"/>
          <w:noProof/>
          <w:sz w:val="24"/>
        </w:rPr>
      </w:pPr>
      <w:r>
        <w:rPr>
          <w:rFonts w:ascii="Times New Roman" w:hAnsi="Times New Roman"/>
          <w:noProof/>
          <w:sz w:val="24"/>
        </w:rPr>
        <w:t>The actions proposed are proportionate, since national intervention will not be able to achieve the same results (increase in openly re-useable PSI), whilst at the same time ensuring a competitive and non-discriminatory environment across the entire Singl</w:t>
      </w:r>
      <w:r>
        <w:rPr>
          <w:rFonts w:ascii="Times New Roman" w:hAnsi="Times New Roman"/>
          <w:noProof/>
          <w:sz w:val="24"/>
        </w:rPr>
        <w:t>e Market. The proposed actions, in particular restricting the use of exceptions to marginal cost charging and introducing the obligation to make certain high-value datasets freely available, can be seen as the next step towards full availability of PSI for</w:t>
      </w:r>
      <w:r>
        <w:rPr>
          <w:rFonts w:ascii="Times New Roman" w:hAnsi="Times New Roman"/>
          <w:noProof/>
          <w:sz w:val="24"/>
        </w:rPr>
        <w:t xml:space="preserve"> re-use: a policy objective accepted by the Member States already in 2003 and confirmed in 2013.</w:t>
      </w:r>
    </w:p>
    <w:p w:rsidR="00DF1A33" w:rsidRDefault="00456F01">
      <w:pPr>
        <w:jc w:val="both"/>
        <w:rPr>
          <w:rFonts w:ascii="Times New Roman" w:hAnsi="Times New Roman"/>
          <w:noProof/>
          <w:sz w:val="24"/>
        </w:rPr>
      </w:pPr>
      <w:r>
        <w:rPr>
          <w:rFonts w:ascii="Times New Roman" w:hAnsi="Times New Roman"/>
          <w:noProof/>
          <w:sz w:val="24"/>
        </w:rPr>
        <w:t>The necessity of the Directive is unquestioned by stakeholders consulted in the public online consultation and in the context of the IA support study. National</w:t>
      </w:r>
      <w:r>
        <w:rPr>
          <w:rFonts w:ascii="Times New Roman" w:hAnsi="Times New Roman"/>
          <w:noProof/>
          <w:sz w:val="24"/>
        </w:rPr>
        <w:t xml:space="preserve"> initiatives in the field of PSI would have not been sufficient to address possible market distortions and market failures and offer a level-playing field to all businesses.</w:t>
      </w:r>
      <w:r>
        <w:rPr>
          <w:rStyle w:val="FootnoteReference"/>
          <w:rFonts w:ascii="Times New Roman" w:hAnsi="Times New Roman"/>
          <w:noProof/>
          <w:sz w:val="24"/>
        </w:rPr>
        <w:footnoteReference w:id="114"/>
      </w:r>
      <w:r>
        <w:rPr>
          <w:rFonts w:ascii="Times New Roman" w:hAnsi="Times New Roman"/>
          <w:noProof/>
          <w:sz w:val="24"/>
        </w:rPr>
        <w:t xml:space="preserve"> The necessity of coordinated action on EU level is further backed by the success </w:t>
      </w:r>
      <w:r>
        <w:rPr>
          <w:rFonts w:ascii="Times New Roman" w:hAnsi="Times New Roman"/>
          <w:noProof/>
          <w:sz w:val="24"/>
        </w:rPr>
        <w:t>of previous legislative interventions, as testified by the EDP Open Data Maturity report comparison across the years.</w:t>
      </w:r>
      <w:r>
        <w:rPr>
          <w:rStyle w:val="FootnoteReference"/>
          <w:rFonts w:ascii="Times New Roman" w:hAnsi="Times New Roman"/>
          <w:noProof/>
          <w:sz w:val="24"/>
        </w:rPr>
        <w:footnoteReference w:id="115"/>
      </w:r>
      <w:r>
        <w:rPr>
          <w:rFonts w:ascii="Times New Roman" w:hAnsi="Times New Roman"/>
          <w:noProof/>
          <w:sz w:val="24"/>
        </w:rPr>
        <w:t xml:space="preserve"> </w:t>
      </w:r>
    </w:p>
    <w:p w:rsidR="00DF1A33" w:rsidRDefault="00456F01">
      <w:pPr>
        <w:jc w:val="both"/>
        <w:rPr>
          <w:rFonts w:ascii="Times New Roman" w:hAnsi="Times New Roman"/>
          <w:noProof/>
          <w:sz w:val="24"/>
        </w:rPr>
      </w:pPr>
      <w:r>
        <w:rPr>
          <w:rFonts w:ascii="Times New Roman" w:hAnsi="Times New Roman"/>
          <w:noProof/>
          <w:sz w:val="24"/>
        </w:rPr>
        <w:t>Moreover, during the consultation process a large number of Member States expressed their support for the review of the Directive, based</w:t>
      </w:r>
      <w:r>
        <w:rPr>
          <w:rFonts w:ascii="Times New Roman" w:hAnsi="Times New Roman"/>
          <w:noProof/>
          <w:sz w:val="24"/>
        </w:rPr>
        <w:t xml:space="preserve"> on the observation that the uneven implementation across Member States is creating fragmentation on the single market or bottlenecks to market development. In particular, they were supportive of extending the scope of the PSI Directive and making some of </w:t>
      </w:r>
      <w:r>
        <w:rPr>
          <w:rFonts w:ascii="Times New Roman" w:hAnsi="Times New Roman"/>
          <w:noProof/>
          <w:sz w:val="24"/>
        </w:rPr>
        <w:t>the high-value datasets obligatory for free dissemination</w:t>
      </w:r>
      <w:r>
        <w:rPr>
          <w:rStyle w:val="FootnoteReference"/>
          <w:rFonts w:ascii="Times New Roman" w:hAnsi="Times New Roman"/>
          <w:noProof/>
          <w:sz w:val="24"/>
        </w:rPr>
        <w:footnoteReference w:id="116"/>
      </w:r>
      <w:r>
        <w:rPr>
          <w:rFonts w:ascii="Times New Roman" w:hAnsi="Times New Roman"/>
          <w:noProof/>
          <w:sz w:val="24"/>
        </w:rPr>
        <w:t xml:space="preserve"> (see also chapter 6.4).</w:t>
      </w:r>
    </w:p>
    <w:p w:rsidR="00DF1A33" w:rsidRDefault="00456F01">
      <w:pPr>
        <w:pStyle w:val="Heading2"/>
        <w:rPr>
          <w:noProof/>
        </w:rPr>
      </w:pPr>
      <w:bookmarkStart w:id="854" w:name="_Toc481484467"/>
      <w:bookmarkStart w:id="855" w:name="_Toc504142955"/>
      <w:bookmarkStart w:id="856" w:name="_Toc504151661"/>
      <w:bookmarkStart w:id="857" w:name="_Toc504382945"/>
      <w:bookmarkStart w:id="858" w:name="_Toc504391088"/>
      <w:bookmarkStart w:id="859" w:name="_Toc504403177"/>
      <w:bookmarkStart w:id="860" w:name="_Toc504743647"/>
      <w:bookmarkStart w:id="861" w:name="_Toc504751199"/>
      <w:bookmarkStart w:id="862" w:name="_Toc504751373"/>
      <w:bookmarkStart w:id="863" w:name="_Toc505181994"/>
      <w:bookmarkStart w:id="864" w:name="_Toc505248648"/>
      <w:bookmarkStart w:id="865" w:name="_Toc505266524"/>
      <w:bookmarkStart w:id="866" w:name="_Toc505335375"/>
      <w:bookmarkStart w:id="867" w:name="_Toc505345846"/>
      <w:bookmarkStart w:id="868" w:name="_Toc505346434"/>
      <w:bookmarkStart w:id="869" w:name="_Toc505696674"/>
      <w:bookmarkStart w:id="870" w:name="_Toc505698160"/>
      <w:bookmarkStart w:id="871" w:name="_Toc505701673"/>
      <w:bookmarkStart w:id="872" w:name="_Toc505705160"/>
      <w:bookmarkStart w:id="873" w:name="_Toc505773151"/>
      <w:bookmarkStart w:id="874" w:name="_Toc505856863"/>
      <w:bookmarkStart w:id="875" w:name="_Toc505862307"/>
      <w:bookmarkStart w:id="876" w:name="_Toc505864872"/>
      <w:bookmarkStart w:id="877" w:name="_Toc505868727"/>
      <w:bookmarkStart w:id="878" w:name="_Toc505869194"/>
      <w:bookmarkStart w:id="879" w:name="_Toc506363036"/>
      <w:bookmarkStart w:id="880" w:name="_Toc506369533"/>
      <w:bookmarkStart w:id="881" w:name="_Toc506376123"/>
      <w:bookmarkStart w:id="882" w:name="_Toc506378436"/>
      <w:bookmarkStart w:id="883" w:name="_Toc506378517"/>
      <w:bookmarkStart w:id="884" w:name="_Toc509412616"/>
      <w:bookmarkStart w:id="885" w:name="_Toc509414792"/>
      <w:bookmarkStart w:id="886" w:name="_Toc509414848"/>
      <w:r>
        <w:rPr>
          <w:noProof/>
        </w:rPr>
        <w:t>Subsidiarity: Added value of EU action</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rsidR="00DF1A33" w:rsidRDefault="00456F01">
      <w:pPr>
        <w:spacing w:after="120"/>
        <w:jc w:val="both"/>
        <w:rPr>
          <w:rFonts w:ascii="Times New Roman" w:hAnsi="Times New Roman"/>
          <w:noProof/>
          <w:sz w:val="24"/>
        </w:rPr>
      </w:pPr>
      <w:r>
        <w:rPr>
          <w:rFonts w:ascii="Times New Roman" w:hAnsi="Times New Roman"/>
          <w:noProof/>
          <w:sz w:val="24"/>
        </w:rPr>
        <w:t xml:space="preserve">The vast majority of respondents (87%) in the recent public online consultation, representing different groups of stakeholders, see a </w:t>
      </w:r>
      <w:r>
        <w:rPr>
          <w:rFonts w:ascii="Times New Roman" w:hAnsi="Times New Roman"/>
          <w:noProof/>
          <w:sz w:val="24"/>
        </w:rPr>
        <w:t>clear EU added value of the PSI Directive, namely that it has played a role in encouraging the national authorities to open up more public sector data</w:t>
      </w:r>
      <w:r>
        <w:rPr>
          <w:rFonts w:ascii="Times New Roman" w:hAnsi="Times New Roman"/>
          <w:noProof/>
          <w:sz w:val="24"/>
          <w:szCs w:val="24"/>
        </w:rPr>
        <w:t xml:space="preserve"> across the EU</w:t>
      </w:r>
      <w:r>
        <w:rPr>
          <w:rFonts w:ascii="Times New Roman" w:hAnsi="Times New Roman"/>
          <w:noProof/>
          <w:sz w:val="24"/>
        </w:rPr>
        <w:t>. At the same time, 63% believe that it has facilitated access to PSI from countries other t</w:t>
      </w:r>
      <w:r>
        <w:rPr>
          <w:rFonts w:ascii="Times New Roman" w:hAnsi="Times New Roman"/>
          <w:noProof/>
          <w:sz w:val="24"/>
        </w:rPr>
        <w:t>han the one where the person concerned lives. Similarly, almost 64% indicate that the PSI Directive has been conducive to the creation of an EU-wide market for products and services based on PSI. The EU added value of the PSI Directive was also strongly hi</w:t>
      </w:r>
      <w:r>
        <w:rPr>
          <w:rFonts w:ascii="Times New Roman" w:hAnsi="Times New Roman"/>
          <w:noProof/>
          <w:sz w:val="24"/>
        </w:rPr>
        <w:t>ghlighted in the expert interviews conducted in the context of the support study and presented in more detail in the accompanying Evaluation Report</w:t>
      </w:r>
      <w:r>
        <w:rPr>
          <w:rStyle w:val="FootnoteReference"/>
          <w:rFonts w:ascii="Times New Roman" w:hAnsi="Times New Roman"/>
          <w:noProof/>
          <w:sz w:val="24"/>
        </w:rPr>
        <w:footnoteReference w:id="117"/>
      </w:r>
      <w:r>
        <w:rPr>
          <w:rFonts w:ascii="Times New Roman" w:hAnsi="Times New Roman"/>
          <w:noProof/>
          <w:sz w:val="24"/>
        </w:rPr>
        <w:t>.</w:t>
      </w:r>
    </w:p>
    <w:p w:rsidR="00DF1A33" w:rsidRDefault="00456F01">
      <w:pPr>
        <w:jc w:val="both"/>
        <w:rPr>
          <w:rFonts w:ascii="Times New Roman" w:hAnsi="Times New Roman"/>
          <w:noProof/>
          <w:sz w:val="24"/>
        </w:rPr>
      </w:pPr>
      <w:r>
        <w:rPr>
          <w:rFonts w:ascii="Times New Roman" w:hAnsi="Times New Roman"/>
          <w:noProof/>
          <w:sz w:val="24"/>
        </w:rPr>
        <w:t xml:space="preserve">Action at EU level is also best suited to guarantee that public data of comparable thematic scope are </w:t>
      </w:r>
      <w:r>
        <w:rPr>
          <w:rFonts w:ascii="Times New Roman" w:hAnsi="Times New Roman"/>
          <w:noProof/>
          <w:sz w:val="24"/>
        </w:rPr>
        <w:t>available for re-use across Member State borders under similar legal and technical conditions so as to facilitate the offering of services based on data sourced from different EU countries or for applying a data-based business model tested in one Member St</w:t>
      </w:r>
      <w:r>
        <w:rPr>
          <w:rFonts w:ascii="Times New Roman" w:hAnsi="Times New Roman"/>
          <w:noProof/>
          <w:sz w:val="24"/>
        </w:rPr>
        <w:t>ate seamlessly to another.</w:t>
      </w:r>
    </w:p>
    <w:p w:rsidR="00DF1A33" w:rsidRDefault="00456F01">
      <w:pPr>
        <w:pStyle w:val="Heading1"/>
        <w:rPr>
          <w:noProof/>
        </w:rPr>
      </w:pPr>
      <w:bookmarkStart w:id="887" w:name="_Toc504119238"/>
      <w:bookmarkStart w:id="888" w:name="_Toc504119406"/>
      <w:bookmarkStart w:id="889" w:name="_Toc504119507"/>
      <w:bookmarkStart w:id="890" w:name="_Toc504119597"/>
      <w:bookmarkStart w:id="891" w:name="_Toc504119693"/>
      <w:bookmarkStart w:id="892" w:name="_Toc504119782"/>
      <w:bookmarkStart w:id="893" w:name="_Toc504119870"/>
      <w:bookmarkStart w:id="894" w:name="_Toc504120205"/>
      <w:bookmarkStart w:id="895" w:name="_Toc504119239"/>
      <w:bookmarkStart w:id="896" w:name="_Toc504119407"/>
      <w:bookmarkStart w:id="897" w:name="_Toc504119508"/>
      <w:bookmarkStart w:id="898" w:name="_Toc504119598"/>
      <w:bookmarkStart w:id="899" w:name="_Toc504119694"/>
      <w:bookmarkStart w:id="900" w:name="_Toc504119783"/>
      <w:bookmarkStart w:id="901" w:name="_Toc504119871"/>
      <w:bookmarkStart w:id="902" w:name="_Toc504120206"/>
      <w:bookmarkStart w:id="903" w:name="_Toc504119240"/>
      <w:bookmarkStart w:id="904" w:name="_Toc504119408"/>
      <w:bookmarkStart w:id="905" w:name="_Toc504119509"/>
      <w:bookmarkStart w:id="906" w:name="_Toc504119599"/>
      <w:bookmarkStart w:id="907" w:name="_Toc504119695"/>
      <w:bookmarkStart w:id="908" w:name="_Toc504119784"/>
      <w:bookmarkStart w:id="909" w:name="_Toc504119872"/>
      <w:bookmarkStart w:id="910" w:name="_Toc504120207"/>
      <w:bookmarkStart w:id="911" w:name="_Toc504119241"/>
      <w:bookmarkStart w:id="912" w:name="_Toc504119409"/>
      <w:bookmarkStart w:id="913" w:name="_Toc504119510"/>
      <w:bookmarkStart w:id="914" w:name="_Toc504119600"/>
      <w:bookmarkStart w:id="915" w:name="_Toc504119696"/>
      <w:bookmarkStart w:id="916" w:name="_Toc504119785"/>
      <w:bookmarkStart w:id="917" w:name="_Toc504119873"/>
      <w:bookmarkStart w:id="918" w:name="_Toc504120208"/>
      <w:bookmarkStart w:id="919" w:name="_Toc504119242"/>
      <w:bookmarkStart w:id="920" w:name="_Toc504119410"/>
      <w:bookmarkStart w:id="921" w:name="_Toc504119511"/>
      <w:bookmarkStart w:id="922" w:name="_Toc504119601"/>
      <w:bookmarkStart w:id="923" w:name="_Toc504119697"/>
      <w:bookmarkStart w:id="924" w:name="_Toc504119786"/>
      <w:bookmarkStart w:id="925" w:name="_Toc504119874"/>
      <w:bookmarkStart w:id="926" w:name="_Toc504120209"/>
      <w:bookmarkStart w:id="927" w:name="_Toc504119243"/>
      <w:bookmarkStart w:id="928" w:name="_Toc504119411"/>
      <w:bookmarkStart w:id="929" w:name="_Toc504119512"/>
      <w:bookmarkStart w:id="930" w:name="_Toc504119602"/>
      <w:bookmarkStart w:id="931" w:name="_Toc504119698"/>
      <w:bookmarkStart w:id="932" w:name="_Toc504119787"/>
      <w:bookmarkStart w:id="933" w:name="_Toc504119875"/>
      <w:bookmarkStart w:id="934" w:name="_Toc504120210"/>
      <w:bookmarkStart w:id="935" w:name="_Toc504119244"/>
      <w:bookmarkStart w:id="936" w:name="_Toc504119412"/>
      <w:bookmarkStart w:id="937" w:name="_Toc504119513"/>
      <w:bookmarkStart w:id="938" w:name="_Toc504119603"/>
      <w:bookmarkStart w:id="939" w:name="_Toc504119699"/>
      <w:bookmarkStart w:id="940" w:name="_Toc504119788"/>
      <w:bookmarkStart w:id="941" w:name="_Toc504119876"/>
      <w:bookmarkStart w:id="942" w:name="_Toc504120211"/>
      <w:bookmarkStart w:id="943" w:name="_Toc504119245"/>
      <w:bookmarkStart w:id="944" w:name="_Toc504119413"/>
      <w:bookmarkStart w:id="945" w:name="_Toc504119514"/>
      <w:bookmarkStart w:id="946" w:name="_Toc504119604"/>
      <w:bookmarkStart w:id="947" w:name="_Toc504119700"/>
      <w:bookmarkStart w:id="948" w:name="_Toc504119789"/>
      <w:bookmarkStart w:id="949" w:name="_Toc504119877"/>
      <w:bookmarkStart w:id="950" w:name="_Toc504120212"/>
      <w:bookmarkStart w:id="951" w:name="_Toc504119246"/>
      <w:bookmarkStart w:id="952" w:name="_Toc504119414"/>
      <w:bookmarkStart w:id="953" w:name="_Toc504119515"/>
      <w:bookmarkStart w:id="954" w:name="_Toc504119605"/>
      <w:bookmarkStart w:id="955" w:name="_Toc504119701"/>
      <w:bookmarkStart w:id="956" w:name="_Toc504119790"/>
      <w:bookmarkStart w:id="957" w:name="_Toc504119878"/>
      <w:bookmarkStart w:id="958" w:name="_Toc504120213"/>
      <w:bookmarkStart w:id="959" w:name="_Toc504119247"/>
      <w:bookmarkStart w:id="960" w:name="_Toc504119415"/>
      <w:bookmarkStart w:id="961" w:name="_Toc504119516"/>
      <w:bookmarkStart w:id="962" w:name="_Toc504119606"/>
      <w:bookmarkStart w:id="963" w:name="_Toc504119702"/>
      <w:bookmarkStart w:id="964" w:name="_Toc504119791"/>
      <w:bookmarkStart w:id="965" w:name="_Toc504119879"/>
      <w:bookmarkStart w:id="966" w:name="_Toc504120214"/>
      <w:bookmarkStart w:id="967" w:name="_Toc504119248"/>
      <w:bookmarkStart w:id="968" w:name="_Toc504119416"/>
      <w:bookmarkStart w:id="969" w:name="_Toc504119517"/>
      <w:bookmarkStart w:id="970" w:name="_Toc504119607"/>
      <w:bookmarkStart w:id="971" w:name="_Toc504119703"/>
      <w:bookmarkStart w:id="972" w:name="_Toc504119792"/>
      <w:bookmarkStart w:id="973" w:name="_Toc504119880"/>
      <w:bookmarkStart w:id="974" w:name="_Toc504120215"/>
      <w:bookmarkStart w:id="975" w:name="_Toc481484468"/>
      <w:bookmarkStart w:id="976" w:name="_Toc504142956"/>
      <w:bookmarkStart w:id="977" w:name="_Toc504151662"/>
      <w:bookmarkStart w:id="978" w:name="_Toc504382946"/>
      <w:bookmarkStart w:id="979" w:name="_Toc504391089"/>
      <w:bookmarkStart w:id="980" w:name="_Toc504403178"/>
      <w:bookmarkStart w:id="981" w:name="_Toc504743648"/>
      <w:bookmarkStart w:id="982" w:name="_Toc504751200"/>
      <w:bookmarkStart w:id="983" w:name="_Toc504751374"/>
      <w:bookmarkStart w:id="984" w:name="_Toc505181995"/>
      <w:bookmarkStart w:id="985" w:name="_Toc505248649"/>
      <w:bookmarkStart w:id="986" w:name="_Toc505266525"/>
      <w:bookmarkStart w:id="987" w:name="_Toc505335376"/>
      <w:bookmarkStart w:id="988" w:name="_Toc505345847"/>
      <w:bookmarkStart w:id="989" w:name="_Toc505346435"/>
      <w:bookmarkStart w:id="990" w:name="_Toc505696676"/>
      <w:bookmarkStart w:id="991" w:name="_Toc505698162"/>
      <w:bookmarkStart w:id="992" w:name="_Toc505701675"/>
      <w:bookmarkStart w:id="993" w:name="_Toc505705162"/>
      <w:bookmarkStart w:id="994" w:name="_Toc505773153"/>
      <w:bookmarkStart w:id="995" w:name="_Toc505856864"/>
      <w:bookmarkStart w:id="996" w:name="_Toc505862308"/>
      <w:bookmarkStart w:id="997" w:name="_Toc505864873"/>
      <w:bookmarkStart w:id="998" w:name="_Toc505868728"/>
      <w:bookmarkStart w:id="999" w:name="_Toc505869195"/>
      <w:bookmarkStart w:id="1000" w:name="_Toc506363037"/>
      <w:bookmarkStart w:id="1001" w:name="_Toc506369534"/>
      <w:bookmarkStart w:id="1002" w:name="_Toc506376124"/>
      <w:bookmarkStart w:id="1003" w:name="_Toc506378437"/>
      <w:bookmarkStart w:id="1004" w:name="_Toc506378518"/>
      <w:bookmarkStart w:id="1005" w:name="_Toc509412617"/>
      <w:bookmarkStart w:id="1006" w:name="_Toc509414793"/>
      <w:bookmarkStart w:id="1007" w:name="_Toc509414849"/>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r>
        <w:rPr>
          <w:noProof/>
        </w:rPr>
        <w:t>Objectives: What is to be achieved?</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p w:rsidR="00DF1A33" w:rsidRDefault="00456F01">
      <w:pPr>
        <w:pStyle w:val="Heading2"/>
        <w:rPr>
          <w:noProof/>
        </w:rPr>
      </w:pPr>
      <w:bookmarkStart w:id="1008" w:name="_Toc504119250"/>
      <w:bookmarkStart w:id="1009" w:name="_Toc504119418"/>
      <w:bookmarkStart w:id="1010" w:name="_Toc504119519"/>
      <w:bookmarkStart w:id="1011" w:name="_Toc504119609"/>
      <w:bookmarkStart w:id="1012" w:name="_Toc504119705"/>
      <w:bookmarkStart w:id="1013" w:name="_Toc504119794"/>
      <w:bookmarkStart w:id="1014" w:name="_Toc504119882"/>
      <w:bookmarkStart w:id="1015" w:name="_Toc504120217"/>
      <w:bookmarkStart w:id="1016" w:name="_Toc504119251"/>
      <w:bookmarkStart w:id="1017" w:name="_Toc504119419"/>
      <w:bookmarkStart w:id="1018" w:name="_Toc504119520"/>
      <w:bookmarkStart w:id="1019" w:name="_Toc504119610"/>
      <w:bookmarkStart w:id="1020" w:name="_Toc504119706"/>
      <w:bookmarkStart w:id="1021" w:name="_Toc504119795"/>
      <w:bookmarkStart w:id="1022" w:name="_Toc504119883"/>
      <w:bookmarkStart w:id="1023" w:name="_Toc504120218"/>
      <w:bookmarkStart w:id="1024" w:name="_Toc504119252"/>
      <w:bookmarkStart w:id="1025" w:name="_Toc504119420"/>
      <w:bookmarkStart w:id="1026" w:name="_Toc504119521"/>
      <w:bookmarkStart w:id="1027" w:name="_Toc504119611"/>
      <w:bookmarkStart w:id="1028" w:name="_Toc504119707"/>
      <w:bookmarkStart w:id="1029" w:name="_Toc504119796"/>
      <w:bookmarkStart w:id="1030" w:name="_Toc504119884"/>
      <w:bookmarkStart w:id="1031" w:name="_Toc504120219"/>
      <w:bookmarkStart w:id="1032" w:name="_Toc481484469"/>
      <w:bookmarkStart w:id="1033" w:name="_Toc504142957"/>
      <w:bookmarkStart w:id="1034" w:name="_Toc504151663"/>
      <w:bookmarkStart w:id="1035" w:name="_Toc504382947"/>
      <w:bookmarkStart w:id="1036" w:name="_Toc504391090"/>
      <w:bookmarkStart w:id="1037" w:name="_Toc504403179"/>
      <w:bookmarkStart w:id="1038" w:name="_Toc504743649"/>
      <w:bookmarkStart w:id="1039" w:name="_Toc504751201"/>
      <w:bookmarkStart w:id="1040" w:name="_Toc504751375"/>
      <w:bookmarkStart w:id="1041" w:name="_Toc505181996"/>
      <w:bookmarkStart w:id="1042" w:name="_Toc505248650"/>
      <w:bookmarkStart w:id="1043" w:name="_Toc505266526"/>
      <w:bookmarkStart w:id="1044" w:name="_Toc505335377"/>
      <w:bookmarkStart w:id="1045" w:name="_Toc505345848"/>
      <w:bookmarkStart w:id="1046" w:name="_Toc505346436"/>
      <w:bookmarkStart w:id="1047" w:name="_Toc505696677"/>
      <w:bookmarkStart w:id="1048" w:name="_Toc505698163"/>
      <w:bookmarkStart w:id="1049" w:name="_Toc505701676"/>
      <w:bookmarkStart w:id="1050" w:name="_Toc505705163"/>
      <w:bookmarkStart w:id="1051" w:name="_Toc505773154"/>
      <w:bookmarkStart w:id="1052" w:name="_Toc505856865"/>
      <w:bookmarkStart w:id="1053" w:name="_Toc505862309"/>
      <w:bookmarkStart w:id="1054" w:name="_Toc505864874"/>
      <w:bookmarkStart w:id="1055" w:name="_Toc505868729"/>
      <w:bookmarkStart w:id="1056" w:name="_Toc505869196"/>
      <w:bookmarkStart w:id="1057" w:name="_Toc506363038"/>
      <w:bookmarkStart w:id="1058" w:name="_Toc506369535"/>
      <w:bookmarkStart w:id="1059" w:name="_Toc506376125"/>
      <w:bookmarkStart w:id="1060" w:name="_Toc506378438"/>
      <w:bookmarkStart w:id="1061" w:name="_Toc506378519"/>
      <w:bookmarkStart w:id="1062" w:name="_Toc509412618"/>
      <w:bookmarkStart w:id="1063" w:name="_Toc509414794"/>
      <w:bookmarkStart w:id="1064" w:name="_Toc509414850"/>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r>
        <w:rPr>
          <w:noProof/>
        </w:rPr>
        <w:t>General objectives</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rsidR="00DF1A33" w:rsidRDefault="00456F01">
      <w:pPr>
        <w:jc w:val="both"/>
        <w:rPr>
          <w:rFonts w:ascii="Times New Roman" w:hAnsi="Times New Roman"/>
          <w:noProof/>
          <w:sz w:val="24"/>
        </w:rPr>
      </w:pPr>
      <w:r>
        <w:rPr>
          <w:rFonts w:ascii="Times New Roman" w:hAnsi="Times New Roman"/>
          <w:noProof/>
          <w:sz w:val="24"/>
        </w:rPr>
        <w:t xml:space="preserve">The overall aim of this initiative is to contribute to the strengthening of the EU’s data economy by enhancing the positive effect of the re-use of public sector data on the </w:t>
      </w:r>
      <w:r>
        <w:rPr>
          <w:rFonts w:ascii="Times New Roman" w:hAnsi="Times New Roman"/>
          <w:noProof/>
          <w:sz w:val="24"/>
        </w:rPr>
        <w:t>economy and society. This will be done by increasing the amount of public sector data available for re-use, ensuring fair competition and easy access to markets based on public sector information, and enhancing cross-border innovation based on data.</w:t>
      </w:r>
    </w:p>
    <w:p w:rsidR="00DF1A33" w:rsidRDefault="00456F01">
      <w:pPr>
        <w:jc w:val="both"/>
        <w:rPr>
          <w:rFonts w:ascii="Times New Roman" w:hAnsi="Times New Roman"/>
          <w:noProof/>
          <w:sz w:val="24"/>
        </w:rPr>
      </w:pPr>
      <w:r>
        <w:rPr>
          <w:rFonts w:ascii="Times New Roman" w:hAnsi="Times New Roman"/>
          <w:noProof/>
          <w:sz w:val="24"/>
        </w:rPr>
        <w:t>The in</w:t>
      </w:r>
      <w:r>
        <w:rPr>
          <w:rFonts w:ascii="Times New Roman" w:hAnsi="Times New Roman"/>
          <w:noProof/>
          <w:sz w:val="24"/>
        </w:rPr>
        <w:t>itiative is part of the DSM Strategy that has emphasised the impact of the data economy on the growth of European businesses, modernisation of public services and the empowerment of citizens.</w:t>
      </w:r>
      <w:r>
        <w:rPr>
          <w:rStyle w:val="FootnoteReference"/>
          <w:rFonts w:ascii="Times New Roman" w:hAnsi="Times New Roman"/>
          <w:noProof/>
          <w:sz w:val="24"/>
        </w:rPr>
        <w:footnoteReference w:id="118"/>
      </w:r>
    </w:p>
    <w:p w:rsidR="00DF1A33" w:rsidRDefault="00456F01">
      <w:pPr>
        <w:pStyle w:val="Heading2"/>
        <w:rPr>
          <w:noProof/>
        </w:rPr>
      </w:pPr>
      <w:bookmarkStart w:id="1065" w:name="_Toc481484470"/>
      <w:bookmarkStart w:id="1066" w:name="_Toc504142958"/>
      <w:bookmarkStart w:id="1067" w:name="_Toc504151664"/>
      <w:bookmarkStart w:id="1068" w:name="_Toc504382948"/>
      <w:bookmarkStart w:id="1069" w:name="_Toc504391091"/>
      <w:bookmarkStart w:id="1070" w:name="_Toc504403180"/>
      <w:bookmarkStart w:id="1071" w:name="_Toc504743650"/>
      <w:bookmarkStart w:id="1072" w:name="_Toc504751202"/>
      <w:bookmarkStart w:id="1073" w:name="_Toc504751376"/>
      <w:bookmarkStart w:id="1074" w:name="_Toc505181997"/>
      <w:bookmarkStart w:id="1075" w:name="_Toc505248651"/>
      <w:bookmarkStart w:id="1076" w:name="_Toc505266527"/>
      <w:bookmarkStart w:id="1077" w:name="_Toc505335378"/>
      <w:bookmarkStart w:id="1078" w:name="_Toc505345849"/>
      <w:bookmarkStart w:id="1079" w:name="_Toc505346437"/>
      <w:bookmarkStart w:id="1080" w:name="_Toc505696678"/>
      <w:bookmarkStart w:id="1081" w:name="_Toc505698164"/>
      <w:bookmarkStart w:id="1082" w:name="_Toc505701677"/>
      <w:bookmarkStart w:id="1083" w:name="_Toc505705164"/>
      <w:bookmarkStart w:id="1084" w:name="_Toc505773155"/>
      <w:bookmarkStart w:id="1085" w:name="_Toc505856866"/>
      <w:bookmarkStart w:id="1086" w:name="_Toc505862310"/>
      <w:bookmarkStart w:id="1087" w:name="_Toc505864875"/>
      <w:bookmarkStart w:id="1088" w:name="_Toc505868730"/>
      <w:bookmarkStart w:id="1089" w:name="_Toc505869197"/>
      <w:bookmarkStart w:id="1090" w:name="_Toc506363039"/>
      <w:bookmarkStart w:id="1091" w:name="_Toc506369536"/>
      <w:bookmarkStart w:id="1092" w:name="_Toc506376126"/>
      <w:bookmarkStart w:id="1093" w:name="_Toc506378439"/>
      <w:bookmarkStart w:id="1094" w:name="_Toc506378520"/>
      <w:bookmarkStart w:id="1095" w:name="_Toc509412619"/>
      <w:bookmarkStart w:id="1096" w:name="_Toc509414795"/>
      <w:bookmarkStart w:id="1097" w:name="_Toc509414851"/>
      <w:r>
        <w:rPr>
          <w:noProof/>
        </w:rPr>
        <w:t>Specific objectives</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p w:rsidR="00DF1A33" w:rsidRDefault="00456F01">
      <w:pPr>
        <w:jc w:val="both"/>
        <w:rPr>
          <w:rFonts w:ascii="Times New Roman" w:hAnsi="Times New Roman"/>
          <w:noProof/>
          <w:sz w:val="24"/>
        </w:rPr>
      </w:pPr>
      <w:r>
        <w:rPr>
          <w:rFonts w:ascii="Times New Roman" w:hAnsi="Times New Roman"/>
          <w:noProof/>
          <w:sz w:val="24"/>
        </w:rPr>
        <w:t>The general objectives translate into the f</w:t>
      </w:r>
      <w:r>
        <w:rPr>
          <w:rFonts w:ascii="Times New Roman" w:hAnsi="Times New Roman"/>
          <w:noProof/>
          <w:sz w:val="24"/>
        </w:rPr>
        <w:t>ollowing specific objectives:</w:t>
      </w:r>
    </w:p>
    <w:p w:rsidR="00DF1A33" w:rsidRDefault="00456F01">
      <w:pPr>
        <w:pStyle w:val="ListParagraph"/>
        <w:numPr>
          <w:ilvl w:val="0"/>
          <w:numId w:val="6"/>
        </w:numPr>
        <w:jc w:val="both"/>
        <w:rPr>
          <w:rFonts w:ascii="Times New Roman" w:hAnsi="Times New Roman"/>
          <w:b/>
          <w:noProof/>
          <w:sz w:val="24"/>
        </w:rPr>
      </w:pPr>
      <w:r>
        <w:rPr>
          <w:rFonts w:ascii="Times New Roman" w:hAnsi="Times New Roman"/>
          <w:b/>
          <w:noProof/>
          <w:sz w:val="24"/>
        </w:rPr>
        <w:t>Adaptation to technological changes in the field of data management and use</w:t>
      </w:r>
    </w:p>
    <w:p w:rsidR="00DF1A33" w:rsidRDefault="00456F01">
      <w:pPr>
        <w:jc w:val="both"/>
        <w:rPr>
          <w:rFonts w:ascii="Times New Roman" w:hAnsi="Times New Roman"/>
          <w:noProof/>
          <w:sz w:val="24"/>
        </w:rPr>
      </w:pPr>
      <w:r>
        <w:rPr>
          <w:rFonts w:ascii="Times New Roman" w:hAnsi="Times New Roman"/>
          <w:noProof/>
          <w:sz w:val="24"/>
        </w:rPr>
        <w:t xml:space="preserve">The production of data is no longer an issue, as data generation via computer networks and sensors has become inexpensive. It is rather the ease with </w:t>
      </w:r>
      <w:r>
        <w:rPr>
          <w:rFonts w:ascii="Times New Roman" w:hAnsi="Times New Roman"/>
          <w:noProof/>
          <w:sz w:val="24"/>
        </w:rPr>
        <w:t>which data can be found, accessed and combined with other data that defines its impact on the overall economy. This means that for the data to be searchable, understood and contextualised (especially by machines), the datasets need to conform to minimum qu</w:t>
      </w:r>
      <w:r>
        <w:rPr>
          <w:rFonts w:ascii="Times New Roman" w:hAnsi="Times New Roman"/>
          <w:noProof/>
          <w:sz w:val="24"/>
        </w:rPr>
        <w:t>ality standards with regard to their format, description and methods of access.</w:t>
      </w:r>
    </w:p>
    <w:p w:rsidR="00DF1A33" w:rsidRDefault="00456F01">
      <w:pPr>
        <w:pStyle w:val="ListParagraph"/>
        <w:numPr>
          <w:ilvl w:val="0"/>
          <w:numId w:val="6"/>
        </w:numPr>
        <w:jc w:val="both"/>
        <w:rPr>
          <w:rFonts w:ascii="Times New Roman" w:hAnsi="Times New Roman"/>
          <w:b/>
          <w:noProof/>
          <w:sz w:val="24"/>
        </w:rPr>
      </w:pPr>
      <w:r>
        <w:rPr>
          <w:rFonts w:ascii="Times New Roman" w:hAnsi="Times New Roman"/>
          <w:b/>
          <w:noProof/>
          <w:sz w:val="24"/>
        </w:rPr>
        <w:t>Lowering the existing barriers to accessing PSI re-use market and preventing the emergence of new ones</w:t>
      </w:r>
    </w:p>
    <w:p w:rsidR="00DF1A33" w:rsidRDefault="00456F01">
      <w:pPr>
        <w:jc w:val="both"/>
        <w:rPr>
          <w:rFonts w:ascii="Times New Roman" w:hAnsi="Times New Roman"/>
          <w:noProof/>
          <w:sz w:val="24"/>
        </w:rPr>
      </w:pPr>
      <w:r>
        <w:rPr>
          <w:rFonts w:ascii="Times New Roman" w:hAnsi="Times New Roman"/>
          <w:noProof/>
          <w:sz w:val="24"/>
        </w:rPr>
        <w:t>This specific objective aims at eliminating entry barriers for companies,</w:t>
      </w:r>
      <w:r>
        <w:rPr>
          <w:rFonts w:ascii="Times New Roman" w:hAnsi="Times New Roman"/>
          <w:noProof/>
          <w:sz w:val="24"/>
        </w:rPr>
        <w:t xml:space="preserve"> in particular SMEs and start-ups that want to re-use public sector information. In this context, the charging rules are particularly relevant, including the mechanisms to make certain high-value datasets available free of charge, in line with the commitme</w:t>
      </w:r>
      <w:r>
        <w:rPr>
          <w:rFonts w:ascii="Times New Roman" w:hAnsi="Times New Roman"/>
          <w:noProof/>
          <w:sz w:val="24"/>
        </w:rPr>
        <w:t xml:space="preserve">nt made by the EU in the framework of the G8 Open Data Charter. Another issue that needs to be tackled is the risk that public sector information is locked in because of new types of agreements between public sector bodies and large companies. </w:t>
      </w:r>
    </w:p>
    <w:p w:rsidR="00DF1A33" w:rsidRDefault="00DF1A33">
      <w:pPr>
        <w:jc w:val="both"/>
        <w:rPr>
          <w:rFonts w:ascii="Times New Roman" w:hAnsi="Times New Roman"/>
          <w:noProof/>
          <w:sz w:val="24"/>
        </w:rPr>
      </w:pPr>
    </w:p>
    <w:p w:rsidR="00DF1A33" w:rsidRDefault="00456F01">
      <w:pPr>
        <w:pStyle w:val="ListParagraph"/>
        <w:numPr>
          <w:ilvl w:val="0"/>
          <w:numId w:val="6"/>
        </w:numPr>
        <w:jc w:val="both"/>
        <w:rPr>
          <w:rFonts w:ascii="Times New Roman" w:hAnsi="Times New Roman"/>
          <w:b/>
          <w:noProof/>
          <w:sz w:val="24"/>
        </w:rPr>
      </w:pPr>
      <w:r>
        <w:rPr>
          <w:rFonts w:ascii="Times New Roman" w:hAnsi="Times New Roman"/>
          <w:b/>
          <w:noProof/>
          <w:sz w:val="24"/>
        </w:rPr>
        <w:t>Making mor</w:t>
      </w:r>
      <w:r>
        <w:rPr>
          <w:rFonts w:ascii="Times New Roman" w:hAnsi="Times New Roman"/>
          <w:b/>
          <w:noProof/>
          <w:sz w:val="24"/>
        </w:rPr>
        <w:t>e data available for re-use as raw material for innovation</w:t>
      </w:r>
    </w:p>
    <w:p w:rsidR="00DF1A33" w:rsidRDefault="00456F01">
      <w:pPr>
        <w:jc w:val="both"/>
        <w:rPr>
          <w:rFonts w:ascii="Times New Roman" w:hAnsi="Times New Roman"/>
          <w:noProof/>
        </w:rPr>
      </w:pPr>
      <w:r>
        <w:rPr>
          <w:rFonts w:ascii="Times New Roman" w:hAnsi="Times New Roman"/>
          <w:noProof/>
          <w:sz w:val="24"/>
        </w:rPr>
        <w:t>Thanks to the PSI Directive, a large array of public sector datasets is available for re-use across Europe. However, data produced and held by public undertakings in utility sectors, as well as pub</w:t>
      </w:r>
      <w:r>
        <w:rPr>
          <w:rFonts w:ascii="Times New Roman" w:hAnsi="Times New Roman"/>
          <w:noProof/>
          <w:sz w:val="24"/>
        </w:rPr>
        <w:t>licly funded data resulting from scientific research, is currently not covered by the Directive. Bringing the relevant data within the scope of the Directive, while respecting the particular situation of the respective sectors, will enlarge the overall poo</w:t>
      </w:r>
      <w:r>
        <w:rPr>
          <w:rFonts w:ascii="Times New Roman" w:hAnsi="Times New Roman"/>
          <w:noProof/>
          <w:sz w:val="24"/>
        </w:rPr>
        <w:t>l of re-usable data produced either directly thanks to public funding or within the scope of services of general interest for the benefit of the economy and reinforce their cross-border re-use.</w:t>
      </w:r>
    </w:p>
    <w:p w:rsidR="00DF1A33" w:rsidRDefault="00456F01">
      <w:pPr>
        <w:pStyle w:val="Heading1"/>
        <w:rPr>
          <w:noProof/>
        </w:rPr>
      </w:pPr>
      <w:bookmarkStart w:id="1098" w:name="_Toc481484471"/>
      <w:bookmarkStart w:id="1099" w:name="_Toc504142959"/>
      <w:bookmarkStart w:id="1100" w:name="_Toc504151665"/>
      <w:bookmarkStart w:id="1101" w:name="_Toc504382949"/>
      <w:bookmarkStart w:id="1102" w:name="_Toc504391092"/>
      <w:bookmarkStart w:id="1103" w:name="_Toc504403181"/>
      <w:bookmarkStart w:id="1104" w:name="_Toc504743651"/>
      <w:bookmarkStart w:id="1105" w:name="_Toc504751203"/>
      <w:bookmarkStart w:id="1106" w:name="_Toc504751377"/>
      <w:bookmarkStart w:id="1107" w:name="_Toc505181998"/>
      <w:bookmarkStart w:id="1108" w:name="_Toc505248652"/>
      <w:bookmarkStart w:id="1109" w:name="_Toc505266528"/>
      <w:bookmarkStart w:id="1110" w:name="_Toc505335379"/>
      <w:bookmarkStart w:id="1111" w:name="_Toc505345850"/>
      <w:bookmarkStart w:id="1112" w:name="_Toc505346438"/>
      <w:bookmarkStart w:id="1113" w:name="_Toc505696679"/>
      <w:bookmarkStart w:id="1114" w:name="_Toc505698165"/>
      <w:bookmarkStart w:id="1115" w:name="_Toc505701678"/>
      <w:bookmarkStart w:id="1116" w:name="_Toc505705165"/>
      <w:bookmarkStart w:id="1117" w:name="_Toc505773156"/>
      <w:bookmarkStart w:id="1118" w:name="_Toc505856867"/>
      <w:bookmarkStart w:id="1119" w:name="_Toc505862311"/>
      <w:bookmarkStart w:id="1120" w:name="_Toc505864876"/>
      <w:bookmarkStart w:id="1121" w:name="_Toc505868731"/>
      <w:bookmarkStart w:id="1122" w:name="_Toc505869198"/>
      <w:bookmarkStart w:id="1123" w:name="_Toc506363040"/>
      <w:bookmarkStart w:id="1124" w:name="_Toc506369537"/>
      <w:bookmarkStart w:id="1125" w:name="_Toc506376127"/>
      <w:bookmarkStart w:id="1126" w:name="_Toc506378440"/>
      <w:bookmarkStart w:id="1127" w:name="_Toc506378521"/>
      <w:bookmarkStart w:id="1128" w:name="_Toc509412620"/>
      <w:bookmarkStart w:id="1129" w:name="_Toc509414796"/>
      <w:bookmarkStart w:id="1130" w:name="_Toc509414852"/>
      <w:r>
        <w:rPr>
          <w:noProof/>
        </w:rPr>
        <w:t>What are the available policy options?</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rsidR="00DF1A33" w:rsidRDefault="00456F01">
      <w:pPr>
        <w:pStyle w:val="Heading2"/>
        <w:rPr>
          <w:noProof/>
        </w:rPr>
      </w:pPr>
      <w:bookmarkStart w:id="1131" w:name="_Toc481484472"/>
      <w:bookmarkStart w:id="1132" w:name="_Toc504142960"/>
      <w:bookmarkStart w:id="1133" w:name="_Toc504151666"/>
      <w:bookmarkStart w:id="1134" w:name="_Toc504382950"/>
      <w:bookmarkStart w:id="1135" w:name="_Toc504391093"/>
      <w:bookmarkStart w:id="1136" w:name="_Toc504403182"/>
      <w:bookmarkStart w:id="1137" w:name="_Toc504743652"/>
      <w:bookmarkStart w:id="1138" w:name="_Toc504751204"/>
      <w:bookmarkStart w:id="1139" w:name="_Toc504751378"/>
      <w:bookmarkStart w:id="1140" w:name="_Toc505181999"/>
      <w:bookmarkStart w:id="1141" w:name="_Toc505248653"/>
      <w:bookmarkStart w:id="1142" w:name="_Toc505266529"/>
      <w:bookmarkStart w:id="1143" w:name="_Toc505335380"/>
      <w:bookmarkStart w:id="1144" w:name="_Toc505345851"/>
      <w:bookmarkStart w:id="1145" w:name="_Toc505346439"/>
      <w:bookmarkStart w:id="1146" w:name="_Toc505696680"/>
      <w:bookmarkStart w:id="1147" w:name="_Toc505698166"/>
      <w:bookmarkStart w:id="1148" w:name="_Toc505701679"/>
      <w:bookmarkStart w:id="1149" w:name="_Toc505705166"/>
      <w:bookmarkStart w:id="1150" w:name="_Toc505773157"/>
      <w:bookmarkStart w:id="1151" w:name="_Toc505856868"/>
      <w:bookmarkStart w:id="1152" w:name="_Toc505862312"/>
      <w:bookmarkStart w:id="1153" w:name="_Toc505864877"/>
      <w:bookmarkStart w:id="1154" w:name="_Toc505868732"/>
      <w:bookmarkStart w:id="1155" w:name="_Toc505869199"/>
      <w:bookmarkStart w:id="1156" w:name="_Toc506363041"/>
      <w:bookmarkStart w:id="1157" w:name="_Toc506369538"/>
      <w:bookmarkStart w:id="1158" w:name="_Toc506376128"/>
      <w:bookmarkStart w:id="1159" w:name="_Toc506378441"/>
      <w:bookmarkStart w:id="1160" w:name="_Toc506378522"/>
      <w:bookmarkStart w:id="1161" w:name="_Toc509412621"/>
      <w:bookmarkStart w:id="1162" w:name="_Toc509414797"/>
      <w:bookmarkStart w:id="1163" w:name="_Toc509414853"/>
      <w:r>
        <w:rPr>
          <w:noProof/>
        </w:rPr>
        <w:t>What is the baseline fo</w:t>
      </w:r>
      <w:r>
        <w:rPr>
          <w:noProof/>
        </w:rPr>
        <w:t>r assessing options?</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rsidR="00DF1A33" w:rsidRDefault="00456F01">
      <w:pPr>
        <w:jc w:val="both"/>
        <w:rPr>
          <w:rFonts w:ascii="Times New Roman" w:hAnsi="Times New Roman"/>
          <w:noProof/>
          <w:sz w:val="24"/>
        </w:rPr>
      </w:pPr>
      <w:r>
        <w:rPr>
          <w:rFonts w:ascii="Times New Roman" w:hAnsi="Times New Roman"/>
          <w:noProof/>
          <w:sz w:val="24"/>
        </w:rPr>
        <w:t>The baseline situation is described in the evaluation report of the PSI Directive</w:t>
      </w:r>
      <w:r>
        <w:rPr>
          <w:rStyle w:val="FootnoteReference"/>
          <w:rFonts w:ascii="Times New Roman" w:hAnsi="Times New Roman"/>
          <w:noProof/>
          <w:sz w:val="24"/>
        </w:rPr>
        <w:footnoteReference w:id="119"/>
      </w:r>
      <w:r>
        <w:rPr>
          <w:rFonts w:ascii="Times New Roman" w:hAnsi="Times New Roman"/>
          <w:noProof/>
          <w:sz w:val="24"/>
        </w:rPr>
        <w:t>. It  shows where Member States stand in terms of open data maturity, after having made considerable progress over the last few years.</w:t>
      </w:r>
      <w:r>
        <w:rPr>
          <w:rStyle w:val="FootnoteReference"/>
          <w:rFonts w:ascii="Times New Roman" w:hAnsi="Times New Roman"/>
          <w:noProof/>
          <w:sz w:val="24"/>
        </w:rPr>
        <w:footnoteReference w:id="120"/>
      </w:r>
      <w:r>
        <w:rPr>
          <w:rFonts w:ascii="Times New Roman" w:hAnsi="Times New Roman"/>
          <w:noProof/>
          <w:sz w:val="24"/>
        </w:rPr>
        <w:t xml:space="preserve"> On the supply sid</w:t>
      </w:r>
      <w:r>
        <w:rPr>
          <w:rFonts w:ascii="Times New Roman" w:hAnsi="Times New Roman"/>
          <w:noProof/>
          <w:sz w:val="24"/>
        </w:rPr>
        <w:t>e of public sector information, the current level of open data maturity</w:t>
      </w:r>
      <w:r>
        <w:rPr>
          <w:rStyle w:val="FootnoteReference"/>
          <w:rFonts w:ascii="Times New Roman" w:hAnsi="Times New Roman"/>
          <w:noProof/>
          <w:sz w:val="24"/>
        </w:rPr>
        <w:footnoteReference w:id="121"/>
      </w:r>
      <w:r>
        <w:rPr>
          <w:rFonts w:ascii="Times New Roman" w:hAnsi="Times New Roman"/>
          <w:noProof/>
          <w:sz w:val="24"/>
        </w:rPr>
        <w:t xml:space="preserve"> is the baseline for assessing future developments. As for the impact of the policies, the baseline used as a benchmark is the current direct economic effects of open data of 52 billio</w:t>
      </w:r>
      <w:r>
        <w:rPr>
          <w:rFonts w:ascii="Times New Roman" w:hAnsi="Times New Roman"/>
          <w:noProof/>
          <w:sz w:val="24"/>
        </w:rPr>
        <w:t>n EUR a year for the EU 28.</w:t>
      </w:r>
      <w:r>
        <w:rPr>
          <w:rStyle w:val="FootnoteReference"/>
          <w:rFonts w:ascii="Times New Roman" w:hAnsi="Times New Roman"/>
          <w:noProof/>
          <w:sz w:val="24"/>
        </w:rPr>
        <w:footnoteReference w:id="122"/>
      </w:r>
      <w:r>
        <w:rPr>
          <w:rFonts w:ascii="Times New Roman" w:hAnsi="Times New Roman"/>
          <w:noProof/>
          <w:sz w:val="24"/>
        </w:rPr>
        <w:t xml:space="preserve"> This figure is higher than some of the other available calculations of the impact of open data policies, but considerably lower than the most optimistic ones.</w:t>
      </w:r>
      <w:r>
        <w:rPr>
          <w:rStyle w:val="FootnoteReference"/>
          <w:rFonts w:ascii="Times New Roman" w:hAnsi="Times New Roman"/>
          <w:noProof/>
          <w:sz w:val="24"/>
        </w:rPr>
        <w:footnoteReference w:id="123"/>
      </w:r>
      <w:bookmarkStart w:id="1164" w:name="_Toc481484473"/>
      <w:bookmarkStart w:id="1165" w:name="_Toc504142961"/>
      <w:bookmarkStart w:id="1166" w:name="_Toc504151667"/>
      <w:bookmarkStart w:id="1167" w:name="_Toc504382951"/>
      <w:bookmarkStart w:id="1168" w:name="_Toc504391094"/>
      <w:bookmarkStart w:id="1169" w:name="_Toc504403183"/>
      <w:bookmarkStart w:id="1170" w:name="_Toc504743653"/>
      <w:bookmarkStart w:id="1171" w:name="_Toc504751205"/>
      <w:bookmarkStart w:id="1172" w:name="_Toc504751379"/>
      <w:bookmarkStart w:id="1173" w:name="_Toc505182000"/>
      <w:bookmarkStart w:id="1174" w:name="_Toc505248654"/>
      <w:bookmarkStart w:id="1175" w:name="_Toc505266530"/>
      <w:bookmarkStart w:id="1176" w:name="_Toc505335381"/>
      <w:bookmarkStart w:id="1177" w:name="_Toc505345852"/>
      <w:bookmarkStart w:id="1178" w:name="_Toc505346440"/>
      <w:bookmarkStart w:id="1179" w:name="_Toc505696681"/>
      <w:bookmarkStart w:id="1180" w:name="_Toc505698167"/>
      <w:bookmarkStart w:id="1181" w:name="_Toc505701680"/>
      <w:bookmarkStart w:id="1182" w:name="_Toc505705167"/>
      <w:bookmarkStart w:id="1183" w:name="_Toc505773158"/>
      <w:bookmarkStart w:id="1184" w:name="_Toc505856869"/>
      <w:bookmarkStart w:id="1185" w:name="_Toc505862313"/>
      <w:bookmarkStart w:id="1186" w:name="_Toc505864878"/>
      <w:bookmarkStart w:id="1187" w:name="_Toc505868733"/>
      <w:bookmarkStart w:id="1188" w:name="_Toc505869200"/>
      <w:bookmarkStart w:id="1189" w:name="_Toc506363042"/>
      <w:bookmarkStart w:id="1190" w:name="_Toc506369539"/>
      <w:bookmarkStart w:id="1191" w:name="_Toc506376129"/>
      <w:bookmarkStart w:id="1192" w:name="_Toc506378442"/>
    </w:p>
    <w:p w:rsidR="00DF1A33" w:rsidRDefault="00456F01">
      <w:pPr>
        <w:pStyle w:val="Heading2"/>
        <w:rPr>
          <w:noProof/>
        </w:rPr>
      </w:pPr>
      <w:bookmarkStart w:id="1193" w:name="_Toc506378523"/>
      <w:bookmarkStart w:id="1194" w:name="_Toc509412622"/>
      <w:bookmarkStart w:id="1195" w:name="_Toc509414798"/>
      <w:bookmarkStart w:id="1196" w:name="_Toc509414854"/>
      <w:r>
        <w:rPr>
          <w:noProof/>
        </w:rPr>
        <w:t>Description of the policy options</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rsidR="00DF1A33" w:rsidRDefault="00456F01">
      <w:pPr>
        <w:keepNext/>
        <w:jc w:val="both"/>
        <w:rPr>
          <w:rFonts w:ascii="Times New Roman" w:hAnsi="Times New Roman"/>
          <w:noProof/>
          <w:sz w:val="24"/>
          <w:u w:val="single"/>
        </w:rPr>
      </w:pPr>
      <w:r>
        <w:rPr>
          <w:rFonts w:ascii="Times New Roman" w:hAnsi="Times New Roman"/>
          <w:noProof/>
          <w:sz w:val="24"/>
          <w:u w:val="single"/>
        </w:rPr>
        <w:t>(A) Baseline Scenario: Maintainin</w:t>
      </w:r>
      <w:r>
        <w:rPr>
          <w:rFonts w:ascii="Times New Roman" w:hAnsi="Times New Roman"/>
          <w:noProof/>
          <w:sz w:val="24"/>
          <w:u w:val="single"/>
        </w:rPr>
        <w:t xml:space="preserve">g the current approach without changes </w:t>
      </w:r>
    </w:p>
    <w:p w:rsidR="00DF1A33" w:rsidRDefault="00456F01">
      <w:pPr>
        <w:keepNext/>
        <w:jc w:val="both"/>
        <w:rPr>
          <w:rFonts w:ascii="Times New Roman" w:hAnsi="Times New Roman"/>
          <w:noProof/>
          <w:sz w:val="24"/>
        </w:rPr>
      </w:pPr>
      <w:r>
        <w:rPr>
          <w:rFonts w:ascii="Times New Roman" w:hAnsi="Times New Roman"/>
          <w:noProof/>
          <w:sz w:val="24"/>
        </w:rPr>
        <w:t>The option of 'no policy change' would mean that the current provisions of the Directive would remain applicable. The Member States would be bound by the rules set by the 2003 Directive, modified by Directive 2013/37</w:t>
      </w:r>
      <w:r>
        <w:rPr>
          <w:rFonts w:ascii="Times New Roman" w:hAnsi="Times New Roman"/>
          <w:noProof/>
          <w:sz w:val="24"/>
        </w:rPr>
        <w:t xml:space="preserve">/EU.  </w:t>
      </w:r>
    </w:p>
    <w:p w:rsidR="00DF1A33" w:rsidRDefault="00456F01">
      <w:pPr>
        <w:keepNext/>
        <w:jc w:val="both"/>
        <w:rPr>
          <w:rFonts w:ascii="Times New Roman" w:hAnsi="Times New Roman"/>
          <w:noProof/>
          <w:sz w:val="24"/>
          <w:u w:val="single"/>
        </w:rPr>
      </w:pPr>
      <w:r>
        <w:rPr>
          <w:rFonts w:ascii="Times New Roman" w:hAnsi="Times New Roman"/>
          <w:noProof/>
          <w:sz w:val="24"/>
          <w:u w:val="single"/>
        </w:rPr>
        <w:t>(B) Discontinuing existing EU action: Repeal of the PSI Directive</w:t>
      </w:r>
    </w:p>
    <w:p w:rsidR="00DF1A33" w:rsidRDefault="00456F01">
      <w:pPr>
        <w:keepNext/>
        <w:jc w:val="both"/>
        <w:rPr>
          <w:rFonts w:ascii="Times New Roman" w:hAnsi="Times New Roman"/>
          <w:noProof/>
          <w:sz w:val="24"/>
        </w:rPr>
      </w:pPr>
      <w:r>
        <w:rPr>
          <w:rFonts w:ascii="Times New Roman" w:hAnsi="Times New Roman"/>
          <w:noProof/>
          <w:sz w:val="24"/>
        </w:rPr>
        <w:t>This option would effectively result in the removal of all the regulatory obligations currently contained in the Directive.</w:t>
      </w:r>
    </w:p>
    <w:p w:rsidR="00DF1A33" w:rsidRDefault="00456F01">
      <w:pPr>
        <w:jc w:val="both"/>
        <w:rPr>
          <w:rFonts w:ascii="Times New Roman" w:hAnsi="Times New Roman"/>
          <w:noProof/>
          <w:sz w:val="24"/>
          <w:u w:val="single"/>
        </w:rPr>
      </w:pPr>
      <w:r>
        <w:rPr>
          <w:rFonts w:ascii="Times New Roman" w:hAnsi="Times New Roman"/>
          <w:noProof/>
          <w:sz w:val="24"/>
          <w:u w:val="single"/>
        </w:rPr>
        <w:t>(C) Soft law measures only</w:t>
      </w:r>
    </w:p>
    <w:p w:rsidR="00DF1A33" w:rsidRDefault="00456F01">
      <w:pPr>
        <w:jc w:val="both"/>
        <w:rPr>
          <w:rFonts w:ascii="Times New Roman" w:hAnsi="Times New Roman"/>
          <w:noProof/>
          <w:sz w:val="24"/>
        </w:rPr>
      </w:pPr>
      <w:r>
        <w:rPr>
          <w:rFonts w:ascii="Times New Roman" w:hAnsi="Times New Roman"/>
          <w:noProof/>
          <w:sz w:val="24"/>
        </w:rPr>
        <w:t>Soft law instruments in the area</w:t>
      </w:r>
      <w:r>
        <w:rPr>
          <w:rFonts w:ascii="Times New Roman" w:hAnsi="Times New Roman"/>
          <w:noProof/>
          <w:sz w:val="24"/>
        </w:rPr>
        <w:t xml:space="preserve"> of Open Data have been used in the past. After the adoption of the amending Directive in 2013 and still within the transposition period, the Commission adopted a Notice 2014/C 240/01 'Guidelines on recommended standard licences, datasets and charging for </w:t>
      </w:r>
      <w:r>
        <w:rPr>
          <w:rFonts w:ascii="Times New Roman" w:hAnsi="Times New Roman"/>
          <w:noProof/>
          <w:sz w:val="24"/>
        </w:rPr>
        <w:t>the re-use of documents'</w:t>
      </w:r>
      <w:r>
        <w:rPr>
          <w:rStyle w:val="FootnoteReference"/>
          <w:rFonts w:ascii="Times New Roman" w:hAnsi="Times New Roman"/>
          <w:noProof/>
          <w:sz w:val="24"/>
        </w:rPr>
        <w:footnoteReference w:id="124"/>
      </w:r>
      <w:r>
        <w:rPr>
          <w:rFonts w:ascii="Times New Roman" w:hAnsi="Times New Roman"/>
          <w:noProof/>
          <w:sz w:val="24"/>
        </w:rPr>
        <w:t xml:space="preserve"> for this purpose. Another relevant soft law instrument is the Commission Recommendation to Member States on access to and preservation of scientific information.</w:t>
      </w:r>
      <w:r>
        <w:rPr>
          <w:rStyle w:val="FootnoteReference"/>
          <w:rFonts w:ascii="Times New Roman" w:hAnsi="Times New Roman"/>
          <w:noProof/>
          <w:sz w:val="24"/>
        </w:rPr>
        <w:footnoteReference w:id="125"/>
      </w:r>
      <w:r>
        <w:rPr>
          <w:rFonts w:ascii="Times New Roman" w:hAnsi="Times New Roman"/>
          <w:noProof/>
          <w:sz w:val="24"/>
        </w:rPr>
        <w:t xml:space="preserve"> These two documents could be updated in order to reflect the techno</w:t>
      </w:r>
      <w:r>
        <w:rPr>
          <w:rFonts w:ascii="Times New Roman" w:hAnsi="Times New Roman"/>
          <w:noProof/>
          <w:sz w:val="24"/>
        </w:rPr>
        <w:t>logical and policy changes that have occurred since their adoption.</w:t>
      </w:r>
    </w:p>
    <w:p w:rsidR="00DF1A33" w:rsidRDefault="00456F01">
      <w:pPr>
        <w:jc w:val="both"/>
        <w:rPr>
          <w:rFonts w:ascii="Times New Roman" w:hAnsi="Times New Roman"/>
          <w:noProof/>
          <w:sz w:val="24"/>
          <w:u w:val="single"/>
        </w:rPr>
      </w:pPr>
      <w:r>
        <w:rPr>
          <w:rFonts w:ascii="Times New Roman" w:hAnsi="Times New Roman"/>
          <w:noProof/>
          <w:sz w:val="24"/>
          <w:u w:val="single"/>
        </w:rPr>
        <w:t>(D) Packaged solution consisting of both amendments of the PSI Directive and soft law (update of the Recommendation on access to and preservation of scientific information)</w:t>
      </w:r>
    </w:p>
    <w:p w:rsidR="00DF1A33" w:rsidRDefault="00456F01">
      <w:pPr>
        <w:jc w:val="both"/>
        <w:rPr>
          <w:rFonts w:ascii="Times New Roman" w:hAnsi="Times New Roman"/>
          <w:noProof/>
          <w:sz w:val="24"/>
        </w:rPr>
      </w:pPr>
      <w:r>
        <w:rPr>
          <w:rFonts w:ascii="Times New Roman" w:hAnsi="Times New Roman"/>
          <w:noProof/>
          <w:sz w:val="24"/>
        </w:rPr>
        <w:t>For the differe</w:t>
      </w:r>
      <w:r>
        <w:rPr>
          <w:rFonts w:ascii="Times New Roman" w:hAnsi="Times New Roman"/>
          <w:noProof/>
          <w:sz w:val="24"/>
        </w:rPr>
        <w:t>nt issues outlined in the problem description, two scenarios of varying degrees of intervention were identified. Both scenarios contain hard and soft-law elements. Despite the fact that it would be conceivable to address the policy objectives by a mix of a</w:t>
      </w:r>
      <w:r>
        <w:rPr>
          <w:rFonts w:ascii="Times New Roman" w:hAnsi="Times New Roman"/>
          <w:noProof/>
          <w:sz w:val="24"/>
        </w:rPr>
        <w:t>ctions scattered across the two options, it was decided to regroup the possible intervention choices into two packages along the lines of high and low intensity of regulatory intervention. Given the complexity of the problem areas, such regrouping of indiv</w:t>
      </w:r>
      <w:r>
        <w:rPr>
          <w:rFonts w:ascii="Times New Roman" w:hAnsi="Times New Roman"/>
          <w:noProof/>
          <w:sz w:val="24"/>
        </w:rPr>
        <w:t>idual intervention areas was crucial for obtaining meaningful feedback from the stakeholders. Policy option (D) is therefore split into two policy packages having similar objectives but leading to a different level of impact in terms of costs, benefits and</w:t>
      </w:r>
      <w:r>
        <w:rPr>
          <w:rFonts w:ascii="Times New Roman" w:hAnsi="Times New Roman"/>
          <w:noProof/>
          <w:sz w:val="24"/>
        </w:rPr>
        <w:t xml:space="preserve"> administrative burden. The main elements of the low and high-intensity scenarios are described below in relation to each of the intervention areas targeted. They are further mapped onto concrete legislative amendments to the text of the PSI Directive, inc</w:t>
      </w:r>
      <w:r>
        <w:rPr>
          <w:rFonts w:ascii="Times New Roman" w:hAnsi="Times New Roman"/>
          <w:noProof/>
          <w:sz w:val="24"/>
        </w:rPr>
        <w:t xml:space="preserve">luded in the table on page 31.  </w:t>
      </w:r>
    </w:p>
    <w:p w:rsidR="00DF1A33" w:rsidRDefault="00456F01">
      <w:pPr>
        <w:jc w:val="both"/>
        <w:rPr>
          <w:rFonts w:ascii="Times New Roman" w:hAnsi="Times New Roman"/>
          <w:b/>
          <w:noProof/>
          <w:sz w:val="24"/>
        </w:rPr>
      </w:pPr>
      <w:r>
        <w:rPr>
          <w:rFonts w:ascii="Times New Roman" w:hAnsi="Times New Roman"/>
          <w:b/>
          <w:noProof/>
          <w:sz w:val="24"/>
        </w:rPr>
        <w:t>Dynamic data/APIs</w:t>
      </w:r>
    </w:p>
    <w:p w:rsidR="00DF1A33" w:rsidRDefault="00456F01">
      <w:pPr>
        <w:pStyle w:val="ListParagraph"/>
        <w:numPr>
          <w:ilvl w:val="0"/>
          <w:numId w:val="16"/>
        </w:numPr>
        <w:jc w:val="both"/>
        <w:rPr>
          <w:rFonts w:ascii="Times New Roman" w:hAnsi="Times New Roman"/>
          <w:noProof/>
          <w:sz w:val="24"/>
        </w:rPr>
      </w:pPr>
      <w:r>
        <w:rPr>
          <w:rFonts w:ascii="Times New Roman" w:hAnsi="Times New Roman"/>
          <w:noProof/>
          <w:sz w:val="24"/>
        </w:rPr>
        <w:t>The higher intensity option would oblige all public sector bodies of the Member States that already produce dynamic data, to make this data available in a timely manner and to systematically introduce APIs</w:t>
      </w:r>
      <w:r>
        <w:rPr>
          <w:rFonts w:ascii="Times New Roman" w:hAnsi="Times New Roman"/>
          <w:noProof/>
          <w:sz w:val="24"/>
        </w:rPr>
        <w:t xml:space="preserve"> for that purpose.</w:t>
      </w:r>
    </w:p>
    <w:p w:rsidR="00DF1A33" w:rsidRDefault="00456F01">
      <w:pPr>
        <w:pStyle w:val="ListParagraph"/>
        <w:numPr>
          <w:ilvl w:val="0"/>
          <w:numId w:val="16"/>
        </w:numPr>
        <w:jc w:val="both"/>
        <w:rPr>
          <w:rFonts w:ascii="Times New Roman" w:hAnsi="Times New Roman"/>
          <w:b/>
          <w:noProof/>
          <w:sz w:val="24"/>
        </w:rPr>
      </w:pPr>
      <w:r>
        <w:rPr>
          <w:rFonts w:ascii="Times New Roman" w:hAnsi="Times New Roman"/>
          <w:noProof/>
          <w:sz w:val="24"/>
        </w:rPr>
        <w:t>The lower intensity option would create an obligation for Member States to make dynamic data available in a timely manner and to introduce APIs, where possible under technical and financial circumstances. For a limited number of datasets</w:t>
      </w:r>
      <w:r>
        <w:rPr>
          <w:rFonts w:ascii="Times New Roman" w:hAnsi="Times New Roman"/>
          <w:noProof/>
          <w:sz w:val="24"/>
        </w:rPr>
        <w:t xml:space="preserve"> (high value data to be defined in the Delegated Act) there would be a hard obligation to do so.</w:t>
      </w:r>
    </w:p>
    <w:p w:rsidR="00DF1A33" w:rsidRDefault="00456F01">
      <w:pPr>
        <w:jc w:val="both"/>
        <w:rPr>
          <w:rFonts w:ascii="Times New Roman" w:hAnsi="Times New Roman"/>
          <w:b/>
          <w:noProof/>
          <w:sz w:val="24"/>
        </w:rPr>
      </w:pPr>
      <w:r>
        <w:rPr>
          <w:rFonts w:ascii="Times New Roman" w:hAnsi="Times New Roman"/>
          <w:noProof/>
          <w:sz w:val="24"/>
        </w:rPr>
        <w:t xml:space="preserve">The options </w:t>
      </w:r>
      <w:r>
        <w:rPr>
          <w:rFonts w:ascii="Times New Roman" w:hAnsi="Times New Roman" w:cs="Times New Roman"/>
          <w:noProof/>
          <w:sz w:val="24"/>
          <w:szCs w:val="24"/>
        </w:rPr>
        <w:t>focus on the ways in which the availability and usability of dynamic data can be enhanced, rather than addressing the broader issue of optimal data</w:t>
      </w:r>
      <w:r>
        <w:rPr>
          <w:rFonts w:ascii="Times New Roman" w:hAnsi="Times New Roman" w:cs="Times New Roman"/>
          <w:noProof/>
          <w:sz w:val="24"/>
          <w:szCs w:val="24"/>
        </w:rPr>
        <w:t xml:space="preserve"> formats and publication methods, even if respondents to the online consultation tend to view all these factors as one common 'technical barrier' to re-use. This is chiefly because the insufficient release of dynamic content is a problem in its own right (</w:t>
      </w:r>
      <w:r>
        <w:rPr>
          <w:rFonts w:ascii="Times New Roman" w:hAnsi="Times New Roman" w:cs="Times New Roman"/>
          <w:noProof/>
          <w:sz w:val="24"/>
          <w:szCs w:val="24"/>
        </w:rPr>
        <w:t>given massively rising demand for this kind of data) and because the Directive already includes provisions specific to formats (Article 5), while being silent on dynamic data and use of APIs. In addition, the Directive does not have the ambition of harmoni</w:t>
      </w:r>
      <w:r>
        <w:rPr>
          <w:rFonts w:ascii="Times New Roman" w:hAnsi="Times New Roman" w:cs="Times New Roman"/>
          <w:noProof/>
          <w:sz w:val="24"/>
          <w:szCs w:val="24"/>
        </w:rPr>
        <w:t>sing data or metadata standards; instead, the Commission promotes their adoption via the ongoing support actions (European Data Portal, ISA</w:t>
      </w:r>
      <w:r>
        <w:rPr>
          <w:rFonts w:ascii="Times New Roman" w:hAnsi="Times New Roman" w:cs="Times New Roman"/>
          <w:noProof/>
          <w:sz w:val="24"/>
          <w:szCs w:val="24"/>
          <w:vertAlign w:val="superscript"/>
        </w:rPr>
        <w:t>2</w:t>
      </w:r>
      <w:r>
        <w:rPr>
          <w:rFonts w:ascii="Times New Roman" w:hAnsi="Times New Roman" w:cs="Times New Roman"/>
          <w:noProof/>
          <w:sz w:val="24"/>
          <w:szCs w:val="24"/>
        </w:rPr>
        <w:t xml:space="preserve"> programme) and soft law (Notice 2014/C 240/01). </w:t>
      </w:r>
    </w:p>
    <w:p w:rsidR="00DF1A33" w:rsidRDefault="00456F01">
      <w:pPr>
        <w:jc w:val="both"/>
        <w:rPr>
          <w:rFonts w:ascii="Times New Roman" w:hAnsi="Times New Roman"/>
          <w:b/>
          <w:noProof/>
          <w:sz w:val="24"/>
        </w:rPr>
      </w:pPr>
      <w:r>
        <w:rPr>
          <w:rFonts w:ascii="Times New Roman" w:hAnsi="Times New Roman"/>
          <w:b/>
          <w:noProof/>
          <w:sz w:val="24"/>
        </w:rPr>
        <w:t>Charging rules</w:t>
      </w:r>
    </w:p>
    <w:p w:rsidR="00DF1A33" w:rsidRDefault="00456F01">
      <w:pPr>
        <w:pStyle w:val="ListParagraph"/>
        <w:numPr>
          <w:ilvl w:val="0"/>
          <w:numId w:val="17"/>
        </w:numPr>
        <w:jc w:val="both"/>
        <w:rPr>
          <w:rFonts w:ascii="Times New Roman" w:hAnsi="Times New Roman"/>
          <w:b/>
          <w:noProof/>
          <w:sz w:val="24"/>
        </w:rPr>
      </w:pPr>
      <w:r>
        <w:rPr>
          <w:rFonts w:ascii="Times New Roman" w:hAnsi="Times New Roman"/>
          <w:noProof/>
          <w:sz w:val="24"/>
        </w:rPr>
        <w:t xml:space="preserve">Under both options, the charging rules would </w:t>
      </w:r>
      <w:r>
        <w:rPr>
          <w:rFonts w:ascii="Times New Roman" w:hAnsi="Times New Roman"/>
          <w:noProof/>
          <w:sz w:val="24"/>
        </w:rPr>
        <w:t>explicitly mention the costs linked to anonymization of datasets containing personal data as costs that can be recovered by a public sector body both under the marginal costs and full cost recovery principles. This acknowledges the fact that in many re-use</w:t>
      </w:r>
      <w:r>
        <w:rPr>
          <w:rFonts w:ascii="Times New Roman" w:hAnsi="Times New Roman"/>
          <w:noProof/>
          <w:sz w:val="24"/>
        </w:rPr>
        <w:t xml:space="preserve"> scenarios, datasets containing personal data need to be anonymised and that such anonymization has a cost.</w:t>
      </w:r>
    </w:p>
    <w:p w:rsidR="00DF1A33" w:rsidRDefault="00456F01">
      <w:pPr>
        <w:pStyle w:val="ListParagraph"/>
        <w:numPr>
          <w:ilvl w:val="0"/>
          <w:numId w:val="17"/>
        </w:numPr>
        <w:jc w:val="both"/>
        <w:rPr>
          <w:rFonts w:ascii="Times New Roman" w:hAnsi="Times New Roman"/>
          <w:b/>
          <w:noProof/>
          <w:sz w:val="24"/>
        </w:rPr>
      </w:pPr>
      <w:r>
        <w:rPr>
          <w:rFonts w:ascii="Times New Roman" w:hAnsi="Times New Roman"/>
          <w:noProof/>
          <w:sz w:val="24"/>
        </w:rPr>
        <w:t xml:space="preserve">The higher intensity option would eliminate all the exceptions to the general rule that public sector bodies cannot charge more than marginal costs </w:t>
      </w:r>
      <w:r>
        <w:rPr>
          <w:rFonts w:ascii="Times New Roman" w:hAnsi="Times New Roman"/>
          <w:noProof/>
          <w:sz w:val="24"/>
        </w:rPr>
        <w:t>for dissemination.</w:t>
      </w:r>
    </w:p>
    <w:p w:rsidR="00DF1A33" w:rsidRDefault="00456F01">
      <w:pPr>
        <w:pStyle w:val="ListParagraph"/>
        <w:numPr>
          <w:ilvl w:val="0"/>
          <w:numId w:val="17"/>
        </w:numPr>
        <w:jc w:val="both"/>
        <w:rPr>
          <w:rFonts w:ascii="Times New Roman" w:hAnsi="Times New Roman"/>
          <w:b/>
          <w:noProof/>
          <w:sz w:val="24"/>
        </w:rPr>
      </w:pPr>
      <w:r>
        <w:rPr>
          <w:rFonts w:ascii="Times New Roman" w:hAnsi="Times New Roman"/>
          <w:noProof/>
          <w:sz w:val="24"/>
        </w:rPr>
        <w:t>The lower intensity option would tighten the charging rules by eliminating the current exception of allowing charges for certain specific documents (deemed unnecessary as it does not address a wide range of real-life situations) and by e</w:t>
      </w:r>
      <w:r>
        <w:rPr>
          <w:rFonts w:ascii="Times New Roman" w:hAnsi="Times New Roman"/>
          <w:noProof/>
          <w:sz w:val="24"/>
        </w:rPr>
        <w:t>nhancing transparency with a requirement for the Member States to publish a list of public sector bodies that fulfil the requirements of article 6(2)(a) and can therefore charge above marginal costs. This will only concern a small number of public sector b</w:t>
      </w:r>
      <w:r>
        <w:rPr>
          <w:rFonts w:ascii="Times New Roman" w:hAnsi="Times New Roman"/>
          <w:noProof/>
          <w:sz w:val="24"/>
        </w:rPr>
        <w:t>odies and therefore creating the list will not put a large burden on Member States. These measures would be accompanied by the adoption of a limited list of fundamental high-value datasets that should be freely available in all Member States (to be adopted</w:t>
      </w:r>
      <w:r>
        <w:rPr>
          <w:rFonts w:ascii="Times New Roman" w:hAnsi="Times New Roman"/>
          <w:noProof/>
          <w:sz w:val="24"/>
        </w:rPr>
        <w:t xml:space="preserve"> through a Delegated Act).</w:t>
      </w:r>
      <w:r>
        <w:rPr>
          <w:rStyle w:val="FootnoteReference"/>
          <w:rFonts w:ascii="Times New Roman" w:hAnsi="Times New Roman"/>
          <w:noProof/>
          <w:sz w:val="24"/>
        </w:rPr>
        <w:footnoteReference w:id="126"/>
      </w:r>
    </w:p>
    <w:p w:rsidR="00DF1A33" w:rsidRDefault="00456F01">
      <w:pPr>
        <w:jc w:val="both"/>
        <w:rPr>
          <w:rFonts w:ascii="Times New Roman" w:hAnsi="Times New Roman"/>
          <w:b/>
          <w:noProof/>
          <w:sz w:val="24"/>
        </w:rPr>
      </w:pPr>
      <w:r>
        <w:rPr>
          <w:rFonts w:ascii="Times New Roman" w:hAnsi="Times New Roman"/>
          <w:noProof/>
          <w:sz w:val="24"/>
        </w:rPr>
        <w:t>Both options are realistic by taking into account the current trend of introducing a 'principle of gratuity' in national legislation (e.g. France, Slovenia), coupled with the fact that charges are typically applied not evenly ac</w:t>
      </w:r>
      <w:r>
        <w:rPr>
          <w:rFonts w:ascii="Times New Roman" w:hAnsi="Times New Roman"/>
          <w:noProof/>
          <w:sz w:val="24"/>
        </w:rPr>
        <w:t>ross the board but rather by a small number (fewer than 10) of public institutions in each Member State.</w:t>
      </w:r>
      <w:r>
        <w:rPr>
          <w:rStyle w:val="FootnoteReference"/>
          <w:rFonts w:ascii="Times New Roman" w:hAnsi="Times New Roman"/>
          <w:noProof/>
          <w:sz w:val="24"/>
        </w:rPr>
        <w:footnoteReference w:id="127"/>
      </w:r>
      <w:r>
        <w:rPr>
          <w:rFonts w:ascii="Times New Roman" w:hAnsi="Times New Roman"/>
          <w:noProof/>
          <w:sz w:val="24"/>
        </w:rPr>
        <w:t xml:space="preserve"> An alternative option whereby charges from high-value datasets would have to be used to finance the opening up of new datasets in other areas was cons</w:t>
      </w:r>
      <w:r>
        <w:rPr>
          <w:rFonts w:ascii="Times New Roman" w:hAnsi="Times New Roman"/>
          <w:noProof/>
          <w:sz w:val="24"/>
        </w:rPr>
        <w:t>idered but not retained. While it could lead to a stronger data supply overall, it would risk keeping the most valuable datasets behind a paywall, and monitoring the system would be costly.</w:t>
      </w:r>
    </w:p>
    <w:p w:rsidR="00DF1A33" w:rsidRDefault="00456F01">
      <w:pPr>
        <w:jc w:val="both"/>
        <w:rPr>
          <w:rFonts w:ascii="Times New Roman" w:hAnsi="Times New Roman"/>
          <w:b/>
          <w:noProof/>
          <w:sz w:val="24"/>
        </w:rPr>
      </w:pPr>
      <w:r>
        <w:rPr>
          <w:rFonts w:ascii="Times New Roman" w:hAnsi="Times New Roman"/>
          <w:b/>
          <w:noProof/>
          <w:sz w:val="24"/>
        </w:rPr>
        <w:t>Data in the transport and utilities sector</w:t>
      </w:r>
    </w:p>
    <w:p w:rsidR="00DF1A33" w:rsidRDefault="00456F01">
      <w:pPr>
        <w:pStyle w:val="ListParagraph"/>
        <w:numPr>
          <w:ilvl w:val="0"/>
          <w:numId w:val="18"/>
        </w:numPr>
        <w:jc w:val="both"/>
        <w:rPr>
          <w:rFonts w:ascii="Times New Roman" w:hAnsi="Times New Roman"/>
          <w:b/>
          <w:noProof/>
          <w:sz w:val="24"/>
        </w:rPr>
      </w:pPr>
      <w:r>
        <w:rPr>
          <w:rFonts w:ascii="Times New Roman" w:hAnsi="Times New Roman"/>
          <w:noProof/>
          <w:sz w:val="24"/>
        </w:rPr>
        <w:t>The higher intensity op</w:t>
      </w:r>
      <w:r>
        <w:rPr>
          <w:rFonts w:ascii="Times New Roman" w:hAnsi="Times New Roman"/>
          <w:noProof/>
          <w:sz w:val="24"/>
        </w:rPr>
        <w:t>tion would cover public undertakings and also private entities operating on the basis of concessions in the transport and utilities sector. The full set of rules of the Directive would apply.</w:t>
      </w:r>
    </w:p>
    <w:p w:rsidR="00DF1A33" w:rsidRDefault="00456F01">
      <w:pPr>
        <w:pStyle w:val="ListParagraph"/>
        <w:numPr>
          <w:ilvl w:val="0"/>
          <w:numId w:val="18"/>
        </w:numPr>
        <w:jc w:val="both"/>
        <w:rPr>
          <w:rFonts w:ascii="Times New Roman" w:hAnsi="Times New Roman"/>
          <w:b/>
          <w:noProof/>
          <w:sz w:val="24"/>
        </w:rPr>
      </w:pPr>
      <w:r>
        <w:rPr>
          <w:rFonts w:ascii="Times New Roman" w:hAnsi="Times New Roman"/>
          <w:noProof/>
          <w:sz w:val="24"/>
        </w:rPr>
        <w:t>The lower intensity option would cover only public undertakings.</w:t>
      </w:r>
      <w:r>
        <w:rPr>
          <w:rFonts w:ascii="Times New Roman" w:hAnsi="Times New Roman"/>
          <w:noProof/>
          <w:sz w:val="24"/>
        </w:rPr>
        <w:t xml:space="preserve"> A limited set of obligations would apply: Public undertakings could continue to charge above marginal costs for dissemination and would be under no obligation to release the data they do not want to release. 2003 rules of the PSI Directive would apply (as</w:t>
      </w:r>
      <w:r>
        <w:rPr>
          <w:rFonts w:ascii="Times New Roman" w:hAnsi="Times New Roman"/>
          <w:noProof/>
          <w:sz w:val="24"/>
        </w:rPr>
        <w:t xml:space="preserve"> explained in the table on p. 31). Moreover, public undertakings would not be covered by the requirements applicable to the processing of requests for the re-use of their data.</w:t>
      </w:r>
    </w:p>
    <w:p w:rsidR="00DF1A33" w:rsidRDefault="00456F01">
      <w:pPr>
        <w:jc w:val="both"/>
        <w:rPr>
          <w:rFonts w:ascii="Times New Roman" w:hAnsi="Times New Roman"/>
          <w:b/>
          <w:noProof/>
          <w:sz w:val="24"/>
        </w:rPr>
      </w:pPr>
      <w:r>
        <w:rPr>
          <w:rFonts w:ascii="Times New Roman" w:hAnsi="Times New Roman"/>
          <w:noProof/>
          <w:sz w:val="24"/>
        </w:rPr>
        <w:t xml:space="preserve">The choice to limit the extension of scope </w:t>
      </w:r>
      <w:r>
        <w:rPr>
          <w:rFonts w:ascii="Times New Roman" w:hAnsi="Times New Roman" w:cs="Times New Roman"/>
          <w:noProof/>
          <w:sz w:val="24"/>
          <w:szCs w:val="24"/>
        </w:rPr>
        <w:t xml:space="preserve">only </w:t>
      </w:r>
      <w:r>
        <w:rPr>
          <w:rFonts w:ascii="Times New Roman" w:hAnsi="Times New Roman"/>
          <w:noProof/>
          <w:sz w:val="24"/>
        </w:rPr>
        <w:t xml:space="preserve">to public undertakings </w:t>
      </w:r>
      <w:r>
        <w:rPr>
          <w:rFonts w:ascii="Times New Roman" w:hAnsi="Times New Roman" w:cs="Times New Roman"/>
          <w:noProof/>
          <w:sz w:val="24"/>
          <w:szCs w:val="24"/>
        </w:rPr>
        <w:t xml:space="preserve">covered </w:t>
      </w:r>
      <w:r>
        <w:rPr>
          <w:rFonts w:ascii="Times New Roman" w:hAnsi="Times New Roman" w:cs="Times New Roman"/>
          <w:noProof/>
          <w:sz w:val="24"/>
          <w:szCs w:val="24"/>
        </w:rPr>
        <w:t xml:space="preserve">by </w:t>
      </w:r>
      <w:r>
        <w:rPr>
          <w:rFonts w:ascii="Times New Roman" w:hAnsi="Times New Roman"/>
          <w:noProof/>
          <w:sz w:val="24"/>
        </w:rPr>
        <w:t>Directive 2014/25/EU</w:t>
      </w:r>
      <w:r>
        <w:rPr>
          <w:rFonts w:ascii="Times New Roman" w:hAnsi="Times New Roman" w:cs="Times New Roman"/>
          <w:noProof/>
          <w:sz w:val="24"/>
          <w:szCs w:val="24"/>
        </w:rPr>
        <w:t xml:space="preserve"> was motivated by the need to ensure legal certainty (reference to established legal definitions with related case law) and the fact that the services of general interest in the economic sectors referred to in the said Directive are </w:t>
      </w:r>
      <w:r>
        <w:rPr>
          <w:rFonts w:ascii="Times New Roman" w:hAnsi="Times New Roman" w:cs="Times New Roman"/>
          <w:noProof/>
          <w:sz w:val="24"/>
          <w:szCs w:val="24"/>
        </w:rPr>
        <w:t>typically carried out by public undertakings rather than solely by public sector bodies.</w:t>
      </w:r>
    </w:p>
    <w:p w:rsidR="00DF1A33" w:rsidRDefault="00456F01">
      <w:pPr>
        <w:keepNext/>
        <w:jc w:val="both"/>
        <w:rPr>
          <w:rFonts w:ascii="Times New Roman" w:hAnsi="Times New Roman"/>
          <w:b/>
          <w:noProof/>
          <w:sz w:val="24"/>
        </w:rPr>
      </w:pPr>
      <w:r>
        <w:rPr>
          <w:rFonts w:ascii="Times New Roman" w:hAnsi="Times New Roman"/>
          <w:b/>
          <w:noProof/>
          <w:sz w:val="24"/>
        </w:rPr>
        <w:t>Research data</w:t>
      </w:r>
    </w:p>
    <w:p w:rsidR="00DF1A33" w:rsidRDefault="00456F01">
      <w:pPr>
        <w:pStyle w:val="ListParagraph"/>
        <w:numPr>
          <w:ilvl w:val="0"/>
          <w:numId w:val="19"/>
        </w:numPr>
        <w:jc w:val="both"/>
        <w:rPr>
          <w:rFonts w:ascii="Times New Roman" w:hAnsi="Times New Roman"/>
          <w:b/>
          <w:noProof/>
          <w:sz w:val="24"/>
        </w:rPr>
      </w:pPr>
      <w:r>
        <w:rPr>
          <w:rFonts w:ascii="Times New Roman" w:hAnsi="Times New Roman"/>
          <w:noProof/>
          <w:sz w:val="24"/>
        </w:rPr>
        <w:t xml:space="preserve">The higher intensity option would introduce in the PSI Directive a complete set of provisions to be transposed in binding national legislation mandating </w:t>
      </w:r>
      <w:r>
        <w:rPr>
          <w:rFonts w:ascii="Times New Roman" w:hAnsi="Times New Roman"/>
          <w:noProof/>
          <w:sz w:val="24"/>
        </w:rPr>
        <w:t>all researchers in the EU to make all research results – publications and research data – available in Open Access (a top-down European legislative Open Access mandate). It would define the legal re-usability of such data within the scientific community an</w:t>
      </w:r>
      <w:r>
        <w:rPr>
          <w:rFonts w:ascii="Times New Roman" w:hAnsi="Times New Roman"/>
          <w:noProof/>
          <w:sz w:val="24"/>
        </w:rPr>
        <w:t>d beyond. It would thus harmonise Open Access policies that are currently defined either at national level or at the level of individual research funders. It would in particular define a common European framework on all aspects of Open Access, including em</w:t>
      </w:r>
      <w:r>
        <w:rPr>
          <w:rFonts w:ascii="Times New Roman" w:hAnsi="Times New Roman"/>
          <w:noProof/>
          <w:sz w:val="24"/>
        </w:rPr>
        <w:t>bargo periods for publications, opt-outs from Open Access obligations and sanctions for researchers not complying with the Open Access mandate. The Commission Recommendation on access to and preservation of scientific information from 2012 would address ac</w:t>
      </w:r>
      <w:r>
        <w:rPr>
          <w:rFonts w:ascii="Times New Roman" w:hAnsi="Times New Roman"/>
          <w:noProof/>
          <w:sz w:val="24"/>
        </w:rPr>
        <w:t xml:space="preserve">companying measures, e.g. incentives to researchers as part of policies and legislation on scientific career, the development of relevant infrastructures and preservation. </w:t>
      </w:r>
    </w:p>
    <w:p w:rsidR="00DF1A33" w:rsidRDefault="00456F01">
      <w:pPr>
        <w:pStyle w:val="ListParagraph"/>
        <w:numPr>
          <w:ilvl w:val="0"/>
          <w:numId w:val="19"/>
        </w:numPr>
        <w:jc w:val="both"/>
        <w:rPr>
          <w:rFonts w:ascii="Times New Roman" w:hAnsi="Times New Roman"/>
          <w:b/>
          <w:noProof/>
          <w:sz w:val="24"/>
        </w:rPr>
      </w:pPr>
      <w:r>
        <w:rPr>
          <w:rFonts w:ascii="Times New Roman" w:hAnsi="Times New Roman"/>
          <w:noProof/>
          <w:sz w:val="24"/>
        </w:rPr>
        <w:t xml:space="preserve">The lower intensity option would limit the hard law intervention through a revised </w:t>
      </w:r>
      <w:r>
        <w:rPr>
          <w:rFonts w:ascii="Times New Roman" w:hAnsi="Times New Roman"/>
          <w:noProof/>
          <w:sz w:val="24"/>
        </w:rPr>
        <w:t>PSI Directive to only cover research data (and not scientific publications) that have been made publicly available as a result of Open Access funder mandates and to ensure the legal re-usability of such research data within the scientific community and bey</w:t>
      </w:r>
      <w:r>
        <w:rPr>
          <w:rFonts w:ascii="Times New Roman" w:hAnsi="Times New Roman"/>
          <w:noProof/>
          <w:sz w:val="24"/>
        </w:rPr>
        <w:t>ond. This would address the issue of quite heterogeneous licensing practices for research data, as reported also by stakeholders. It would still oblige Member States to develop policies for Open Access to research data resulting from publicly funded resear</w:t>
      </w:r>
      <w:r>
        <w:rPr>
          <w:rFonts w:ascii="Times New Roman" w:hAnsi="Times New Roman"/>
          <w:noProof/>
          <w:sz w:val="24"/>
        </w:rPr>
        <w:t>ch, but leave flexibility on how they do this. An updated Recommendation to Member States on access to and preservation of scientific information would guide Member States on the elements ideally contained in an Open Access policy.</w:t>
      </w:r>
    </w:p>
    <w:p w:rsidR="00DF1A33" w:rsidRDefault="00456F01">
      <w:pPr>
        <w:jc w:val="both"/>
        <w:rPr>
          <w:rFonts w:ascii="Times New Roman" w:hAnsi="Times New Roman"/>
          <w:b/>
          <w:noProof/>
          <w:sz w:val="24"/>
        </w:rPr>
      </w:pPr>
      <w:r>
        <w:rPr>
          <w:rFonts w:ascii="Times New Roman" w:hAnsi="Times New Roman"/>
          <w:b/>
          <w:noProof/>
          <w:sz w:val="24"/>
        </w:rPr>
        <w:t>Non-exclusivity</w:t>
      </w:r>
    </w:p>
    <w:p w:rsidR="00DF1A33" w:rsidRDefault="00456F01">
      <w:pPr>
        <w:pStyle w:val="ListParagraph"/>
        <w:numPr>
          <w:ilvl w:val="0"/>
          <w:numId w:val="20"/>
        </w:numPr>
        <w:jc w:val="both"/>
        <w:rPr>
          <w:rFonts w:ascii="Times New Roman" w:hAnsi="Times New Roman"/>
          <w:b/>
          <w:noProof/>
          <w:sz w:val="24"/>
        </w:rPr>
      </w:pPr>
      <w:r>
        <w:rPr>
          <w:rFonts w:ascii="Times New Roman" w:hAnsi="Times New Roman"/>
          <w:noProof/>
          <w:sz w:val="24"/>
        </w:rPr>
        <w:t>The high</w:t>
      </w:r>
      <w:r>
        <w:rPr>
          <w:rFonts w:ascii="Times New Roman" w:hAnsi="Times New Roman"/>
          <w:noProof/>
          <w:sz w:val="24"/>
        </w:rPr>
        <w:t>er intensity option would prohibit arrangements that lead to the lock-in of public sector information.</w:t>
      </w:r>
    </w:p>
    <w:p w:rsidR="00DF1A33" w:rsidRDefault="00456F01">
      <w:pPr>
        <w:pStyle w:val="ListParagraph"/>
        <w:numPr>
          <w:ilvl w:val="0"/>
          <w:numId w:val="20"/>
        </w:numPr>
        <w:jc w:val="both"/>
        <w:rPr>
          <w:rFonts w:ascii="Times New Roman" w:hAnsi="Times New Roman"/>
          <w:b/>
          <w:noProof/>
          <w:sz w:val="24"/>
        </w:rPr>
      </w:pPr>
      <w:r>
        <w:rPr>
          <w:rFonts w:ascii="Times New Roman" w:hAnsi="Times New Roman"/>
          <w:noProof/>
          <w:sz w:val="24"/>
        </w:rPr>
        <w:t xml:space="preserve">The lower intensity option would set transparency requirements for public-private agreements involving public sector information (public and transparent </w:t>
      </w:r>
      <w:r>
        <w:rPr>
          <w:rFonts w:ascii="Times New Roman" w:hAnsi="Times New Roman"/>
          <w:noProof/>
          <w:sz w:val="24"/>
        </w:rPr>
        <w:t xml:space="preserve">scrutiny of the process leading to the conclusion of the contract and publication of the actual agreement). </w:t>
      </w:r>
    </w:p>
    <w:p w:rsidR="00DF1A33" w:rsidRDefault="00456F01">
      <w:pPr>
        <w:jc w:val="both"/>
        <w:rPr>
          <w:rFonts w:ascii="Times New Roman" w:hAnsi="Times New Roman"/>
          <w:noProof/>
          <w:sz w:val="24"/>
        </w:rPr>
      </w:pPr>
      <w:r>
        <w:rPr>
          <w:rFonts w:ascii="Times New Roman" w:hAnsi="Times New Roman"/>
          <w:noProof/>
          <w:sz w:val="24"/>
        </w:rPr>
        <w:t>In all scenarios the legislative update would be an occasion to clarify the relation between the PSI Directive on the one hand, and the Database an</w:t>
      </w:r>
      <w:r>
        <w:rPr>
          <w:rFonts w:ascii="Times New Roman" w:hAnsi="Times New Roman"/>
          <w:noProof/>
          <w:sz w:val="24"/>
        </w:rPr>
        <w:t xml:space="preserve">d the INSPIRE Directives on the other hand. The intervention would clarify that the </w:t>
      </w:r>
      <w:r>
        <w:rPr>
          <w:rFonts w:ascii="Times New Roman" w:hAnsi="Times New Roman"/>
          <w:i/>
          <w:noProof/>
          <w:sz w:val="24"/>
        </w:rPr>
        <w:t xml:space="preserve">sui generis </w:t>
      </w:r>
      <w:r>
        <w:rPr>
          <w:rFonts w:ascii="Times New Roman" w:hAnsi="Times New Roman"/>
          <w:noProof/>
          <w:sz w:val="24"/>
        </w:rPr>
        <w:t>right included in the Database Directive cannot be exercised by public sector bodies to prevent or restrict the re-use of documents under the PSI Directive, and</w:t>
      </w:r>
      <w:r>
        <w:rPr>
          <w:rFonts w:ascii="Times New Roman" w:hAnsi="Times New Roman"/>
          <w:noProof/>
          <w:sz w:val="24"/>
        </w:rPr>
        <w:t xml:space="preserve"> that the provisions of the PSI Directive, including on charging, fully apply to INSPIRE datasets.</w:t>
      </w:r>
    </w:p>
    <w:p w:rsidR="00DF1A33" w:rsidRDefault="00456F01">
      <w:pPr>
        <w:jc w:val="both"/>
        <w:rPr>
          <w:rFonts w:ascii="Times New Roman" w:hAnsi="Times New Roman"/>
          <w:noProof/>
          <w:sz w:val="24"/>
        </w:rPr>
      </w:pPr>
      <w:r>
        <w:rPr>
          <w:rFonts w:ascii="Times New Roman" w:hAnsi="Times New Roman"/>
          <w:noProof/>
          <w:sz w:val="24"/>
        </w:rPr>
        <w:t xml:space="preserve">The identified options are combined into </w:t>
      </w:r>
      <w:r>
        <w:rPr>
          <w:rFonts w:ascii="Times New Roman" w:hAnsi="Times New Roman"/>
          <w:b/>
          <w:noProof/>
          <w:sz w:val="24"/>
        </w:rPr>
        <w:t>two main packages</w:t>
      </w:r>
      <w:r>
        <w:rPr>
          <w:rFonts w:ascii="Times New Roman" w:hAnsi="Times New Roman"/>
          <w:noProof/>
          <w:sz w:val="24"/>
        </w:rPr>
        <w:t>, one with all elements of lower</w:t>
      </w:r>
      <w:r>
        <w:rPr>
          <w:noProof/>
        </w:rPr>
        <w:t xml:space="preserve"> </w:t>
      </w:r>
      <w:r>
        <w:rPr>
          <w:rFonts w:ascii="Times New Roman" w:hAnsi="Times New Roman"/>
          <w:noProof/>
          <w:sz w:val="24"/>
        </w:rPr>
        <w:t>legislative intensity, and the other one with all elements of high</w:t>
      </w:r>
      <w:r>
        <w:rPr>
          <w:rFonts w:ascii="Times New Roman" w:hAnsi="Times New Roman"/>
          <w:noProof/>
          <w:sz w:val="24"/>
        </w:rPr>
        <w:t>er legislative intensity, for the reasons described on p. 27 above. The table below gives an overview of the two packages and indicates how they would be implemented in the Directive.</w:t>
      </w:r>
    </w:p>
    <w:p w:rsidR="00DF1A33" w:rsidRDefault="00456F01">
      <w:pPr>
        <w:jc w:val="both"/>
        <w:rPr>
          <w:rFonts w:ascii="Times New Roman" w:hAnsi="Times New Roman"/>
          <w:noProof/>
          <w:sz w:val="24"/>
        </w:rPr>
      </w:pPr>
      <w:r>
        <w:rPr>
          <w:rFonts w:ascii="Times New Roman" w:hAnsi="Times New Roman"/>
          <w:noProof/>
          <w:sz w:val="24"/>
        </w:rPr>
        <w:t>In order to balance the rigid dichotomy of a 'soft' and 'hard' intervent</w:t>
      </w:r>
      <w:r>
        <w:rPr>
          <w:rFonts w:ascii="Times New Roman" w:hAnsi="Times New Roman"/>
          <w:noProof/>
          <w:sz w:val="24"/>
        </w:rPr>
        <w:t>ion logic and to present a more realistic choice to the stakeholders, the two policy options of different levels of intensity are accompanied by a soft-law measure in the form of an updated Recommendation on access to and preservation of scientific informa</w:t>
      </w:r>
      <w:r>
        <w:rPr>
          <w:rFonts w:ascii="Times New Roman" w:hAnsi="Times New Roman"/>
          <w:noProof/>
          <w:sz w:val="24"/>
        </w:rPr>
        <w:t>tion and by a separate Delegated Act with a list of high value datasets. The Delegated Act (part of the lower intensity option) can be seen as a bridge between the two main policy options, since it applies the solutions assessed under the 'higher intensity</w:t>
      </w:r>
      <w:r>
        <w:rPr>
          <w:rFonts w:ascii="Times New Roman" w:hAnsi="Times New Roman"/>
          <w:noProof/>
          <w:sz w:val="24"/>
        </w:rPr>
        <w:t xml:space="preserve">' scenario, albeit to a limited set of reference data. </w:t>
      </w:r>
    </w:p>
    <w:p w:rsidR="00DF1A33" w:rsidRDefault="00456F01">
      <w:pPr>
        <w:jc w:val="both"/>
        <w:rPr>
          <w:rFonts w:ascii="Times New Roman" w:hAnsi="Times New Roman"/>
          <w:noProof/>
          <w:sz w:val="24"/>
        </w:rPr>
      </w:pPr>
      <w:r>
        <w:rPr>
          <w:rFonts w:ascii="Times New Roman" w:hAnsi="Times New Roman"/>
          <w:noProof/>
          <w:sz w:val="24"/>
        </w:rPr>
        <w:t>The 'intermediate' intervention action consisting of a Delegated Act with a list of high value datasets reflects the fact that the range of intervention measures cannot be easily split into two separa</w:t>
      </w:r>
      <w:r>
        <w:rPr>
          <w:rFonts w:ascii="Times New Roman" w:hAnsi="Times New Roman"/>
          <w:noProof/>
          <w:sz w:val="24"/>
        </w:rPr>
        <w:t>te sets of actions along the intensity factor. At the same time, it is included as a part of the 'low intensity' policy option rather than a separate policy option in order to facilitate stakeholder feedback (and related cost/benefit assessment) and in the</w:t>
      </w:r>
      <w:r>
        <w:rPr>
          <w:rFonts w:ascii="Times New Roman" w:hAnsi="Times New Roman"/>
          <w:noProof/>
          <w:sz w:val="24"/>
        </w:rPr>
        <w:t xml:space="preserve"> light of the requirement that the adoption of the Delegated Act should be preceded by a separate future Impact Assessment (i.e. an inclusion of a separate intermediate policy option at this stage would be premature). </w:t>
      </w:r>
    </w:p>
    <w:p w:rsidR="00DF1A33" w:rsidRDefault="00DF1A33">
      <w:pPr>
        <w:jc w:val="both"/>
        <w:rPr>
          <w:rFonts w:ascii="Times New Roman" w:hAnsi="Times New Roman"/>
          <w:noProof/>
          <w:sz w:val="24"/>
        </w:rPr>
      </w:pPr>
    </w:p>
    <w:p w:rsidR="00DF1A33" w:rsidRDefault="00456F01">
      <w:pPr>
        <w:keepNext/>
        <w:jc w:val="center"/>
        <w:rPr>
          <w:rFonts w:ascii="Times New Roman" w:hAnsi="Times New Roman"/>
          <w:b/>
          <w:noProof/>
          <w:sz w:val="24"/>
        </w:rPr>
      </w:pPr>
      <w:r>
        <w:rPr>
          <w:rFonts w:ascii="Times New Roman" w:hAnsi="Times New Roman"/>
          <w:b/>
          <w:noProof/>
          <w:sz w:val="24"/>
        </w:rPr>
        <w:t xml:space="preserve">Policy options of lower and higher </w:t>
      </w:r>
      <w:r>
        <w:rPr>
          <w:rFonts w:ascii="Times New Roman" w:hAnsi="Times New Roman"/>
          <w:b/>
          <w:noProof/>
          <w:sz w:val="24"/>
        </w:rPr>
        <w:t>regulatory intervention intensity – implementation modalities in the PSI Directive</w:t>
      </w:r>
    </w:p>
    <w:tbl>
      <w:tblPr>
        <w:tblStyle w:val="TableGrid"/>
        <w:tblW w:w="9322" w:type="dxa"/>
        <w:tblLayout w:type="fixed"/>
        <w:tblLook w:val="04A0" w:firstRow="1" w:lastRow="0" w:firstColumn="1" w:lastColumn="0" w:noHBand="0" w:noVBand="1"/>
      </w:tblPr>
      <w:tblGrid>
        <w:gridCol w:w="1384"/>
        <w:gridCol w:w="3827"/>
        <w:gridCol w:w="4111"/>
      </w:tblGrid>
      <w:tr w:rsidR="00DF1A33">
        <w:tc>
          <w:tcPr>
            <w:tcW w:w="1384" w:type="dxa"/>
          </w:tcPr>
          <w:p w:rsidR="00DF1A33" w:rsidRDefault="00DF1A33">
            <w:pPr>
              <w:keepNext/>
              <w:jc w:val="center"/>
              <w:rPr>
                <w:b/>
                <w:noProof/>
                <w:sz w:val="18"/>
                <w:szCs w:val="18"/>
              </w:rPr>
            </w:pPr>
          </w:p>
        </w:tc>
        <w:tc>
          <w:tcPr>
            <w:tcW w:w="3827" w:type="dxa"/>
          </w:tcPr>
          <w:p w:rsidR="00DF1A33" w:rsidRDefault="00456F01">
            <w:pPr>
              <w:keepNext/>
              <w:jc w:val="center"/>
              <w:rPr>
                <w:b/>
                <w:noProof/>
                <w:sz w:val="18"/>
                <w:szCs w:val="18"/>
                <w:lang w:val="fr-BE"/>
              </w:rPr>
            </w:pPr>
            <w:r>
              <w:rPr>
                <w:b/>
                <w:noProof/>
                <w:sz w:val="18"/>
                <w:szCs w:val="18"/>
              </w:rPr>
              <w:t>Lower intensity</w:t>
            </w:r>
          </w:p>
        </w:tc>
        <w:tc>
          <w:tcPr>
            <w:tcW w:w="4111" w:type="dxa"/>
          </w:tcPr>
          <w:p w:rsidR="00DF1A33" w:rsidRDefault="00456F01">
            <w:pPr>
              <w:keepNext/>
              <w:jc w:val="center"/>
              <w:rPr>
                <w:b/>
                <w:noProof/>
                <w:sz w:val="18"/>
              </w:rPr>
            </w:pPr>
            <w:r>
              <w:rPr>
                <w:b/>
                <w:noProof/>
                <w:sz w:val="18"/>
              </w:rPr>
              <w:t>Higher intensity</w:t>
            </w:r>
          </w:p>
          <w:p w:rsidR="00DF1A33" w:rsidRDefault="00DF1A33">
            <w:pPr>
              <w:keepNext/>
              <w:jc w:val="center"/>
              <w:rPr>
                <w:b/>
                <w:noProof/>
                <w:sz w:val="18"/>
              </w:rPr>
            </w:pPr>
          </w:p>
        </w:tc>
      </w:tr>
      <w:tr w:rsidR="00DF1A33">
        <w:tc>
          <w:tcPr>
            <w:tcW w:w="1384" w:type="dxa"/>
          </w:tcPr>
          <w:p w:rsidR="00DF1A33" w:rsidRDefault="00456F01">
            <w:pPr>
              <w:jc w:val="both"/>
              <w:rPr>
                <w:noProof/>
                <w:sz w:val="18"/>
                <w:szCs w:val="18"/>
                <w:u w:val="single"/>
              </w:rPr>
            </w:pPr>
            <w:r>
              <w:rPr>
                <w:b/>
                <w:noProof/>
                <w:sz w:val="18"/>
                <w:szCs w:val="18"/>
              </w:rPr>
              <w:t>Dynamic data</w:t>
            </w:r>
          </w:p>
        </w:tc>
        <w:tc>
          <w:tcPr>
            <w:tcW w:w="3827" w:type="dxa"/>
          </w:tcPr>
          <w:p w:rsidR="00DF1A33" w:rsidRDefault="00456F01">
            <w:pPr>
              <w:jc w:val="both"/>
              <w:rPr>
                <w:noProof/>
                <w:sz w:val="18"/>
              </w:rPr>
            </w:pPr>
            <w:r>
              <w:rPr>
                <w:noProof/>
                <w:sz w:val="18"/>
                <w:szCs w:val="18"/>
              </w:rPr>
              <w:t xml:space="preserve">Binding measures: Adding a reference in the Directive </w:t>
            </w:r>
            <w:r>
              <w:rPr>
                <w:noProof/>
                <w:sz w:val="18"/>
              </w:rPr>
              <w:t xml:space="preserve">to incentivise public sector bodies to make dynamic data available for re-use immediately after collection (or at least in a timeframe that does not unduly impair the exploitation of their economic potential), and to use APIs. </w:t>
            </w:r>
          </w:p>
          <w:p w:rsidR="00DF1A33" w:rsidRDefault="00456F01">
            <w:pPr>
              <w:jc w:val="both"/>
              <w:rPr>
                <w:noProof/>
                <w:sz w:val="18"/>
              </w:rPr>
            </w:pPr>
            <w:r>
              <w:rPr>
                <w:noProof/>
                <w:sz w:val="18"/>
              </w:rPr>
              <w:t>Binding measures (intermedia</w:t>
            </w:r>
            <w:r>
              <w:rPr>
                <w:noProof/>
                <w:sz w:val="18"/>
              </w:rPr>
              <w:t>te intensity): There would be an obligation to use APIs for the availability of high-value datasets (see below).</w:t>
            </w:r>
          </w:p>
          <w:p w:rsidR="00DF1A33" w:rsidRDefault="00DF1A33">
            <w:pPr>
              <w:jc w:val="both"/>
              <w:rPr>
                <w:noProof/>
                <w:sz w:val="18"/>
              </w:rPr>
            </w:pPr>
          </w:p>
        </w:tc>
        <w:tc>
          <w:tcPr>
            <w:tcW w:w="4111" w:type="dxa"/>
          </w:tcPr>
          <w:p w:rsidR="00DF1A33" w:rsidRDefault="00456F01">
            <w:pPr>
              <w:jc w:val="both"/>
              <w:rPr>
                <w:noProof/>
                <w:sz w:val="18"/>
              </w:rPr>
            </w:pPr>
            <w:r>
              <w:rPr>
                <w:noProof/>
                <w:sz w:val="18"/>
              </w:rPr>
              <w:t>Binding measures: Strengthening the current rules on data formats (Article 5) by adding an obligation for public sector bodies that already pr</w:t>
            </w:r>
            <w:r>
              <w:rPr>
                <w:noProof/>
                <w:sz w:val="18"/>
              </w:rPr>
              <w:t>oduce dynamic data to make all such data available for re-use immediately after collection, and to systematically use APIs.</w:t>
            </w:r>
          </w:p>
          <w:p w:rsidR="00DF1A33" w:rsidRDefault="00456F01">
            <w:pPr>
              <w:jc w:val="both"/>
              <w:rPr>
                <w:noProof/>
                <w:sz w:val="18"/>
                <w:u w:val="single"/>
              </w:rPr>
            </w:pPr>
            <w:r>
              <w:rPr>
                <w:noProof/>
                <w:sz w:val="18"/>
                <w:u w:val="single"/>
              </w:rPr>
              <w:t xml:space="preserve"> </w:t>
            </w:r>
          </w:p>
        </w:tc>
      </w:tr>
      <w:tr w:rsidR="00DF1A33">
        <w:tc>
          <w:tcPr>
            <w:tcW w:w="1384" w:type="dxa"/>
          </w:tcPr>
          <w:p w:rsidR="00DF1A33" w:rsidRDefault="00456F01">
            <w:pPr>
              <w:jc w:val="both"/>
              <w:rPr>
                <w:noProof/>
                <w:sz w:val="18"/>
                <w:szCs w:val="18"/>
                <w:u w:val="single"/>
              </w:rPr>
            </w:pPr>
            <w:r>
              <w:rPr>
                <w:b/>
                <w:noProof/>
                <w:sz w:val="18"/>
                <w:szCs w:val="18"/>
              </w:rPr>
              <w:t>Charging</w:t>
            </w:r>
          </w:p>
        </w:tc>
        <w:tc>
          <w:tcPr>
            <w:tcW w:w="3827" w:type="dxa"/>
          </w:tcPr>
          <w:p w:rsidR="00DF1A33" w:rsidRDefault="00456F01">
            <w:pPr>
              <w:jc w:val="both"/>
              <w:rPr>
                <w:noProof/>
                <w:sz w:val="18"/>
              </w:rPr>
            </w:pPr>
            <w:r>
              <w:rPr>
                <w:noProof/>
                <w:sz w:val="18"/>
              </w:rPr>
              <w:t>Binding measures: Stipulating that the default rule is zero charges or charges limited to the marginal costs. Limiting t</w:t>
            </w:r>
            <w:r>
              <w:rPr>
                <w:noProof/>
                <w:sz w:val="18"/>
              </w:rPr>
              <w:t xml:space="preserve">he range of situations under which exceptions to marginal cost charging would be possible while specifying (in line with Notice 2014/C 240/01) the eligibility of costs covered. Publishing the </w:t>
            </w:r>
            <w:r>
              <w:rPr>
                <w:noProof/>
                <w:sz w:val="18"/>
                <w:szCs w:val="18"/>
              </w:rPr>
              <w:t>list of public sector bodies that could apply charges above marg</w:t>
            </w:r>
            <w:r>
              <w:rPr>
                <w:noProof/>
                <w:sz w:val="18"/>
                <w:szCs w:val="18"/>
              </w:rPr>
              <w:t>inal costs</w:t>
            </w:r>
            <w:r>
              <w:rPr>
                <w:noProof/>
                <w:sz w:val="18"/>
              </w:rPr>
              <w:t>.</w:t>
            </w:r>
          </w:p>
          <w:p w:rsidR="00DF1A33" w:rsidRDefault="00DF1A33">
            <w:pPr>
              <w:jc w:val="both"/>
              <w:rPr>
                <w:noProof/>
                <w:sz w:val="18"/>
              </w:rPr>
            </w:pPr>
          </w:p>
          <w:p w:rsidR="00DF1A33" w:rsidRDefault="00456F01">
            <w:pPr>
              <w:jc w:val="both"/>
              <w:rPr>
                <w:noProof/>
                <w:sz w:val="18"/>
              </w:rPr>
            </w:pPr>
            <w:r>
              <w:rPr>
                <w:noProof/>
                <w:sz w:val="18"/>
              </w:rPr>
              <w:t xml:space="preserve">Binding measures (intermediate intensity): Defining high value datasets to be released at zero charge across the EU via a Delegated Act. </w:t>
            </w:r>
          </w:p>
          <w:p w:rsidR="00DF1A33" w:rsidRDefault="00DF1A33">
            <w:pPr>
              <w:jc w:val="both"/>
              <w:rPr>
                <w:noProof/>
                <w:sz w:val="18"/>
              </w:rPr>
            </w:pPr>
          </w:p>
        </w:tc>
        <w:tc>
          <w:tcPr>
            <w:tcW w:w="4111" w:type="dxa"/>
          </w:tcPr>
          <w:p w:rsidR="00DF1A33" w:rsidRDefault="00456F01">
            <w:pPr>
              <w:jc w:val="both"/>
              <w:rPr>
                <w:noProof/>
                <w:sz w:val="18"/>
              </w:rPr>
            </w:pPr>
            <w:r>
              <w:rPr>
                <w:noProof/>
                <w:sz w:val="18"/>
              </w:rPr>
              <w:t>Binding measures: While not introducing the principle of full gratuity, eliminating the current exceptio</w:t>
            </w:r>
            <w:r>
              <w:rPr>
                <w:noProof/>
                <w:sz w:val="18"/>
              </w:rPr>
              <w:t>ns to the rule that charges can cover at maximum the marginal costs of dissemination.</w:t>
            </w:r>
          </w:p>
          <w:p w:rsidR="00DF1A33" w:rsidRDefault="00DF1A33">
            <w:pPr>
              <w:jc w:val="both"/>
              <w:rPr>
                <w:noProof/>
                <w:sz w:val="18"/>
                <w:u w:val="single"/>
              </w:rPr>
            </w:pPr>
          </w:p>
        </w:tc>
      </w:tr>
      <w:tr w:rsidR="00DF1A33">
        <w:tc>
          <w:tcPr>
            <w:tcW w:w="1384" w:type="dxa"/>
          </w:tcPr>
          <w:p w:rsidR="00DF1A33" w:rsidRDefault="00456F01">
            <w:pPr>
              <w:jc w:val="both"/>
              <w:rPr>
                <w:noProof/>
                <w:sz w:val="18"/>
                <w:szCs w:val="18"/>
                <w:u w:val="single"/>
              </w:rPr>
            </w:pPr>
            <w:r>
              <w:rPr>
                <w:b/>
                <w:noProof/>
                <w:sz w:val="18"/>
                <w:szCs w:val="18"/>
              </w:rPr>
              <w:t>Scope (research data)</w:t>
            </w:r>
          </w:p>
        </w:tc>
        <w:tc>
          <w:tcPr>
            <w:tcW w:w="3827" w:type="dxa"/>
          </w:tcPr>
          <w:p w:rsidR="00DF1A33" w:rsidRDefault="00456F01">
            <w:pPr>
              <w:jc w:val="both"/>
              <w:rPr>
                <w:noProof/>
                <w:sz w:val="18"/>
              </w:rPr>
            </w:pPr>
            <w:r>
              <w:rPr>
                <w:noProof/>
                <w:sz w:val="18"/>
              </w:rPr>
              <w:t>Binding measures: Extending the scope to publicly funded research data:</w:t>
            </w:r>
          </w:p>
          <w:p w:rsidR="00DF1A33" w:rsidRDefault="00456F01">
            <w:pPr>
              <w:jc w:val="both"/>
              <w:rPr>
                <w:noProof/>
                <w:sz w:val="18"/>
              </w:rPr>
            </w:pPr>
            <w:r>
              <w:rPr>
                <w:noProof/>
                <w:sz w:val="18"/>
              </w:rPr>
              <w:t xml:space="preserve">- Member States would be obliged to develop policies for Open Access to research data resulting from publicly funded research, while keeping flexibility on the specific details. </w:t>
            </w:r>
          </w:p>
          <w:p w:rsidR="00DF1A33" w:rsidRDefault="00456F01">
            <w:pPr>
              <w:jc w:val="both"/>
              <w:rPr>
                <w:noProof/>
                <w:sz w:val="18"/>
              </w:rPr>
            </w:pPr>
            <w:r>
              <w:rPr>
                <w:noProof/>
                <w:sz w:val="18"/>
              </w:rPr>
              <w:t>- For research data that already are accessible through repositories, the Dir</w:t>
            </w:r>
            <w:r>
              <w:rPr>
                <w:noProof/>
                <w:sz w:val="18"/>
              </w:rPr>
              <w:t xml:space="preserve">ective would ensure re-usability within the scientific community and beyond. </w:t>
            </w:r>
          </w:p>
          <w:p w:rsidR="00DF1A33" w:rsidRDefault="00456F01">
            <w:pPr>
              <w:jc w:val="both"/>
              <w:rPr>
                <w:noProof/>
                <w:sz w:val="18"/>
              </w:rPr>
            </w:pPr>
            <w:r>
              <w:rPr>
                <w:noProof/>
                <w:sz w:val="18"/>
              </w:rPr>
              <w:t>Soft law: Update of the Recommendation on Scientific Information</w:t>
            </w:r>
          </w:p>
          <w:p w:rsidR="00DF1A33" w:rsidRDefault="00DF1A33">
            <w:pPr>
              <w:jc w:val="both"/>
              <w:rPr>
                <w:noProof/>
                <w:sz w:val="18"/>
              </w:rPr>
            </w:pPr>
          </w:p>
        </w:tc>
        <w:tc>
          <w:tcPr>
            <w:tcW w:w="4111" w:type="dxa"/>
          </w:tcPr>
          <w:p w:rsidR="00DF1A33" w:rsidRDefault="00456F01">
            <w:pPr>
              <w:jc w:val="both"/>
              <w:rPr>
                <w:noProof/>
                <w:sz w:val="18"/>
              </w:rPr>
            </w:pPr>
            <w:r>
              <w:rPr>
                <w:noProof/>
                <w:sz w:val="18"/>
              </w:rPr>
              <w:t>Binding measures: Extending the scope to publicly funded research data by laying down detailed rules on Open Acc</w:t>
            </w:r>
            <w:r>
              <w:rPr>
                <w:noProof/>
                <w:sz w:val="18"/>
              </w:rPr>
              <w:t>ess (including options on how to comply, embargo periods, rules on opt-outs from Open Access obligations, enforcement).</w:t>
            </w:r>
          </w:p>
          <w:p w:rsidR="00DF1A33" w:rsidRDefault="00DF1A33">
            <w:pPr>
              <w:jc w:val="both"/>
              <w:rPr>
                <w:noProof/>
                <w:sz w:val="18"/>
              </w:rPr>
            </w:pPr>
          </w:p>
          <w:p w:rsidR="00DF1A33" w:rsidRDefault="00456F01">
            <w:pPr>
              <w:jc w:val="both"/>
              <w:rPr>
                <w:noProof/>
                <w:sz w:val="18"/>
              </w:rPr>
            </w:pPr>
            <w:r>
              <w:rPr>
                <w:noProof/>
                <w:sz w:val="18"/>
              </w:rPr>
              <w:t>Member States would be obliged to ensure that all publicly funded research data is available in open access and fully re-usable.</w:t>
            </w:r>
          </w:p>
          <w:p w:rsidR="00DF1A33" w:rsidRDefault="00456F01">
            <w:pPr>
              <w:jc w:val="both"/>
              <w:rPr>
                <w:noProof/>
                <w:sz w:val="18"/>
              </w:rPr>
            </w:pPr>
            <w:r>
              <w:rPr>
                <w:noProof/>
                <w:sz w:val="18"/>
              </w:rPr>
              <w:t>Soft l</w:t>
            </w:r>
            <w:r>
              <w:rPr>
                <w:noProof/>
                <w:sz w:val="18"/>
              </w:rPr>
              <w:t>aw: Update of the Recommentation on Scientific Information</w:t>
            </w:r>
          </w:p>
        </w:tc>
      </w:tr>
      <w:tr w:rsidR="00DF1A33">
        <w:tc>
          <w:tcPr>
            <w:tcW w:w="1384" w:type="dxa"/>
          </w:tcPr>
          <w:p w:rsidR="00DF1A33" w:rsidRDefault="00456F01">
            <w:pPr>
              <w:rPr>
                <w:b/>
                <w:noProof/>
                <w:sz w:val="18"/>
              </w:rPr>
            </w:pPr>
            <w:r>
              <w:rPr>
                <w:b/>
                <w:noProof/>
                <w:sz w:val="18"/>
                <w:szCs w:val="18"/>
              </w:rPr>
              <w:t>Scope (data in the transport and utiliti</w:t>
            </w:r>
            <w:r>
              <w:rPr>
                <w:b/>
                <w:noProof/>
                <w:sz w:val="18"/>
              </w:rPr>
              <w:t>es sectors):</w:t>
            </w:r>
          </w:p>
        </w:tc>
        <w:tc>
          <w:tcPr>
            <w:tcW w:w="3827" w:type="dxa"/>
          </w:tcPr>
          <w:p w:rsidR="00DF1A33" w:rsidRDefault="00456F01">
            <w:pPr>
              <w:jc w:val="both"/>
              <w:rPr>
                <w:noProof/>
                <w:sz w:val="18"/>
              </w:rPr>
            </w:pPr>
            <w:r>
              <w:rPr>
                <w:noProof/>
                <w:sz w:val="18"/>
              </w:rPr>
              <w:t>Binding measures: Extending the scope to:</w:t>
            </w:r>
          </w:p>
          <w:p w:rsidR="00DF1A33" w:rsidRDefault="00456F01">
            <w:pPr>
              <w:jc w:val="both"/>
              <w:rPr>
                <w:noProof/>
                <w:sz w:val="18"/>
                <w:szCs w:val="18"/>
              </w:rPr>
            </w:pPr>
            <w:r>
              <w:rPr>
                <w:noProof/>
                <w:sz w:val="18"/>
              </w:rPr>
              <w:t>- public undertakings in the utilities sectors covered by Public Procurement Directive 2014/25/EU</w:t>
            </w:r>
            <w:r>
              <w:rPr>
                <w:rStyle w:val="FootnoteReference"/>
                <w:noProof/>
                <w:sz w:val="18"/>
                <w:szCs w:val="18"/>
              </w:rPr>
              <w:footnoteReference w:id="128"/>
            </w:r>
            <w:r>
              <w:rPr>
                <w:noProof/>
                <w:sz w:val="18"/>
                <w:szCs w:val="18"/>
              </w:rPr>
              <w:t xml:space="preserve"> and public undertakings acting as </w:t>
            </w:r>
            <w:r>
              <w:rPr>
                <w:noProof/>
                <w:sz w:val="18"/>
              </w:rPr>
              <w:t>public service operators under Regulation (EC) No 1370/2007</w:t>
            </w:r>
            <w:r>
              <w:rPr>
                <w:rStyle w:val="FootnoteReference"/>
                <w:noProof/>
                <w:sz w:val="18"/>
                <w:szCs w:val="18"/>
              </w:rPr>
              <w:footnoteReference w:id="129"/>
            </w:r>
            <w:r>
              <w:rPr>
                <w:noProof/>
                <w:sz w:val="18"/>
                <w:szCs w:val="18"/>
              </w:rPr>
              <w:t>.</w:t>
            </w:r>
          </w:p>
          <w:p w:rsidR="00DF1A33" w:rsidRDefault="00DF1A33">
            <w:pPr>
              <w:jc w:val="both"/>
              <w:rPr>
                <w:noProof/>
                <w:sz w:val="18"/>
              </w:rPr>
            </w:pPr>
          </w:p>
          <w:p w:rsidR="00DF1A33" w:rsidRDefault="00456F01">
            <w:pPr>
              <w:jc w:val="both"/>
              <w:rPr>
                <w:noProof/>
                <w:sz w:val="18"/>
              </w:rPr>
            </w:pPr>
            <w:r>
              <w:rPr>
                <w:noProof/>
                <w:sz w:val="18"/>
              </w:rPr>
              <w:t>The default rules of the original PSI Directive (2003 rules) would apply: where data is made available for re-use, transparency, non-discrimination, maximum c</w:t>
            </w:r>
            <w:r>
              <w:rPr>
                <w:noProof/>
                <w:sz w:val="18"/>
              </w:rPr>
              <w:t>harges based on full-cost and reasonable return on investment, and non-exclusivity requirements would be required. Public undertakings would not be covered by the requirements applicable to the processing of requests for the re-use of their data.</w:t>
            </w:r>
          </w:p>
          <w:p w:rsidR="00DF1A33" w:rsidRDefault="00DF1A33">
            <w:pPr>
              <w:jc w:val="both"/>
              <w:rPr>
                <w:noProof/>
                <w:sz w:val="18"/>
              </w:rPr>
            </w:pPr>
          </w:p>
          <w:p w:rsidR="00DF1A33" w:rsidRDefault="00456F01">
            <w:pPr>
              <w:jc w:val="both"/>
              <w:rPr>
                <w:noProof/>
                <w:sz w:val="18"/>
                <w:szCs w:val="18"/>
              </w:rPr>
            </w:pPr>
            <w:r>
              <w:rPr>
                <w:noProof/>
                <w:sz w:val="18"/>
              </w:rPr>
              <w:t>There wo</w:t>
            </w:r>
            <w:r>
              <w:rPr>
                <w:noProof/>
                <w:sz w:val="18"/>
              </w:rPr>
              <w:t>uld be a reference to data that should be openly available, in line with relevant sectoral EU legislation, to ensure that existing obligations are respected</w:t>
            </w:r>
            <w:r>
              <w:rPr>
                <w:rStyle w:val="FootnoteReference"/>
                <w:noProof/>
                <w:sz w:val="18"/>
                <w:szCs w:val="18"/>
              </w:rPr>
              <w:footnoteReference w:id="130"/>
            </w:r>
            <w:r>
              <w:rPr>
                <w:noProof/>
                <w:sz w:val="18"/>
                <w:szCs w:val="18"/>
              </w:rPr>
              <w:t>.</w:t>
            </w:r>
          </w:p>
          <w:p w:rsidR="00DF1A33" w:rsidRDefault="00DF1A33">
            <w:pPr>
              <w:jc w:val="both"/>
              <w:rPr>
                <w:noProof/>
                <w:sz w:val="18"/>
                <w:szCs w:val="18"/>
              </w:rPr>
            </w:pPr>
          </w:p>
        </w:tc>
        <w:tc>
          <w:tcPr>
            <w:tcW w:w="4111" w:type="dxa"/>
          </w:tcPr>
          <w:p w:rsidR="00DF1A33" w:rsidRDefault="00456F01">
            <w:pPr>
              <w:jc w:val="both"/>
              <w:rPr>
                <w:noProof/>
                <w:sz w:val="18"/>
              </w:rPr>
            </w:pPr>
            <w:r>
              <w:rPr>
                <w:noProof/>
                <w:sz w:val="18"/>
              </w:rPr>
              <w:t>Binding measures: Extending the scope to:</w:t>
            </w:r>
          </w:p>
          <w:p w:rsidR="00DF1A33" w:rsidRDefault="00456F01">
            <w:pPr>
              <w:jc w:val="both"/>
              <w:rPr>
                <w:noProof/>
                <w:sz w:val="18"/>
              </w:rPr>
            </w:pPr>
            <w:r>
              <w:rPr>
                <w:noProof/>
                <w:sz w:val="18"/>
              </w:rPr>
              <w:t>- public undertakings in the utilities sectors covered</w:t>
            </w:r>
            <w:r>
              <w:rPr>
                <w:noProof/>
                <w:sz w:val="18"/>
              </w:rPr>
              <w:t xml:space="preserve"> by Public Procurement Directive 2014/25/EU and to private and public undertakings acting as public service operators under Regulation (EC) No 1370/2007;</w:t>
            </w:r>
          </w:p>
          <w:p w:rsidR="00DF1A33" w:rsidRDefault="00456F01">
            <w:pPr>
              <w:jc w:val="both"/>
              <w:rPr>
                <w:noProof/>
                <w:sz w:val="18"/>
              </w:rPr>
            </w:pPr>
            <w:r>
              <w:rPr>
                <w:noProof/>
                <w:sz w:val="18"/>
              </w:rPr>
              <w:t>- private economic operators which have been awarded a concession, as defined in Directive 2014/23/EU</w:t>
            </w:r>
            <w:r>
              <w:rPr>
                <w:rStyle w:val="FootnoteReference"/>
                <w:noProof/>
                <w:sz w:val="18"/>
                <w:szCs w:val="18"/>
              </w:rPr>
              <w:footnoteReference w:id="131"/>
            </w:r>
            <w:r>
              <w:rPr>
                <w:noProof/>
                <w:sz w:val="18"/>
                <w:szCs w:val="18"/>
              </w:rPr>
              <w:t xml:space="preserve">, pursuing one of the activities in the </w:t>
            </w:r>
            <w:r>
              <w:rPr>
                <w:noProof/>
                <w:sz w:val="18"/>
              </w:rPr>
              <w:t>transport and utilities sectors.</w:t>
            </w:r>
          </w:p>
          <w:p w:rsidR="00DF1A33" w:rsidRDefault="00456F01">
            <w:pPr>
              <w:jc w:val="both"/>
              <w:rPr>
                <w:noProof/>
                <w:sz w:val="18"/>
              </w:rPr>
            </w:pPr>
            <w:r>
              <w:rPr>
                <w:noProof/>
                <w:sz w:val="18"/>
              </w:rPr>
              <w:t xml:space="preserve"> </w:t>
            </w:r>
          </w:p>
          <w:p w:rsidR="00DF1A33" w:rsidRDefault="00456F01">
            <w:pPr>
              <w:jc w:val="both"/>
              <w:rPr>
                <w:noProof/>
                <w:sz w:val="18"/>
              </w:rPr>
            </w:pPr>
            <w:r>
              <w:rPr>
                <w:noProof/>
                <w:sz w:val="18"/>
              </w:rPr>
              <w:t>The default rules of the PSI Directive would apply (marginal cost charging, transparency, data formats, processing of requests, etc.).</w:t>
            </w:r>
          </w:p>
          <w:p w:rsidR="00DF1A33" w:rsidRDefault="00DF1A33">
            <w:pPr>
              <w:jc w:val="both"/>
              <w:rPr>
                <w:noProof/>
                <w:sz w:val="18"/>
                <w:u w:val="single"/>
              </w:rPr>
            </w:pPr>
          </w:p>
          <w:p w:rsidR="00DF1A33" w:rsidRDefault="00456F01">
            <w:pPr>
              <w:jc w:val="both"/>
              <w:rPr>
                <w:noProof/>
                <w:sz w:val="18"/>
                <w:u w:val="single"/>
              </w:rPr>
            </w:pPr>
            <w:r>
              <w:rPr>
                <w:noProof/>
                <w:sz w:val="18"/>
              </w:rPr>
              <w:t>There would be a reference to data that shoul</w:t>
            </w:r>
            <w:r>
              <w:rPr>
                <w:noProof/>
                <w:sz w:val="18"/>
              </w:rPr>
              <w:t>d be openly available, in line with relevant sectoral EU legislation, to ensure that existing obligations are respected.</w:t>
            </w:r>
          </w:p>
        </w:tc>
      </w:tr>
      <w:tr w:rsidR="00DF1A33">
        <w:tc>
          <w:tcPr>
            <w:tcW w:w="1384" w:type="dxa"/>
          </w:tcPr>
          <w:p w:rsidR="00DF1A33" w:rsidRDefault="00456F01">
            <w:pPr>
              <w:jc w:val="both"/>
              <w:rPr>
                <w:b/>
                <w:noProof/>
                <w:sz w:val="18"/>
                <w:szCs w:val="18"/>
              </w:rPr>
            </w:pPr>
            <w:r>
              <w:rPr>
                <w:b/>
                <w:noProof/>
                <w:sz w:val="18"/>
                <w:szCs w:val="18"/>
              </w:rPr>
              <w:t>Non- exclusivity:</w:t>
            </w:r>
          </w:p>
        </w:tc>
        <w:tc>
          <w:tcPr>
            <w:tcW w:w="3827" w:type="dxa"/>
          </w:tcPr>
          <w:p w:rsidR="00DF1A33" w:rsidRDefault="00456F01">
            <w:pPr>
              <w:jc w:val="both"/>
              <w:rPr>
                <w:noProof/>
                <w:sz w:val="18"/>
              </w:rPr>
            </w:pPr>
            <w:r>
              <w:rPr>
                <w:noProof/>
                <w:sz w:val="18"/>
                <w:szCs w:val="18"/>
              </w:rPr>
              <w:t xml:space="preserve">Binding measures: Strengthen the current  article </w:t>
            </w:r>
            <w:r>
              <w:rPr>
                <w:noProof/>
                <w:sz w:val="18"/>
              </w:rPr>
              <w:t>on exclusive arrangements in the Directive by introducing a proced</w:t>
            </w:r>
            <w:r>
              <w:rPr>
                <w:noProof/>
                <w:sz w:val="18"/>
              </w:rPr>
              <w:t xml:space="preserve">ural safeguard. This would require making public (ex ante, i.e. before taking effect) the terms of arrangements with private sector players involving the re-use of public sector data where there is a risk of the lock-in of public sector data. In addition, </w:t>
            </w:r>
            <w:r>
              <w:rPr>
                <w:noProof/>
                <w:sz w:val="18"/>
              </w:rPr>
              <w:t>the final text of the agreement should also be publicly available.</w:t>
            </w:r>
          </w:p>
          <w:p w:rsidR="00DF1A33" w:rsidRDefault="00DF1A33">
            <w:pPr>
              <w:jc w:val="both"/>
              <w:rPr>
                <w:noProof/>
                <w:sz w:val="18"/>
              </w:rPr>
            </w:pPr>
          </w:p>
        </w:tc>
        <w:tc>
          <w:tcPr>
            <w:tcW w:w="4111" w:type="dxa"/>
          </w:tcPr>
          <w:p w:rsidR="00DF1A33" w:rsidRDefault="00456F01">
            <w:pPr>
              <w:jc w:val="both"/>
              <w:rPr>
                <w:noProof/>
                <w:sz w:val="18"/>
                <w:u w:val="single"/>
              </w:rPr>
            </w:pPr>
            <w:r>
              <w:rPr>
                <w:noProof/>
                <w:sz w:val="18"/>
              </w:rPr>
              <w:t>Binding measures: Strengthen the current  article on exclusive arrangements to prohibit the conclusion of agreements between the public sector bodies and private companies that may lead to</w:t>
            </w:r>
            <w:r>
              <w:rPr>
                <w:noProof/>
                <w:sz w:val="18"/>
              </w:rPr>
              <w:t xml:space="preserve"> the lock-in of public sector data.</w:t>
            </w:r>
          </w:p>
        </w:tc>
      </w:tr>
    </w:tbl>
    <w:p w:rsidR="00DF1A33" w:rsidRDefault="00DF1A33">
      <w:pPr>
        <w:jc w:val="both"/>
        <w:rPr>
          <w:rFonts w:ascii="Times New Roman" w:hAnsi="Times New Roman"/>
          <w:noProof/>
          <w:sz w:val="24"/>
        </w:rPr>
      </w:pPr>
      <w:bookmarkStart w:id="1197" w:name="_Toc481484474"/>
      <w:bookmarkStart w:id="1198" w:name="_Toc504142962"/>
      <w:bookmarkStart w:id="1199" w:name="_Toc504151668"/>
      <w:bookmarkStart w:id="1200" w:name="_Toc504382952"/>
      <w:bookmarkStart w:id="1201" w:name="_Toc504391095"/>
      <w:bookmarkStart w:id="1202" w:name="_Toc504403184"/>
      <w:bookmarkStart w:id="1203" w:name="_Toc504743654"/>
      <w:bookmarkStart w:id="1204" w:name="_Toc504751206"/>
      <w:bookmarkStart w:id="1205" w:name="_Toc504751380"/>
      <w:bookmarkStart w:id="1206" w:name="_Toc505182001"/>
      <w:bookmarkStart w:id="1207" w:name="_Toc505248655"/>
      <w:bookmarkStart w:id="1208" w:name="_Toc505266531"/>
      <w:bookmarkStart w:id="1209" w:name="_Toc505335382"/>
      <w:bookmarkStart w:id="1210" w:name="_Toc505345853"/>
      <w:bookmarkStart w:id="1211" w:name="_Toc505346441"/>
      <w:bookmarkStart w:id="1212" w:name="_Toc505696683"/>
      <w:bookmarkStart w:id="1213" w:name="_Toc505698169"/>
      <w:bookmarkStart w:id="1214" w:name="_Toc505701682"/>
      <w:bookmarkStart w:id="1215" w:name="_Toc505705169"/>
      <w:bookmarkStart w:id="1216" w:name="_Toc505773159"/>
      <w:bookmarkStart w:id="1217" w:name="_Toc505856870"/>
    </w:p>
    <w:p w:rsidR="00DF1A33" w:rsidRDefault="00456F01">
      <w:pPr>
        <w:pStyle w:val="Heading2"/>
        <w:rPr>
          <w:noProof/>
        </w:rPr>
      </w:pPr>
      <w:bookmarkStart w:id="1218" w:name="_Toc505862315"/>
      <w:bookmarkStart w:id="1219" w:name="_Toc505864880"/>
      <w:bookmarkStart w:id="1220" w:name="_Toc505868734"/>
      <w:bookmarkStart w:id="1221" w:name="_Toc505869201"/>
      <w:bookmarkStart w:id="1222" w:name="_Toc506363043"/>
      <w:bookmarkStart w:id="1223" w:name="_Toc506369540"/>
      <w:bookmarkStart w:id="1224" w:name="_Toc506376130"/>
      <w:bookmarkStart w:id="1225" w:name="_Toc506378443"/>
      <w:bookmarkStart w:id="1226" w:name="_Toc506378524"/>
      <w:bookmarkStart w:id="1227" w:name="_Toc509412623"/>
      <w:bookmarkStart w:id="1228" w:name="_Toc509414799"/>
      <w:bookmarkStart w:id="1229" w:name="_Toc509414855"/>
      <w:r>
        <w:rPr>
          <w:noProof/>
        </w:rPr>
        <w:t>Options discarded at an early stage</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rsidR="00DF1A33" w:rsidRDefault="00456F01">
      <w:pPr>
        <w:keepNext/>
        <w:jc w:val="both"/>
        <w:rPr>
          <w:rFonts w:ascii="Times New Roman" w:hAnsi="Times New Roman"/>
          <w:noProof/>
          <w:sz w:val="24"/>
          <w:u w:val="single"/>
        </w:rPr>
      </w:pPr>
      <w:r>
        <w:rPr>
          <w:rFonts w:ascii="Times New Roman" w:hAnsi="Times New Roman"/>
          <w:noProof/>
          <w:sz w:val="24"/>
          <w:u w:val="single"/>
        </w:rPr>
        <w:t>1) Discontinuing existing EU action</w:t>
      </w:r>
    </w:p>
    <w:p w:rsidR="00DF1A33" w:rsidRDefault="00456F01">
      <w:pPr>
        <w:keepNext/>
        <w:jc w:val="both"/>
        <w:rPr>
          <w:rFonts w:ascii="Times New Roman" w:hAnsi="Times New Roman"/>
          <w:noProof/>
          <w:sz w:val="24"/>
        </w:rPr>
      </w:pPr>
      <w:r>
        <w:rPr>
          <w:rFonts w:ascii="Times New Roman" w:hAnsi="Times New Roman"/>
          <w:noProof/>
          <w:sz w:val="24"/>
        </w:rPr>
        <w:t>This option would remove the safety net provided at the EU level by the established minimum PSI re-use rules. By leaving Member States free to act</w:t>
      </w:r>
      <w:r>
        <w:rPr>
          <w:rFonts w:ascii="Times New Roman" w:hAnsi="Times New Roman"/>
          <w:noProof/>
          <w:sz w:val="24"/>
        </w:rPr>
        <w:t xml:space="preserve"> in the area previously subject to harmonised EU rules, it would give rise to increased legal uncertainty and divergence of national approaches, to the detriment of competition in the internal market for re-use of PSI, and to the detriment of the functioni</w:t>
      </w:r>
      <w:r>
        <w:rPr>
          <w:rFonts w:ascii="Times New Roman" w:hAnsi="Times New Roman"/>
          <w:noProof/>
          <w:sz w:val="24"/>
        </w:rPr>
        <w:t>ng of the Digital Single Market.</w:t>
      </w:r>
    </w:p>
    <w:p w:rsidR="00DF1A33" w:rsidRDefault="00456F01">
      <w:pPr>
        <w:jc w:val="both"/>
        <w:rPr>
          <w:rFonts w:ascii="Times New Roman" w:hAnsi="Times New Roman"/>
          <w:noProof/>
          <w:sz w:val="24"/>
          <w:u w:val="single"/>
        </w:rPr>
      </w:pPr>
      <w:r>
        <w:rPr>
          <w:rFonts w:ascii="Times New Roman" w:hAnsi="Times New Roman"/>
          <w:noProof/>
          <w:sz w:val="24"/>
          <w:u w:val="single"/>
        </w:rPr>
        <w:t>2) Soft law</w:t>
      </w:r>
      <w:r>
        <w:rPr>
          <w:noProof/>
          <w:u w:val="single"/>
        </w:rPr>
        <w:t xml:space="preserve"> </w:t>
      </w:r>
      <w:r>
        <w:rPr>
          <w:rFonts w:ascii="Times New Roman" w:hAnsi="Times New Roman"/>
          <w:noProof/>
          <w:sz w:val="24"/>
          <w:u w:val="single"/>
        </w:rPr>
        <w:t>measures only</w:t>
      </w:r>
    </w:p>
    <w:p w:rsidR="00DF1A33" w:rsidRDefault="00456F01">
      <w:pPr>
        <w:jc w:val="both"/>
        <w:rPr>
          <w:rFonts w:ascii="Times New Roman" w:hAnsi="Times New Roman"/>
          <w:noProof/>
          <w:sz w:val="24"/>
        </w:rPr>
      </w:pPr>
      <w:r>
        <w:rPr>
          <w:rFonts w:ascii="Times New Roman" w:hAnsi="Times New Roman"/>
          <w:noProof/>
          <w:sz w:val="24"/>
        </w:rPr>
        <w:t>While the use of this option can be a non-intrusive way of addressing the problems identified, this option was discarded based on the experience gained with the two existing soft law measures. Although they have fulfilled a useful function in providing cla</w:t>
      </w:r>
      <w:r>
        <w:rPr>
          <w:rFonts w:ascii="Times New Roman" w:hAnsi="Times New Roman"/>
          <w:noProof/>
          <w:sz w:val="24"/>
        </w:rPr>
        <w:t>rity and giving a general direction to Member States, due to their non-binding character they have been taken up with different intensity in the different countries. Also, they cannot be relied upon by re-users who are looking for legal certainty. Finally,</w:t>
      </w:r>
      <w:r>
        <w:rPr>
          <w:rFonts w:ascii="Times New Roman" w:hAnsi="Times New Roman"/>
          <w:noProof/>
          <w:sz w:val="24"/>
        </w:rPr>
        <w:t xml:space="preserve"> soft law measures cannot fully prevent the development of regulatory divergences among Member States. </w:t>
      </w:r>
    </w:p>
    <w:p w:rsidR="00DF1A33" w:rsidRDefault="00456F01">
      <w:pPr>
        <w:pStyle w:val="Heading1"/>
        <w:rPr>
          <w:noProof/>
        </w:rPr>
      </w:pPr>
      <w:bookmarkStart w:id="1230" w:name="_Toc481484475"/>
      <w:bookmarkStart w:id="1231" w:name="_Toc504142963"/>
      <w:bookmarkStart w:id="1232" w:name="_Toc504151669"/>
      <w:bookmarkStart w:id="1233" w:name="_Toc504382953"/>
      <w:bookmarkStart w:id="1234" w:name="_Toc504391096"/>
      <w:bookmarkStart w:id="1235" w:name="_Toc504403185"/>
      <w:bookmarkStart w:id="1236" w:name="_Toc504743655"/>
      <w:bookmarkStart w:id="1237" w:name="_Toc504751207"/>
      <w:bookmarkStart w:id="1238" w:name="_Toc504751381"/>
      <w:bookmarkStart w:id="1239" w:name="_Toc505182002"/>
      <w:bookmarkStart w:id="1240" w:name="_Toc505248656"/>
      <w:bookmarkStart w:id="1241" w:name="_Toc505266532"/>
      <w:bookmarkStart w:id="1242" w:name="_Toc505335383"/>
      <w:bookmarkStart w:id="1243" w:name="_Toc505345854"/>
      <w:bookmarkStart w:id="1244" w:name="_Toc505346442"/>
      <w:bookmarkStart w:id="1245" w:name="_Toc505696684"/>
      <w:bookmarkStart w:id="1246" w:name="_Toc505698170"/>
      <w:bookmarkStart w:id="1247" w:name="_Toc505701683"/>
      <w:bookmarkStart w:id="1248" w:name="_Toc505705170"/>
      <w:bookmarkStart w:id="1249" w:name="_Toc505773160"/>
      <w:bookmarkStart w:id="1250" w:name="_Toc505862316"/>
      <w:bookmarkStart w:id="1251" w:name="_Toc505864881"/>
      <w:bookmarkStart w:id="1252" w:name="_Toc505868735"/>
      <w:bookmarkStart w:id="1253" w:name="_Toc505869202"/>
      <w:bookmarkStart w:id="1254" w:name="_Toc506363044"/>
      <w:bookmarkStart w:id="1255" w:name="_Toc506369541"/>
      <w:bookmarkStart w:id="1256" w:name="_Toc506376131"/>
      <w:bookmarkStart w:id="1257" w:name="_Toc506378444"/>
      <w:bookmarkStart w:id="1258" w:name="_Toc506378525"/>
      <w:bookmarkStart w:id="1259" w:name="_Toc509412624"/>
      <w:bookmarkStart w:id="1260" w:name="_Toc509414800"/>
      <w:bookmarkStart w:id="1261" w:name="_Toc509414856"/>
      <w:bookmarkStart w:id="1262" w:name="_Toc505856871"/>
      <w:r>
        <w:rPr>
          <w:noProof/>
        </w:rPr>
        <w:t>What are the impacts of the policy options?</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rsidR="00DF1A33" w:rsidRDefault="00456F01">
      <w:pPr>
        <w:pStyle w:val="Heading2"/>
        <w:rPr>
          <w:noProof/>
        </w:rPr>
      </w:pPr>
      <w:bookmarkStart w:id="1263" w:name="_Toc503452305"/>
      <w:bookmarkStart w:id="1264" w:name="_Toc503797298"/>
      <w:bookmarkStart w:id="1265" w:name="_Toc503800755"/>
      <w:bookmarkStart w:id="1266" w:name="_Toc504142964"/>
      <w:bookmarkStart w:id="1267" w:name="_Toc504151670"/>
      <w:bookmarkStart w:id="1268" w:name="_Toc504382954"/>
      <w:bookmarkStart w:id="1269" w:name="_Toc504391097"/>
      <w:bookmarkStart w:id="1270" w:name="_Toc504403186"/>
      <w:bookmarkStart w:id="1271" w:name="_Toc504743656"/>
      <w:bookmarkStart w:id="1272" w:name="_Toc504751208"/>
      <w:bookmarkStart w:id="1273" w:name="_Toc504751382"/>
      <w:bookmarkStart w:id="1274" w:name="_Toc505182003"/>
      <w:bookmarkStart w:id="1275" w:name="_Toc505248657"/>
      <w:bookmarkStart w:id="1276" w:name="_Toc505266533"/>
      <w:bookmarkStart w:id="1277" w:name="_Toc505335384"/>
      <w:bookmarkStart w:id="1278" w:name="_Toc505345855"/>
      <w:bookmarkStart w:id="1279" w:name="_Toc505346443"/>
      <w:bookmarkStart w:id="1280" w:name="_Toc505856872"/>
      <w:bookmarkStart w:id="1281" w:name="_Toc505696685"/>
      <w:bookmarkStart w:id="1282" w:name="_Toc505698171"/>
      <w:bookmarkStart w:id="1283" w:name="_Toc505701684"/>
      <w:bookmarkStart w:id="1284" w:name="_Toc505705171"/>
      <w:bookmarkStart w:id="1285" w:name="_Toc505773161"/>
      <w:bookmarkStart w:id="1286" w:name="_Toc505862317"/>
      <w:bookmarkStart w:id="1287" w:name="_Toc505864882"/>
      <w:bookmarkStart w:id="1288" w:name="_Toc505868736"/>
      <w:bookmarkStart w:id="1289" w:name="_Toc505869203"/>
      <w:bookmarkStart w:id="1290" w:name="_Toc506363045"/>
      <w:bookmarkStart w:id="1291" w:name="_Toc506369542"/>
      <w:bookmarkStart w:id="1292" w:name="_Toc506376132"/>
      <w:bookmarkStart w:id="1293" w:name="_Toc506378445"/>
      <w:bookmarkStart w:id="1294" w:name="_Toc506378526"/>
      <w:bookmarkStart w:id="1295" w:name="_Toc509412625"/>
      <w:bookmarkStart w:id="1296" w:name="_Toc509414801"/>
      <w:bookmarkStart w:id="1297" w:name="_Toc509414857"/>
      <w:bookmarkEnd w:id="1262"/>
      <w:r>
        <w:rPr>
          <w:noProof/>
        </w:rPr>
        <w:t>Economic and data-specific impacts</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r>
        <w:rPr>
          <w:noProof/>
        </w:rPr>
        <w:t xml:space="preserve"> of the retained options</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p>
    <w:p w:rsidR="00DF1A33" w:rsidRDefault="00456F01">
      <w:pPr>
        <w:jc w:val="both"/>
        <w:rPr>
          <w:rFonts w:ascii="Times New Roman" w:hAnsi="Times New Roman" w:cs="Times New Roman"/>
          <w:noProof/>
          <w:sz w:val="24"/>
          <w:szCs w:val="24"/>
        </w:rPr>
      </w:pPr>
      <w:bookmarkStart w:id="1298" w:name="_Toc504142965"/>
      <w:bookmarkStart w:id="1299" w:name="_Toc504151671"/>
      <w:bookmarkStart w:id="1300" w:name="_Toc504382955"/>
      <w:bookmarkStart w:id="1301" w:name="_Toc504391098"/>
      <w:bookmarkStart w:id="1302" w:name="_Toc504403187"/>
      <w:bookmarkStart w:id="1303" w:name="_Toc504743657"/>
      <w:bookmarkStart w:id="1304" w:name="_Toc504751209"/>
      <w:bookmarkStart w:id="1305" w:name="_Toc504751383"/>
      <w:bookmarkStart w:id="1306" w:name="_Toc505182004"/>
      <w:bookmarkStart w:id="1307" w:name="_Toc505248658"/>
      <w:bookmarkStart w:id="1308" w:name="_Toc505266534"/>
      <w:bookmarkStart w:id="1309" w:name="_Toc505335385"/>
      <w:bookmarkStart w:id="1310" w:name="_Toc505345856"/>
      <w:bookmarkStart w:id="1311" w:name="_Toc505346444"/>
      <w:bookmarkStart w:id="1312" w:name="_Toc505696686"/>
      <w:bookmarkStart w:id="1313" w:name="_Toc505698172"/>
      <w:bookmarkStart w:id="1314" w:name="_Toc505701685"/>
      <w:bookmarkStart w:id="1315" w:name="_Toc505705172"/>
      <w:bookmarkStart w:id="1316" w:name="_Toc505773162"/>
      <w:bookmarkStart w:id="1317" w:name="_Toc505856873"/>
      <w:bookmarkStart w:id="1318" w:name="_Toc505862318"/>
      <w:bookmarkStart w:id="1319" w:name="_Toc505864883"/>
      <w:bookmarkStart w:id="1320" w:name="_Toc505868737"/>
      <w:bookmarkStart w:id="1321" w:name="_Toc505869204"/>
      <w:r>
        <w:rPr>
          <w:rFonts w:ascii="Times New Roman" w:hAnsi="Times New Roman" w:cs="Times New Roman"/>
          <w:noProof/>
          <w:sz w:val="24"/>
          <w:szCs w:val="24"/>
        </w:rPr>
        <w:t>Based on the available evidence and the extensive</w:t>
      </w:r>
      <w:r>
        <w:rPr>
          <w:rFonts w:ascii="Times New Roman" w:hAnsi="Times New Roman" w:cs="Times New Roman"/>
          <w:noProof/>
          <w:sz w:val="24"/>
          <w:szCs w:val="24"/>
        </w:rPr>
        <w:t xml:space="preserve"> earlier analytical work in this area, the Impact Assessment study calculated a baseline of the total direct economic value of public sector information for the EU28 of 52 billion EUR in 2018. The direct economic value is expected to increase until 2030 to</w:t>
      </w:r>
      <w:r>
        <w:rPr>
          <w:rFonts w:ascii="Times New Roman" w:hAnsi="Times New Roman" w:cs="Times New Roman"/>
          <w:noProof/>
          <w:sz w:val="24"/>
          <w:szCs w:val="24"/>
        </w:rPr>
        <w:t xml:space="preserve"> 149 billion EUR (+185%).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This development is expected to be triggered through different supply and demand side factors. On the supply side, an increasing number of public sector bodies is expected to open up their data due to the Directive, in addition </w:t>
      </w:r>
      <w:r>
        <w:rPr>
          <w:rFonts w:ascii="Times New Roman" w:hAnsi="Times New Roman" w:cs="Times New Roman"/>
          <w:noProof/>
          <w:sz w:val="24"/>
          <w:szCs w:val="24"/>
        </w:rPr>
        <w:t>to the increase in the re-use and value of data that is already available for re-use. On the demand side, it is expected that an increasing number of stakeholders will take advantage of more ample PSI in re-usable formats and of higher availability of APIs</w:t>
      </w:r>
      <w:r>
        <w:rPr>
          <w:rFonts w:ascii="Times New Roman" w:hAnsi="Times New Roman" w:cs="Times New Roman"/>
          <w:noProof/>
          <w:sz w:val="24"/>
          <w:szCs w:val="24"/>
        </w:rPr>
        <w:t>.</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As a consequence, the amount of data from various sources is expected to be higher in the future than today, while – simultaneously – its quality is expected to increase as well. This is expected to lead to an increased use of PSI by businesses, public a</w:t>
      </w:r>
      <w:r>
        <w:rPr>
          <w:rFonts w:ascii="Times New Roman" w:hAnsi="Times New Roman" w:cs="Times New Roman"/>
          <w:noProof/>
          <w:sz w:val="24"/>
          <w:szCs w:val="24"/>
        </w:rPr>
        <w:t>uthorities, as well as end users (through apps). Moreover, a decline of operational costs to acquire and process PSI is expected to enable businesses to develop more and better PSI-based services. This is expected to result in an increased economic value o</w:t>
      </w:r>
      <w:r>
        <w:rPr>
          <w:rFonts w:ascii="Times New Roman" w:hAnsi="Times New Roman" w:cs="Times New Roman"/>
          <w:noProof/>
          <w:sz w:val="24"/>
          <w:szCs w:val="24"/>
        </w:rPr>
        <w:t>ver time as the user base of PSI increases.</w:t>
      </w:r>
    </w:p>
    <w:p w:rsidR="00DF1A33" w:rsidRDefault="00456F01">
      <w:pPr>
        <w:jc w:val="both"/>
        <w:rPr>
          <w:rFonts w:ascii="Times New Roman" w:hAnsi="Times New Roman"/>
          <w:noProof/>
          <w:sz w:val="24"/>
        </w:rPr>
      </w:pPr>
      <w:r>
        <w:rPr>
          <w:rFonts w:ascii="Times New Roman" w:hAnsi="Times New Roman" w:cs="Times New Roman"/>
          <w:noProof/>
          <w:sz w:val="24"/>
          <w:szCs w:val="24"/>
        </w:rPr>
        <w:t xml:space="preserve">The graph below </w:t>
      </w:r>
      <w:r>
        <w:rPr>
          <w:rFonts w:ascii="Times New Roman" w:hAnsi="Times New Roman"/>
          <w:noProof/>
          <w:sz w:val="24"/>
        </w:rPr>
        <w:t xml:space="preserve">displays the expected development of direct economic value of PSI in the lower intensity and the higher intensity scenario, compared to the baseline scenario. The first scenario (policy option 1) </w:t>
      </w:r>
      <w:r>
        <w:rPr>
          <w:rFonts w:ascii="Times New Roman" w:hAnsi="Times New Roman"/>
          <w:noProof/>
          <w:sz w:val="24"/>
        </w:rPr>
        <w:t xml:space="preserve">is based on a combination of all the lower intensity regulatory elements described above. The second scenario (policy option 2) is based on a combination of all the higher intensity regulatory elements. The estimates have been modelled as an S-curve. </w:t>
      </w:r>
      <w:r>
        <w:rPr>
          <w:rFonts w:ascii="Times New Roman" w:hAnsi="Times New Roman" w:cs="Times New Roman"/>
          <w:noProof/>
          <w:sz w:val="24"/>
          <w:szCs w:val="24"/>
        </w:rPr>
        <w:t xml:space="preserve">With </w:t>
      </w:r>
      <w:r>
        <w:rPr>
          <w:rFonts w:ascii="Times New Roman" w:hAnsi="Times New Roman" w:cs="Times New Roman"/>
          <w:noProof/>
          <w:sz w:val="24"/>
          <w:szCs w:val="24"/>
        </w:rPr>
        <w:t>specific regard to PSI, this means that at some point in the future (+/- year 2028) the economic value of PSI is expected</w:t>
      </w:r>
      <w:r>
        <w:rPr>
          <w:rFonts w:ascii="Times New Roman" w:hAnsi="Times New Roman"/>
          <w:noProof/>
          <w:sz w:val="24"/>
        </w:rPr>
        <w:t xml:space="preserve"> to grow at a shrinking margin. Reasons for this can be, for example, that the most important data sources have been opened up and prov</w:t>
      </w:r>
      <w:r>
        <w:rPr>
          <w:rFonts w:ascii="Times New Roman" w:hAnsi="Times New Roman"/>
          <w:noProof/>
          <w:sz w:val="24"/>
        </w:rPr>
        <w:t>ided in a re-usable format. Moreover, in the saturation phase of the market, most consumers are expected to have purchased PSI-based goods and services. Therefore, the growth curve typically “flattens out” in the saturation phase of the market.</w:t>
      </w:r>
    </w:p>
    <w:p w:rsidR="00DF1A33" w:rsidRDefault="00456F01">
      <w:pPr>
        <w:keepNext/>
        <w:jc w:val="center"/>
        <w:rPr>
          <w:noProof/>
        </w:rPr>
      </w:pPr>
      <w:r>
        <w:rPr>
          <w:noProof/>
          <w:lang w:eastAsia="en-GB"/>
        </w:rPr>
        <w:drawing>
          <wp:inline distT="0" distB="0" distL="0" distR="0" wp14:anchorId="00495EC2" wp14:editId="19C4DDDE">
            <wp:extent cx="4202723" cy="1781908"/>
            <wp:effectExtent l="0" t="0" r="26670" b="27940"/>
            <wp:docPr id="2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F1A33" w:rsidRDefault="00456F01">
      <w:pPr>
        <w:pStyle w:val="Text2"/>
        <w:keepNext/>
        <w:ind w:left="142"/>
        <w:jc w:val="left"/>
        <w:rPr>
          <w:b/>
          <w:noProof/>
          <w:color w:val="4F81BD" w:themeColor="accent1"/>
          <w:sz w:val="18"/>
          <w:lang w:eastAsia="nl-NL"/>
        </w:rPr>
      </w:pPr>
      <w:r>
        <w:rPr>
          <w:b/>
          <w:noProof/>
          <w:color w:val="4F81BD" w:themeColor="accent1"/>
          <w:sz w:val="18"/>
          <w:lang w:eastAsia="nl-NL"/>
        </w:rPr>
        <w:t xml:space="preserve">Figure </w:t>
      </w:r>
      <w:r>
        <w:rPr>
          <w:b/>
          <w:noProof/>
          <w:color w:val="4F81BD" w:themeColor="accent1"/>
          <w:sz w:val="18"/>
          <w:lang w:eastAsia="nl-NL"/>
        </w:rPr>
        <w:fldChar w:fldCharType="begin"/>
      </w:r>
      <w:r>
        <w:rPr>
          <w:b/>
          <w:noProof/>
          <w:color w:val="4F81BD" w:themeColor="accent1"/>
          <w:sz w:val="18"/>
          <w:lang w:eastAsia="nl-NL"/>
        </w:rPr>
        <w:instrText xml:space="preserve"> S</w:instrText>
      </w:r>
      <w:r>
        <w:rPr>
          <w:b/>
          <w:noProof/>
          <w:color w:val="4F81BD" w:themeColor="accent1"/>
          <w:sz w:val="18"/>
          <w:lang w:eastAsia="nl-NL"/>
        </w:rPr>
        <w:instrText xml:space="preserve">EQ Figure \* ARABIC </w:instrText>
      </w:r>
      <w:r>
        <w:rPr>
          <w:b/>
          <w:noProof/>
          <w:color w:val="4F81BD" w:themeColor="accent1"/>
          <w:sz w:val="18"/>
          <w:lang w:eastAsia="nl-NL"/>
        </w:rPr>
        <w:fldChar w:fldCharType="separate"/>
      </w:r>
      <w:r>
        <w:rPr>
          <w:b/>
          <w:noProof/>
          <w:color w:val="4F81BD" w:themeColor="accent1"/>
          <w:sz w:val="18"/>
          <w:lang w:eastAsia="nl-NL"/>
        </w:rPr>
        <w:t>4</w:t>
      </w:r>
      <w:r>
        <w:rPr>
          <w:b/>
          <w:noProof/>
          <w:color w:val="4F81BD" w:themeColor="accent1"/>
          <w:sz w:val="18"/>
          <w:lang w:eastAsia="nl-NL"/>
        </w:rPr>
        <w:fldChar w:fldCharType="end"/>
      </w:r>
      <w:r>
        <w:rPr>
          <w:b/>
          <w:noProof/>
          <w:color w:val="4F81BD" w:themeColor="accent1"/>
          <w:sz w:val="18"/>
          <w:lang w:eastAsia="nl-NL"/>
        </w:rPr>
        <w:t xml:space="preserve"> - Impact of the different Policy Options on the direct economic value of PSI (EU28, 2018-2030)</w:t>
      </w:r>
      <w:r>
        <w:rPr>
          <w:b/>
          <w:noProof/>
          <w:color w:val="4F81BD" w:themeColor="accent1"/>
          <w:sz w:val="18"/>
          <w:lang w:eastAsia="nl-NL"/>
        </w:rPr>
        <w:br/>
        <w:t xml:space="preserve">Source: Impact Assessment Support Study, Deloitte, 2018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In 2028, i.e. the year in which the relative differences in economic value are</w:t>
      </w:r>
      <w:r>
        <w:rPr>
          <w:rFonts w:ascii="Times New Roman" w:hAnsi="Times New Roman" w:cs="Times New Roman"/>
          <w:noProof/>
          <w:sz w:val="24"/>
          <w:szCs w:val="24"/>
        </w:rPr>
        <w:t xml:space="preserve"> expected to be largest between the policy options, the value could increase to:</w:t>
      </w:r>
    </w:p>
    <w:p w:rsidR="00DF1A33" w:rsidRDefault="00456F01">
      <w:pPr>
        <w:numPr>
          <w:ilvl w:val="0"/>
          <w:numId w:val="15"/>
        </w:numPr>
        <w:spacing w:before="120" w:after="160" w:line="259"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EUR 194 billion if the lower intensity regulatory intervention was introduced (+ EUR 142 billion, 273%); and</w:t>
      </w:r>
    </w:p>
    <w:p w:rsidR="00DF1A33" w:rsidRDefault="00456F01">
      <w:pPr>
        <w:numPr>
          <w:ilvl w:val="0"/>
          <w:numId w:val="15"/>
        </w:numPr>
        <w:spacing w:before="120" w:after="160" w:line="259" w:lineRule="auto"/>
        <w:contextualSpacing/>
        <w:jc w:val="both"/>
        <w:rPr>
          <w:noProof/>
          <w:szCs w:val="24"/>
        </w:rPr>
      </w:pPr>
      <w:r>
        <w:rPr>
          <w:rFonts w:ascii="Times New Roman" w:hAnsi="Times New Roman" w:cs="Times New Roman"/>
          <w:noProof/>
          <w:sz w:val="24"/>
          <w:szCs w:val="24"/>
        </w:rPr>
        <w:t xml:space="preserve">EUR 215 billion if the higher intensity regulatory intervention </w:t>
      </w:r>
      <w:r>
        <w:rPr>
          <w:rFonts w:ascii="Times New Roman" w:hAnsi="Times New Roman" w:cs="Times New Roman"/>
          <w:noProof/>
          <w:sz w:val="24"/>
          <w:szCs w:val="24"/>
        </w:rPr>
        <w:t>was introduced (+ EUR 163 billion, 313%).</w:t>
      </w:r>
    </w:p>
    <w:p w:rsidR="00DF1A33" w:rsidRDefault="00456F01">
      <w:pPr>
        <w:jc w:val="both"/>
        <w:rPr>
          <w:noProof/>
          <w:szCs w:val="24"/>
        </w:rPr>
      </w:pPr>
      <w:r>
        <w:rPr>
          <w:rFonts w:ascii="Times New Roman" w:hAnsi="Times New Roman" w:cs="Times New Roman"/>
          <w:noProof/>
          <w:sz w:val="24"/>
          <w:szCs w:val="24"/>
        </w:rPr>
        <w:t>Both scenarios are considerably better than the baseline scenario, and in terms of impact the higher intensity regulatory intervention trumps the lower intensity scenario.</w:t>
      </w:r>
    </w:p>
    <w:p w:rsidR="00DF1A33" w:rsidRDefault="00456F01">
      <w:pPr>
        <w:jc w:val="both"/>
        <w:rPr>
          <w:rFonts w:ascii="Times New Roman" w:hAnsi="Times New Roman"/>
          <w:noProof/>
          <w:sz w:val="24"/>
        </w:rPr>
      </w:pPr>
      <w:r>
        <w:rPr>
          <w:rFonts w:ascii="Times New Roman" w:hAnsi="Times New Roman" w:cs="Times New Roman"/>
          <w:noProof/>
          <w:sz w:val="24"/>
          <w:szCs w:val="24"/>
        </w:rPr>
        <w:t>In terms of job creation, today 64,000 per</w:t>
      </w:r>
      <w:r>
        <w:rPr>
          <w:rFonts w:ascii="Times New Roman" w:hAnsi="Times New Roman" w:cs="Times New Roman"/>
          <w:noProof/>
          <w:sz w:val="24"/>
          <w:szCs w:val="24"/>
        </w:rPr>
        <w:t>sons are employed based on PSI re-use. In 2027, i.e. the year in which the relative differences in the number of persons employed in the (data-driven) economy are expected to be largest between the policy options, the value could increase to 709,000 person</w:t>
      </w:r>
      <w:r>
        <w:rPr>
          <w:rFonts w:ascii="Times New Roman" w:hAnsi="Times New Roman" w:cs="Times New Roman"/>
          <w:noProof/>
          <w:sz w:val="24"/>
          <w:szCs w:val="24"/>
        </w:rPr>
        <w:t>s based on the lower intensity regulatory intervention and 795,000 based on the higher intensity regulatory intervention. This is considerably higher than the baseline scenario (518,000 persons employed).</w:t>
      </w:r>
      <w:r>
        <w:rPr>
          <w:rStyle w:val="FootnoteReference"/>
          <w:rFonts w:ascii="Times New Roman" w:hAnsi="Times New Roman" w:cs="Times New Roman"/>
          <w:noProof/>
          <w:sz w:val="24"/>
          <w:szCs w:val="24"/>
        </w:rPr>
        <w:footnoteReference w:id="132"/>
      </w:r>
      <w:r>
        <w:rPr>
          <w:rFonts w:ascii="Times New Roman" w:hAnsi="Times New Roman" w:cs="Times New Roman"/>
          <w:noProof/>
          <w:sz w:val="24"/>
          <w:szCs w:val="24"/>
        </w:rPr>
        <w:t xml:space="preserve"> This figure may seem very high, but the example of</w:t>
      </w:r>
      <w:r>
        <w:rPr>
          <w:rFonts w:ascii="Times New Roman" w:hAnsi="Times New Roman" w:cs="Times New Roman"/>
          <w:noProof/>
          <w:sz w:val="24"/>
          <w:szCs w:val="24"/>
        </w:rPr>
        <w:t xml:space="preserve"> Transport for London mentioned in section 2.2.4. (730 extra jobs created based on TfL data) indicates the potential for innovation and economic activity powered by open data.</w:t>
      </w:r>
    </w:p>
    <w:p w:rsidR="00DF1A33" w:rsidRDefault="00456F01">
      <w:pPr>
        <w:jc w:val="both"/>
        <w:rPr>
          <w:rFonts w:ascii="Times New Roman" w:hAnsi="Times New Roman"/>
          <w:noProof/>
          <w:sz w:val="24"/>
        </w:rPr>
      </w:pPr>
      <w:r>
        <w:rPr>
          <w:rFonts w:ascii="Times New Roman" w:hAnsi="Times New Roman" w:cs="Times New Roman"/>
          <w:noProof/>
          <w:sz w:val="24"/>
          <w:szCs w:val="24"/>
        </w:rPr>
        <w:t xml:space="preserve">As for the cost of making PSI available for re-use, under the baseline scenario </w:t>
      </w:r>
      <w:r>
        <w:rPr>
          <w:rFonts w:ascii="Times New Roman" w:hAnsi="Times New Roman" w:cs="Times New Roman"/>
          <w:noProof/>
          <w:sz w:val="24"/>
          <w:szCs w:val="24"/>
        </w:rPr>
        <w:t>it will be in the region of 3.8 billion EUR by 2030. The lower intensity intervention is expected to reduce it to almost 3 billion EUR, and the higher intensity intervention could lead to an even greater reduction to 2.5 billion EUR (approx. 21% and 34% lo</w:t>
      </w:r>
      <w:r>
        <w:rPr>
          <w:rFonts w:ascii="Times New Roman" w:hAnsi="Times New Roman" w:cs="Times New Roman"/>
          <w:noProof/>
          <w:sz w:val="24"/>
          <w:szCs w:val="24"/>
        </w:rPr>
        <w:t>wer than the baseline, respectively).</w:t>
      </w:r>
      <w:r>
        <w:rPr>
          <w:rStyle w:val="FootnoteReference"/>
          <w:rFonts w:ascii="Times New Roman" w:hAnsi="Times New Roman" w:cs="Times New Roman"/>
          <w:noProof/>
          <w:sz w:val="24"/>
          <w:szCs w:val="24"/>
        </w:rPr>
        <w:footnoteReference w:id="133"/>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Three main elements were taken into account in the Impact Assessment study to estimate the costs and their development:</w:t>
      </w:r>
    </w:p>
    <w:p w:rsidR="00DF1A33" w:rsidRDefault="00456F01">
      <w:pPr>
        <w:pStyle w:val="ListParagraph"/>
        <w:numPr>
          <w:ilvl w:val="0"/>
          <w:numId w:val="21"/>
        </w:numPr>
        <w:jc w:val="both"/>
        <w:rPr>
          <w:rFonts w:ascii="Times New Roman" w:hAnsi="Times New Roman" w:cs="Times New Roman"/>
          <w:noProof/>
          <w:sz w:val="24"/>
          <w:szCs w:val="24"/>
        </w:rPr>
      </w:pPr>
      <w:r>
        <w:rPr>
          <w:rFonts w:ascii="Times New Roman" w:hAnsi="Times New Roman" w:cs="Times New Roman"/>
          <w:noProof/>
          <w:sz w:val="24"/>
          <w:szCs w:val="24"/>
        </w:rPr>
        <w:t>the number of affected stakeholders and their expected development (i.e. contracting authorities,</w:t>
      </w:r>
      <w:r>
        <w:rPr>
          <w:rFonts w:ascii="Times New Roman" w:hAnsi="Times New Roman" w:cs="Times New Roman"/>
          <w:noProof/>
          <w:sz w:val="24"/>
          <w:szCs w:val="24"/>
        </w:rPr>
        <w:t xml:space="preserve"> cultural institutions, entities in the transport and utilities sectors, and research establishments);</w:t>
      </w:r>
    </w:p>
    <w:p w:rsidR="00DF1A33" w:rsidRDefault="00456F01">
      <w:pPr>
        <w:pStyle w:val="ListParagraph"/>
        <w:numPr>
          <w:ilvl w:val="0"/>
          <w:numId w:val="21"/>
        </w:numPr>
        <w:jc w:val="both"/>
        <w:rPr>
          <w:rFonts w:ascii="Times New Roman" w:hAnsi="Times New Roman" w:cs="Times New Roman"/>
          <w:noProof/>
          <w:sz w:val="24"/>
          <w:szCs w:val="24"/>
        </w:rPr>
      </w:pPr>
      <w:r>
        <w:rPr>
          <w:rFonts w:ascii="Times New Roman" w:hAnsi="Times New Roman" w:cs="Times New Roman"/>
          <w:noProof/>
          <w:sz w:val="24"/>
          <w:szCs w:val="24"/>
        </w:rPr>
        <w:t>the expected average cost per year to open PSI per stakeholder</w:t>
      </w:r>
      <w:r>
        <w:rPr>
          <w:rStyle w:val="FootnoteReference"/>
          <w:rFonts w:ascii="Times New Roman" w:hAnsi="Times New Roman" w:cs="Times New Roman"/>
          <w:noProof/>
          <w:sz w:val="24"/>
          <w:szCs w:val="24"/>
        </w:rPr>
        <w:footnoteReference w:id="134"/>
      </w:r>
      <w:r>
        <w:rPr>
          <w:rFonts w:ascii="Times New Roman" w:hAnsi="Times New Roman" w:cs="Times New Roman"/>
          <w:noProof/>
          <w:sz w:val="24"/>
          <w:szCs w:val="24"/>
        </w:rPr>
        <w:t>; and</w:t>
      </w:r>
    </w:p>
    <w:p w:rsidR="00DF1A33" w:rsidRDefault="00456F01">
      <w:pPr>
        <w:pStyle w:val="ListParagraph"/>
        <w:numPr>
          <w:ilvl w:val="0"/>
          <w:numId w:val="21"/>
        </w:numPr>
        <w:jc w:val="both"/>
        <w:rPr>
          <w:rFonts w:ascii="Times New Roman" w:hAnsi="Times New Roman" w:cs="Times New Roman"/>
          <w:noProof/>
          <w:sz w:val="24"/>
          <w:szCs w:val="24"/>
        </w:rPr>
      </w:pPr>
      <w:r>
        <w:rPr>
          <w:rFonts w:ascii="Times New Roman" w:hAnsi="Times New Roman" w:cs="Times New Roman"/>
          <w:noProof/>
          <w:sz w:val="24"/>
          <w:szCs w:val="24"/>
        </w:rPr>
        <w:t>the projected decrease of the annual costs based on the growth model applied for thi</w:t>
      </w:r>
      <w:r>
        <w:rPr>
          <w:rFonts w:ascii="Times New Roman" w:hAnsi="Times New Roman" w:cs="Times New Roman"/>
          <w:noProof/>
          <w:sz w:val="24"/>
          <w:szCs w:val="24"/>
        </w:rPr>
        <w:t>s study (see also Annex 8).</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The costs and their development in the baseline scenario are subject to two variables: the increasing number of public authorities and businesses affected by / using PSI, as well as the decline in costs based on theory and assum</w:t>
      </w:r>
      <w:r>
        <w:rPr>
          <w:rFonts w:ascii="Times New Roman" w:hAnsi="Times New Roman" w:cs="Times New Roman"/>
          <w:noProof/>
          <w:sz w:val="24"/>
          <w:szCs w:val="24"/>
        </w:rPr>
        <w:t>ptions used in the growth model (see also Annex 8).</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Similar to the increase of the economic value of PSI, the decrease in costs to acquire and process PSI is driven by both its increased availability and use: through additional public sector bodies opening</w:t>
      </w:r>
      <w:r>
        <w:rPr>
          <w:rFonts w:ascii="Times New Roman" w:hAnsi="Times New Roman" w:cs="Times New Roman"/>
          <w:noProof/>
          <w:sz w:val="24"/>
          <w:szCs w:val="24"/>
        </w:rPr>
        <w:t xml:space="preserve"> up their data, businesses are expected to be able to develop more and better PSI-based services. </w:t>
      </w:r>
      <w:r>
        <w:rPr>
          <w:rFonts w:ascii="Times New Roman" w:hAnsi="Times New Roman"/>
          <w:noProof/>
          <w:sz w:val="24"/>
          <w:szCs w:val="24"/>
        </w:rPr>
        <w:t>These services correspond to an increased need by end-users for such services which, in turn, is expected to translate into increased turnover for businesses,</w:t>
      </w:r>
      <w:r>
        <w:rPr>
          <w:rFonts w:ascii="Times New Roman" w:hAnsi="Times New Roman"/>
          <w:noProof/>
          <w:sz w:val="24"/>
          <w:szCs w:val="24"/>
        </w:rPr>
        <w:t xml:space="preserve"> and better performance of public sector bodies.</w:t>
      </w:r>
      <w:r>
        <w:rPr>
          <w:rStyle w:val="FootnoteReference"/>
          <w:rFonts w:ascii="Times New Roman" w:hAnsi="Times New Roman"/>
          <w:noProof/>
          <w:sz w:val="24"/>
          <w:szCs w:val="24"/>
        </w:rPr>
        <w:footnoteReference w:id="135"/>
      </w:r>
      <w:r>
        <w:rPr>
          <w:rFonts w:ascii="Times New Roman" w:hAnsi="Times New Roman"/>
          <w:noProof/>
          <w:sz w:val="24"/>
          <w:szCs w:val="24"/>
        </w:rPr>
        <w:t xml:space="preserve"> </w:t>
      </w:r>
      <w:r>
        <w:rPr>
          <w:rFonts w:ascii="Times New Roman" w:hAnsi="Times New Roman" w:cs="Times New Roman"/>
          <w:noProof/>
          <w:sz w:val="24"/>
          <w:szCs w:val="24"/>
        </w:rPr>
        <w:t>This does not only improve stakeholders experience with PSI but also enables investments in the quality and re-usability of PSI by public sector bodies. Thus, data provision and service development are expe</w:t>
      </w:r>
      <w:r>
        <w:rPr>
          <w:rFonts w:ascii="Times New Roman" w:hAnsi="Times New Roman" w:cs="Times New Roman"/>
          <w:noProof/>
          <w:sz w:val="24"/>
          <w:szCs w:val="24"/>
        </w:rPr>
        <w:t>cted to become more efficient. This is expected to translate into lowered costs for both the provision of re-usable PSI, and its acquisition and processing by businesses.</w:t>
      </w:r>
    </w:p>
    <w:p w:rsidR="00DF1A33" w:rsidRDefault="00456F01">
      <w:pPr>
        <w:pStyle w:val="Heading3"/>
        <w:keepLines/>
        <w:spacing w:before="200" w:after="0" w:line="276" w:lineRule="auto"/>
        <w:ind w:left="720"/>
        <w:rPr>
          <w:noProof/>
          <w:u w:val="single"/>
        </w:rPr>
      </w:pPr>
      <w:bookmarkStart w:id="1322" w:name="_Toc506363046"/>
      <w:bookmarkStart w:id="1323" w:name="_Toc506369543"/>
      <w:bookmarkStart w:id="1324" w:name="_Toc506376133"/>
      <w:bookmarkStart w:id="1325" w:name="_Toc506378446"/>
      <w:bookmarkStart w:id="1326" w:name="_Toc506378527"/>
      <w:bookmarkStart w:id="1327" w:name="_Toc509412626"/>
      <w:bookmarkStart w:id="1328" w:name="_Toc509414802"/>
      <w:bookmarkStart w:id="1329" w:name="_Toc509414858"/>
      <w:r>
        <w:rPr>
          <w:noProof/>
          <w:u w:val="single"/>
        </w:rPr>
        <w:t>Baseline scenario</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Chapter 8.2.1. of the Impact Assessment study includes a detailed d</w:t>
      </w:r>
      <w:r>
        <w:rPr>
          <w:rFonts w:ascii="Times New Roman" w:hAnsi="Times New Roman" w:cs="Times New Roman"/>
          <w:noProof/>
          <w:sz w:val="24"/>
          <w:szCs w:val="24"/>
        </w:rPr>
        <w:t xml:space="preserve">escription of the trends underlying the overall estimated impact of the baseline scenario (treated for the purpose of the study as a separate policy option). For instance, apart from the beneficial </w:t>
      </w:r>
      <w:r>
        <w:rPr>
          <w:rFonts w:ascii="Times New Roman" w:hAnsi="Times New Roman"/>
          <w:noProof/>
          <w:sz w:val="24"/>
        </w:rPr>
        <w:t xml:space="preserve">effects of the legislative framework already in place, </w:t>
      </w:r>
      <w:r>
        <w:rPr>
          <w:rFonts w:ascii="Times New Roman" w:hAnsi="Times New Roman" w:cs="Times New Roman"/>
          <w:noProof/>
          <w:sz w:val="24"/>
          <w:szCs w:val="24"/>
        </w:rPr>
        <w:t>the</w:t>
      </w:r>
      <w:r>
        <w:rPr>
          <w:rFonts w:ascii="Times New Roman" w:hAnsi="Times New Roman" w:cs="Times New Roman"/>
          <w:noProof/>
          <w:sz w:val="24"/>
          <w:szCs w:val="24"/>
        </w:rPr>
        <w:t xml:space="preserve"> number of companies using data is expected to steadily increase by 182% until 2030 while the share of employment in knowledge-intensive sectors is expected to increase until 2030 to about 52% of EU's total labour force. The baseline scenario does therefor</w:t>
      </w:r>
      <w:r>
        <w:rPr>
          <w:rFonts w:ascii="Times New Roman" w:hAnsi="Times New Roman" w:cs="Times New Roman"/>
          <w:noProof/>
          <w:sz w:val="24"/>
          <w:szCs w:val="24"/>
        </w:rPr>
        <w:t>e present a growth curve, starting with the current total economic value of PSI of 236 billion Euro. It is expected that this value could increase to 672 billion Euro in 2030, or to EUR 150 billion in terms of direct economic impact (assuming a ratio of 3.</w:t>
      </w:r>
      <w:r>
        <w:rPr>
          <w:rFonts w:ascii="Times New Roman" w:hAnsi="Times New Roman" w:cs="Times New Roman"/>
          <w:noProof/>
          <w:sz w:val="24"/>
          <w:szCs w:val="24"/>
        </w:rPr>
        <w:t xml:space="preserve">5 – 3.8 between direct and indirect value, based on earlier studies). </w:t>
      </w:r>
    </w:p>
    <w:p w:rsidR="00DF1A33" w:rsidRDefault="00456F01">
      <w:pPr>
        <w:jc w:val="both"/>
        <w:rPr>
          <w:rFonts w:ascii="Times New Roman" w:hAnsi="Times New Roman"/>
          <w:noProof/>
          <w:sz w:val="24"/>
        </w:rPr>
      </w:pPr>
      <w:r>
        <w:rPr>
          <w:rFonts w:ascii="Times New Roman" w:hAnsi="Times New Roman"/>
          <w:noProof/>
          <w:sz w:val="24"/>
        </w:rPr>
        <w:t>The following sections of the report, in line with the Impact Assessment study, assess the impact of the two policy options defined in chapter 5.2. with reference to the trends and figu</w:t>
      </w:r>
      <w:r>
        <w:rPr>
          <w:rFonts w:ascii="Times New Roman" w:hAnsi="Times New Roman"/>
          <w:noProof/>
          <w:sz w:val="24"/>
        </w:rPr>
        <w:t>res presented for the baseline scenario in the current section.</w:t>
      </w:r>
    </w:p>
    <w:p w:rsidR="00DF1A33" w:rsidRDefault="00456F01">
      <w:pPr>
        <w:jc w:val="both"/>
        <w:rPr>
          <w:rFonts w:ascii="Times New Roman" w:hAnsi="Times New Roman"/>
          <w:noProof/>
          <w:sz w:val="24"/>
        </w:rPr>
      </w:pPr>
      <w:r>
        <w:rPr>
          <w:rFonts w:ascii="Times New Roman" w:hAnsi="Times New Roman"/>
          <w:noProof/>
          <w:sz w:val="24"/>
        </w:rPr>
        <w:t xml:space="preserve">Despite the overall positive trend, the lack of policy reaction to the identified problems would not allow the expected benefits of open data to fully develop. For example, a mismatch between </w:t>
      </w:r>
      <w:r>
        <w:rPr>
          <w:rFonts w:ascii="Times New Roman" w:hAnsi="Times New Roman"/>
          <w:noProof/>
          <w:sz w:val="24"/>
        </w:rPr>
        <w:t>the provision of the kind of data sought after by commercial re-users (real-time data streamed via APIs, data relevant for utility sectors such as transport and energy) and the kind of data generally offered by public sector bodies can lead to the waning o</w:t>
      </w:r>
      <w:r>
        <w:rPr>
          <w:rFonts w:ascii="Times New Roman" w:hAnsi="Times New Roman"/>
          <w:noProof/>
          <w:sz w:val="24"/>
        </w:rPr>
        <w:t>f interest in public datasets on the part of re-users, especially if the methods used to allow acces are outdated.</w:t>
      </w:r>
      <w:r>
        <w:rPr>
          <w:rStyle w:val="FootnoteReference"/>
          <w:rFonts w:ascii="Times New Roman" w:hAnsi="Times New Roman"/>
          <w:noProof/>
          <w:sz w:val="24"/>
        </w:rPr>
        <w:footnoteReference w:id="136"/>
      </w:r>
    </w:p>
    <w:p w:rsidR="00DF1A33" w:rsidRDefault="00456F01">
      <w:pPr>
        <w:jc w:val="both"/>
        <w:rPr>
          <w:rFonts w:ascii="Times New Roman" w:hAnsi="Times New Roman"/>
          <w:noProof/>
          <w:sz w:val="24"/>
        </w:rPr>
      </w:pPr>
      <w:r>
        <w:rPr>
          <w:rFonts w:ascii="Times New Roman" w:hAnsi="Times New Roman"/>
          <w:noProof/>
          <w:sz w:val="24"/>
        </w:rPr>
        <w:t>While the ongoing efforts to open up data on the sectoral level (mentioned in chapter 2.2.4.1) would contribute to the overall growth of dat</w:t>
      </w:r>
      <w:r>
        <w:rPr>
          <w:rFonts w:ascii="Times New Roman" w:hAnsi="Times New Roman"/>
          <w:noProof/>
          <w:sz w:val="24"/>
        </w:rPr>
        <w:t>a re-use, and the associated expected benefits</w:t>
      </w:r>
      <w:r>
        <w:rPr>
          <w:rStyle w:val="FootnoteReference"/>
          <w:rFonts w:ascii="Times New Roman" w:hAnsi="Times New Roman"/>
          <w:noProof/>
          <w:sz w:val="24"/>
        </w:rPr>
        <w:footnoteReference w:id="137"/>
      </w:r>
      <w:r>
        <w:rPr>
          <w:rFonts w:ascii="Times New Roman" w:hAnsi="Times New Roman"/>
          <w:noProof/>
          <w:sz w:val="24"/>
        </w:rPr>
        <w:t xml:space="preserve">, the disparities in data availability and the risk of market fragmentation across the EU would not be fully addressed, e.g. in the area of charging the </w:t>
      </w:r>
      <w:r>
        <w:rPr>
          <w:rFonts w:ascii="Times New Roman" w:hAnsi="Times New Roman"/>
          <w:i/>
          <w:noProof/>
          <w:sz w:val="24"/>
        </w:rPr>
        <w:t>status quo</w:t>
      </w:r>
      <w:r>
        <w:rPr>
          <w:rFonts w:ascii="Times New Roman" w:hAnsi="Times New Roman"/>
          <w:noProof/>
          <w:sz w:val="24"/>
        </w:rPr>
        <w:t xml:space="preserve"> would solidify current practices with regard to high-value datasets. Larger companies with sufficient means to acquire data would fortify their market position while the smaller commercial re-users would be forced to try to innovate on other, less attract</w:t>
      </w:r>
      <w:r>
        <w:rPr>
          <w:rFonts w:ascii="Times New Roman" w:hAnsi="Times New Roman"/>
          <w:noProof/>
          <w:sz w:val="24"/>
        </w:rPr>
        <w:t>ive datasets. Similar considerations apply to the exclusivity issue.</w:t>
      </w:r>
      <w:bookmarkStart w:id="1330" w:name="_Toc504142967"/>
      <w:bookmarkStart w:id="1331" w:name="_Toc504151673"/>
      <w:bookmarkStart w:id="1332" w:name="_Toc504382957"/>
      <w:bookmarkStart w:id="1333" w:name="_Toc504391100"/>
      <w:bookmarkStart w:id="1334" w:name="_Toc504403189"/>
      <w:bookmarkStart w:id="1335" w:name="_Toc504743659"/>
      <w:bookmarkStart w:id="1336" w:name="_Toc504751211"/>
      <w:bookmarkStart w:id="1337" w:name="_Toc504751385"/>
      <w:bookmarkStart w:id="1338" w:name="_Toc505182006"/>
      <w:bookmarkStart w:id="1339" w:name="_Toc505248660"/>
      <w:bookmarkStart w:id="1340" w:name="_Toc505266536"/>
      <w:bookmarkStart w:id="1341" w:name="_Toc505345857"/>
      <w:bookmarkStart w:id="1342" w:name="_Toc505346445"/>
      <w:bookmarkStart w:id="1343" w:name="_Toc505856874"/>
      <w:bookmarkStart w:id="1344" w:name="_Toc505696687"/>
      <w:bookmarkStart w:id="1345" w:name="_Toc505698173"/>
      <w:bookmarkStart w:id="1346" w:name="_Toc505701686"/>
      <w:bookmarkStart w:id="1347" w:name="_Toc505705173"/>
      <w:bookmarkStart w:id="1348" w:name="_Toc505773163"/>
      <w:bookmarkStart w:id="1349" w:name="_Toc505862319"/>
      <w:bookmarkStart w:id="1350" w:name="_Toc505864884"/>
      <w:bookmarkStart w:id="1351" w:name="_Toc505868738"/>
      <w:bookmarkStart w:id="1352" w:name="_Toc505869205"/>
      <w:bookmarkStart w:id="1353" w:name="_Toc506363047"/>
      <w:bookmarkStart w:id="1354" w:name="_Toc506369544"/>
      <w:bookmarkStart w:id="1355" w:name="_Toc506376134"/>
      <w:bookmarkStart w:id="1356" w:name="_Toc506378447"/>
      <w:bookmarkStart w:id="1357" w:name="_Toc506378528"/>
      <w:bookmarkStart w:id="1358" w:name="_Toc504142966"/>
      <w:bookmarkStart w:id="1359" w:name="_Toc504151672"/>
      <w:bookmarkStart w:id="1360" w:name="_Toc504382956"/>
      <w:bookmarkStart w:id="1361" w:name="_Toc504391099"/>
      <w:bookmarkStart w:id="1362" w:name="_Toc504403188"/>
      <w:bookmarkStart w:id="1363" w:name="_Toc504743658"/>
      <w:bookmarkStart w:id="1364" w:name="_Toc504751210"/>
      <w:bookmarkStart w:id="1365" w:name="_Toc504751384"/>
      <w:bookmarkStart w:id="1366" w:name="_Toc505182005"/>
      <w:bookmarkStart w:id="1367" w:name="_Toc505248659"/>
      <w:bookmarkStart w:id="1368" w:name="_Toc505266535"/>
    </w:p>
    <w:p w:rsidR="00DF1A33" w:rsidRDefault="00456F01">
      <w:pPr>
        <w:pStyle w:val="Heading3"/>
        <w:keepLines/>
        <w:tabs>
          <w:tab w:val="clear" w:pos="1004"/>
        </w:tabs>
        <w:spacing w:before="200" w:after="0" w:line="276" w:lineRule="auto"/>
        <w:ind w:left="720"/>
        <w:rPr>
          <w:noProof/>
          <w:u w:val="single"/>
        </w:rPr>
      </w:pPr>
      <w:bookmarkStart w:id="1369" w:name="_Toc509412627"/>
      <w:bookmarkStart w:id="1370" w:name="_Toc509414803"/>
      <w:bookmarkStart w:id="1371" w:name="_Toc509414859"/>
      <w:r>
        <w:rPr>
          <w:noProof/>
          <w:u w:val="single"/>
        </w:rPr>
        <w:t xml:space="preserve">Policy Option 1 - Packaged solution: lower intensity of </w:t>
      </w:r>
      <w:bookmarkEnd w:id="1330"/>
      <w:r>
        <w:rPr>
          <w:noProof/>
          <w:u w:val="single"/>
        </w:rPr>
        <w:t xml:space="preserve">regulatory </w:t>
      </w:r>
      <w:bookmarkEnd w:id="1331"/>
      <w:r>
        <w:rPr>
          <w:noProof/>
          <w:u w:val="single"/>
        </w:rPr>
        <w:t>intervention</w:t>
      </w:r>
      <w:bookmarkStart w:id="1372" w:name="_Toc505856875"/>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72"/>
      <w:bookmarkEnd w:id="1369"/>
      <w:bookmarkEnd w:id="1370"/>
      <w:bookmarkEnd w:id="1371"/>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This option combines all the elements, both binding and non-binding, with the lower overall intensity of </w:t>
      </w:r>
      <w:r>
        <w:rPr>
          <w:rFonts w:ascii="Times New Roman" w:hAnsi="Times New Roman" w:cs="Times New Roman"/>
          <w:noProof/>
          <w:sz w:val="24"/>
          <w:szCs w:val="24"/>
        </w:rPr>
        <w:t>regulatory intervention.</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This option is likely to </w:t>
      </w:r>
      <w:r>
        <w:rPr>
          <w:rFonts w:ascii="Times New Roman" w:hAnsi="Times New Roman"/>
          <w:b/>
          <w:noProof/>
          <w:sz w:val="24"/>
        </w:rPr>
        <w:t>increase the availability of dynamic data</w:t>
      </w:r>
      <w:r>
        <w:rPr>
          <w:rFonts w:ascii="Times New Roman" w:hAnsi="Times New Roman" w:cs="Times New Roman"/>
          <w:noProof/>
          <w:sz w:val="24"/>
          <w:szCs w:val="24"/>
        </w:rPr>
        <w:t xml:space="preserve"> and the use of modern dissemination tools, while taking into account the technological maturity level of the public sector body in question. A soft obligation (not </w:t>
      </w:r>
      <w:r>
        <w:rPr>
          <w:rFonts w:ascii="Times New Roman" w:hAnsi="Times New Roman" w:cs="Times New Roman"/>
          <w:noProof/>
          <w:sz w:val="24"/>
          <w:szCs w:val="24"/>
        </w:rPr>
        <w:t>applicable across the board) would have an impact on the bodies holding high value data while minimising costs for smaller entities. It would thus be a proportionate and efficient way of addressing this problem area. An obligation can, however, be introduc</w:t>
      </w:r>
      <w:r>
        <w:rPr>
          <w:rFonts w:ascii="Times New Roman" w:hAnsi="Times New Roman" w:cs="Times New Roman"/>
          <w:noProof/>
          <w:sz w:val="24"/>
          <w:szCs w:val="24"/>
        </w:rPr>
        <w:t>ed for a limited number of datasets.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834"/>
      </w:tblGrid>
      <w:tr w:rsidR="00DF1A33">
        <w:tc>
          <w:tcPr>
            <w:tcW w:w="8834" w:type="dxa"/>
          </w:tcPr>
          <w:p w:rsidR="00DF1A33" w:rsidRDefault="00456F01">
            <w:pPr>
              <w:jc w:val="center"/>
              <w:rPr>
                <w:b/>
                <w:noProof/>
                <w:sz w:val="22"/>
                <w:szCs w:val="22"/>
              </w:rPr>
            </w:pPr>
            <w:r>
              <w:rPr>
                <w:b/>
                <w:noProof/>
                <w:sz w:val="22"/>
                <w:szCs w:val="22"/>
              </w:rPr>
              <w:t>Focus on APIs</w:t>
            </w:r>
          </w:p>
          <w:p w:rsidR="00DF1A33" w:rsidRDefault="00DF1A33">
            <w:pPr>
              <w:jc w:val="center"/>
              <w:rPr>
                <w:noProof/>
                <w:sz w:val="22"/>
                <w:szCs w:val="22"/>
              </w:rPr>
            </w:pPr>
          </w:p>
          <w:p w:rsidR="00DF1A33" w:rsidRDefault="00456F01">
            <w:pPr>
              <w:jc w:val="both"/>
              <w:rPr>
                <w:noProof/>
                <w:sz w:val="22"/>
                <w:szCs w:val="22"/>
              </w:rPr>
            </w:pPr>
            <w:r>
              <w:rPr>
                <w:noProof/>
                <w:sz w:val="22"/>
                <w:szCs w:val="22"/>
              </w:rPr>
              <w:t>The main cost-creating element of both policy packages is the implementation and maintenance of APIs. Costs involved depend on many different factors including existing data infrastructures, operational c</w:t>
            </w:r>
            <w:r>
              <w:rPr>
                <w:noProof/>
                <w:sz w:val="22"/>
                <w:szCs w:val="22"/>
              </w:rPr>
              <w:t xml:space="preserve">osts due to the scale of data re-use (number of API requests), as well as the data itself (number of records, size, frequency of update, etc.).  </w:t>
            </w:r>
          </w:p>
          <w:p w:rsidR="00DF1A33" w:rsidRDefault="00DF1A33">
            <w:pPr>
              <w:jc w:val="both"/>
              <w:rPr>
                <w:noProof/>
                <w:sz w:val="22"/>
                <w:szCs w:val="22"/>
              </w:rPr>
            </w:pPr>
          </w:p>
          <w:p w:rsidR="00DF1A33" w:rsidRDefault="00456F01">
            <w:pPr>
              <w:jc w:val="both"/>
              <w:rPr>
                <w:noProof/>
                <w:sz w:val="22"/>
                <w:szCs w:val="22"/>
              </w:rPr>
            </w:pPr>
            <w:r>
              <w:rPr>
                <w:noProof/>
                <w:sz w:val="22"/>
                <w:szCs w:val="22"/>
              </w:rPr>
              <w:t>Based on current software as a service (SAAS) offers it is possible to establish a range of costs depending o</w:t>
            </w:r>
            <w:r>
              <w:rPr>
                <w:noProof/>
                <w:sz w:val="22"/>
                <w:szCs w:val="22"/>
              </w:rPr>
              <w:t>n the size of the dataset and the number of API requests. It is very common for a high-value key dataset to reach several million of API calls per year, and in some cases several billion. Therefore, the price range from 2,400 EUR per year for up to 7.3 mil</w:t>
            </w:r>
            <w:r>
              <w:rPr>
                <w:noProof/>
                <w:sz w:val="22"/>
                <w:szCs w:val="22"/>
              </w:rPr>
              <w:t>lion API calls to 150,000 EUR per year for up to 1.2 billion API calls seems a good fit to estimate the cost of API for key datasets in EU.</w:t>
            </w:r>
          </w:p>
          <w:p w:rsidR="00DF1A33" w:rsidRDefault="00DF1A33">
            <w:pPr>
              <w:jc w:val="both"/>
              <w:rPr>
                <w:noProof/>
                <w:sz w:val="22"/>
                <w:szCs w:val="22"/>
              </w:rPr>
            </w:pPr>
          </w:p>
          <w:p w:rsidR="00DF1A33" w:rsidRDefault="00456F01">
            <w:pPr>
              <w:jc w:val="both"/>
              <w:rPr>
                <w:noProof/>
                <w:sz w:val="22"/>
                <w:szCs w:val="22"/>
                <w:u w:val="single"/>
              </w:rPr>
            </w:pPr>
            <w:r>
              <w:rPr>
                <w:noProof/>
                <w:sz w:val="22"/>
                <w:szCs w:val="22"/>
              </w:rPr>
              <w:t>In the G8 Open Data Charter 14 categories of high-value datasets were identified which should be opened in high qua</w:t>
            </w:r>
            <w:r>
              <w:rPr>
                <w:noProof/>
                <w:sz w:val="22"/>
                <w:szCs w:val="22"/>
              </w:rPr>
              <w:t>lity and through API access</w:t>
            </w:r>
            <w:r>
              <w:rPr>
                <w:b/>
                <w:noProof/>
                <w:sz w:val="22"/>
                <w:szCs w:val="22"/>
              </w:rPr>
              <w:t>. A requirement to make these datasets available through APIs would imply a cost ranging from a minimum of 30,000 EUR to a maximum of 2,000,000 EUR per year for each Member State</w:t>
            </w:r>
            <w:r>
              <w:rPr>
                <w:noProof/>
                <w:sz w:val="22"/>
                <w:szCs w:val="22"/>
              </w:rPr>
              <w:t>.</w:t>
            </w:r>
            <w:r>
              <w:rPr>
                <w:rStyle w:val="FootnoteReference"/>
                <w:noProof/>
                <w:sz w:val="22"/>
                <w:szCs w:val="22"/>
              </w:rPr>
              <w:footnoteReference w:id="138"/>
            </w:r>
            <w:r>
              <w:rPr>
                <w:b/>
                <w:noProof/>
                <w:sz w:val="22"/>
                <w:szCs w:val="22"/>
              </w:rPr>
              <w:t xml:space="preserve"> </w:t>
            </w:r>
          </w:p>
          <w:p w:rsidR="00DF1A33" w:rsidRDefault="00DF1A33">
            <w:pPr>
              <w:jc w:val="both"/>
              <w:rPr>
                <w:noProof/>
                <w:sz w:val="22"/>
                <w:szCs w:val="22"/>
              </w:rPr>
            </w:pPr>
          </w:p>
          <w:p w:rsidR="00DF1A33" w:rsidRDefault="00456F01">
            <w:pPr>
              <w:jc w:val="both"/>
              <w:rPr>
                <w:noProof/>
                <w:sz w:val="22"/>
                <w:szCs w:val="22"/>
              </w:rPr>
            </w:pPr>
            <w:r>
              <w:rPr>
                <w:noProof/>
                <w:sz w:val="22"/>
                <w:szCs w:val="22"/>
              </w:rPr>
              <w:t>The costs of delivering data through APIs will</w:t>
            </w:r>
            <w:r>
              <w:rPr>
                <w:noProof/>
                <w:sz w:val="22"/>
                <w:szCs w:val="22"/>
              </w:rPr>
              <w:t xml:space="preserve"> decrease considerably in the coming years: as the market will adapt to the demand, more and more IT systems and open data platforms will provide embedded API features by default (it is already common). Moreover, the advance of software development will ma</w:t>
            </w:r>
            <w:r>
              <w:rPr>
                <w:noProof/>
                <w:sz w:val="22"/>
                <w:szCs w:val="22"/>
              </w:rPr>
              <w:t>ke it easier and cheaper to implement an API on top of any data source. Finally, the cost of delivering data through an API is related to the cost of data infrastructures. According to the Moore’s Law, those costs will continue to decrease in the next year</w:t>
            </w:r>
            <w:r>
              <w:rPr>
                <w:noProof/>
                <w:sz w:val="22"/>
                <w:szCs w:val="22"/>
              </w:rPr>
              <w:t xml:space="preserve">s.  </w:t>
            </w:r>
          </w:p>
        </w:tc>
      </w:tr>
    </w:tbl>
    <w:p w:rsidR="00DF1A33" w:rsidRDefault="00DF1A33">
      <w:pPr>
        <w:spacing w:after="0"/>
        <w:jc w:val="both"/>
        <w:rPr>
          <w:rFonts w:ascii="Times New Roman" w:hAnsi="Times New Roman" w:cs="Times New Roman"/>
          <w:noProof/>
          <w:sz w:val="24"/>
          <w:szCs w:val="24"/>
        </w:rPr>
      </w:pP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As for </w:t>
      </w:r>
      <w:r>
        <w:rPr>
          <w:rFonts w:ascii="Times New Roman" w:hAnsi="Times New Roman" w:cs="Times New Roman"/>
          <w:b/>
          <w:noProof/>
          <w:sz w:val="24"/>
          <w:szCs w:val="24"/>
        </w:rPr>
        <w:t>charging</w:t>
      </w:r>
      <w:r>
        <w:rPr>
          <w:rFonts w:ascii="Times New Roman" w:hAnsi="Times New Roman" w:cs="Times New Roman"/>
          <w:noProof/>
          <w:sz w:val="24"/>
          <w:szCs w:val="24"/>
        </w:rPr>
        <w:t>, the principle of marginal costs for dissemination was established in 2013 based on the evidence presented at the time (Impact Assessment). All the arguments still hold, as verified in practice: in France, abandoning the cost-recover</w:t>
      </w:r>
      <w:r>
        <w:rPr>
          <w:rFonts w:ascii="Times New Roman" w:hAnsi="Times New Roman" w:cs="Times New Roman"/>
          <w:noProof/>
          <w:sz w:val="24"/>
          <w:szCs w:val="24"/>
        </w:rPr>
        <w:t>y model for the data held by the National Geographic Institute (NGI) led to an increase in the volume of data downloaded by 20 times and generated around 114 million EUR of benefits for the public, against a costs for the NGI of around 6 million EUR</w:t>
      </w:r>
      <w:r>
        <w:rPr>
          <w:rStyle w:val="FootnoteReference"/>
          <w:rFonts w:ascii="Times New Roman" w:hAnsi="Times New Roman" w:cs="Times New Roman"/>
          <w:noProof/>
          <w:sz w:val="24"/>
          <w:szCs w:val="24"/>
        </w:rPr>
        <w:footnoteReference w:id="139"/>
      </w:r>
      <w:r>
        <w:rPr>
          <w:rFonts w:ascii="Times New Roman" w:hAnsi="Times New Roman" w:cs="Times New Roman"/>
          <w:noProof/>
          <w:sz w:val="24"/>
          <w:szCs w:val="24"/>
        </w:rPr>
        <w:t>. It i</w:t>
      </w:r>
      <w:r>
        <w:rPr>
          <w:rFonts w:ascii="Times New Roman" w:hAnsi="Times New Roman" w:cs="Times New Roman"/>
          <w:noProof/>
          <w:sz w:val="24"/>
          <w:szCs w:val="24"/>
        </w:rPr>
        <w:t xml:space="preserve">s clear that the direct and indirect benefits of </w:t>
      </w:r>
      <w:r>
        <w:rPr>
          <w:rFonts w:ascii="Times New Roman" w:hAnsi="Times New Roman"/>
          <w:noProof/>
          <w:sz w:val="24"/>
        </w:rPr>
        <w:t>free-of-charge re-use</w:t>
      </w:r>
      <w:r>
        <w:rPr>
          <w:rFonts w:ascii="Times New Roman" w:hAnsi="Times New Roman" w:cs="Times New Roman"/>
          <w:noProof/>
          <w:sz w:val="24"/>
          <w:szCs w:val="24"/>
        </w:rPr>
        <w:t xml:space="preserve"> can be high, for all classes of stakeholders. First, a substantial lowering of charges leads to a corresponding important increase in the demand for data.</w:t>
      </w:r>
      <w:r>
        <w:rPr>
          <w:rStyle w:val="FootnoteReference"/>
          <w:rFonts w:ascii="Times New Roman" w:hAnsi="Times New Roman" w:cs="Times New Roman"/>
          <w:noProof/>
          <w:sz w:val="24"/>
          <w:szCs w:val="24"/>
        </w:rPr>
        <w:footnoteReference w:id="140"/>
      </w:r>
      <w:r>
        <w:rPr>
          <w:rFonts w:ascii="Times New Roman" w:hAnsi="Times New Roman" w:cs="Times New Roman"/>
          <w:noProof/>
          <w:sz w:val="24"/>
          <w:szCs w:val="24"/>
        </w:rPr>
        <w:t xml:space="preserve"> Secondly, low or zero-cost charges lead to more economic activity: evidence correlates cheap data with 15% faster growth.</w:t>
      </w:r>
      <w:r>
        <w:rPr>
          <w:rFonts w:ascii="Times New Roman" w:hAnsi="Times New Roman"/>
          <w:noProof/>
          <w:sz w:val="24"/>
          <w:vertAlign w:val="superscript"/>
        </w:rPr>
        <w:footnoteReference w:id="141"/>
      </w:r>
      <w:r>
        <w:rPr>
          <w:rFonts w:ascii="Times New Roman" w:hAnsi="Times New Roman" w:cs="Times New Roman"/>
          <w:noProof/>
          <w:sz w:val="24"/>
          <w:szCs w:val="24"/>
        </w:rPr>
        <w:t xml:space="preserve"> And more economic activity leads to more tax income.</w:t>
      </w:r>
      <w:r>
        <w:rPr>
          <w:rStyle w:val="FootnoteReference"/>
          <w:rFonts w:ascii="Times New Roman" w:hAnsi="Times New Roman" w:cs="Times New Roman"/>
          <w:noProof/>
          <w:sz w:val="24"/>
          <w:szCs w:val="24"/>
        </w:rPr>
        <w:footnoteReference w:id="142"/>
      </w:r>
      <w:r>
        <w:rPr>
          <w:rFonts w:ascii="Times New Roman" w:hAnsi="Times New Roman" w:cs="Times New Roman"/>
          <w:noProof/>
          <w:sz w:val="24"/>
          <w:szCs w:val="24"/>
        </w:rPr>
        <w:t xml:space="preserve"> It is also clear that the cost-recovery model of charging (i.e. above marginal</w:t>
      </w:r>
      <w:r>
        <w:rPr>
          <w:rFonts w:ascii="Times New Roman" w:hAnsi="Times New Roman" w:cs="Times New Roman"/>
          <w:noProof/>
          <w:sz w:val="24"/>
          <w:szCs w:val="24"/>
        </w:rPr>
        <w:t xml:space="preserve"> costs) creates a market barrier</w:t>
      </w:r>
      <w:r>
        <w:rPr>
          <w:rFonts w:ascii="Times New Roman" w:hAnsi="Times New Roman" w:cs="Times New Roman"/>
          <w:noProof/>
          <w:sz w:val="24"/>
          <w:szCs w:val="24"/>
          <w:vertAlign w:val="superscript"/>
        </w:rPr>
        <w:footnoteReference w:id="143"/>
      </w:r>
      <w:r>
        <w:rPr>
          <w:rFonts w:ascii="Times New Roman" w:hAnsi="Times New Roman" w:cs="Times New Roman"/>
          <w:noProof/>
          <w:sz w:val="24"/>
          <w:szCs w:val="24"/>
        </w:rPr>
        <w:t>. Furthermore, prices impose unnecessary transaction costs on users.</w:t>
      </w:r>
      <w:r>
        <w:rPr>
          <w:rFonts w:ascii="Times New Roman" w:hAnsi="Times New Roman" w:cs="Times New Roman"/>
          <w:noProof/>
          <w:sz w:val="24"/>
          <w:szCs w:val="24"/>
          <w:vertAlign w:val="superscript"/>
        </w:rPr>
        <w:footnoteReference w:id="144"/>
      </w:r>
      <w:r>
        <w:rPr>
          <w:rFonts w:ascii="Times New Roman" w:hAnsi="Times New Roman" w:cs="Times New Roman"/>
          <w:noProof/>
          <w:sz w:val="24"/>
          <w:szCs w:val="24"/>
        </w:rPr>
        <w:t xml:space="preserve"> </w:t>
      </w:r>
    </w:p>
    <w:p w:rsidR="00DF1A33" w:rsidRDefault="00456F01">
      <w:pPr>
        <w:jc w:val="both"/>
        <w:rPr>
          <w:rFonts w:ascii="Times New Roman" w:hAnsi="Times New Roman"/>
          <w:noProof/>
          <w:sz w:val="24"/>
        </w:rPr>
      </w:pPr>
      <w:r>
        <w:rPr>
          <w:rFonts w:ascii="Times New Roman" w:hAnsi="Times New Roman" w:cs="Times New Roman"/>
          <w:noProof/>
          <w:sz w:val="24"/>
          <w:szCs w:val="24"/>
        </w:rPr>
        <w:t>Finally, free re-use is also shown to lead to efficiency gains for the public sector.</w:t>
      </w:r>
      <w:r>
        <w:rPr>
          <w:rFonts w:ascii="Times New Roman" w:hAnsi="Times New Roman" w:cs="Times New Roman"/>
          <w:noProof/>
          <w:sz w:val="24"/>
          <w:szCs w:val="24"/>
          <w:vertAlign w:val="superscript"/>
        </w:rPr>
        <w:footnoteReference w:id="145"/>
      </w:r>
      <w:r>
        <w:rPr>
          <w:rFonts w:ascii="Times New Roman" w:hAnsi="Times New Roman" w:cs="Times New Roman"/>
          <w:noProof/>
          <w:sz w:val="24"/>
          <w:szCs w:val="24"/>
        </w:rPr>
        <w:t xml:space="preserve"> In Denmark 30% of the benefits of opening address data accrued to</w:t>
      </w:r>
      <w:r>
        <w:rPr>
          <w:rFonts w:ascii="Times New Roman" w:hAnsi="Times New Roman" w:cs="Times New Roman"/>
          <w:noProof/>
          <w:sz w:val="24"/>
          <w:szCs w:val="24"/>
        </w:rPr>
        <w:t xml:space="preserve"> the public sector</w:t>
      </w:r>
      <w:r>
        <w:rPr>
          <w:rFonts w:ascii="Times New Roman" w:hAnsi="Times New Roman" w:cs="Times New Roman"/>
          <w:noProof/>
          <w:sz w:val="24"/>
          <w:szCs w:val="24"/>
          <w:vertAlign w:val="superscript"/>
        </w:rPr>
        <w:footnoteReference w:id="146"/>
      </w:r>
      <w:r>
        <w:rPr>
          <w:rFonts w:ascii="Times New Roman" w:hAnsi="Times New Roman" w:cs="Times New Roman"/>
          <w:noProof/>
          <w:sz w:val="24"/>
          <w:szCs w:val="24"/>
        </w:rPr>
        <w:t>, while efficiency gains thanks to open geospatial data reached 22 million DK over 4 years.</w:t>
      </w:r>
      <w:r>
        <w:rPr>
          <w:rStyle w:val="FootnoteReference"/>
          <w:rFonts w:ascii="Times New Roman" w:hAnsi="Times New Roman" w:cs="Times New Roman"/>
          <w:noProof/>
          <w:sz w:val="24"/>
          <w:szCs w:val="24"/>
        </w:rPr>
        <w:footnoteReference w:id="147"/>
      </w:r>
      <w:r>
        <w:rPr>
          <w:rFonts w:ascii="Times New Roman" w:hAnsi="Times New Roman" w:cs="Times New Roman"/>
          <w:noProof/>
          <w:sz w:val="24"/>
          <w:szCs w:val="24"/>
        </w:rPr>
        <w:t xml:space="preserve"> A shift from a cost-recovery to an open-access regime is likely to more than double the value of the re-use of the data.</w:t>
      </w:r>
      <w:r>
        <w:rPr>
          <w:rFonts w:ascii="Times New Roman" w:hAnsi="Times New Roman" w:cs="Times New Roman"/>
          <w:noProof/>
          <w:sz w:val="24"/>
          <w:szCs w:val="24"/>
          <w:vertAlign w:val="superscript"/>
        </w:rPr>
        <w:footnoteReference w:id="148"/>
      </w:r>
      <w:r>
        <w:rPr>
          <w:rFonts w:ascii="Times New Roman" w:hAnsi="Times New Roman"/>
          <w:noProof/>
          <w:sz w:val="24"/>
        </w:rPr>
        <w:t xml:space="preserve"> </w:t>
      </w:r>
    </w:p>
    <w:p w:rsidR="00DF1A33" w:rsidRDefault="00456F01">
      <w:pPr>
        <w:jc w:val="both"/>
        <w:rPr>
          <w:rFonts w:ascii="Times New Roman" w:hAnsi="Times New Roman"/>
          <w:noProof/>
          <w:sz w:val="24"/>
          <w:szCs w:val="24"/>
        </w:rPr>
      </w:pPr>
      <w:r>
        <w:rPr>
          <w:rFonts w:ascii="Times New Roman" w:hAnsi="Times New Roman" w:cs="Times New Roman"/>
          <w:noProof/>
          <w:sz w:val="24"/>
          <w:szCs w:val="24"/>
        </w:rPr>
        <w:t xml:space="preserve">The lower intensity </w:t>
      </w:r>
      <w:r>
        <w:rPr>
          <w:rFonts w:ascii="Times New Roman" w:hAnsi="Times New Roman" w:cs="Times New Roman"/>
          <w:noProof/>
          <w:sz w:val="24"/>
          <w:szCs w:val="24"/>
        </w:rPr>
        <w:t>regulatory intervention should strike a good balance between the needs of the public sector on the one hand and the impact on the data economy on the other: it would allow entities across the EU to continue charging for the re-use of PSI when really essent</w:t>
      </w:r>
      <w:r>
        <w:rPr>
          <w:rFonts w:ascii="Times New Roman" w:hAnsi="Times New Roman" w:cs="Times New Roman"/>
          <w:noProof/>
          <w:sz w:val="24"/>
          <w:szCs w:val="24"/>
        </w:rPr>
        <w:t>ial (e.g. where the continuation of producing the dataset depends on the income generated), while enhancing transparency and legal certainty for the re-users (by bringing the current exceptions down to one single rule and by clarifying which bodies are all</w:t>
      </w:r>
      <w:r>
        <w:rPr>
          <w:rFonts w:ascii="Times New Roman" w:hAnsi="Times New Roman" w:cs="Times New Roman"/>
          <w:noProof/>
          <w:sz w:val="24"/>
          <w:szCs w:val="24"/>
        </w:rPr>
        <w:t>owed to apply charges, as is already the case e.g. in France). This incremental change is not expected to create administrative burden or raise costs for the vast majority of public sector bodies (as they do not apply charges). This option is at the same t</w:t>
      </w:r>
      <w:r>
        <w:rPr>
          <w:rFonts w:ascii="Times New Roman" w:hAnsi="Times New Roman" w:cs="Times New Roman"/>
          <w:noProof/>
          <w:sz w:val="24"/>
          <w:szCs w:val="24"/>
        </w:rPr>
        <w:t>ime preferred by a majority of all respondents to the public online consultation. To attenuate the negative effect of maintaining the exceptions, a Delegated Act would identify a set of high-value datasets for free (or marginal cost) re-use, thus acting as</w:t>
      </w:r>
      <w:r>
        <w:rPr>
          <w:rFonts w:ascii="Times New Roman" w:hAnsi="Times New Roman" w:cs="Times New Roman"/>
          <w:noProof/>
          <w:sz w:val="24"/>
          <w:szCs w:val="24"/>
        </w:rPr>
        <w:t xml:space="preserve"> an 'intermediate' policy option, by applying higher level requirements to a limited set of data, from a limited set of public bodies. The baseline for the Delegated Act would be constituted by the dataset categories listed in the G8 Open Data Charter</w:t>
      </w:r>
      <w:r>
        <w:rPr>
          <w:rStyle w:val="FootnoteReference"/>
          <w:rFonts w:ascii="Times New Roman" w:hAnsi="Times New Roman" w:cs="Times New Roman"/>
          <w:noProof/>
          <w:sz w:val="24"/>
          <w:szCs w:val="24"/>
        </w:rPr>
        <w:footnoteReference w:id="149"/>
      </w:r>
      <w:r>
        <w:rPr>
          <w:rFonts w:ascii="Times New Roman" w:hAnsi="Times New Roman" w:cs="Times New Roman"/>
          <w:noProof/>
          <w:sz w:val="24"/>
          <w:szCs w:val="24"/>
        </w:rPr>
        <w:t>. Ho</w:t>
      </w:r>
      <w:r>
        <w:rPr>
          <w:rFonts w:ascii="Times New Roman" w:hAnsi="Times New Roman" w:cs="Times New Roman"/>
          <w:noProof/>
          <w:sz w:val="24"/>
          <w:szCs w:val="24"/>
        </w:rPr>
        <w:t>wever, the final selection would be drawn up by the Commission after consulting the experts and the concerned stakeholders, and in line with the findings of a separate Impact Assessment.</w:t>
      </w:r>
    </w:p>
    <w:p w:rsidR="00DF1A33" w:rsidRDefault="00456F01">
      <w:pPr>
        <w:jc w:val="both"/>
        <w:rPr>
          <w:rFonts w:ascii="Times New Roman" w:hAnsi="Times New Roman" w:cs="Times New Roman"/>
          <w:noProof/>
          <w:sz w:val="24"/>
          <w:szCs w:val="24"/>
        </w:rPr>
      </w:pPr>
      <w:r>
        <w:rPr>
          <w:rFonts w:ascii="Times New Roman" w:hAnsi="Times New Roman"/>
          <w:noProof/>
          <w:sz w:val="24"/>
        </w:rPr>
        <w:t xml:space="preserve">With regard to </w:t>
      </w:r>
      <w:r>
        <w:rPr>
          <w:rFonts w:ascii="Times New Roman" w:hAnsi="Times New Roman"/>
          <w:b/>
          <w:noProof/>
          <w:sz w:val="24"/>
        </w:rPr>
        <w:t>scientific information and research data</w:t>
      </w:r>
      <w:r>
        <w:rPr>
          <w:rFonts w:ascii="Times New Roman" w:hAnsi="Times New Roman"/>
          <w:noProof/>
          <w:sz w:val="24"/>
        </w:rPr>
        <w:t>, the lower in</w:t>
      </w:r>
      <w:r>
        <w:rPr>
          <w:rFonts w:ascii="Times New Roman" w:hAnsi="Times New Roman"/>
          <w:noProof/>
          <w:sz w:val="24"/>
        </w:rPr>
        <w:t>tensity option would leave it to the Member States to define the specificities of the Open Access obligations (scope, level of obligations, embargos, rules on opt-outs from Open Access obligations, enforcement), in line with the updated guidance included i</w:t>
      </w:r>
      <w:r>
        <w:rPr>
          <w:rFonts w:ascii="Times New Roman" w:hAnsi="Times New Roman"/>
          <w:noProof/>
          <w:sz w:val="24"/>
        </w:rPr>
        <w:t>n the Recommendation on access to and preservation of scientific information</w:t>
      </w:r>
      <w:r>
        <w:rPr>
          <w:rStyle w:val="FootnoteReference"/>
          <w:rFonts w:ascii="Times New Roman" w:hAnsi="Times New Roman"/>
          <w:noProof/>
          <w:sz w:val="24"/>
        </w:rPr>
        <w:footnoteReference w:id="150"/>
      </w:r>
      <w:r>
        <w:rPr>
          <w:rFonts w:ascii="Times New Roman" w:hAnsi="Times New Roman"/>
          <w:noProof/>
          <w:sz w:val="24"/>
        </w:rPr>
        <w:t>, and extend hard law obligations only to research data (and not scientific publications) and only to such research data that have been made publicly available as a result of Open</w:t>
      </w:r>
      <w:r>
        <w:rPr>
          <w:rFonts w:ascii="Times New Roman" w:hAnsi="Times New Roman"/>
          <w:noProof/>
          <w:sz w:val="24"/>
        </w:rPr>
        <w:t xml:space="preserve"> Access funder mandates through existing digital repositories.</w:t>
      </w:r>
      <w:r>
        <w:rPr>
          <w:rStyle w:val="FootnoteReference"/>
          <w:rFonts w:ascii="Times New Roman" w:hAnsi="Times New Roman"/>
          <w:noProof/>
          <w:sz w:val="24"/>
        </w:rPr>
        <w:footnoteReference w:id="151"/>
      </w:r>
      <w:r>
        <w:rPr>
          <w:rFonts w:ascii="Times New Roman" w:hAnsi="Times New Roman"/>
          <w:noProof/>
          <w:sz w:val="24"/>
        </w:rPr>
        <w:t xml:space="preserve"> It would be limited to ensuring the legal re-usability of such research data within the scientific community and beyond. It would limit the capacity of researchers to define restrictive terms </w:t>
      </w:r>
      <w:r>
        <w:rPr>
          <w:rFonts w:ascii="Times New Roman" w:hAnsi="Times New Roman"/>
          <w:noProof/>
          <w:sz w:val="24"/>
        </w:rPr>
        <w:t xml:space="preserve">of usage. This is in line with current Open Access mandates that, however, are implemented at the level of individual grant agreements and are thus only enforceable between the parties to the agreement. Potential re-users currently have no specific rights </w:t>
      </w:r>
      <w:r>
        <w:rPr>
          <w:rFonts w:ascii="Times New Roman" w:hAnsi="Times New Roman"/>
          <w:noProof/>
          <w:sz w:val="24"/>
        </w:rPr>
        <w:t>to re-use such data. On the other hand, it would leave flexibility to Member States and funding bodies in Member States to define the exact terms and the enforcement mechanisms, leaving room for heterogeneous funding models of research establishments and i</w:t>
      </w:r>
      <w:r>
        <w:rPr>
          <w:rFonts w:ascii="Times New Roman" w:hAnsi="Times New Roman"/>
          <w:noProof/>
          <w:sz w:val="24"/>
        </w:rPr>
        <w:t xml:space="preserve">ndividual research actions. </w:t>
      </w:r>
      <w:r>
        <w:rPr>
          <w:rFonts w:ascii="Times New Roman" w:hAnsi="Times New Roman" w:cs="Times New Roman"/>
          <w:noProof/>
          <w:sz w:val="24"/>
          <w:szCs w:val="24"/>
        </w:rPr>
        <w:t>This would be fully coherent with the updated Recommendation on access to and preservation of scientific information</w:t>
      </w:r>
      <w:r>
        <w:rPr>
          <w:rStyle w:val="FootnoteReference"/>
          <w:rFonts w:ascii="Times New Roman" w:hAnsi="Times New Roman" w:cs="Times New Roman"/>
          <w:noProof/>
          <w:sz w:val="24"/>
          <w:szCs w:val="24"/>
        </w:rPr>
        <w:footnoteReference w:id="152"/>
      </w:r>
      <w:r>
        <w:rPr>
          <w:rFonts w:ascii="Times New Roman" w:hAnsi="Times New Roman" w:cs="Times New Roman"/>
          <w:noProof/>
          <w:sz w:val="24"/>
          <w:szCs w:val="24"/>
        </w:rPr>
        <w:t>, forming a part of the broader 2018 Data Package. It would also ensure that data which is currently accessible</w:t>
      </w:r>
      <w:r>
        <w:rPr>
          <w:rFonts w:ascii="Times New Roman" w:hAnsi="Times New Roman" w:cs="Times New Roman"/>
          <w:noProof/>
          <w:sz w:val="24"/>
          <w:szCs w:val="24"/>
        </w:rPr>
        <w:t xml:space="preserve"> (but in fact rarely re-used) would not only be subject to common and harmonised rules describing the conditions under which data can be made available (including costs), but also practically searchable and discoverable, as is the case with other public da</w:t>
      </w:r>
      <w:r>
        <w:rPr>
          <w:rFonts w:ascii="Times New Roman" w:hAnsi="Times New Roman" w:cs="Times New Roman"/>
          <w:noProof/>
          <w:sz w:val="24"/>
          <w:szCs w:val="24"/>
        </w:rPr>
        <w:t>tasets.</w:t>
      </w:r>
      <w:r>
        <w:rPr>
          <w:rFonts w:ascii="Times New Roman" w:hAnsi="Times New Roman"/>
          <w:noProof/>
          <w:sz w:val="24"/>
        </w:rPr>
        <w:t xml:space="preserve"> Finally, the low-intensity solution would avoid any burden on research establishments or even individual researchers that otherwise would be confronted with request for access to research data that is not (yet) openly accessible through a repositor</w:t>
      </w:r>
      <w:r>
        <w:rPr>
          <w:rFonts w:ascii="Times New Roman" w:hAnsi="Times New Roman"/>
          <w:noProof/>
          <w:sz w:val="24"/>
        </w:rPr>
        <w:t>y. Such requests – even if to be rejected – could constitute an unnecessary administrative burden.</w:t>
      </w:r>
    </w:p>
    <w:p w:rsidR="00DF1A33" w:rsidRDefault="00456F01">
      <w:pPr>
        <w:jc w:val="both"/>
        <w:rPr>
          <w:rFonts w:ascii="Times New Roman" w:hAnsi="Times New Roman"/>
          <w:noProof/>
          <w:sz w:val="24"/>
        </w:rPr>
      </w:pPr>
      <w:r>
        <w:rPr>
          <w:rFonts w:ascii="Times New Roman" w:hAnsi="Times New Roman"/>
          <w:noProof/>
          <w:sz w:val="24"/>
        </w:rPr>
        <w:t xml:space="preserve">With regard to </w:t>
      </w:r>
      <w:r>
        <w:rPr>
          <w:rFonts w:ascii="Times New Roman" w:hAnsi="Times New Roman"/>
          <w:b/>
          <w:noProof/>
          <w:sz w:val="24"/>
        </w:rPr>
        <w:t>data held by public undertakings in the transport and utility sectors</w:t>
      </w:r>
      <w:r>
        <w:rPr>
          <w:rFonts w:ascii="Times New Roman" w:hAnsi="Times New Roman"/>
          <w:noProof/>
          <w:sz w:val="24"/>
        </w:rPr>
        <w:t>, the lower intensity option would primarily focus on ensuring a fair mar</w:t>
      </w:r>
      <w:r>
        <w:rPr>
          <w:rFonts w:ascii="Times New Roman" w:hAnsi="Times New Roman"/>
          <w:noProof/>
          <w:sz w:val="24"/>
        </w:rPr>
        <w:t>ket for downstream re-use. It is expected that the economic impact of this option would be relatively limited from the point of view of data supply. It would however, lead to substantially lower compliance costs, because public undertakings would be free t</w:t>
      </w:r>
      <w:r>
        <w:rPr>
          <w:rFonts w:ascii="Times New Roman" w:hAnsi="Times New Roman"/>
          <w:noProof/>
          <w:sz w:val="24"/>
        </w:rPr>
        <w:t xml:space="preserve">o decide if they want to open up their data or not. In this way it would also minimise the effect of imbalance (in terms of </w:t>
      </w:r>
      <w:r>
        <w:rPr>
          <w:rFonts w:ascii="Times New Roman" w:hAnsi="Times New Roman" w:cs="Times New Roman"/>
          <w:noProof/>
          <w:sz w:val="24"/>
          <w:szCs w:val="24"/>
        </w:rPr>
        <w:t>openness</w:t>
      </w:r>
      <w:r>
        <w:rPr>
          <w:rFonts w:ascii="Times New Roman" w:hAnsi="Times New Roman"/>
          <w:noProof/>
          <w:sz w:val="24"/>
        </w:rPr>
        <w:t xml:space="preserve"> requirements) between the private companies and public </w:t>
      </w:r>
      <w:r>
        <w:rPr>
          <w:rFonts w:ascii="Times New Roman" w:hAnsi="Times New Roman" w:cs="Times New Roman"/>
          <w:noProof/>
          <w:sz w:val="24"/>
          <w:szCs w:val="24"/>
        </w:rPr>
        <w:t>undertakings in transport and utility domains</w:t>
      </w:r>
      <w:r>
        <w:rPr>
          <w:rFonts w:ascii="Times New Roman" w:hAnsi="Times New Roman"/>
          <w:noProof/>
          <w:sz w:val="24"/>
        </w:rPr>
        <w:t xml:space="preserve"> active in the same mar</w:t>
      </w:r>
      <w:r>
        <w:rPr>
          <w:rFonts w:ascii="Times New Roman" w:hAnsi="Times New Roman"/>
          <w:noProof/>
          <w:sz w:val="24"/>
        </w:rPr>
        <w:t xml:space="preserve">kets. </w:t>
      </w:r>
      <w:r>
        <w:rPr>
          <w:rFonts w:ascii="Times New Roman" w:hAnsi="Times New Roman" w:cs="Times New Roman"/>
          <w:noProof/>
          <w:sz w:val="24"/>
          <w:szCs w:val="24"/>
        </w:rPr>
        <w:t>This solution would also be coherent with the interlinking EU legislation imposing data access requirements on the sectoral level, ensuring synergies rather than potentially conflicting norms.</w:t>
      </w:r>
    </w:p>
    <w:p w:rsidR="00DF1A33" w:rsidRDefault="00456F01">
      <w:pPr>
        <w:jc w:val="both"/>
        <w:rPr>
          <w:rFonts w:ascii="Times New Roman" w:hAnsi="Times New Roman"/>
          <w:noProof/>
          <w:sz w:val="24"/>
        </w:rPr>
      </w:pPr>
      <w:r>
        <w:rPr>
          <w:rFonts w:ascii="Times New Roman" w:hAnsi="Times New Roman"/>
          <w:noProof/>
          <w:sz w:val="24"/>
        </w:rPr>
        <w:t xml:space="preserve">With regard to </w:t>
      </w:r>
      <w:r>
        <w:rPr>
          <w:rFonts w:ascii="Times New Roman" w:hAnsi="Times New Roman" w:cs="Times New Roman"/>
          <w:b/>
          <w:noProof/>
          <w:sz w:val="24"/>
          <w:szCs w:val="24"/>
        </w:rPr>
        <w:t>'data lock-in' effect</w:t>
      </w:r>
      <w:r>
        <w:rPr>
          <w:rFonts w:ascii="Times New Roman" w:hAnsi="Times New Roman"/>
          <w:noProof/>
          <w:sz w:val="24"/>
        </w:rPr>
        <w:t xml:space="preserve">, the low intensity </w:t>
      </w:r>
      <w:r>
        <w:rPr>
          <w:rFonts w:ascii="Times New Roman" w:hAnsi="Times New Roman"/>
          <w:noProof/>
          <w:sz w:val="24"/>
        </w:rPr>
        <w:t>option would further discourage agreements with negative consequences for market access by ensuring transparency and scrutiny of agreements both by potential competitors and citizens (allowing them to challenge it under national redress procedures). It wou</w:t>
      </w:r>
      <w:r>
        <w:rPr>
          <w:rFonts w:ascii="Times New Roman" w:hAnsi="Times New Roman"/>
          <w:noProof/>
          <w:sz w:val="24"/>
        </w:rPr>
        <w:t>ld also maintain a fair level of competition for public datasets, thereby increasing the probability of the most innovative re-use with the highest socio-economic benefit. At the same time, the option would not deter private entities from seeking to conclu</w:t>
      </w:r>
      <w:r>
        <w:rPr>
          <w:rFonts w:ascii="Times New Roman" w:hAnsi="Times New Roman"/>
          <w:noProof/>
          <w:sz w:val="24"/>
        </w:rPr>
        <w:t>de agreements with public sector bodies. It would nevertheless increase both parties' awareness as to the potential negative impact on the market and encourage them to put in place suitable safeguards (e.g. introducing collaboration mechanisms that minimis</w:t>
      </w:r>
      <w:r>
        <w:rPr>
          <w:rFonts w:ascii="Times New Roman" w:hAnsi="Times New Roman"/>
          <w:noProof/>
          <w:sz w:val="24"/>
        </w:rPr>
        <w:t>e the risk of deals having a 'data lock-in' effect).</w:t>
      </w:r>
    </w:p>
    <w:p w:rsidR="00DF1A33" w:rsidRDefault="00456F01">
      <w:pPr>
        <w:jc w:val="both"/>
        <w:rPr>
          <w:rFonts w:ascii="Times New Roman" w:hAnsi="Times New Roman"/>
          <w:noProof/>
          <w:sz w:val="24"/>
        </w:rPr>
      </w:pPr>
      <w:r>
        <w:rPr>
          <w:rFonts w:ascii="Times New Roman" w:hAnsi="Times New Roman"/>
          <w:noProof/>
          <w:sz w:val="24"/>
        </w:rPr>
        <w:t xml:space="preserve">The figure below from the Impact Assessment study indicates how the different elements of this option contribute to its impact compared to the baseline option. </w:t>
      </w:r>
    </w:p>
    <w:p w:rsidR="00DF1A33" w:rsidRDefault="00456F01">
      <w:pPr>
        <w:keepNext/>
        <w:jc w:val="center"/>
        <w:rPr>
          <w:noProof/>
        </w:rPr>
      </w:pPr>
      <w:r>
        <w:rPr>
          <w:noProof/>
          <w:lang w:eastAsia="en-GB"/>
        </w:rPr>
        <w:drawing>
          <wp:inline distT="0" distB="0" distL="0" distR="0" wp14:anchorId="308059A1" wp14:editId="46FB3E60">
            <wp:extent cx="3909646" cy="218725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1069" cy="2188055"/>
                    </a:xfrm>
                    <a:prstGeom prst="rect">
                      <a:avLst/>
                    </a:prstGeom>
                    <a:noFill/>
                    <a:ln>
                      <a:noFill/>
                    </a:ln>
                  </pic:spPr>
                </pic:pic>
              </a:graphicData>
            </a:graphic>
          </wp:inline>
        </w:drawing>
      </w:r>
    </w:p>
    <w:p w:rsidR="00DF1A33" w:rsidRDefault="00456F01">
      <w:pPr>
        <w:rPr>
          <w:rFonts w:ascii="Times New Roman" w:eastAsia="Times New Roman" w:hAnsi="Times New Roman"/>
          <w:b/>
          <w:noProof/>
          <w:color w:val="4F81BD" w:themeColor="accent1"/>
          <w:sz w:val="18"/>
          <w:lang w:eastAsia="nl-NL"/>
        </w:rPr>
      </w:pPr>
      <w:r>
        <w:rPr>
          <w:rFonts w:ascii="Times New Roman" w:eastAsia="Times New Roman" w:hAnsi="Times New Roman"/>
          <w:b/>
          <w:noProof/>
          <w:color w:val="4F81BD" w:themeColor="accent1"/>
          <w:sz w:val="18"/>
          <w:lang w:eastAsia="nl-NL"/>
        </w:rPr>
        <w:t xml:space="preserve">Figure </w:t>
      </w:r>
      <w:r>
        <w:rPr>
          <w:rFonts w:ascii="Times New Roman" w:eastAsia="Times New Roman" w:hAnsi="Times New Roman"/>
          <w:b/>
          <w:noProof/>
          <w:color w:val="4F81BD" w:themeColor="accent1"/>
          <w:sz w:val="18"/>
          <w:lang w:eastAsia="nl-NL"/>
        </w:rPr>
        <w:fldChar w:fldCharType="begin"/>
      </w:r>
      <w:r>
        <w:rPr>
          <w:rFonts w:ascii="Times New Roman" w:eastAsia="Times New Roman" w:hAnsi="Times New Roman"/>
          <w:b/>
          <w:noProof/>
          <w:color w:val="4F81BD" w:themeColor="accent1"/>
          <w:sz w:val="18"/>
          <w:lang w:eastAsia="nl-NL"/>
        </w:rPr>
        <w:instrText xml:space="preserve"> SEQ Figure \* ARABIC </w:instrText>
      </w:r>
      <w:r>
        <w:rPr>
          <w:rFonts w:ascii="Times New Roman" w:eastAsia="Times New Roman" w:hAnsi="Times New Roman"/>
          <w:b/>
          <w:noProof/>
          <w:color w:val="4F81BD" w:themeColor="accent1"/>
          <w:sz w:val="18"/>
          <w:lang w:eastAsia="nl-NL"/>
        </w:rPr>
        <w:fldChar w:fldCharType="separate"/>
      </w:r>
      <w:r>
        <w:rPr>
          <w:rFonts w:ascii="Times New Roman" w:eastAsia="Times New Roman" w:hAnsi="Times New Roman"/>
          <w:b/>
          <w:noProof/>
          <w:color w:val="4F81BD" w:themeColor="accent1"/>
          <w:sz w:val="18"/>
          <w:lang w:eastAsia="nl-NL"/>
        </w:rPr>
        <w:t>5</w:t>
      </w:r>
      <w:r>
        <w:rPr>
          <w:rFonts w:ascii="Times New Roman" w:eastAsia="Times New Roman" w:hAnsi="Times New Roman"/>
          <w:b/>
          <w:noProof/>
          <w:color w:val="4F81BD" w:themeColor="accent1"/>
          <w:sz w:val="18"/>
          <w:lang w:eastAsia="nl-NL"/>
        </w:rPr>
        <w:fldChar w:fldCharType="end"/>
      </w:r>
      <w:r>
        <w:rPr>
          <w:rFonts w:ascii="Times New Roman" w:eastAsia="Times New Roman" w:hAnsi="Times New Roman"/>
          <w:b/>
          <w:noProof/>
          <w:color w:val="4F81BD" w:themeColor="accent1"/>
          <w:sz w:val="18"/>
          <w:lang w:eastAsia="nl-NL"/>
        </w:rPr>
        <w:t xml:space="preserve"> - Impa</w:t>
      </w:r>
      <w:r>
        <w:rPr>
          <w:rFonts w:ascii="Times New Roman" w:eastAsia="Times New Roman" w:hAnsi="Times New Roman"/>
          <w:b/>
          <w:noProof/>
          <w:color w:val="4F81BD" w:themeColor="accent1"/>
          <w:sz w:val="18"/>
          <w:lang w:eastAsia="nl-NL"/>
        </w:rPr>
        <w:t xml:space="preserve">cts of the different elements of the lower intensity regulatory intervention Policy Option on the direct economic value of PSI (EU28, 2018-2030) </w:t>
      </w:r>
      <w:r>
        <w:rPr>
          <w:rFonts w:ascii="Times New Roman" w:eastAsia="Times New Roman" w:hAnsi="Times New Roman"/>
          <w:b/>
          <w:noProof/>
          <w:color w:val="4F81BD" w:themeColor="accent1"/>
          <w:sz w:val="18"/>
          <w:lang w:eastAsia="nl-NL"/>
        </w:rPr>
        <w:br/>
        <w:t>Source: Impact Assessment Support Study, Deloitte, 2018</w:t>
      </w:r>
    </w:p>
    <w:p w:rsidR="00DF1A33" w:rsidRDefault="00456F01">
      <w:pPr>
        <w:pStyle w:val="Heading3"/>
        <w:keepLines/>
        <w:spacing w:before="200" w:after="0" w:line="276" w:lineRule="auto"/>
        <w:ind w:left="720"/>
        <w:rPr>
          <w:noProof/>
          <w:u w:val="single"/>
        </w:rPr>
      </w:pPr>
      <w:bookmarkStart w:id="1373" w:name="_Toc506378529"/>
      <w:bookmarkStart w:id="1374" w:name="_Toc505335386"/>
      <w:bookmarkStart w:id="1375" w:name="_Toc505345858"/>
      <w:bookmarkStart w:id="1376" w:name="_Toc505346446"/>
      <w:bookmarkStart w:id="1377" w:name="_Toc505696688"/>
      <w:bookmarkStart w:id="1378" w:name="_Toc505698174"/>
      <w:bookmarkStart w:id="1379" w:name="_Toc505701687"/>
      <w:bookmarkStart w:id="1380" w:name="_Toc505705174"/>
      <w:bookmarkStart w:id="1381" w:name="_Toc505773164"/>
      <w:bookmarkStart w:id="1382" w:name="_Toc505856876"/>
      <w:bookmarkStart w:id="1383" w:name="_Toc505862320"/>
      <w:bookmarkStart w:id="1384" w:name="_Toc505864885"/>
      <w:bookmarkStart w:id="1385" w:name="_Toc505868739"/>
      <w:bookmarkStart w:id="1386" w:name="_Toc505869206"/>
      <w:bookmarkStart w:id="1387" w:name="_Toc506363048"/>
      <w:bookmarkStart w:id="1388" w:name="_Toc506369546"/>
      <w:bookmarkStart w:id="1389" w:name="_Toc506376135"/>
      <w:bookmarkStart w:id="1390" w:name="_Toc506378448"/>
      <w:bookmarkStart w:id="1391" w:name="_Toc506378530"/>
      <w:bookmarkStart w:id="1392" w:name="_Toc509412628"/>
      <w:bookmarkStart w:id="1393" w:name="_Toc509414804"/>
      <w:bookmarkStart w:id="1394" w:name="_Toc509414860"/>
      <w:bookmarkEnd w:id="1373"/>
      <w:r>
        <w:rPr>
          <w:noProof/>
          <w:u w:val="single"/>
        </w:rPr>
        <w:t xml:space="preserve">Policy Option 2 – Packaged solution: higher intensity </w:t>
      </w:r>
      <w:r>
        <w:rPr>
          <w:noProof/>
          <w:szCs w:val="24"/>
          <w:u w:val="single"/>
        </w:rPr>
        <w:t>regulatory intervention</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r>
        <w:rPr>
          <w:noProof/>
          <w:u w:val="single"/>
        </w:rPr>
        <w:t xml:space="preserve"> </w:t>
      </w:r>
    </w:p>
    <w:bookmarkEnd w:id="1358"/>
    <w:bookmarkEnd w:id="1359"/>
    <w:bookmarkEnd w:id="1360"/>
    <w:bookmarkEnd w:id="1361"/>
    <w:bookmarkEnd w:id="1362"/>
    <w:bookmarkEnd w:id="1363"/>
    <w:bookmarkEnd w:id="1364"/>
    <w:bookmarkEnd w:id="1365"/>
    <w:bookmarkEnd w:id="1366"/>
    <w:bookmarkEnd w:id="1367"/>
    <w:bookmarkEnd w:id="1368"/>
    <w:p w:rsidR="00DF1A33" w:rsidRDefault="00456F01">
      <w:pPr>
        <w:jc w:val="both"/>
        <w:rPr>
          <w:rFonts w:ascii="Times New Roman" w:hAnsi="Times New Roman" w:cs="Times New Roman"/>
          <w:noProof/>
          <w:sz w:val="24"/>
          <w:szCs w:val="24"/>
        </w:rPr>
      </w:pPr>
      <w:r>
        <w:rPr>
          <w:rFonts w:ascii="Times New Roman" w:hAnsi="Times New Roman" w:cs="Times New Roman"/>
          <w:b/>
          <w:noProof/>
          <w:sz w:val="24"/>
          <w:szCs w:val="24"/>
        </w:rPr>
        <w:t>Compulsory use of APIs</w:t>
      </w:r>
      <w:r>
        <w:rPr>
          <w:rFonts w:ascii="Times New Roman" w:hAnsi="Times New Roman" w:cs="Times New Roman"/>
          <w:noProof/>
          <w:sz w:val="24"/>
          <w:szCs w:val="24"/>
        </w:rPr>
        <w:t xml:space="preserve"> and wide </w:t>
      </w:r>
      <w:r>
        <w:rPr>
          <w:rFonts w:ascii="Times New Roman" w:hAnsi="Times New Roman"/>
          <w:b/>
          <w:noProof/>
          <w:sz w:val="24"/>
        </w:rPr>
        <w:t>release of dynamic data</w:t>
      </w:r>
      <w:r>
        <w:rPr>
          <w:rFonts w:ascii="Times New Roman" w:hAnsi="Times New Roman" w:cs="Times New Roman"/>
          <w:noProof/>
          <w:sz w:val="24"/>
          <w:szCs w:val="24"/>
        </w:rPr>
        <w:t xml:space="preserve"> would enhance the creation of commercial, value-added services based on dynamic data. Easier data access would also improve the provision of public services (by enhancing intr</w:t>
      </w:r>
      <w:r>
        <w:rPr>
          <w:rFonts w:ascii="Times New Roman" w:hAnsi="Times New Roman" w:cs="Times New Roman"/>
          <w:noProof/>
          <w:sz w:val="24"/>
          <w:szCs w:val="24"/>
        </w:rPr>
        <w:t>a-government data flows, as is the case in Estonia and France). However, a strict obligation to use APIs for all public databases, applying to all levels of government and without regard to the actual technical readiness of the administration would place a</w:t>
      </w:r>
      <w:r>
        <w:rPr>
          <w:rFonts w:ascii="Times New Roman" w:hAnsi="Times New Roman" w:cs="Times New Roman"/>
          <w:noProof/>
          <w:sz w:val="24"/>
          <w:szCs w:val="24"/>
        </w:rPr>
        <w:t xml:space="preserve"> large financial burden on the public sector. This could be particularly problematic for smaller public sector organisations that do not have IT expertise in-house, since they would need to outsource the implementation and maintenance of APIs in their syst</w:t>
      </w:r>
      <w:r>
        <w:rPr>
          <w:rFonts w:ascii="Times New Roman" w:hAnsi="Times New Roman" w:cs="Times New Roman"/>
          <w:noProof/>
          <w:sz w:val="24"/>
          <w:szCs w:val="24"/>
        </w:rPr>
        <w:t>ems, generating additional costs in the process.</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As for </w:t>
      </w:r>
      <w:r>
        <w:rPr>
          <w:rFonts w:ascii="Times New Roman" w:hAnsi="Times New Roman" w:cs="Times New Roman"/>
          <w:b/>
          <w:noProof/>
          <w:sz w:val="24"/>
          <w:szCs w:val="24"/>
        </w:rPr>
        <w:t>charging,</w:t>
      </w:r>
      <w:r>
        <w:rPr>
          <w:rFonts w:ascii="Times New Roman" w:hAnsi="Times New Roman" w:cs="Times New Roman"/>
          <w:noProof/>
          <w:sz w:val="24"/>
          <w:szCs w:val="24"/>
        </w:rPr>
        <w:t xml:space="preserve"> the immediate abolition of the possibility to generate income from data assets would have a considerable impact on institutions that cover their operating costs via the sale of PSI. Based on the estimated volume of income from PSI re-use generated from pr</w:t>
      </w:r>
      <w:r>
        <w:rPr>
          <w:rFonts w:ascii="Times New Roman" w:hAnsi="Times New Roman" w:cs="Times New Roman"/>
          <w:noProof/>
          <w:sz w:val="24"/>
          <w:szCs w:val="24"/>
        </w:rPr>
        <w:t>oviding commercial access to geospatial reference data for 28 EU MS being in the order of 120 million EUR, and assuming that geospatial sector encompasses the largest single set of public bodies that charge for the data (next to business registers</w:t>
      </w:r>
      <w:r>
        <w:rPr>
          <w:rStyle w:val="FootnoteReference"/>
          <w:rFonts w:ascii="Times New Roman" w:hAnsi="Times New Roman" w:cs="Times New Roman"/>
          <w:noProof/>
          <w:sz w:val="24"/>
          <w:szCs w:val="24"/>
        </w:rPr>
        <w:footnoteReference w:id="153"/>
      </w:r>
      <w:r>
        <w:rPr>
          <w:rFonts w:ascii="Times New Roman" w:hAnsi="Times New Roman" w:cs="Times New Roman"/>
          <w:noProof/>
          <w:sz w:val="24"/>
          <w:szCs w:val="24"/>
        </w:rPr>
        <w:t xml:space="preserve"> and met</w:t>
      </w:r>
      <w:r>
        <w:rPr>
          <w:rFonts w:ascii="Times New Roman" w:hAnsi="Times New Roman" w:cs="Times New Roman"/>
          <w:noProof/>
          <w:sz w:val="24"/>
          <w:szCs w:val="24"/>
        </w:rPr>
        <w:t>eorological institutes), we could expect the total revenue loss caused by moving to a zero-charge regime to be in the order of approximately 300 million EUR annually across the EU.</w:t>
      </w:r>
      <w:r>
        <w:rPr>
          <w:rStyle w:val="FootnoteReference"/>
          <w:rFonts w:ascii="Times New Roman" w:hAnsi="Times New Roman" w:cs="Times New Roman"/>
          <w:noProof/>
          <w:sz w:val="24"/>
          <w:szCs w:val="24"/>
        </w:rPr>
        <w:footnoteReference w:id="154"/>
      </w:r>
      <w:r>
        <w:rPr>
          <w:rFonts w:ascii="Times New Roman" w:hAnsi="Times New Roman" w:cs="Times New Roman"/>
          <w:noProof/>
          <w:sz w:val="24"/>
          <w:szCs w:val="24"/>
        </w:rPr>
        <w:t xml:space="preserve">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The overall impact across Europe would be mitigated by a) the fact that t</w:t>
      </w:r>
      <w:r>
        <w:rPr>
          <w:rFonts w:ascii="Times New Roman" w:hAnsi="Times New Roman" w:cs="Times New Roman"/>
          <w:noProof/>
          <w:sz w:val="24"/>
          <w:szCs w:val="24"/>
        </w:rPr>
        <w:t>he PSI re-use revenues of public sector bodies are often small when compared to the total budget of the public sector body concerned</w:t>
      </w:r>
      <w:r>
        <w:rPr>
          <w:rFonts w:ascii="Times New Roman" w:hAnsi="Times New Roman" w:cs="Times New Roman"/>
          <w:noProof/>
          <w:sz w:val="24"/>
          <w:szCs w:val="24"/>
          <w:vertAlign w:val="superscript"/>
        </w:rPr>
        <w:footnoteReference w:id="155"/>
      </w:r>
      <w:r>
        <w:rPr>
          <w:rFonts w:ascii="Times New Roman" w:hAnsi="Times New Roman" w:cs="Times New Roman"/>
          <w:noProof/>
          <w:sz w:val="24"/>
          <w:szCs w:val="24"/>
        </w:rPr>
        <w:t>, b) few public sector bodies in each country (outside the cultural sector) actually charge for the re-use of data</w:t>
      </w:r>
      <w:r>
        <w:rPr>
          <w:rStyle w:val="FootnoteReference"/>
          <w:rFonts w:ascii="Times New Roman" w:hAnsi="Times New Roman" w:cs="Times New Roman"/>
          <w:noProof/>
          <w:sz w:val="24"/>
          <w:szCs w:val="24"/>
        </w:rPr>
        <w:footnoteReference w:id="156"/>
      </w:r>
      <w:r>
        <w:rPr>
          <w:rFonts w:ascii="Times New Roman" w:hAnsi="Times New Roman" w:cs="Times New Roman"/>
          <w:noProof/>
          <w:sz w:val="24"/>
          <w:szCs w:val="24"/>
        </w:rPr>
        <w:t xml:space="preserve"> and c) </w:t>
      </w:r>
      <w:r>
        <w:rPr>
          <w:rFonts w:ascii="Times New Roman" w:hAnsi="Times New Roman" w:cs="Times New Roman"/>
          <w:noProof/>
          <w:sz w:val="24"/>
          <w:szCs w:val="24"/>
        </w:rPr>
        <w:t>cheaper data leads to higher economic activity and indirectly – higher budget revenues in the long run.</w:t>
      </w:r>
      <w:r>
        <w:rPr>
          <w:rStyle w:val="FootnoteReference"/>
          <w:rFonts w:ascii="Times New Roman" w:hAnsi="Times New Roman" w:cs="Times New Roman"/>
          <w:noProof/>
          <w:sz w:val="24"/>
          <w:szCs w:val="24"/>
        </w:rPr>
        <w:footnoteReference w:id="157"/>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Nevertheless, this option presents certain risks. </w:t>
      </w:r>
      <w:r>
        <w:rPr>
          <w:rFonts w:ascii="Times New Roman" w:hAnsi="Times New Roman"/>
          <w:noProof/>
          <w:sz w:val="24"/>
        </w:rPr>
        <w:t>While the evidence</w:t>
      </w:r>
      <w:r>
        <w:rPr>
          <w:rStyle w:val="FootnoteReference"/>
          <w:rFonts w:ascii="Times New Roman" w:hAnsi="Times New Roman"/>
          <w:noProof/>
          <w:sz w:val="24"/>
        </w:rPr>
        <w:footnoteReference w:id="158"/>
      </w:r>
      <w:r>
        <w:rPr>
          <w:rFonts w:ascii="Times New Roman" w:hAnsi="Times New Roman"/>
          <w:noProof/>
          <w:sz w:val="24"/>
        </w:rPr>
        <w:t xml:space="preserve"> demonstrates that the benefits of opening up public sector information largely ou</w:t>
      </w:r>
      <w:r>
        <w:rPr>
          <w:rFonts w:ascii="Times New Roman" w:hAnsi="Times New Roman"/>
          <w:noProof/>
          <w:sz w:val="24"/>
        </w:rPr>
        <w:t>tweigh the costs and the foregone revenues of individual public sector bodies, the macroeconomic benefits (including higher government revenue) appear on an aggregate budgetary level and therefore only kick in later, requiring transitory financing arrangem</w:t>
      </w:r>
      <w:r>
        <w:rPr>
          <w:rFonts w:ascii="Times New Roman" w:hAnsi="Times New Roman"/>
          <w:noProof/>
          <w:sz w:val="24"/>
        </w:rPr>
        <w:t>ents, e.g. in order to keep the quality of the datasets at a high level.</w:t>
      </w:r>
      <w:r>
        <w:rPr>
          <w:rStyle w:val="FootnoteReference"/>
          <w:rFonts w:ascii="Times New Roman" w:hAnsi="Times New Roman"/>
          <w:noProof/>
          <w:sz w:val="24"/>
        </w:rPr>
        <w:footnoteReference w:id="159"/>
      </w:r>
      <w:r>
        <w:rPr>
          <w:rFonts w:ascii="Times New Roman" w:hAnsi="Times New Roman"/>
          <w:noProof/>
          <w:sz w:val="24"/>
        </w:rPr>
        <w:t xml:space="preserve"> Public sector bodies charging above the marginal costs of dissemination are generally afraid that the economic and societal benefits as a whole will not be compensated by the Treasur</w:t>
      </w:r>
      <w:r>
        <w:rPr>
          <w:rFonts w:ascii="Times New Roman" w:hAnsi="Times New Roman"/>
          <w:noProof/>
          <w:sz w:val="24"/>
        </w:rPr>
        <w:t>y in their individual budgets. Therefore, overall the higher intensity regulatory intervention as regards charging does not strike a good balance between the needs of the public sector on the one hand and the impact on the data economy on the other.</w:t>
      </w:r>
    </w:p>
    <w:p w:rsidR="00DF1A33" w:rsidRDefault="00456F01">
      <w:pPr>
        <w:jc w:val="both"/>
        <w:rPr>
          <w:rFonts w:ascii="Times New Roman" w:hAnsi="Times New Roman" w:cs="Times New Roman"/>
          <w:noProof/>
          <w:sz w:val="24"/>
          <w:szCs w:val="24"/>
        </w:rPr>
      </w:pPr>
      <w:r>
        <w:rPr>
          <w:rFonts w:ascii="Times New Roman" w:hAnsi="Times New Roman"/>
          <w:noProof/>
          <w:sz w:val="24"/>
        </w:rPr>
        <w:t>With r</w:t>
      </w:r>
      <w:r>
        <w:rPr>
          <w:rFonts w:ascii="Times New Roman" w:hAnsi="Times New Roman"/>
          <w:noProof/>
          <w:sz w:val="24"/>
        </w:rPr>
        <w:t xml:space="preserve">egard to </w:t>
      </w:r>
      <w:r>
        <w:rPr>
          <w:rFonts w:ascii="Times New Roman" w:hAnsi="Times New Roman"/>
          <w:b/>
          <w:noProof/>
          <w:sz w:val="24"/>
        </w:rPr>
        <w:t>scientific information</w:t>
      </w:r>
      <w:r>
        <w:rPr>
          <w:rFonts w:ascii="Times New Roman" w:hAnsi="Times New Roman"/>
          <w:noProof/>
          <w:sz w:val="24"/>
        </w:rPr>
        <w:t>, the higher intensity option would, along the lines included in the updated Recommendation on access to and preservation of scientific information</w:t>
      </w:r>
      <w:r>
        <w:rPr>
          <w:rStyle w:val="FootnoteReference"/>
          <w:rFonts w:ascii="Times New Roman" w:hAnsi="Times New Roman"/>
          <w:noProof/>
          <w:sz w:val="24"/>
        </w:rPr>
        <w:footnoteReference w:id="160"/>
      </w:r>
      <w:r>
        <w:rPr>
          <w:rFonts w:ascii="Times New Roman" w:hAnsi="Times New Roman"/>
          <w:noProof/>
          <w:sz w:val="24"/>
        </w:rPr>
        <w:t>, harmonise Open Access policies that are currently defined either at nationa</w:t>
      </w:r>
      <w:r>
        <w:rPr>
          <w:rFonts w:ascii="Times New Roman" w:hAnsi="Times New Roman"/>
          <w:noProof/>
          <w:sz w:val="24"/>
        </w:rPr>
        <w:t xml:space="preserve">l level or at the level of individual research funders for the entire EU. </w:t>
      </w:r>
      <w:r>
        <w:rPr>
          <w:rFonts w:ascii="Times New Roman" w:hAnsi="Times New Roman" w:cs="Times New Roman"/>
          <w:noProof/>
          <w:sz w:val="24"/>
          <w:szCs w:val="24"/>
        </w:rPr>
        <w:t>This would have positive effects within the scientific community (a level playing field as all researchers are subject to identical obligations in terms of Open Access to their resea</w:t>
      </w:r>
      <w:r>
        <w:rPr>
          <w:rFonts w:ascii="Times New Roman" w:hAnsi="Times New Roman" w:cs="Times New Roman"/>
          <w:noProof/>
          <w:sz w:val="24"/>
          <w:szCs w:val="24"/>
        </w:rPr>
        <w:t xml:space="preserve">rch results, higher transparency of results leading to less plagiarism, more efficient peer-review and reduction of costs for data acquisition). </w:t>
      </w:r>
    </w:p>
    <w:p w:rsidR="00DF1A33" w:rsidRDefault="00456F01">
      <w:pPr>
        <w:jc w:val="both"/>
        <w:rPr>
          <w:rFonts w:ascii="Times New Roman" w:hAnsi="Times New Roman" w:cs="Times New Roman"/>
          <w:noProof/>
          <w:sz w:val="24"/>
          <w:szCs w:val="24"/>
        </w:rPr>
      </w:pPr>
      <w:r>
        <w:rPr>
          <w:rFonts w:ascii="Times New Roman" w:hAnsi="Times New Roman"/>
          <w:noProof/>
          <w:sz w:val="24"/>
        </w:rPr>
        <w:t>The Impact Assessment study lists many of examples illustrating that Open Access to research data leads to fas</w:t>
      </w:r>
      <w:r>
        <w:rPr>
          <w:rFonts w:ascii="Times New Roman" w:hAnsi="Times New Roman"/>
          <w:noProof/>
          <w:sz w:val="24"/>
        </w:rPr>
        <w:t xml:space="preserve">ter discovery and increased innovation. For instance, in the context of the Human Genome Project, open access to genome sequencing data led to a whole range of products and services and ultimately lowered the price of DNA sequencing from 82 million EUR to </w:t>
      </w:r>
      <w:r>
        <w:rPr>
          <w:rFonts w:ascii="Times New Roman" w:hAnsi="Times New Roman"/>
          <w:noProof/>
          <w:sz w:val="24"/>
        </w:rPr>
        <w:t>4,074 EUR between 2001 and 2013.</w:t>
      </w:r>
      <w:r>
        <w:rPr>
          <w:rStyle w:val="FootnoteReference"/>
          <w:rFonts w:ascii="Times New Roman" w:hAnsi="Times New Roman"/>
          <w:noProof/>
          <w:sz w:val="24"/>
        </w:rPr>
        <w:footnoteReference w:id="161"/>
      </w:r>
      <w:r>
        <w:rPr>
          <w:rFonts w:ascii="Times New Roman" w:hAnsi="Times New Roman"/>
          <w:noProof/>
          <w:sz w:val="24"/>
        </w:rPr>
        <w:t xml:space="preserve">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While this option would be coherent with the European Commission's current policy on Open Science (as reflected in Horizon 2020 rules) and while stakeholders and Member States strongly support Open Access, the move to har</w:t>
      </w:r>
      <w:r>
        <w:rPr>
          <w:rFonts w:ascii="Times New Roman" w:hAnsi="Times New Roman" w:cs="Times New Roman"/>
          <w:noProof/>
          <w:sz w:val="24"/>
          <w:szCs w:val="24"/>
        </w:rPr>
        <w:t xml:space="preserve">d law in this area should be addressed in a gradual manner over a longer span of time. This would allow the research community and other research stakeholders to voice their opinions and to treat the question in process that includes bottom-up elements as </w:t>
      </w:r>
      <w:r>
        <w:rPr>
          <w:rFonts w:ascii="Times New Roman" w:hAnsi="Times New Roman" w:cs="Times New Roman"/>
          <w:noProof/>
          <w:sz w:val="24"/>
          <w:szCs w:val="24"/>
        </w:rPr>
        <w:t xml:space="preserve">far as possible.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A substantial initial influx of new </w:t>
      </w:r>
      <w:r>
        <w:rPr>
          <w:rFonts w:ascii="Times New Roman" w:hAnsi="Times New Roman"/>
          <w:b/>
          <w:noProof/>
          <w:sz w:val="24"/>
        </w:rPr>
        <w:t>data held by both public undertakings and private operators from the transport and utilities sector</w:t>
      </w:r>
      <w:r>
        <w:rPr>
          <w:rFonts w:ascii="Times New Roman" w:hAnsi="Times New Roman" w:cs="Times New Roman"/>
          <w:noProof/>
          <w:sz w:val="24"/>
          <w:szCs w:val="24"/>
        </w:rPr>
        <w:t xml:space="preserve"> could also be expected. However, obligations to allow re-use (Article 3), coupled with the obligation </w:t>
      </w:r>
      <w:r>
        <w:rPr>
          <w:rFonts w:ascii="Times New Roman" w:hAnsi="Times New Roman" w:cs="Times New Roman"/>
          <w:noProof/>
          <w:sz w:val="24"/>
          <w:szCs w:val="24"/>
        </w:rPr>
        <w:t xml:space="preserve">to apply the principle of charging marginal cost for dissemination (Article 6) would bring a noticeable burden on entities active in the transport and utility domains. In addition, an obligation to open up data could be perceived to have a negative impact </w:t>
      </w:r>
      <w:r>
        <w:rPr>
          <w:rFonts w:ascii="Times New Roman" w:hAnsi="Times New Roman" w:cs="Times New Roman"/>
          <w:noProof/>
          <w:sz w:val="24"/>
          <w:szCs w:val="24"/>
        </w:rPr>
        <w:t>on investment in sensors and data collection by entities active in the transport and utility domains, out of fear of strengthening competitors who would not be subject to such an obligation. This could affect the capacities of entities in the transport and</w:t>
      </w:r>
      <w:r>
        <w:rPr>
          <w:rFonts w:ascii="Times New Roman" w:hAnsi="Times New Roman" w:cs="Times New Roman"/>
          <w:noProof/>
          <w:sz w:val="24"/>
          <w:szCs w:val="24"/>
        </w:rPr>
        <w:t xml:space="preserve"> utility domains to innovate and has often been brought as an argument against a strong horizontal intervention on EU level in this area.</w:t>
      </w:r>
      <w:r>
        <w:rPr>
          <w:rStyle w:val="FootnoteReference"/>
          <w:rFonts w:ascii="Times New Roman" w:hAnsi="Times New Roman" w:cs="Times New Roman"/>
          <w:noProof/>
          <w:sz w:val="24"/>
          <w:szCs w:val="24"/>
        </w:rPr>
        <w:footnoteReference w:id="162"/>
      </w:r>
      <w:r>
        <w:rPr>
          <w:rFonts w:ascii="Times New Roman" w:hAnsi="Times New Roman" w:cs="Times New Roman"/>
          <w:noProof/>
          <w:sz w:val="24"/>
          <w:szCs w:val="24"/>
        </w:rPr>
        <w:t xml:space="preserve">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Finally, a full-fledged </w:t>
      </w:r>
      <w:r>
        <w:rPr>
          <w:rFonts w:ascii="Times New Roman" w:hAnsi="Times New Roman"/>
          <w:b/>
          <w:noProof/>
          <w:sz w:val="24"/>
        </w:rPr>
        <w:t>prohibition of arrangements leading to 'data lock-in'</w:t>
      </w:r>
      <w:r>
        <w:rPr>
          <w:rFonts w:ascii="Times New Roman" w:hAnsi="Times New Roman" w:cs="Times New Roman"/>
          <w:noProof/>
          <w:sz w:val="24"/>
          <w:szCs w:val="24"/>
        </w:rPr>
        <w:t xml:space="preserve"> would discourage private companies fro</w:t>
      </w:r>
      <w:r>
        <w:rPr>
          <w:rFonts w:ascii="Times New Roman" w:hAnsi="Times New Roman" w:cs="Times New Roman"/>
          <w:noProof/>
          <w:sz w:val="24"/>
          <w:szCs w:val="24"/>
        </w:rPr>
        <w:t xml:space="preserve">m approaching public institutions in search of preferential treatment in terms of data access and use, with a positive impact on competition and market access by start-ups and SMEs.  However, an outright ban on arrangements with a risk of a 'data lock-in' </w:t>
      </w:r>
      <w:r>
        <w:rPr>
          <w:rFonts w:ascii="Times New Roman" w:hAnsi="Times New Roman" w:cs="Times New Roman"/>
          <w:noProof/>
          <w:sz w:val="24"/>
          <w:szCs w:val="24"/>
        </w:rPr>
        <w:t>effect might also have a chilling effect on the private sector, preventing it from seeking any sort of public-private partnership for fear of breaching legislation, with an overall negative impact on data-based innovation.</w:t>
      </w:r>
    </w:p>
    <w:p w:rsidR="00DF1A33" w:rsidRDefault="00456F01">
      <w:pPr>
        <w:pStyle w:val="Heading2"/>
        <w:rPr>
          <w:noProof/>
        </w:rPr>
      </w:pPr>
      <w:bookmarkStart w:id="1395" w:name="_Toc506363049"/>
      <w:bookmarkStart w:id="1396" w:name="_Toc506369547"/>
      <w:bookmarkStart w:id="1397" w:name="_Toc506376136"/>
      <w:bookmarkStart w:id="1398" w:name="_Toc506378449"/>
      <w:bookmarkStart w:id="1399" w:name="_Toc506378531"/>
      <w:bookmarkStart w:id="1400" w:name="_Toc509412629"/>
      <w:bookmarkStart w:id="1401" w:name="_Toc509414805"/>
      <w:bookmarkStart w:id="1402" w:name="_Toc509414861"/>
      <w:r>
        <w:rPr>
          <w:noProof/>
        </w:rPr>
        <w:t>Impact on SMEs</w:t>
      </w:r>
      <w:bookmarkEnd w:id="1395"/>
      <w:bookmarkEnd w:id="1396"/>
      <w:bookmarkEnd w:id="1397"/>
      <w:bookmarkEnd w:id="1398"/>
      <w:bookmarkEnd w:id="1399"/>
      <w:bookmarkEnd w:id="1400"/>
      <w:bookmarkEnd w:id="1401"/>
      <w:bookmarkEnd w:id="1402"/>
    </w:p>
    <w:p w:rsidR="00DF1A33" w:rsidRDefault="00456F01">
      <w:pPr>
        <w:jc w:val="both"/>
        <w:rPr>
          <w:rFonts w:ascii="Times New Roman" w:hAnsi="Times New Roman"/>
          <w:noProof/>
          <w:sz w:val="24"/>
        </w:rPr>
      </w:pPr>
      <w:r>
        <w:rPr>
          <w:rFonts w:ascii="Times New Roman" w:hAnsi="Times New Roman"/>
          <w:noProof/>
          <w:sz w:val="24"/>
        </w:rPr>
        <w:t>The positive effec</w:t>
      </w:r>
      <w:r>
        <w:rPr>
          <w:rFonts w:ascii="Times New Roman" w:hAnsi="Times New Roman"/>
          <w:noProof/>
          <w:sz w:val="24"/>
        </w:rPr>
        <w:t>t of widely available, free of charge public data is first and foremost important for start-ups and SMEs. While open government data is also a source of innovation for large market players, including the online platforms, it is a key ingredient for many Eu</w:t>
      </w:r>
      <w:r>
        <w:rPr>
          <w:rFonts w:ascii="Times New Roman" w:hAnsi="Times New Roman"/>
          <w:noProof/>
          <w:sz w:val="24"/>
        </w:rPr>
        <w:t>ropean start-ups and SMEs.</w:t>
      </w:r>
      <w:r>
        <w:rPr>
          <w:rFonts w:ascii="Times New Roman" w:hAnsi="Times New Roman"/>
          <w:noProof/>
          <w:sz w:val="24"/>
          <w:vertAlign w:val="superscript"/>
        </w:rPr>
        <w:footnoteReference w:id="163"/>
      </w:r>
      <w:r>
        <w:rPr>
          <w:rFonts w:ascii="Times New Roman" w:hAnsi="Times New Roman"/>
          <w:noProof/>
          <w:sz w:val="24"/>
        </w:rPr>
        <w:t xml:space="preserve"> One third of the start-ups involved in the ODINE incubator stated that not only their business would be negatively affected but that they would simply not exist without public data being open.</w:t>
      </w:r>
      <w:r>
        <w:rPr>
          <w:rFonts w:ascii="Times New Roman" w:hAnsi="Times New Roman"/>
          <w:noProof/>
          <w:sz w:val="24"/>
          <w:vertAlign w:val="superscript"/>
        </w:rPr>
        <w:footnoteReference w:id="164"/>
      </w:r>
      <w:r>
        <w:rPr>
          <w:rFonts w:ascii="Times New Roman" w:hAnsi="Times New Roman"/>
          <w:noProof/>
          <w:sz w:val="24"/>
        </w:rPr>
        <w:t xml:space="preserve"> Observations from other markets corroborate the importance of open data for SMEs.</w:t>
      </w:r>
      <w:r>
        <w:rPr>
          <w:rFonts w:ascii="Times New Roman" w:hAnsi="Times New Roman"/>
          <w:noProof/>
          <w:sz w:val="24"/>
          <w:vertAlign w:val="superscript"/>
        </w:rPr>
        <w:footnoteReference w:id="165"/>
      </w:r>
    </w:p>
    <w:p w:rsidR="00DF1A33" w:rsidRDefault="00456F01">
      <w:pPr>
        <w:jc w:val="both"/>
        <w:rPr>
          <w:rFonts w:ascii="Times New Roman" w:hAnsi="Times New Roman"/>
          <w:noProof/>
          <w:sz w:val="24"/>
        </w:rPr>
      </w:pPr>
      <w:r>
        <w:rPr>
          <w:rFonts w:ascii="Times New Roman" w:hAnsi="Times New Roman"/>
          <w:noProof/>
          <w:sz w:val="24"/>
        </w:rPr>
        <w:t>In many cases SMEs struggle to get hold of the relevant data, because of lack of financial resources and because they do not have the power to negotiate with dataholders. E</w:t>
      </w:r>
      <w:r>
        <w:rPr>
          <w:rFonts w:ascii="Times New Roman" w:hAnsi="Times New Roman"/>
          <w:noProof/>
          <w:sz w:val="24"/>
        </w:rPr>
        <w:t>mpirical findings show that the PSI pricing matters for firms’ growth particularly from the perspective of SMEs.</w:t>
      </w:r>
      <w:r>
        <w:rPr>
          <w:rFonts w:ascii="Times New Roman" w:hAnsi="Times New Roman"/>
          <w:noProof/>
          <w:sz w:val="24"/>
          <w:vertAlign w:val="superscript"/>
        </w:rPr>
        <w:footnoteReference w:id="166"/>
      </w:r>
      <w:r>
        <w:rPr>
          <w:rFonts w:ascii="Times New Roman" w:hAnsi="Times New Roman"/>
          <w:noProof/>
          <w:sz w:val="24"/>
          <w:vertAlign w:val="superscript"/>
        </w:rPr>
        <w:t xml:space="preserve"> </w:t>
      </w:r>
      <w:r>
        <w:rPr>
          <w:rFonts w:ascii="Times New Roman" w:hAnsi="Times New Roman"/>
          <w:noProof/>
          <w:sz w:val="24"/>
        </w:rPr>
        <w:t>Also, replacing the current system based on requesting data by proactively making data available through APIs will benefit SMEs most, since th</w:t>
      </w:r>
      <w:r>
        <w:rPr>
          <w:rFonts w:ascii="Times New Roman" w:hAnsi="Times New Roman"/>
          <w:noProof/>
          <w:sz w:val="24"/>
        </w:rPr>
        <w:t xml:space="preserve">ey often do not have the capacity to deal with the administrative requirements and licencing issues. Moreover, many transport and energy apps are produced by SMEs, who stand to gain most from better availability of data in these domains. </w:t>
      </w:r>
    </w:p>
    <w:p w:rsidR="00DF1A33" w:rsidRDefault="00456F01">
      <w:pPr>
        <w:jc w:val="both"/>
        <w:rPr>
          <w:rFonts w:ascii="Times New Roman" w:hAnsi="Times New Roman"/>
          <w:noProof/>
          <w:sz w:val="24"/>
        </w:rPr>
      </w:pPr>
      <w:r>
        <w:rPr>
          <w:rFonts w:ascii="Times New Roman" w:hAnsi="Times New Roman"/>
          <w:noProof/>
          <w:sz w:val="24"/>
        </w:rPr>
        <w:t>Currently, SMEs r</w:t>
      </w:r>
      <w:r>
        <w:rPr>
          <w:rFonts w:ascii="Times New Roman" w:hAnsi="Times New Roman"/>
          <w:noProof/>
          <w:sz w:val="24"/>
        </w:rPr>
        <w:t>epresent 99.8% of companies active on the European data-market, given the relatively modest initial capital investment necessary to launch a data-driven business. Therefore it is likely that the estimated job growth (645,000 new jobs by 2027) based on publ</w:t>
      </w:r>
      <w:r>
        <w:rPr>
          <w:rFonts w:ascii="Times New Roman" w:hAnsi="Times New Roman"/>
          <w:noProof/>
          <w:sz w:val="24"/>
        </w:rPr>
        <w:t>ic sector information will for the large part come from employment created by SMEs.</w:t>
      </w:r>
    </w:p>
    <w:p w:rsidR="00DF1A33" w:rsidRDefault="00456F01">
      <w:pPr>
        <w:pStyle w:val="Heading2"/>
        <w:rPr>
          <w:noProof/>
          <w:szCs w:val="24"/>
        </w:rPr>
      </w:pPr>
      <w:bookmarkStart w:id="1403" w:name="_Toc505768982"/>
      <w:bookmarkStart w:id="1404" w:name="_Toc505771160"/>
      <w:bookmarkStart w:id="1405" w:name="_Toc505773165"/>
      <w:bookmarkStart w:id="1406" w:name="_Toc505773427"/>
      <w:bookmarkStart w:id="1407" w:name="_Toc505788939"/>
      <w:bookmarkStart w:id="1408" w:name="_Toc505845226"/>
      <w:bookmarkStart w:id="1409" w:name="_Toc505847869"/>
      <w:bookmarkStart w:id="1410" w:name="_Toc505851483"/>
      <w:bookmarkStart w:id="1411" w:name="_Toc505848286"/>
      <w:bookmarkStart w:id="1412" w:name="_Toc505851566"/>
      <w:bookmarkStart w:id="1413" w:name="_Toc505852975"/>
      <w:bookmarkStart w:id="1414" w:name="_Toc505855696"/>
      <w:bookmarkStart w:id="1415" w:name="_Toc505858253"/>
      <w:bookmarkStart w:id="1416" w:name="_Toc505857202"/>
      <w:bookmarkStart w:id="1417" w:name="_Toc505860069"/>
      <w:bookmarkStart w:id="1418" w:name="_Toc505860596"/>
      <w:bookmarkStart w:id="1419" w:name="_Toc505861004"/>
      <w:bookmarkStart w:id="1420" w:name="_Toc505861085"/>
      <w:bookmarkStart w:id="1421" w:name="_Toc505861161"/>
      <w:bookmarkStart w:id="1422" w:name="_Toc505861328"/>
      <w:bookmarkStart w:id="1423" w:name="_Toc505861677"/>
      <w:bookmarkStart w:id="1424" w:name="_Toc503452306"/>
      <w:bookmarkStart w:id="1425" w:name="_Toc503797299"/>
      <w:bookmarkStart w:id="1426" w:name="_Toc503800756"/>
      <w:bookmarkStart w:id="1427" w:name="_Toc504142968"/>
      <w:bookmarkStart w:id="1428" w:name="_Toc504151674"/>
      <w:bookmarkStart w:id="1429" w:name="_Toc504382958"/>
      <w:bookmarkStart w:id="1430" w:name="_Toc504391101"/>
      <w:bookmarkStart w:id="1431" w:name="_Toc504403190"/>
      <w:bookmarkStart w:id="1432" w:name="_Toc504743660"/>
      <w:bookmarkStart w:id="1433" w:name="_Toc504751212"/>
      <w:bookmarkStart w:id="1434" w:name="_Toc504751386"/>
      <w:bookmarkStart w:id="1435" w:name="_Toc505182007"/>
      <w:bookmarkStart w:id="1436" w:name="_Toc505248661"/>
      <w:bookmarkStart w:id="1437" w:name="_Toc505266537"/>
      <w:bookmarkStart w:id="1438" w:name="_Toc505335388"/>
      <w:bookmarkStart w:id="1439" w:name="_Toc505345859"/>
      <w:bookmarkStart w:id="1440" w:name="_Toc505346447"/>
      <w:bookmarkStart w:id="1441" w:name="_Toc505856877"/>
      <w:bookmarkStart w:id="1442" w:name="_Toc505696704"/>
      <w:bookmarkStart w:id="1443" w:name="_Toc505698190"/>
      <w:bookmarkStart w:id="1444" w:name="_Toc505701703"/>
      <w:bookmarkStart w:id="1445" w:name="_Toc505705190"/>
      <w:bookmarkStart w:id="1446" w:name="_Toc505773166"/>
      <w:bookmarkStart w:id="1447" w:name="_Toc505862321"/>
      <w:bookmarkStart w:id="1448" w:name="_Toc505864886"/>
      <w:bookmarkStart w:id="1449" w:name="_Toc505868740"/>
      <w:bookmarkStart w:id="1450" w:name="_Toc505869207"/>
      <w:bookmarkStart w:id="1451" w:name="_Toc506363050"/>
      <w:bookmarkStart w:id="1452" w:name="_Toc506369548"/>
      <w:bookmarkStart w:id="1453" w:name="_Toc506376137"/>
      <w:bookmarkStart w:id="1454" w:name="_Toc506378450"/>
      <w:bookmarkStart w:id="1455" w:name="_Toc506378532"/>
      <w:bookmarkStart w:id="1456" w:name="_Toc509412630"/>
      <w:bookmarkStart w:id="1457" w:name="_Toc509414806"/>
      <w:bookmarkStart w:id="1458" w:name="_Toc50941486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r>
        <w:rPr>
          <w:noProof/>
          <w:szCs w:val="24"/>
        </w:rPr>
        <w:t>Social and environmental impacts</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rsidR="00DF1A33" w:rsidRDefault="00456F01">
      <w:pPr>
        <w:jc w:val="both"/>
        <w:rPr>
          <w:rFonts w:ascii="Times New Roman" w:hAnsi="Times New Roman"/>
          <w:noProof/>
          <w:sz w:val="24"/>
          <w:vertAlign w:val="superscript"/>
          <w:lang w:val="en-US"/>
        </w:rPr>
      </w:pPr>
      <w:r>
        <w:rPr>
          <w:rFonts w:ascii="Times New Roman" w:hAnsi="Times New Roman"/>
          <w:noProof/>
          <w:sz w:val="24"/>
        </w:rPr>
        <w:t>Open government data</w:t>
      </w:r>
      <w:r>
        <w:rPr>
          <w:rFonts w:ascii="Times New Roman" w:hAnsi="Times New Roman" w:cs="Times New Roman"/>
          <w:noProof/>
          <w:sz w:val="24"/>
          <w:szCs w:val="24"/>
          <w:lang w:val="en-US"/>
        </w:rPr>
        <w:t xml:space="preserve"> brings about a whole range of societal and environmental benefits</w:t>
      </w:r>
      <w:r>
        <w:rPr>
          <w:rFonts w:ascii="Times New Roman" w:hAnsi="Times New Roman"/>
          <w:noProof/>
          <w:sz w:val="24"/>
          <w:vertAlign w:val="superscript"/>
          <w:lang w:val="en-US"/>
        </w:rPr>
        <w:footnoteReference w:id="167"/>
      </w:r>
      <w:r>
        <w:rPr>
          <w:rFonts w:ascii="Times New Roman" w:hAnsi="Times New Roman" w:cs="Times New Roman"/>
          <w:noProof/>
          <w:sz w:val="24"/>
          <w:szCs w:val="24"/>
          <w:lang w:val="en-US"/>
        </w:rPr>
        <w:t>, experienced mainly by the end users, i.e. consumer</w:t>
      </w:r>
      <w:r>
        <w:rPr>
          <w:rFonts w:ascii="Times New Roman" w:hAnsi="Times New Roman" w:cs="Times New Roman"/>
          <w:noProof/>
          <w:sz w:val="24"/>
          <w:szCs w:val="24"/>
          <w:lang w:val="en-US"/>
        </w:rPr>
        <w:t>s of products and services based on open data.</w:t>
      </w:r>
      <w:r>
        <w:rPr>
          <w:rFonts w:ascii="Times New Roman" w:hAnsi="Times New Roman"/>
          <w:noProof/>
          <w:sz w:val="24"/>
          <w:vertAlign w:val="superscript"/>
          <w:lang w:val="en-US"/>
        </w:rPr>
        <w:t xml:space="preserve"> </w:t>
      </w:r>
      <w:r>
        <w:rPr>
          <w:rFonts w:ascii="Times New Roman" w:hAnsi="Times New Roman" w:cs="Times New Roman"/>
          <w:noProof/>
          <w:sz w:val="24"/>
          <w:szCs w:val="24"/>
          <w:lang w:val="en-US"/>
        </w:rPr>
        <w:t>For example, it is estimated that open data has the potential to save 7,000 lives yearly thanks to quicker response in case of cardiac arrest and 1,425 lives from traffic losses (i.e. 5.5% of the European road</w:t>
      </w:r>
      <w:r>
        <w:rPr>
          <w:rFonts w:ascii="Times New Roman" w:hAnsi="Times New Roman" w:cs="Times New Roman"/>
          <w:noProof/>
          <w:sz w:val="24"/>
          <w:szCs w:val="24"/>
          <w:lang w:val="en-US"/>
        </w:rPr>
        <w:t xml:space="preserve"> fatalities).</w:t>
      </w:r>
      <w:r>
        <w:rPr>
          <w:rFonts w:ascii="Times New Roman" w:hAnsi="Times New Roman" w:cs="Times New Roman"/>
          <w:noProof/>
          <w:sz w:val="24"/>
          <w:szCs w:val="24"/>
          <w:vertAlign w:val="superscript"/>
          <w:lang w:val="en-US"/>
        </w:rPr>
        <w:footnoteReference w:id="168"/>
      </w:r>
    </w:p>
    <w:p w:rsidR="00DF1A33" w:rsidRDefault="00456F01">
      <w:pPr>
        <w:jc w:val="both"/>
        <w:rPr>
          <w:noProof/>
        </w:rPr>
      </w:pPr>
      <w:r>
        <w:rPr>
          <w:rFonts w:ascii="Times New Roman" w:hAnsi="Times New Roman" w:cs="Times New Roman"/>
          <w:noProof/>
          <w:sz w:val="24"/>
          <w:szCs w:val="24"/>
          <w:lang w:val="en-US"/>
        </w:rPr>
        <w:t xml:space="preserve">Apart from having the potential to considerably increase the </w:t>
      </w:r>
      <w:r>
        <w:rPr>
          <w:rFonts w:ascii="Times New Roman" w:hAnsi="Times New Roman" w:cs="Times New Roman"/>
          <w:noProof/>
          <w:sz w:val="24"/>
          <w:szCs w:val="24"/>
        </w:rPr>
        <w:t>efficiency</w:t>
      </w:r>
      <w:r>
        <w:rPr>
          <w:rFonts w:ascii="Times New Roman" w:hAnsi="Times New Roman" w:cs="Times New Roman"/>
          <w:noProof/>
          <w:sz w:val="24"/>
          <w:szCs w:val="24"/>
          <w:lang w:val="en-US"/>
        </w:rPr>
        <w:t xml:space="preserve"> of government through better policy making</w:t>
      </w:r>
      <w:r>
        <w:rPr>
          <w:rStyle w:val="FootnoteReference"/>
          <w:noProof/>
          <w:szCs w:val="24"/>
          <w:lang w:val="en-US"/>
        </w:rPr>
        <w:footnoteReference w:id="169"/>
      </w:r>
      <w:r>
        <w:rPr>
          <w:rFonts w:ascii="Times New Roman" w:hAnsi="Times New Roman" w:cs="Times New Roman"/>
          <w:noProof/>
          <w:sz w:val="24"/>
          <w:szCs w:val="24"/>
          <w:lang w:val="en-US"/>
        </w:rPr>
        <w:t>, open data helps in reducing the distance between government and citizens as regards access to information</w:t>
      </w:r>
      <w:r>
        <w:rPr>
          <w:rFonts w:ascii="Times New Roman" w:hAnsi="Times New Roman" w:cs="Times New Roman"/>
          <w:noProof/>
          <w:sz w:val="24"/>
          <w:szCs w:val="24"/>
          <w:vertAlign w:val="superscript"/>
          <w:lang w:val="en-US"/>
        </w:rPr>
        <w:footnoteReference w:id="170"/>
      </w:r>
      <w:r>
        <w:rPr>
          <w:rFonts w:ascii="Times New Roman" w:hAnsi="Times New Roman" w:cs="Times New Roman"/>
          <w:noProof/>
          <w:sz w:val="24"/>
          <w:szCs w:val="24"/>
          <w:lang w:val="en-US"/>
        </w:rPr>
        <w:t xml:space="preserve"> and generates sig</w:t>
      </w:r>
      <w:r>
        <w:rPr>
          <w:rFonts w:ascii="Times New Roman" w:hAnsi="Times New Roman" w:cs="Times New Roman"/>
          <w:noProof/>
          <w:sz w:val="24"/>
          <w:szCs w:val="24"/>
          <w:lang w:val="en-US"/>
        </w:rPr>
        <w:t>nificant benefits in the areas of social inclusion and civic participation.</w:t>
      </w:r>
      <w:r>
        <w:rPr>
          <w:rFonts w:ascii="Times New Roman" w:hAnsi="Times New Roman"/>
          <w:noProof/>
          <w:sz w:val="24"/>
          <w:vertAlign w:val="superscript"/>
          <w:lang w:val="en-US"/>
        </w:rPr>
        <w:footnoteReference w:id="171"/>
      </w:r>
    </w:p>
    <w:p w:rsidR="00DF1A33" w:rsidRDefault="00456F01">
      <w:pPr>
        <w:pStyle w:val="Heading3"/>
        <w:keepLines/>
        <w:spacing w:before="200" w:after="0" w:line="276" w:lineRule="auto"/>
        <w:ind w:left="720"/>
        <w:jc w:val="left"/>
        <w:rPr>
          <w:noProof/>
        </w:rPr>
      </w:pPr>
      <w:bookmarkStart w:id="1459" w:name="_Toc504151675"/>
      <w:bookmarkStart w:id="1460" w:name="_Toc504382959"/>
      <w:bookmarkStart w:id="1461" w:name="_Toc504391102"/>
      <w:bookmarkStart w:id="1462" w:name="_Toc504403191"/>
      <w:bookmarkStart w:id="1463" w:name="_Toc504743661"/>
      <w:bookmarkStart w:id="1464" w:name="_Toc504751213"/>
      <w:bookmarkStart w:id="1465" w:name="_Toc504751387"/>
      <w:bookmarkStart w:id="1466" w:name="_Toc505182008"/>
      <w:bookmarkStart w:id="1467" w:name="_Toc505248662"/>
      <w:bookmarkStart w:id="1468" w:name="_Toc505266538"/>
      <w:bookmarkStart w:id="1469" w:name="_Toc505335389"/>
      <w:bookmarkStart w:id="1470" w:name="_Toc505345860"/>
      <w:bookmarkStart w:id="1471" w:name="_Toc505346448"/>
      <w:bookmarkStart w:id="1472" w:name="_Toc505696705"/>
      <w:bookmarkStart w:id="1473" w:name="_Toc505698191"/>
      <w:bookmarkStart w:id="1474" w:name="_Toc505701704"/>
      <w:bookmarkStart w:id="1475" w:name="_Toc505705191"/>
      <w:bookmarkStart w:id="1476" w:name="_Toc505773167"/>
      <w:bookmarkStart w:id="1477" w:name="_Toc505856878"/>
      <w:bookmarkStart w:id="1478" w:name="_Toc505862322"/>
      <w:bookmarkStart w:id="1479" w:name="_Toc505864887"/>
      <w:bookmarkStart w:id="1480" w:name="_Toc505868741"/>
      <w:bookmarkStart w:id="1481" w:name="_Toc505869208"/>
      <w:bookmarkStart w:id="1482" w:name="_Toc506363051"/>
      <w:bookmarkStart w:id="1483" w:name="_Toc506369549"/>
      <w:bookmarkStart w:id="1484" w:name="_Toc506376138"/>
      <w:bookmarkStart w:id="1485" w:name="_Toc506378451"/>
      <w:bookmarkStart w:id="1486" w:name="_Toc506378533"/>
      <w:bookmarkStart w:id="1487" w:name="_Toc509412631"/>
      <w:bookmarkStart w:id="1488" w:name="_Toc509414807"/>
      <w:bookmarkStart w:id="1489" w:name="_Toc509414863"/>
      <w:r>
        <w:rPr>
          <w:noProof/>
        </w:rPr>
        <w:t>Baseline scenario</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p w:rsidR="00DF1A33" w:rsidRDefault="00456F01">
      <w:pPr>
        <w:jc w:val="both"/>
        <w:rPr>
          <w:rFonts w:ascii="Times New Roman" w:hAnsi="Times New Roman" w:cs="Times New Roman"/>
          <w:noProof/>
          <w:sz w:val="24"/>
          <w:szCs w:val="24"/>
        </w:rPr>
      </w:pPr>
      <w:r>
        <w:rPr>
          <w:rFonts w:ascii="Times New Roman" w:hAnsi="Times New Roman"/>
          <w:noProof/>
          <w:sz w:val="24"/>
        </w:rPr>
        <w:t>In case of the baseline scenario,</w:t>
      </w:r>
      <w:r>
        <w:rPr>
          <w:rFonts w:ascii="Times New Roman" w:hAnsi="Times New Roman" w:cs="Times New Roman"/>
          <w:noProof/>
          <w:sz w:val="24"/>
          <w:szCs w:val="24"/>
        </w:rPr>
        <w:t xml:space="preserve"> societal and environmental benefits will be continue to be realised to a certain extent, given the implementation of open data policies on EU and national level in the last decade. In fact, many countries – both in Europe and beyond – have introduced open</w:t>
      </w:r>
      <w:r>
        <w:rPr>
          <w:rFonts w:ascii="Times New Roman" w:hAnsi="Times New Roman" w:cs="Times New Roman"/>
          <w:noProof/>
          <w:sz w:val="24"/>
          <w:szCs w:val="24"/>
        </w:rPr>
        <w:t xml:space="preserve"> data measures with societal objectives in mind (this is especially the case in less affluent countries where internet penetration is still low</w:t>
      </w:r>
      <w:r>
        <w:rPr>
          <w:rStyle w:val="FootnoteReference"/>
          <w:rFonts w:ascii="Times New Roman" w:hAnsi="Times New Roman" w:cs="Times New Roman"/>
          <w:noProof/>
          <w:sz w:val="24"/>
          <w:szCs w:val="24"/>
        </w:rPr>
        <w:footnoteReference w:id="172"/>
      </w:r>
      <w:r>
        <w:rPr>
          <w:rFonts w:ascii="Times New Roman" w:hAnsi="Times New Roman" w:cs="Times New Roman"/>
          <w:noProof/>
          <w:sz w:val="24"/>
          <w:szCs w:val="24"/>
        </w:rPr>
        <w:t>).</w:t>
      </w:r>
    </w:p>
    <w:p w:rsidR="00DF1A33" w:rsidRDefault="00456F01">
      <w:pPr>
        <w:jc w:val="both"/>
        <w:rPr>
          <w:rFonts w:ascii="Times New Roman" w:hAnsi="Times New Roman"/>
          <w:noProof/>
          <w:sz w:val="24"/>
        </w:rPr>
      </w:pPr>
      <w:r>
        <w:rPr>
          <w:rFonts w:ascii="Times New Roman" w:hAnsi="Times New Roman" w:cs="Times New Roman"/>
          <w:noProof/>
          <w:sz w:val="24"/>
          <w:szCs w:val="24"/>
        </w:rPr>
        <w:t xml:space="preserve">The main drawback of this option </w:t>
      </w:r>
      <w:r>
        <w:rPr>
          <w:rFonts w:ascii="Times New Roman" w:hAnsi="Times New Roman"/>
          <w:noProof/>
          <w:sz w:val="24"/>
        </w:rPr>
        <w:t xml:space="preserve">of 'no policy change' </w:t>
      </w:r>
      <w:r>
        <w:rPr>
          <w:rFonts w:ascii="Times New Roman" w:hAnsi="Times New Roman" w:cs="Times New Roman"/>
          <w:noProof/>
          <w:sz w:val="24"/>
          <w:szCs w:val="24"/>
        </w:rPr>
        <w:t>is that the already attained societal and environmenta</w:t>
      </w:r>
      <w:r>
        <w:rPr>
          <w:rFonts w:ascii="Times New Roman" w:hAnsi="Times New Roman" w:cs="Times New Roman"/>
          <w:noProof/>
          <w:sz w:val="24"/>
          <w:szCs w:val="24"/>
        </w:rPr>
        <w:t>l impacts would not be amplified by additional sources of data. Also, the barriers to data market and shortcomings in terms of competition conditions would limit the activity of smaller companies, which in turn would also lead to a sub-optimal use of the a</w:t>
      </w:r>
      <w:r>
        <w:rPr>
          <w:rFonts w:ascii="Times New Roman" w:hAnsi="Times New Roman" w:cs="Times New Roman"/>
          <w:noProof/>
          <w:sz w:val="24"/>
          <w:szCs w:val="24"/>
        </w:rPr>
        <w:t>vailable data to create social benefits presented above.</w:t>
      </w:r>
      <w:bookmarkStart w:id="1490" w:name="_Toc503452307"/>
      <w:bookmarkStart w:id="1491" w:name="_Toc503797300"/>
      <w:bookmarkStart w:id="1492" w:name="_Toc503800757"/>
    </w:p>
    <w:p w:rsidR="00DF1A33" w:rsidRDefault="00456F01">
      <w:pPr>
        <w:pStyle w:val="Heading3"/>
        <w:tabs>
          <w:tab w:val="num" w:pos="709"/>
        </w:tabs>
        <w:ind w:left="709" w:hanging="709"/>
        <w:rPr>
          <w:noProof/>
        </w:rPr>
      </w:pPr>
      <w:bookmarkStart w:id="1493" w:name="_Toc504151676"/>
      <w:bookmarkStart w:id="1494" w:name="_Toc504382960"/>
      <w:bookmarkStart w:id="1495" w:name="_Toc504391103"/>
      <w:bookmarkStart w:id="1496" w:name="_Toc504403192"/>
      <w:bookmarkStart w:id="1497" w:name="_Toc504743662"/>
      <w:bookmarkStart w:id="1498" w:name="_Toc504751214"/>
      <w:bookmarkStart w:id="1499" w:name="_Toc504751388"/>
      <w:bookmarkStart w:id="1500" w:name="_Toc505182009"/>
      <w:bookmarkStart w:id="1501" w:name="_Toc505248663"/>
      <w:bookmarkStart w:id="1502" w:name="_Toc505266539"/>
      <w:bookmarkStart w:id="1503" w:name="_Toc505335390"/>
      <w:bookmarkStart w:id="1504" w:name="_Toc505345861"/>
      <w:bookmarkStart w:id="1505" w:name="_Toc505346449"/>
      <w:bookmarkStart w:id="1506" w:name="_Toc505696706"/>
      <w:bookmarkStart w:id="1507" w:name="_Toc505698192"/>
      <w:bookmarkStart w:id="1508" w:name="_Toc505701705"/>
      <w:bookmarkStart w:id="1509" w:name="_Toc505705192"/>
      <w:bookmarkStart w:id="1510" w:name="_Toc505773168"/>
      <w:bookmarkStart w:id="1511" w:name="_Toc505856879"/>
      <w:bookmarkStart w:id="1512" w:name="_Toc505862323"/>
      <w:bookmarkStart w:id="1513" w:name="_Toc505864888"/>
      <w:bookmarkStart w:id="1514" w:name="_Toc505868742"/>
      <w:bookmarkStart w:id="1515" w:name="_Toc505869209"/>
      <w:bookmarkStart w:id="1516" w:name="_Toc506363052"/>
      <w:bookmarkStart w:id="1517" w:name="_Toc506369550"/>
      <w:bookmarkStart w:id="1518" w:name="_Toc506376139"/>
      <w:bookmarkStart w:id="1519" w:name="_Toc506378452"/>
      <w:bookmarkStart w:id="1520" w:name="_Toc506378534"/>
      <w:bookmarkStart w:id="1521" w:name="_Toc509412632"/>
      <w:bookmarkStart w:id="1522" w:name="_Toc509414808"/>
      <w:bookmarkStart w:id="1523" w:name="_Toc509414864"/>
      <w:bookmarkStart w:id="1524" w:name="_Toc504142971"/>
      <w:r>
        <w:rPr>
          <w:noProof/>
        </w:rPr>
        <w:t>Policy Option 1 - Packaged solution: lower intensity regulatory intervention</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rPr>
        <w:t>The societal and environmental benefits of this option compared to the baseline option lie in the first place in the wider</w:t>
      </w:r>
      <w:r>
        <w:rPr>
          <w:rFonts w:ascii="Times New Roman" w:hAnsi="Times New Roman" w:cs="Times New Roman"/>
          <w:noProof/>
          <w:sz w:val="24"/>
          <w:szCs w:val="24"/>
        </w:rPr>
        <w:t xml:space="preserve"> availability of data from the transport and utilities sector, notably energy, as well as research results. A more efficient use of available resources (e.g. traffic infrastructure and energy grids) can reduce contamination and facilitate urban planning (e</w:t>
      </w:r>
      <w:r>
        <w:rPr>
          <w:rFonts w:ascii="Times New Roman" w:hAnsi="Times New Roman" w:cs="Times New Roman"/>
          <w:noProof/>
          <w:sz w:val="24"/>
          <w:szCs w:val="24"/>
        </w:rPr>
        <w:t xml:space="preserve">.g. transport networks or extension of heating systems). </w:t>
      </w:r>
      <w:r>
        <w:rPr>
          <w:rFonts w:ascii="Times New Roman" w:hAnsi="Times New Roman" w:cs="Times New Roman"/>
          <w:noProof/>
          <w:sz w:val="24"/>
          <w:szCs w:val="24"/>
          <w:lang w:val="en-US"/>
        </w:rPr>
        <w:t>In terms of time wasted in traffic jams or waiting in delayed public transport, open data could save 629 million hours of waiting time, corresponding to some 27.9 billion EUR a year</w:t>
      </w:r>
      <w:r>
        <w:rPr>
          <w:rFonts w:ascii="Times New Roman" w:hAnsi="Times New Roman" w:cs="Times New Roman"/>
          <w:noProof/>
          <w:sz w:val="24"/>
          <w:szCs w:val="24"/>
        </w:rPr>
        <w:t>.</w:t>
      </w:r>
      <w:r>
        <w:rPr>
          <w:rFonts w:ascii="Times New Roman" w:hAnsi="Times New Roman" w:cs="Times New Roman"/>
          <w:noProof/>
          <w:sz w:val="24"/>
          <w:szCs w:val="24"/>
          <w:vertAlign w:val="superscript"/>
          <w:lang w:val="en-US"/>
        </w:rPr>
        <w:footnoteReference w:id="173"/>
      </w:r>
      <w:r>
        <w:rPr>
          <w:rFonts w:ascii="Times New Roman" w:hAnsi="Times New Roman" w:cs="Times New Roman"/>
          <w:noProof/>
          <w:sz w:val="24"/>
          <w:szCs w:val="24"/>
          <w:lang w:val="en-US"/>
        </w:rPr>
        <w:t xml:space="preserve"> As regards envi</w:t>
      </w:r>
      <w:r>
        <w:rPr>
          <w:rFonts w:ascii="Times New Roman" w:hAnsi="Times New Roman" w:cs="Times New Roman"/>
          <w:noProof/>
          <w:sz w:val="24"/>
          <w:szCs w:val="24"/>
          <w:lang w:val="en-US"/>
        </w:rPr>
        <w:t xml:space="preserve">ronmental gains, an example of the UK Windsor and Maidenhead council is striking: </w:t>
      </w:r>
      <w:r>
        <w:rPr>
          <w:rFonts w:ascii="Times New Roman" w:hAnsi="Times New Roman" w:cs="Times New Roman"/>
          <w:noProof/>
          <w:sz w:val="24"/>
          <w:szCs w:val="24"/>
        </w:rPr>
        <w:t>after having started to publish real-time data on energy use,</w:t>
      </w:r>
      <w:r>
        <w:rPr>
          <w:rFonts w:ascii="Times New Roman" w:hAnsi="Times New Roman" w:cs="Times New Roman"/>
          <w:noProof/>
          <w:sz w:val="24"/>
          <w:szCs w:val="24"/>
          <w:lang w:val="en-US"/>
        </w:rPr>
        <w:t xml:space="preserve"> the council has consumed </w:t>
      </w:r>
      <w:r>
        <w:rPr>
          <w:rFonts w:ascii="Times New Roman" w:hAnsi="Times New Roman" w:cs="Times New Roman"/>
          <w:noProof/>
          <w:sz w:val="24"/>
          <w:szCs w:val="24"/>
        </w:rPr>
        <w:t>16% less gas, electricity, oil and transport fuel in its buildings and vehicles</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since 2</w:t>
      </w:r>
      <w:r>
        <w:rPr>
          <w:rFonts w:ascii="Times New Roman" w:hAnsi="Times New Roman" w:cs="Times New Roman"/>
          <w:noProof/>
          <w:sz w:val="24"/>
          <w:szCs w:val="24"/>
        </w:rPr>
        <w:t>009-2010.</w:t>
      </w:r>
      <w:r>
        <w:rPr>
          <w:rFonts w:ascii="Times New Roman" w:hAnsi="Times New Roman" w:cs="Times New Roman"/>
          <w:noProof/>
          <w:sz w:val="24"/>
          <w:szCs w:val="24"/>
          <w:vertAlign w:val="superscript"/>
          <w:lang w:val="en-US"/>
        </w:rPr>
        <w:footnoteReference w:id="174"/>
      </w:r>
      <w:r>
        <w:rPr>
          <w:rFonts w:ascii="Times New Roman" w:hAnsi="Times New Roman" w:cs="Times New Roman"/>
          <w:noProof/>
          <w:sz w:val="24"/>
          <w:szCs w:val="24"/>
        </w:rPr>
        <w:t xml:space="preserve"> Further examples are given in Annex 9.</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A similar argument can be made for the role of research data, which by improving scientific processes also helps fight major societal and environmental challenges of our times (e.g. health</w:t>
      </w:r>
      <w:r>
        <w:rPr>
          <w:rFonts w:ascii="Times New Roman" w:hAnsi="Times New Roman" w:cs="Times New Roman"/>
          <w:noProof/>
          <w:sz w:val="24"/>
          <w:szCs w:val="24"/>
          <w:vertAlign w:val="superscript"/>
        </w:rPr>
        <w:footnoteReference w:id="175"/>
      </w:r>
      <w:r>
        <w:rPr>
          <w:rFonts w:ascii="Times New Roman" w:hAnsi="Times New Roman" w:cs="Times New Roman"/>
          <w:noProof/>
          <w:sz w:val="24"/>
          <w:szCs w:val="24"/>
        </w:rPr>
        <w:t xml:space="preserve"> or climate chang</w:t>
      </w:r>
      <w:r>
        <w:rPr>
          <w:rFonts w:ascii="Times New Roman" w:hAnsi="Times New Roman" w:cs="Times New Roman"/>
          <w:noProof/>
          <w:sz w:val="24"/>
          <w:szCs w:val="24"/>
        </w:rPr>
        <w:t>e) and in this way increases the overall well-being of society.</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In addition, establishing a list of high-value datasets to be released as open data and limiting exceptions of charging above marginal costs, will significantly expand the use of data for envi</w:t>
      </w:r>
      <w:r>
        <w:rPr>
          <w:rFonts w:ascii="Times New Roman" w:hAnsi="Times New Roman" w:cs="Times New Roman"/>
          <w:noProof/>
          <w:sz w:val="24"/>
          <w:szCs w:val="24"/>
        </w:rPr>
        <w:t>ronmental and societal purposes. Some of the datasets concerned (in the areas of geographic and meteorological data) are particularly relevant for environmental action. As more data is actually re-used, more societal and environmental beneficial outcomes a</w:t>
      </w:r>
      <w:r>
        <w:rPr>
          <w:rFonts w:ascii="Times New Roman" w:hAnsi="Times New Roman" w:cs="Times New Roman"/>
          <w:noProof/>
          <w:sz w:val="24"/>
          <w:szCs w:val="24"/>
        </w:rPr>
        <w:t>re provided, reinforcing the current trends.</w:t>
      </w:r>
      <w:r>
        <w:rPr>
          <w:rStyle w:val="FootnoteReference"/>
          <w:rFonts w:ascii="Times New Roman" w:hAnsi="Times New Roman" w:cs="Times New Roman"/>
          <w:noProof/>
          <w:sz w:val="24"/>
          <w:szCs w:val="24"/>
        </w:rPr>
        <w:footnoteReference w:id="176"/>
      </w:r>
    </w:p>
    <w:p w:rsidR="00DF1A33" w:rsidRDefault="00456F01">
      <w:pPr>
        <w:pStyle w:val="Heading3"/>
        <w:tabs>
          <w:tab w:val="num" w:pos="709"/>
        </w:tabs>
        <w:ind w:left="709" w:hanging="709"/>
        <w:rPr>
          <w:noProof/>
        </w:rPr>
      </w:pPr>
      <w:bookmarkStart w:id="1525" w:name="_Toc504151677"/>
      <w:bookmarkStart w:id="1526" w:name="_Toc504382961"/>
      <w:bookmarkStart w:id="1527" w:name="_Toc504391104"/>
      <w:bookmarkStart w:id="1528" w:name="_Toc504403193"/>
      <w:bookmarkStart w:id="1529" w:name="_Toc504743663"/>
      <w:bookmarkStart w:id="1530" w:name="_Toc504751215"/>
      <w:bookmarkStart w:id="1531" w:name="_Toc504751389"/>
      <w:bookmarkStart w:id="1532" w:name="_Toc505182010"/>
      <w:bookmarkStart w:id="1533" w:name="_Toc505248664"/>
      <w:bookmarkStart w:id="1534" w:name="_Toc505266540"/>
      <w:bookmarkStart w:id="1535" w:name="_Toc505335391"/>
      <w:bookmarkStart w:id="1536" w:name="_Toc505345862"/>
      <w:bookmarkStart w:id="1537" w:name="_Toc505346450"/>
      <w:bookmarkStart w:id="1538" w:name="_Toc505696707"/>
      <w:bookmarkStart w:id="1539" w:name="_Toc505698193"/>
      <w:bookmarkStart w:id="1540" w:name="_Toc505701706"/>
      <w:bookmarkStart w:id="1541" w:name="_Toc505705193"/>
      <w:bookmarkStart w:id="1542" w:name="_Toc505773169"/>
      <w:bookmarkStart w:id="1543" w:name="_Toc505856880"/>
      <w:bookmarkStart w:id="1544" w:name="_Toc505862324"/>
      <w:bookmarkStart w:id="1545" w:name="_Toc505864889"/>
      <w:bookmarkStart w:id="1546" w:name="_Toc505868743"/>
      <w:bookmarkStart w:id="1547" w:name="_Toc505869210"/>
      <w:bookmarkStart w:id="1548" w:name="_Toc506363053"/>
      <w:bookmarkStart w:id="1549" w:name="_Toc506369551"/>
      <w:bookmarkStart w:id="1550" w:name="_Toc506376140"/>
      <w:bookmarkStart w:id="1551" w:name="_Toc506378453"/>
      <w:bookmarkStart w:id="1552" w:name="_Toc506378535"/>
      <w:bookmarkStart w:id="1553" w:name="_Toc509412633"/>
      <w:bookmarkStart w:id="1554" w:name="_Toc509414809"/>
      <w:bookmarkStart w:id="1555" w:name="_Toc509414865"/>
      <w:r>
        <w:rPr>
          <w:noProof/>
        </w:rPr>
        <w:t xml:space="preserve">Policy Option 2 – Packaged solution: higher intensity </w:t>
      </w:r>
      <w:bookmarkEnd w:id="1524"/>
      <w:r>
        <w:rPr>
          <w:noProof/>
        </w:rPr>
        <w:t>regulatory intervention</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This option can be characterised by similar benefits to the ones presented in the packaged solution 1. However, given the higher int</w:t>
      </w:r>
      <w:r>
        <w:rPr>
          <w:rFonts w:ascii="Times New Roman" w:hAnsi="Times New Roman" w:cs="Times New Roman"/>
          <w:noProof/>
          <w:sz w:val="24"/>
          <w:szCs w:val="24"/>
        </w:rPr>
        <w:t>ensity of the measures proposed and the resulting higher expected overall volume of data affected, it can be assumed that the overall social and environmental impact of this option would be higher.</w:t>
      </w:r>
    </w:p>
    <w:p w:rsidR="00DF1A33" w:rsidRDefault="00456F01">
      <w:pPr>
        <w:pStyle w:val="Heading2"/>
        <w:ind w:left="482" w:hanging="482"/>
        <w:rPr>
          <w:noProof/>
        </w:rPr>
      </w:pPr>
      <w:bookmarkStart w:id="1556" w:name="_Toc504743664"/>
      <w:bookmarkStart w:id="1557" w:name="_Toc504751216"/>
      <w:bookmarkStart w:id="1558" w:name="_Toc504751390"/>
      <w:bookmarkStart w:id="1559" w:name="_Toc505182011"/>
      <w:bookmarkStart w:id="1560" w:name="_Toc505248665"/>
      <w:bookmarkStart w:id="1561" w:name="_Toc505266541"/>
      <w:bookmarkStart w:id="1562" w:name="_Toc505335392"/>
      <w:bookmarkStart w:id="1563" w:name="_Toc505345863"/>
      <w:bookmarkStart w:id="1564" w:name="_Toc505346451"/>
      <w:bookmarkStart w:id="1565" w:name="_Toc505856881"/>
      <w:bookmarkStart w:id="1566" w:name="_Toc505696708"/>
      <w:bookmarkStart w:id="1567" w:name="_Toc505698194"/>
      <w:bookmarkStart w:id="1568" w:name="_Toc505701707"/>
      <w:bookmarkStart w:id="1569" w:name="_Toc505705194"/>
      <w:bookmarkStart w:id="1570" w:name="_Toc505773170"/>
      <w:bookmarkStart w:id="1571" w:name="_Toc505862325"/>
      <w:bookmarkStart w:id="1572" w:name="_Toc505864890"/>
      <w:bookmarkStart w:id="1573" w:name="_Toc505868744"/>
      <w:bookmarkStart w:id="1574" w:name="_Toc505869211"/>
      <w:bookmarkStart w:id="1575" w:name="_Toc506363054"/>
      <w:bookmarkStart w:id="1576" w:name="_Toc506369552"/>
      <w:bookmarkStart w:id="1577" w:name="_Toc506376141"/>
      <w:bookmarkStart w:id="1578" w:name="_Toc506378454"/>
      <w:bookmarkStart w:id="1579" w:name="_Toc506378536"/>
      <w:bookmarkStart w:id="1580" w:name="_Toc509412634"/>
      <w:bookmarkStart w:id="1581" w:name="_Toc509414810"/>
      <w:bookmarkStart w:id="1582" w:name="_Toc509414866"/>
      <w:r>
        <w:rPr>
          <w:noProof/>
        </w:rPr>
        <w:t>Member States' and stakeholders' views</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As described in Ann</w:t>
      </w:r>
      <w:r>
        <w:rPr>
          <w:rFonts w:ascii="Times New Roman" w:hAnsi="Times New Roman" w:cs="Times New Roman"/>
          <w:noProof/>
          <w:sz w:val="24"/>
          <w:szCs w:val="24"/>
        </w:rPr>
        <w:t>ex 2, the consultation process sought to collect the views of EU Member States and stakeholders by means of an online consultation and several workshops and meetings. The analysis contributed to an ex-post assessment of the functioning of the current legal</w:t>
      </w:r>
      <w:r>
        <w:rPr>
          <w:rFonts w:ascii="Times New Roman" w:hAnsi="Times New Roman" w:cs="Times New Roman"/>
          <w:noProof/>
          <w:sz w:val="24"/>
          <w:szCs w:val="24"/>
        </w:rPr>
        <w:t xml:space="preserve"> framework, along with the exploration of the need for and scope of the review of the PSI Directive on various aspects (dynamic data/APIs, charging rules, research data, data held by entities providing services of general interest, relationship with the Da</w:t>
      </w:r>
      <w:r>
        <w:rPr>
          <w:rFonts w:ascii="Times New Roman" w:hAnsi="Times New Roman" w:cs="Times New Roman"/>
          <w:noProof/>
          <w:sz w:val="24"/>
          <w:szCs w:val="24"/>
        </w:rPr>
        <w:t xml:space="preserve">tabase Directive, national access regimes, and barriers to making data available).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To achieve this, the consultation actions tried to reach out to various stakeholders from the public and private sectors: PSI holders and users, commercial and non-commerci</w:t>
      </w:r>
      <w:r>
        <w:rPr>
          <w:rFonts w:ascii="Times New Roman" w:hAnsi="Times New Roman" w:cs="Times New Roman"/>
          <w:noProof/>
          <w:sz w:val="24"/>
          <w:szCs w:val="24"/>
        </w:rPr>
        <w:t xml:space="preserve">al re-users, educational and research establishments, public undertakings from the transport and utility sector. Member States were also consulted in dedicated workshops and 11 contributed to the online consultation.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While several workshops collected to a</w:t>
      </w:r>
      <w:r>
        <w:rPr>
          <w:rFonts w:ascii="Times New Roman" w:hAnsi="Times New Roman" w:cs="Times New Roman"/>
          <w:noProof/>
          <w:sz w:val="24"/>
          <w:szCs w:val="24"/>
        </w:rPr>
        <w:t xml:space="preserve"> great extent the feedback of PSI holders, 68% of the contributors to the online questionnaire declared being primarily interested in re-using PSI. This allowed for an analysis combining sometimes diverging positions of PSI holders and re-users. The analys</w:t>
      </w:r>
      <w:r>
        <w:rPr>
          <w:rFonts w:ascii="Times New Roman" w:hAnsi="Times New Roman" w:cs="Times New Roman"/>
          <w:noProof/>
          <w:sz w:val="24"/>
          <w:szCs w:val="24"/>
        </w:rPr>
        <w:t xml:space="preserve">is of the combined results gives an indication of the support of the different stakeholder categories for the lower or higher intensity of regulatory intervention. </w:t>
      </w:r>
    </w:p>
    <w:p w:rsidR="00DF1A33" w:rsidRDefault="00456F01">
      <w:pPr>
        <w:jc w:val="both"/>
        <w:rPr>
          <w:rFonts w:ascii="Times New Roman" w:hAnsi="Times New Roman" w:cs="Times New Roman"/>
          <w:noProof/>
          <w:sz w:val="24"/>
          <w:szCs w:val="24"/>
        </w:rPr>
      </w:pPr>
      <w:r>
        <w:rPr>
          <w:rFonts w:ascii="Times New Roman" w:hAnsi="Times New Roman"/>
          <w:noProof/>
          <w:sz w:val="24"/>
        </w:rPr>
        <w:t>Most of the</w:t>
      </w:r>
      <w:r>
        <w:rPr>
          <w:rFonts w:ascii="Times New Roman" w:hAnsi="Times New Roman" w:cs="Times New Roman"/>
          <w:b/>
          <w:noProof/>
          <w:sz w:val="24"/>
          <w:szCs w:val="24"/>
        </w:rPr>
        <w:t xml:space="preserve"> </w:t>
      </w:r>
      <w:r>
        <w:rPr>
          <w:rFonts w:ascii="Times New Roman" w:hAnsi="Times New Roman"/>
          <w:b/>
          <w:noProof/>
          <w:sz w:val="24"/>
        </w:rPr>
        <w:t>Member States</w:t>
      </w:r>
      <w:r>
        <w:rPr>
          <w:rFonts w:ascii="Times New Roman" w:hAnsi="Times New Roman" w:cs="Times New Roman"/>
          <w:noProof/>
          <w:sz w:val="24"/>
          <w:szCs w:val="24"/>
        </w:rPr>
        <w:t xml:space="preserve"> expressed their views either in the online consultation or in meetings. Very few countries consider the proposal should be more ambitious; in most cases they expressed supportive or neutral positions on most of the measures of lower intensity of regulator</w:t>
      </w:r>
      <w:r>
        <w:rPr>
          <w:rFonts w:ascii="Times New Roman" w:hAnsi="Times New Roman" w:cs="Times New Roman"/>
          <w:noProof/>
          <w:sz w:val="24"/>
          <w:szCs w:val="24"/>
        </w:rPr>
        <w:t>y intervention. This primarily includes those Member States that have already enacted relevant legislation (e.g. France), but also those that do not have such provisions. For example, Lithuania, Luxembourg, Poland, Slovakia and Czech Republic all indicated</w:t>
      </w:r>
      <w:r>
        <w:rPr>
          <w:rFonts w:ascii="Times New Roman" w:hAnsi="Times New Roman" w:cs="Times New Roman"/>
          <w:noProof/>
          <w:sz w:val="24"/>
          <w:szCs w:val="24"/>
        </w:rPr>
        <w:t xml:space="preserve"> that they are in favour of extending the scope of the Directive. On the charging rules, some were quite supportive (there are Member States where geospatial information is already available for free), but some others expressed concerns in the case all exc</w:t>
      </w:r>
      <w:r>
        <w:rPr>
          <w:rFonts w:ascii="Times New Roman" w:hAnsi="Times New Roman" w:cs="Times New Roman"/>
          <w:noProof/>
          <w:sz w:val="24"/>
          <w:szCs w:val="24"/>
        </w:rPr>
        <w:t>eptions to charging rules were to be eliminated. The idea to fully apply PSI rules to public undertakings in the transport and utility sector also received negative reactions. Member States were also worried of the potential costs incurred by adding an obl</w:t>
      </w:r>
      <w:r>
        <w:rPr>
          <w:rFonts w:ascii="Times New Roman" w:hAnsi="Times New Roman" w:cs="Times New Roman"/>
          <w:noProof/>
          <w:sz w:val="24"/>
          <w:szCs w:val="24"/>
        </w:rPr>
        <w:t>igation for public bodies to make all dynamic data available for re-use immediately after collection, or to systematically use APIs. Belgium, Italy, Luxembourg and Malta supported the idea that some essential, high-value datasets should be defined at EU le</w:t>
      </w:r>
      <w:r>
        <w:rPr>
          <w:rFonts w:ascii="Times New Roman" w:hAnsi="Times New Roman" w:cs="Times New Roman"/>
          <w:noProof/>
          <w:sz w:val="24"/>
          <w:szCs w:val="24"/>
        </w:rPr>
        <w:t xml:space="preserve">vel and made freely available. </w:t>
      </w:r>
    </w:p>
    <w:p w:rsidR="00DF1A33" w:rsidRDefault="00456F01">
      <w:pPr>
        <w:jc w:val="both"/>
        <w:rPr>
          <w:rFonts w:ascii="Times New Roman" w:hAnsi="Times New Roman" w:cs="Times New Roman"/>
          <w:noProof/>
          <w:sz w:val="24"/>
          <w:szCs w:val="24"/>
        </w:rPr>
      </w:pPr>
      <w:r>
        <w:rPr>
          <w:rFonts w:ascii="Times New Roman" w:hAnsi="Times New Roman"/>
          <w:b/>
          <w:noProof/>
          <w:sz w:val="24"/>
        </w:rPr>
        <w:t>PSI holders</w:t>
      </w:r>
      <w:r>
        <w:rPr>
          <w:rFonts w:ascii="Times New Roman" w:hAnsi="Times New Roman" w:cs="Times New Roman"/>
          <w:noProof/>
          <w:sz w:val="24"/>
          <w:szCs w:val="24"/>
        </w:rPr>
        <w:t>, i.e. public sector bodies, expressed their views in the online consultation and were represented in a bigger proportion in some of the workshops. They are overall in favour of a moderate evolution of the PSI Dir</w:t>
      </w:r>
      <w:r>
        <w:rPr>
          <w:rFonts w:ascii="Times New Roman" w:hAnsi="Times New Roman" w:cs="Times New Roman"/>
          <w:noProof/>
          <w:sz w:val="24"/>
          <w:szCs w:val="24"/>
        </w:rPr>
        <w:t>ective. In the online consultation, they were quite supportive (although less than the rest of stakeholders) of making efforts in providing dynamic data in real time, including via APIs. They clearly indicated their lack of support for the idea of a drasti</w:t>
      </w:r>
      <w:r>
        <w:rPr>
          <w:rFonts w:ascii="Times New Roman" w:hAnsi="Times New Roman" w:cs="Times New Roman"/>
          <w:noProof/>
          <w:sz w:val="24"/>
          <w:szCs w:val="24"/>
        </w:rPr>
        <w:t>c modification of the charging rules, although some public bodies already issue information free of charge (geospatial data). There was strong support of PSI holders for Open Access policies and for the idea of a harmonised EU policy on access to and re-us</w:t>
      </w:r>
      <w:r>
        <w:rPr>
          <w:rFonts w:ascii="Times New Roman" w:hAnsi="Times New Roman" w:cs="Times New Roman"/>
          <w:noProof/>
          <w:sz w:val="24"/>
          <w:szCs w:val="24"/>
        </w:rPr>
        <w:t xml:space="preserve">e of scientific information. Still, a few expressed concerns linked to the possible extension of the scope of the PSI Directive to research data, considered to be unnecessarily intrusive and rigid (no one-size fits all). </w:t>
      </w:r>
    </w:p>
    <w:p w:rsidR="00DF1A33" w:rsidRDefault="00456F01">
      <w:pPr>
        <w:jc w:val="both"/>
        <w:rPr>
          <w:rFonts w:ascii="Times New Roman" w:hAnsi="Times New Roman" w:cs="Times New Roman"/>
          <w:noProof/>
          <w:sz w:val="24"/>
          <w:szCs w:val="24"/>
        </w:rPr>
      </w:pPr>
      <w:r>
        <w:rPr>
          <w:rFonts w:ascii="Times New Roman" w:hAnsi="Times New Roman"/>
          <w:b/>
          <w:noProof/>
          <w:sz w:val="24"/>
        </w:rPr>
        <w:t>PSI re-users</w:t>
      </w:r>
      <w:r>
        <w:rPr>
          <w:rFonts w:ascii="Times New Roman" w:hAnsi="Times New Roman" w:cs="Times New Roman"/>
          <w:noProof/>
          <w:sz w:val="24"/>
          <w:szCs w:val="24"/>
        </w:rPr>
        <w:t xml:space="preserve"> have very much used t</w:t>
      </w:r>
      <w:r>
        <w:rPr>
          <w:rFonts w:ascii="Times New Roman" w:hAnsi="Times New Roman" w:cs="Times New Roman"/>
          <w:noProof/>
          <w:sz w:val="24"/>
          <w:szCs w:val="24"/>
        </w:rPr>
        <w:t>he public online consultation as a channel to express their views. The measures expected to allow for better access to and re-use of PSI received strong support, e.g. access to dynamic / standardised data as well as to data from public undertakings. This m</w:t>
      </w:r>
      <w:r>
        <w:rPr>
          <w:rFonts w:ascii="Times New Roman" w:hAnsi="Times New Roman" w:cs="Times New Roman"/>
          <w:noProof/>
          <w:sz w:val="24"/>
          <w:szCs w:val="24"/>
        </w:rPr>
        <w:t xml:space="preserve">eans that the limited ambition of the changes proposed may be contested.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Stakeholders and especially </w:t>
      </w:r>
      <w:r>
        <w:rPr>
          <w:rFonts w:ascii="Times New Roman" w:hAnsi="Times New Roman" w:cs="Times New Roman"/>
          <w:b/>
          <w:noProof/>
          <w:sz w:val="24"/>
          <w:szCs w:val="24"/>
        </w:rPr>
        <w:t>public undertakings in the transport and utility sector</w:t>
      </w:r>
      <w:r>
        <w:rPr>
          <w:rFonts w:ascii="Times New Roman" w:hAnsi="Times New Roman"/>
          <w:noProof/>
          <w:sz w:val="24"/>
        </w:rPr>
        <w:t>,</w:t>
      </w:r>
      <w:r>
        <w:rPr>
          <w:rFonts w:ascii="Times New Roman" w:hAnsi="Times New Roman" w:cs="Times New Roman"/>
          <w:noProof/>
          <w:sz w:val="24"/>
          <w:szCs w:val="24"/>
        </w:rPr>
        <w:t xml:space="preserve"> in the online public consultation and in a dedicated high-level roundtable, indicated that they w</w:t>
      </w:r>
      <w:r>
        <w:rPr>
          <w:rFonts w:ascii="Times New Roman" w:hAnsi="Times New Roman" w:cs="Times New Roman"/>
          <w:noProof/>
          <w:sz w:val="24"/>
          <w:szCs w:val="24"/>
        </w:rPr>
        <w:t xml:space="preserve">ere in favour of a sectoral approach when it comes to defining the conditions for making data available for re-use, rather than a horizontal approach. Public undertakings, both in submitted papers and at the roundtable, indicated some concerns to be taken </w:t>
      </w:r>
      <w:r>
        <w:rPr>
          <w:rFonts w:ascii="Times New Roman" w:hAnsi="Times New Roman" w:cs="Times New Roman"/>
          <w:noProof/>
          <w:sz w:val="24"/>
          <w:szCs w:val="24"/>
        </w:rPr>
        <w:t>into account, such as commercial sensitivity, personal data, and critical infrastructure. They also raised issues related to administrative burden and their competitive position compared to private companies active in the same sector. As opposed to the app</w:t>
      </w:r>
      <w:r>
        <w:rPr>
          <w:rFonts w:ascii="Times New Roman" w:hAnsi="Times New Roman" w:cs="Times New Roman"/>
          <w:noProof/>
          <w:sz w:val="24"/>
          <w:szCs w:val="24"/>
        </w:rPr>
        <w:t>lication of the full range of PSI Directive rules to their sector, they are expected to be relatively open to the suggested changes as long as the necessary safeguards are put in place.</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Finally, the </w:t>
      </w:r>
      <w:r>
        <w:rPr>
          <w:rFonts w:ascii="Times New Roman" w:hAnsi="Times New Roman" w:cs="Times New Roman"/>
          <w:b/>
          <w:noProof/>
          <w:sz w:val="24"/>
          <w:szCs w:val="24"/>
        </w:rPr>
        <w:t xml:space="preserve">educational and research establishments </w:t>
      </w:r>
      <w:r>
        <w:rPr>
          <w:rFonts w:ascii="Times New Roman" w:hAnsi="Times New Roman"/>
          <w:noProof/>
          <w:sz w:val="24"/>
        </w:rPr>
        <w:t>were</w:t>
      </w:r>
      <w:r>
        <w:rPr>
          <w:rFonts w:ascii="Times New Roman" w:hAnsi="Times New Roman" w:cs="Times New Roman"/>
          <w:b/>
          <w:noProof/>
          <w:sz w:val="24"/>
          <w:szCs w:val="24"/>
        </w:rPr>
        <w:t xml:space="preserve"> </w:t>
      </w:r>
      <w:r>
        <w:rPr>
          <w:rFonts w:ascii="Times New Roman" w:hAnsi="Times New Roman" w:cs="Times New Roman"/>
          <w:noProof/>
          <w:sz w:val="24"/>
          <w:szCs w:val="24"/>
        </w:rPr>
        <w:t>a specific s</w:t>
      </w:r>
      <w:r>
        <w:rPr>
          <w:rFonts w:ascii="Times New Roman" w:hAnsi="Times New Roman" w:cs="Times New Roman"/>
          <w:noProof/>
          <w:sz w:val="24"/>
          <w:szCs w:val="24"/>
        </w:rPr>
        <w:t>takeholders category targeted by both the online consultation and specific workshops. On the possible extension of the scope to publicly funded research data, the vast majority of stakeholders were supportive of the proposed obligation to put in place Open</w:t>
      </w:r>
      <w:r>
        <w:rPr>
          <w:rFonts w:ascii="Times New Roman" w:hAnsi="Times New Roman" w:cs="Times New Roman"/>
          <w:noProof/>
          <w:sz w:val="24"/>
          <w:szCs w:val="24"/>
        </w:rPr>
        <w:t xml:space="preserve"> Access policies, as this is fully in line with the 2012 Recommendation on access to and preservation of scientific information and existing policies at national level. Stakeholders considered that issues such as administrative burden, intellectual propert</w:t>
      </w:r>
      <w:r>
        <w:rPr>
          <w:rFonts w:ascii="Times New Roman" w:hAnsi="Times New Roman" w:cs="Times New Roman"/>
          <w:noProof/>
          <w:sz w:val="24"/>
          <w:szCs w:val="24"/>
        </w:rPr>
        <w:t>y rights (IPR) protection, protection of commercial interests, or the question of the sustainability of scientific publishing as a business model should be taken into account. Overall, universities and research establishments fully support Open Access poli</w:t>
      </w:r>
      <w:r>
        <w:rPr>
          <w:rFonts w:ascii="Times New Roman" w:hAnsi="Times New Roman" w:cs="Times New Roman"/>
          <w:noProof/>
          <w:sz w:val="24"/>
          <w:szCs w:val="24"/>
        </w:rPr>
        <w:t>cies and called for a harmonised policy at EU level and possibly beyond. During a workshop, representatives of universities nonetheless called for measures to be proportionate and wondered how the heterogeneity of the status of universities and of licensin</w:t>
      </w:r>
      <w:r>
        <w:rPr>
          <w:rFonts w:ascii="Times New Roman" w:hAnsi="Times New Roman" w:cs="Times New Roman"/>
          <w:noProof/>
          <w:sz w:val="24"/>
          <w:szCs w:val="24"/>
        </w:rPr>
        <w:t xml:space="preserve">g practices could be captured by a hard law instrument. </w:t>
      </w:r>
    </w:p>
    <w:p w:rsidR="00DF1A33" w:rsidRDefault="00456F01">
      <w:pPr>
        <w:pStyle w:val="Heading1"/>
        <w:rPr>
          <w:noProof/>
        </w:rPr>
      </w:pPr>
      <w:bookmarkStart w:id="1583" w:name="_Toc506369423"/>
      <w:bookmarkStart w:id="1584" w:name="_Toc506369553"/>
      <w:bookmarkStart w:id="1585" w:name="_Toc506372650"/>
      <w:bookmarkStart w:id="1586" w:name="_Toc506373017"/>
      <w:bookmarkStart w:id="1587" w:name="_Toc506374101"/>
      <w:bookmarkStart w:id="1588" w:name="_Toc506370298"/>
      <w:bookmarkStart w:id="1589" w:name="_Toc506370927"/>
      <w:bookmarkStart w:id="1590" w:name="_Toc506371921"/>
      <w:bookmarkStart w:id="1591" w:name="_Toc506372921"/>
      <w:bookmarkStart w:id="1592" w:name="_Toc506374024"/>
      <w:bookmarkStart w:id="1593" w:name="_Toc506375340"/>
      <w:bookmarkStart w:id="1594" w:name="_Toc506376514"/>
      <w:bookmarkStart w:id="1595" w:name="_Toc506377331"/>
      <w:bookmarkStart w:id="1596" w:name="_Toc506377464"/>
      <w:bookmarkStart w:id="1597" w:name="_Toc506377522"/>
      <w:bookmarkStart w:id="1598" w:name="_Toc506377660"/>
      <w:bookmarkStart w:id="1599" w:name="_Toc506379915"/>
      <w:bookmarkStart w:id="1600" w:name="_Toc506378537"/>
      <w:bookmarkStart w:id="1601" w:name="_Toc506382247"/>
      <w:bookmarkStart w:id="1602" w:name="_Toc506383789"/>
      <w:bookmarkStart w:id="1603" w:name="_Toc505861758"/>
      <w:bookmarkStart w:id="1604" w:name="_Toc481484478"/>
      <w:bookmarkStart w:id="1605" w:name="_Toc504142973"/>
      <w:bookmarkStart w:id="1606" w:name="_Toc504151679"/>
      <w:bookmarkStart w:id="1607" w:name="_Toc504382963"/>
      <w:bookmarkStart w:id="1608" w:name="_Toc504391109"/>
      <w:bookmarkStart w:id="1609" w:name="_Toc504403198"/>
      <w:bookmarkStart w:id="1610" w:name="_Toc504743665"/>
      <w:bookmarkStart w:id="1611" w:name="_Toc504751217"/>
      <w:bookmarkStart w:id="1612" w:name="_Toc504751391"/>
      <w:bookmarkStart w:id="1613" w:name="_Toc505182012"/>
      <w:bookmarkStart w:id="1614" w:name="_Toc505248666"/>
      <w:bookmarkStart w:id="1615" w:name="_Toc505266542"/>
      <w:bookmarkStart w:id="1616" w:name="_Toc505335393"/>
      <w:bookmarkStart w:id="1617" w:name="_Toc505345864"/>
      <w:bookmarkStart w:id="1618" w:name="_Toc505346452"/>
      <w:bookmarkStart w:id="1619" w:name="_Toc505696709"/>
      <w:bookmarkStart w:id="1620" w:name="_Toc505698195"/>
      <w:bookmarkStart w:id="1621" w:name="_Toc505701708"/>
      <w:bookmarkStart w:id="1622" w:name="_Toc505705195"/>
      <w:bookmarkStart w:id="1623" w:name="_Toc505773171"/>
      <w:bookmarkStart w:id="1624" w:name="_Toc505856882"/>
      <w:bookmarkStart w:id="1625" w:name="_Toc505862326"/>
      <w:bookmarkStart w:id="1626" w:name="_Toc505864891"/>
      <w:bookmarkStart w:id="1627" w:name="_Toc505868745"/>
      <w:bookmarkStart w:id="1628" w:name="_Toc505869212"/>
      <w:bookmarkStart w:id="1629" w:name="_Toc506363055"/>
      <w:bookmarkStart w:id="1630" w:name="_Toc506369554"/>
      <w:bookmarkStart w:id="1631" w:name="_Toc506376142"/>
      <w:bookmarkStart w:id="1632" w:name="_Toc506378455"/>
      <w:bookmarkStart w:id="1633" w:name="_Toc506378538"/>
      <w:bookmarkStart w:id="1634" w:name="_Toc509412635"/>
      <w:bookmarkStart w:id="1635" w:name="_Toc509414811"/>
      <w:bookmarkStart w:id="1636" w:name="_Toc509414867"/>
      <w:bookmarkEnd w:id="1490"/>
      <w:bookmarkEnd w:id="1491"/>
      <w:bookmarkEnd w:id="149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r>
        <w:rPr>
          <w:noProof/>
        </w:rPr>
        <w:t>How do the options compare?</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In line with the European Commission’s Better Regulation Guidelines</w:t>
      </w:r>
      <w:r>
        <w:rPr>
          <w:rFonts w:ascii="Times New Roman" w:hAnsi="Times New Roman" w:cs="Times New Roman"/>
          <w:noProof/>
          <w:sz w:val="24"/>
          <w:szCs w:val="24"/>
          <w:vertAlign w:val="superscript"/>
        </w:rPr>
        <w:footnoteReference w:id="177"/>
      </w:r>
      <w:r>
        <w:rPr>
          <w:rFonts w:ascii="Times New Roman" w:hAnsi="Times New Roman" w:cs="Times New Roman"/>
          <w:noProof/>
          <w:sz w:val="24"/>
          <w:szCs w:val="24"/>
        </w:rPr>
        <w:t xml:space="preserve"> and its toolbox</w:t>
      </w:r>
      <w:r>
        <w:rPr>
          <w:rFonts w:ascii="Times New Roman" w:hAnsi="Times New Roman" w:cs="Times New Roman"/>
          <w:noProof/>
          <w:sz w:val="24"/>
          <w:szCs w:val="24"/>
          <w:vertAlign w:val="superscript"/>
        </w:rPr>
        <w:footnoteReference w:id="178"/>
      </w:r>
      <w:r>
        <w:rPr>
          <w:rFonts w:ascii="Times New Roman" w:hAnsi="Times New Roman" w:cs="Times New Roman"/>
          <w:noProof/>
          <w:sz w:val="24"/>
          <w:szCs w:val="24"/>
        </w:rPr>
        <w:t>, most importantly tool 63, the Impact Assessment study has carried out a Multi-Criter</w:t>
      </w:r>
      <w:r>
        <w:rPr>
          <w:rFonts w:ascii="Times New Roman" w:hAnsi="Times New Roman" w:cs="Times New Roman"/>
          <w:noProof/>
          <w:sz w:val="24"/>
          <w:szCs w:val="24"/>
        </w:rPr>
        <w:t>ia Analysis (MCA)</w:t>
      </w:r>
      <w:r>
        <w:rPr>
          <w:rStyle w:val="FootnoteReference"/>
          <w:rFonts w:ascii="Times New Roman" w:hAnsi="Times New Roman" w:cs="Times New Roman"/>
          <w:noProof/>
          <w:sz w:val="24"/>
          <w:szCs w:val="24"/>
        </w:rPr>
        <w:footnoteReference w:id="179"/>
      </w:r>
      <w:r>
        <w:rPr>
          <w:rFonts w:ascii="Times New Roman" w:hAnsi="Times New Roman" w:cs="Times New Roman"/>
          <w:noProof/>
          <w:sz w:val="24"/>
          <w:szCs w:val="24"/>
        </w:rPr>
        <w:t xml:space="preserve"> in full detail in order to take full account of the complexity of the subject matter and the level of granularity of the analyses carried out.</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The ratings of the potential impacts of the baseline scenario and the Policy Options are deriv</w:t>
      </w:r>
      <w:r>
        <w:rPr>
          <w:rFonts w:ascii="Times New Roman" w:hAnsi="Times New Roman" w:cs="Times New Roman"/>
          <w:noProof/>
          <w:sz w:val="24"/>
          <w:szCs w:val="24"/>
        </w:rPr>
        <w:t>ed from the analysis detailed in section 7 of the study. According to this analysis, PO1 (low intensity policy option) scores highest on the criterion of 'coherence' and 'efficiency', whereas PO2 (high intensity intervention) scores highest on 'effectivene</w:t>
      </w:r>
      <w:r>
        <w:rPr>
          <w:rFonts w:ascii="Times New Roman" w:hAnsi="Times New Roman" w:cs="Times New Roman"/>
          <w:noProof/>
          <w:sz w:val="24"/>
          <w:szCs w:val="24"/>
        </w:rPr>
        <w:t>ss'. Both are then compared to the BS (baseline scenario).</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After performing an outranking matrix, a permutation matrix was established to allow for the selection of a final ranking of all the possible Policy Options towards each other. The results of this </w:t>
      </w:r>
      <w:r>
        <w:rPr>
          <w:rFonts w:ascii="Times New Roman" w:hAnsi="Times New Roman" w:cs="Times New Roman"/>
          <w:noProof/>
          <w:sz w:val="24"/>
          <w:szCs w:val="24"/>
        </w:rPr>
        <w:t>process can be described as PO1-PO2-BS, which means the following:</w:t>
      </w:r>
    </w:p>
    <w:p w:rsidR="00DF1A33" w:rsidRDefault="00456F01">
      <w:pPr>
        <w:numPr>
          <w:ilvl w:val="0"/>
          <w:numId w:val="22"/>
        </w:numPr>
        <w:rPr>
          <w:rFonts w:ascii="Times New Roman" w:hAnsi="Times New Roman" w:cs="Times New Roman"/>
          <w:noProof/>
          <w:sz w:val="24"/>
          <w:szCs w:val="24"/>
        </w:rPr>
      </w:pPr>
      <w:r>
        <w:rPr>
          <w:rFonts w:ascii="Times New Roman" w:hAnsi="Times New Roman" w:cs="Times New Roman"/>
          <w:noProof/>
          <w:sz w:val="24"/>
          <w:szCs w:val="24"/>
        </w:rPr>
        <w:t>PO1 is the preferred Policy Option as it provides the most favourable combination of coherence, effectiveness, and efficiency;</w:t>
      </w:r>
    </w:p>
    <w:p w:rsidR="00DF1A33" w:rsidRDefault="00456F01">
      <w:pPr>
        <w:numPr>
          <w:ilvl w:val="0"/>
          <w:numId w:val="22"/>
        </w:numPr>
        <w:rPr>
          <w:rFonts w:ascii="Times New Roman" w:hAnsi="Times New Roman" w:cs="Times New Roman"/>
          <w:noProof/>
          <w:sz w:val="24"/>
          <w:szCs w:val="24"/>
        </w:rPr>
      </w:pPr>
      <w:r>
        <w:rPr>
          <w:rFonts w:ascii="Times New Roman" w:hAnsi="Times New Roman" w:cs="Times New Roman"/>
          <w:noProof/>
          <w:sz w:val="24"/>
          <w:szCs w:val="24"/>
        </w:rPr>
        <w:t xml:space="preserve">If PO1 cannot be implemented, PO2 would be the second most </w:t>
      </w:r>
      <w:r>
        <w:rPr>
          <w:rFonts w:ascii="Times New Roman" w:hAnsi="Times New Roman" w:cs="Times New Roman"/>
          <w:noProof/>
          <w:sz w:val="24"/>
          <w:szCs w:val="24"/>
        </w:rPr>
        <w:t>favourable.</w:t>
      </w:r>
    </w:p>
    <w:p w:rsidR="00DF1A33" w:rsidRDefault="00456F01">
      <w:pPr>
        <w:numPr>
          <w:ilvl w:val="0"/>
          <w:numId w:val="22"/>
        </w:numPr>
        <w:rPr>
          <w:rFonts w:ascii="Times New Roman" w:hAnsi="Times New Roman" w:cs="Times New Roman"/>
          <w:noProof/>
          <w:sz w:val="24"/>
          <w:szCs w:val="24"/>
        </w:rPr>
      </w:pPr>
      <w:r>
        <w:rPr>
          <w:rFonts w:ascii="Times New Roman" w:hAnsi="Times New Roman" w:cs="Times New Roman"/>
          <w:noProof/>
          <w:sz w:val="24"/>
          <w:szCs w:val="24"/>
        </w:rPr>
        <w:t>The least favourable option is the baseline scenario.</w:t>
      </w:r>
    </w:p>
    <w:p w:rsidR="00DF1A33" w:rsidRDefault="00456F01">
      <w:pPr>
        <w:pStyle w:val="Text1"/>
        <w:ind w:left="0"/>
        <w:rPr>
          <w:noProof/>
        </w:rPr>
      </w:pPr>
      <w:r>
        <w:rPr>
          <w:noProof/>
        </w:rPr>
        <w:t>The table below gives an overview of how the options compare in terms of efficiency, effectiveness, coherence, legal/political feasibility and proportionality.</w:t>
      </w:r>
    </w:p>
    <w:tbl>
      <w:tblPr>
        <w:tblW w:w="8328" w:type="dxa"/>
        <w:tblInd w:w="108" w:type="dxa"/>
        <w:tblCellMar>
          <w:left w:w="0" w:type="dxa"/>
          <w:right w:w="0" w:type="dxa"/>
        </w:tblCellMar>
        <w:tblLook w:val="04A0" w:firstRow="1" w:lastRow="0" w:firstColumn="1" w:lastColumn="0" w:noHBand="0" w:noVBand="1"/>
      </w:tblPr>
      <w:tblGrid>
        <w:gridCol w:w="1843"/>
        <w:gridCol w:w="3119"/>
        <w:gridCol w:w="3366"/>
      </w:tblGrid>
      <w:tr w:rsidR="00DF1A33">
        <w:trPr>
          <w:trHeight w:val="482"/>
          <w:tblHeader/>
        </w:trPr>
        <w:tc>
          <w:tcPr>
            <w:tcW w:w="18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F1A33" w:rsidRDefault="00DF1A33">
            <w:pPr>
              <w:jc w:val="center"/>
              <w:rPr>
                <w:rFonts w:ascii="Calibri" w:eastAsia="Calibri" w:hAnsi="Calibri"/>
                <w:noProof/>
                <w:sz w:val="18"/>
              </w:rPr>
            </w:pP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F1A33" w:rsidRDefault="00456F01">
            <w:pPr>
              <w:spacing w:after="0" w:line="240" w:lineRule="auto"/>
              <w:jc w:val="center"/>
              <w:rPr>
                <w:rFonts w:ascii="Times New Roman" w:eastAsia="Calibri" w:hAnsi="Times New Roman"/>
                <w:b/>
                <w:noProof/>
                <w:sz w:val="18"/>
              </w:rPr>
            </w:pPr>
            <w:r>
              <w:rPr>
                <w:rFonts w:ascii="Times New Roman" w:eastAsia="Calibri" w:hAnsi="Times New Roman"/>
                <w:b/>
                <w:noProof/>
                <w:sz w:val="18"/>
              </w:rPr>
              <w:t xml:space="preserve">Lower intensity regulatory </w:t>
            </w:r>
            <w:r>
              <w:rPr>
                <w:rFonts w:ascii="Times New Roman" w:eastAsia="Calibri" w:hAnsi="Times New Roman"/>
                <w:b/>
                <w:noProof/>
                <w:sz w:val="18"/>
              </w:rPr>
              <w:t>intervention</w:t>
            </w:r>
          </w:p>
        </w:tc>
        <w:tc>
          <w:tcPr>
            <w:tcW w:w="33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F1A33" w:rsidRDefault="00456F01">
            <w:pPr>
              <w:spacing w:after="0" w:line="240" w:lineRule="auto"/>
              <w:jc w:val="center"/>
              <w:rPr>
                <w:rFonts w:ascii="Times New Roman" w:eastAsia="Calibri" w:hAnsi="Times New Roman" w:cs="Times New Roman"/>
                <w:b/>
                <w:noProof/>
                <w:sz w:val="18"/>
                <w:szCs w:val="18"/>
              </w:rPr>
            </w:pPr>
            <w:r>
              <w:rPr>
                <w:rFonts w:ascii="Times New Roman" w:eastAsia="Calibri" w:hAnsi="Times New Roman" w:cs="Times New Roman"/>
                <w:b/>
                <w:noProof/>
                <w:sz w:val="18"/>
                <w:szCs w:val="18"/>
              </w:rPr>
              <w:t>Higher intensity regulatory intervention</w:t>
            </w:r>
          </w:p>
        </w:tc>
      </w:tr>
      <w:tr w:rsidR="00DF1A33">
        <w:trPr>
          <w:trHeight w:val="1034"/>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1A33" w:rsidRDefault="00456F01">
            <w:pPr>
              <w:spacing w:after="0" w:line="240" w:lineRule="auto"/>
              <w:rPr>
                <w:rFonts w:ascii="Times New Roman" w:eastAsia="Calibri" w:hAnsi="Times New Roman"/>
                <w:b/>
                <w:noProof/>
                <w:sz w:val="18"/>
              </w:rPr>
            </w:pPr>
            <w:r>
              <w:rPr>
                <w:rFonts w:ascii="Times New Roman" w:eastAsia="Calibri" w:hAnsi="Times New Roman"/>
                <w:b/>
                <w:noProof/>
                <w:sz w:val="18"/>
              </w:rPr>
              <w:t>Efficiency</w:t>
            </w:r>
          </w:p>
        </w:tc>
        <w:tc>
          <w:tcPr>
            <w:tcW w:w="3119" w:type="dxa"/>
            <w:tcBorders>
              <w:top w:val="nil"/>
              <w:left w:val="nil"/>
              <w:bottom w:val="single" w:sz="8" w:space="0" w:color="auto"/>
              <w:right w:val="single" w:sz="8" w:space="0" w:color="auto"/>
            </w:tcBorders>
            <w:tcMar>
              <w:top w:w="0" w:type="dxa"/>
              <w:left w:w="108" w:type="dxa"/>
              <w:bottom w:w="0" w:type="dxa"/>
              <w:right w:w="108" w:type="dxa"/>
            </w:tcMar>
          </w:tcPr>
          <w:p w:rsidR="00DF1A33" w:rsidRDefault="00456F01">
            <w:pPr>
              <w:spacing w:after="0" w:line="240" w:lineRule="auto"/>
              <w:rPr>
                <w:rFonts w:ascii="Times New Roman" w:eastAsia="Calibri" w:hAnsi="Times New Roman"/>
                <w:noProof/>
                <w:sz w:val="18"/>
              </w:rPr>
            </w:pPr>
            <w:r>
              <w:rPr>
                <w:rFonts w:ascii="Times New Roman" w:eastAsia="Calibri" w:hAnsi="Times New Roman"/>
                <w:noProof/>
                <w:sz w:val="18"/>
              </w:rPr>
              <w:t xml:space="preserve">The option presents a </w:t>
            </w:r>
            <w:r>
              <w:rPr>
                <w:rFonts w:ascii="Times New Roman" w:hAnsi="Times New Roman"/>
                <w:noProof/>
                <w:sz w:val="18"/>
              </w:rPr>
              <w:t>favourable ratio of costs and benefits. It is expected to generate slightly lower direct and indirect economic benefits than the higher intensity option and lead to a m</w:t>
            </w:r>
            <w:r>
              <w:rPr>
                <w:rFonts w:ascii="Times New Roman" w:hAnsi="Times New Roman"/>
                <w:noProof/>
                <w:sz w:val="18"/>
              </w:rPr>
              <w:t>ore moderate decline in the (administrative, technical and opportunity) costs associated with the opening up of PSI.</w:t>
            </w:r>
          </w:p>
        </w:tc>
        <w:tc>
          <w:tcPr>
            <w:tcW w:w="3366" w:type="dxa"/>
            <w:tcBorders>
              <w:top w:val="nil"/>
              <w:left w:val="nil"/>
              <w:bottom w:val="single" w:sz="8" w:space="0" w:color="auto"/>
              <w:right w:val="single" w:sz="8" w:space="0" w:color="auto"/>
            </w:tcBorders>
            <w:tcMar>
              <w:top w:w="0" w:type="dxa"/>
              <w:left w:w="108" w:type="dxa"/>
              <w:bottom w:w="0" w:type="dxa"/>
              <w:right w:w="108" w:type="dxa"/>
            </w:tcMar>
          </w:tcPr>
          <w:p w:rsidR="00DF1A33" w:rsidRDefault="00456F01">
            <w:pPr>
              <w:spacing w:after="0" w:line="240" w:lineRule="auto"/>
              <w:rPr>
                <w:rFonts w:ascii="Times New Roman" w:eastAsia="Calibri" w:hAnsi="Times New Roman"/>
                <w:noProof/>
                <w:sz w:val="18"/>
                <w:szCs w:val="18"/>
              </w:rPr>
            </w:pPr>
            <w:r>
              <w:rPr>
                <w:rFonts w:ascii="Times New Roman" w:eastAsia="Calibri" w:hAnsi="Times New Roman"/>
                <w:noProof/>
                <w:sz w:val="18"/>
                <w:szCs w:val="18"/>
              </w:rPr>
              <w:t xml:space="preserve">The option also presents a </w:t>
            </w:r>
            <w:r>
              <w:rPr>
                <w:rFonts w:ascii="Times New Roman" w:hAnsi="Times New Roman"/>
                <w:noProof/>
                <w:sz w:val="18"/>
                <w:szCs w:val="18"/>
              </w:rPr>
              <w:t xml:space="preserve">favourable ratio of costs and benefits. It is expected to generate slightly higher direct and indirect economic </w:t>
            </w:r>
            <w:r>
              <w:rPr>
                <w:rFonts w:ascii="Times New Roman" w:hAnsi="Times New Roman"/>
                <w:noProof/>
                <w:sz w:val="18"/>
                <w:szCs w:val="18"/>
              </w:rPr>
              <w:t>benefits and lead to a steeper decline in the (administrative, technical and opportunity) costs associated with the opening up of PSI. This is mostly due to the stronger alignment with the policy objectives, as observed below. Given its strict regulatory a</w:t>
            </w:r>
            <w:r>
              <w:rPr>
                <w:rFonts w:ascii="Times New Roman" w:hAnsi="Times New Roman"/>
                <w:noProof/>
                <w:sz w:val="18"/>
                <w:szCs w:val="18"/>
              </w:rPr>
              <w:t>pproach, it is expected however to impose the costs in a rather abrupt manner, with a negative impact on political feasibility.</w:t>
            </w:r>
          </w:p>
        </w:tc>
      </w:tr>
      <w:tr w:rsidR="00DF1A33">
        <w:trPr>
          <w:trHeight w:val="301"/>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1A33" w:rsidRDefault="00456F01">
            <w:pPr>
              <w:spacing w:after="0" w:line="240" w:lineRule="auto"/>
              <w:rPr>
                <w:rFonts w:ascii="Times New Roman" w:eastAsia="Calibri" w:hAnsi="Times New Roman"/>
                <w:b/>
                <w:noProof/>
                <w:sz w:val="18"/>
              </w:rPr>
            </w:pPr>
            <w:r>
              <w:rPr>
                <w:rFonts w:ascii="Times New Roman" w:eastAsia="Calibri" w:hAnsi="Times New Roman"/>
                <w:b/>
                <w:noProof/>
                <w:sz w:val="18"/>
              </w:rPr>
              <w:t>Effectiveness</w:t>
            </w:r>
          </w:p>
        </w:tc>
        <w:tc>
          <w:tcPr>
            <w:tcW w:w="3119" w:type="dxa"/>
            <w:tcBorders>
              <w:top w:val="nil"/>
              <w:left w:val="nil"/>
              <w:bottom w:val="single" w:sz="8" w:space="0" w:color="auto"/>
              <w:right w:val="single" w:sz="8" w:space="0" w:color="auto"/>
            </w:tcBorders>
            <w:tcMar>
              <w:top w:w="0" w:type="dxa"/>
              <w:left w:w="108" w:type="dxa"/>
              <w:bottom w:w="0" w:type="dxa"/>
              <w:right w:w="108" w:type="dxa"/>
            </w:tcMar>
          </w:tcPr>
          <w:p w:rsidR="00DF1A33" w:rsidRDefault="00456F01">
            <w:pPr>
              <w:spacing w:after="0" w:line="240" w:lineRule="auto"/>
              <w:rPr>
                <w:rFonts w:ascii="Times New Roman" w:eastAsia="Calibri" w:hAnsi="Times New Roman"/>
                <w:noProof/>
                <w:sz w:val="18"/>
              </w:rPr>
            </w:pPr>
            <w:r>
              <w:rPr>
                <w:rFonts w:ascii="Times New Roman" w:hAnsi="Times New Roman"/>
                <w:noProof/>
                <w:sz w:val="18"/>
              </w:rPr>
              <w:t>This option is expected to address the need to adapt to technological changes and ensure growth in PSI-based services as well as in cross-border re-use of data, while addressing the emerging threats to fair competition in the Single Market. Some regulatory</w:t>
            </w:r>
            <w:r>
              <w:rPr>
                <w:rFonts w:ascii="Times New Roman" w:hAnsi="Times New Roman"/>
                <w:noProof/>
                <w:sz w:val="18"/>
              </w:rPr>
              <w:t xml:space="preserve"> change is also necessary to tackle persisting market barriers linked to charging for PSI re-use and to speed up the adoption of state of the art data dissemination methods. </w:t>
            </w:r>
          </w:p>
        </w:tc>
        <w:tc>
          <w:tcPr>
            <w:tcW w:w="3366" w:type="dxa"/>
            <w:tcBorders>
              <w:top w:val="nil"/>
              <w:left w:val="nil"/>
              <w:bottom w:val="single" w:sz="8" w:space="0" w:color="auto"/>
              <w:right w:val="single" w:sz="8" w:space="0" w:color="auto"/>
            </w:tcBorders>
            <w:tcMar>
              <w:top w:w="0" w:type="dxa"/>
              <w:left w:w="108" w:type="dxa"/>
              <w:bottom w:w="0" w:type="dxa"/>
              <w:right w:w="108" w:type="dxa"/>
            </w:tcMar>
          </w:tcPr>
          <w:p w:rsidR="00DF1A33" w:rsidRDefault="00456F01">
            <w:pPr>
              <w:spacing w:after="0" w:line="240" w:lineRule="auto"/>
              <w:rPr>
                <w:rFonts w:ascii="Times New Roman" w:hAnsi="Times New Roman"/>
                <w:noProof/>
                <w:sz w:val="18"/>
                <w:szCs w:val="18"/>
              </w:rPr>
            </w:pPr>
            <w:r>
              <w:rPr>
                <w:rFonts w:ascii="Times New Roman" w:hAnsi="Times New Roman"/>
                <w:noProof/>
                <w:sz w:val="18"/>
                <w:szCs w:val="18"/>
              </w:rPr>
              <w:t>This option is also expected to address the need to adapt to technological change</w:t>
            </w:r>
            <w:r>
              <w:rPr>
                <w:rFonts w:ascii="Times New Roman" w:hAnsi="Times New Roman"/>
                <w:noProof/>
                <w:sz w:val="18"/>
                <w:szCs w:val="18"/>
              </w:rPr>
              <w:t>s and ensure growth in PSI-based services as well as in cross-border re-use of data, while addressing the emerging threats to fair competition in the Single Market. Given that the higher intensity regulatory intervention is based on stricter regulatory sol</w:t>
            </w:r>
            <w:r>
              <w:rPr>
                <w:rFonts w:ascii="Times New Roman" w:hAnsi="Times New Roman"/>
                <w:noProof/>
                <w:sz w:val="18"/>
                <w:szCs w:val="18"/>
              </w:rPr>
              <w:t>utions, it is expected to overtake the lower intensity regulatory intervention in terms of the extent to which these policy goals are met.</w:t>
            </w:r>
          </w:p>
          <w:p w:rsidR="00DF1A33" w:rsidRDefault="00DF1A33">
            <w:pPr>
              <w:spacing w:after="0" w:line="240" w:lineRule="auto"/>
              <w:jc w:val="both"/>
              <w:rPr>
                <w:rFonts w:ascii="Times New Roman" w:eastAsia="Calibri" w:hAnsi="Times New Roman"/>
                <w:noProof/>
                <w:sz w:val="18"/>
                <w:szCs w:val="18"/>
              </w:rPr>
            </w:pPr>
          </w:p>
        </w:tc>
      </w:tr>
      <w:tr w:rsidR="00DF1A33">
        <w:trPr>
          <w:trHeight w:val="2618"/>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1A33" w:rsidRDefault="00456F01">
            <w:pPr>
              <w:spacing w:after="0" w:line="240" w:lineRule="auto"/>
              <w:rPr>
                <w:rFonts w:ascii="Times New Roman" w:eastAsia="Calibri" w:hAnsi="Times New Roman"/>
                <w:b/>
                <w:noProof/>
                <w:sz w:val="18"/>
              </w:rPr>
            </w:pPr>
            <w:r>
              <w:rPr>
                <w:rFonts w:ascii="Times New Roman" w:eastAsia="Calibri" w:hAnsi="Times New Roman"/>
                <w:b/>
                <w:noProof/>
                <w:sz w:val="18"/>
              </w:rPr>
              <w:t>Coherence</w:t>
            </w:r>
          </w:p>
        </w:tc>
        <w:tc>
          <w:tcPr>
            <w:tcW w:w="3119" w:type="dxa"/>
            <w:tcBorders>
              <w:top w:val="nil"/>
              <w:left w:val="nil"/>
              <w:bottom w:val="single" w:sz="8" w:space="0" w:color="auto"/>
              <w:right w:val="single" w:sz="8" w:space="0" w:color="auto"/>
            </w:tcBorders>
            <w:tcMar>
              <w:top w:w="0" w:type="dxa"/>
              <w:left w:w="108" w:type="dxa"/>
              <w:bottom w:w="0" w:type="dxa"/>
              <w:right w:w="108" w:type="dxa"/>
            </w:tcMar>
          </w:tcPr>
          <w:p w:rsidR="00DF1A33" w:rsidRDefault="00456F01">
            <w:pPr>
              <w:spacing w:after="0" w:line="240" w:lineRule="auto"/>
              <w:rPr>
                <w:rFonts w:ascii="Times New Roman" w:hAnsi="Times New Roman"/>
                <w:noProof/>
                <w:sz w:val="18"/>
              </w:rPr>
            </w:pPr>
            <w:r>
              <w:rPr>
                <w:rFonts w:ascii="Times New Roman" w:hAnsi="Times New Roman"/>
                <w:noProof/>
                <w:sz w:val="18"/>
              </w:rPr>
              <w:t>This option has the potential to minimise friction with other EU policies. The lower intensity regulatory</w:t>
            </w:r>
            <w:r>
              <w:rPr>
                <w:rFonts w:ascii="Times New Roman" w:hAnsi="Times New Roman"/>
                <w:noProof/>
                <w:sz w:val="18"/>
              </w:rPr>
              <w:t xml:space="preserve"> intervention largely depends on sectoral legislation for the supply of data and focuses on enhancing downstream re-use, which should ensure full legal coherence.</w:t>
            </w:r>
          </w:p>
        </w:tc>
        <w:tc>
          <w:tcPr>
            <w:tcW w:w="3366" w:type="dxa"/>
            <w:tcBorders>
              <w:top w:val="nil"/>
              <w:left w:val="nil"/>
              <w:bottom w:val="single" w:sz="8" w:space="0" w:color="auto"/>
              <w:right w:val="single" w:sz="8" w:space="0" w:color="auto"/>
            </w:tcBorders>
            <w:tcMar>
              <w:top w:w="0" w:type="dxa"/>
              <w:left w:w="108" w:type="dxa"/>
              <w:bottom w:w="0" w:type="dxa"/>
              <w:right w:w="108" w:type="dxa"/>
            </w:tcMar>
          </w:tcPr>
          <w:p w:rsidR="00DF1A33" w:rsidRDefault="00456F01">
            <w:pPr>
              <w:spacing w:after="0" w:line="240" w:lineRule="auto"/>
              <w:rPr>
                <w:rFonts w:ascii="Times New Roman" w:hAnsi="Times New Roman"/>
                <w:noProof/>
                <w:sz w:val="18"/>
                <w:szCs w:val="18"/>
              </w:rPr>
            </w:pPr>
            <w:r>
              <w:rPr>
                <w:rFonts w:ascii="Times New Roman" w:hAnsi="Times New Roman"/>
                <w:noProof/>
                <w:sz w:val="18"/>
                <w:szCs w:val="18"/>
              </w:rPr>
              <w:t xml:space="preserve">The far-reaching horizontal measure proposed in the higher intensity regulatory intervention </w:t>
            </w:r>
            <w:r>
              <w:rPr>
                <w:rFonts w:ascii="Times New Roman" w:hAnsi="Times New Roman"/>
                <w:noProof/>
                <w:sz w:val="18"/>
                <w:szCs w:val="18"/>
              </w:rPr>
              <w:t>could be difficult to reconcile with a number of ongoing sectoral initiatives in the area of data access and re-use, referred to under section 2.2.4.1 above.</w:t>
            </w:r>
          </w:p>
        </w:tc>
      </w:tr>
      <w:tr w:rsidR="00DF1A33">
        <w:trPr>
          <w:trHeight w:val="862"/>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1A33" w:rsidRDefault="00456F01">
            <w:pPr>
              <w:spacing w:after="0" w:line="240" w:lineRule="auto"/>
              <w:rPr>
                <w:rFonts w:ascii="Times New Roman" w:eastAsia="Calibri" w:hAnsi="Times New Roman"/>
                <w:b/>
                <w:noProof/>
                <w:sz w:val="18"/>
              </w:rPr>
            </w:pPr>
            <w:r>
              <w:rPr>
                <w:rFonts w:ascii="Times New Roman" w:eastAsia="Calibri" w:hAnsi="Times New Roman"/>
                <w:b/>
                <w:noProof/>
                <w:sz w:val="18"/>
              </w:rPr>
              <w:t>Legal/political feasibility</w:t>
            </w:r>
          </w:p>
        </w:tc>
        <w:tc>
          <w:tcPr>
            <w:tcW w:w="3119" w:type="dxa"/>
            <w:tcBorders>
              <w:top w:val="nil"/>
              <w:left w:val="nil"/>
              <w:bottom w:val="single" w:sz="8" w:space="0" w:color="auto"/>
              <w:right w:val="single" w:sz="8" w:space="0" w:color="auto"/>
            </w:tcBorders>
            <w:tcMar>
              <w:top w:w="0" w:type="dxa"/>
              <w:left w:w="108" w:type="dxa"/>
              <w:bottom w:w="0" w:type="dxa"/>
              <w:right w:w="108" w:type="dxa"/>
            </w:tcMar>
          </w:tcPr>
          <w:p w:rsidR="00DF1A33" w:rsidRDefault="00456F01">
            <w:pPr>
              <w:spacing w:after="0" w:line="240" w:lineRule="auto"/>
              <w:rPr>
                <w:rFonts w:ascii="Times New Roman" w:eastAsia="Calibri" w:hAnsi="Times New Roman"/>
                <w:noProof/>
                <w:sz w:val="18"/>
              </w:rPr>
            </w:pPr>
            <w:r>
              <w:rPr>
                <w:rFonts w:ascii="Times New Roman" w:eastAsia="Calibri" w:hAnsi="Times New Roman"/>
                <w:noProof/>
                <w:sz w:val="18"/>
              </w:rPr>
              <w:t xml:space="preserve">This option is </w:t>
            </w:r>
            <w:r>
              <w:rPr>
                <w:rFonts w:ascii="Times New Roman" w:hAnsi="Times New Roman"/>
                <w:noProof/>
                <w:sz w:val="18"/>
              </w:rPr>
              <w:t xml:space="preserve">both politically and legally feasible. The lower </w:t>
            </w:r>
            <w:r>
              <w:rPr>
                <w:rFonts w:ascii="Times New Roman" w:hAnsi="Times New Roman"/>
                <w:noProof/>
                <w:sz w:val="18"/>
              </w:rPr>
              <w:t>intensity regulatory intervention presents a clear advantage over the higher intensity regulatory intervention in what concerns the political buy-in from major stakeholder groups, especially that some of the elements of that policy package have been expres</w:t>
            </w:r>
            <w:r>
              <w:rPr>
                <w:rFonts w:ascii="Times New Roman" w:hAnsi="Times New Roman"/>
                <w:noProof/>
                <w:sz w:val="18"/>
              </w:rPr>
              <w:t>sly advocated by several Member States.</w:t>
            </w:r>
            <w:r>
              <w:rPr>
                <w:rStyle w:val="FootnoteReference"/>
                <w:rFonts w:ascii="Times New Roman" w:hAnsi="Times New Roman"/>
                <w:noProof/>
                <w:sz w:val="18"/>
              </w:rPr>
              <w:footnoteReference w:id="180"/>
            </w:r>
          </w:p>
        </w:tc>
        <w:tc>
          <w:tcPr>
            <w:tcW w:w="3366" w:type="dxa"/>
            <w:tcBorders>
              <w:top w:val="nil"/>
              <w:left w:val="nil"/>
              <w:bottom w:val="single" w:sz="8" w:space="0" w:color="auto"/>
              <w:right w:val="single" w:sz="8" w:space="0" w:color="auto"/>
            </w:tcBorders>
            <w:tcMar>
              <w:top w:w="0" w:type="dxa"/>
              <w:left w:w="108" w:type="dxa"/>
              <w:bottom w:w="0" w:type="dxa"/>
              <w:right w:w="108" w:type="dxa"/>
            </w:tcMar>
          </w:tcPr>
          <w:p w:rsidR="00DF1A33" w:rsidRDefault="00456F01">
            <w:pPr>
              <w:spacing w:after="0" w:line="240" w:lineRule="auto"/>
              <w:rPr>
                <w:rFonts w:ascii="Times New Roman" w:eastAsia="Calibri" w:hAnsi="Times New Roman"/>
                <w:noProof/>
                <w:sz w:val="18"/>
                <w:szCs w:val="18"/>
              </w:rPr>
            </w:pPr>
            <w:r>
              <w:rPr>
                <w:rFonts w:ascii="Times New Roman" w:hAnsi="Times New Roman"/>
                <w:noProof/>
                <w:sz w:val="18"/>
                <w:szCs w:val="18"/>
              </w:rPr>
              <w:t>This option is legally feasible, although based on the available evidence from the stakeholder consultation process, it is less feasible politically due to a substantially lower level of stakeholder buy-in than in t</w:t>
            </w:r>
            <w:r>
              <w:rPr>
                <w:rFonts w:ascii="Times New Roman" w:hAnsi="Times New Roman"/>
                <w:noProof/>
                <w:sz w:val="18"/>
                <w:szCs w:val="18"/>
              </w:rPr>
              <w:t>he case of the lower intensity regulatory option.</w:t>
            </w:r>
          </w:p>
        </w:tc>
      </w:tr>
      <w:tr w:rsidR="00DF1A33">
        <w:trPr>
          <w:trHeight w:val="1036"/>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1A33" w:rsidRDefault="00456F01">
            <w:pPr>
              <w:spacing w:after="0" w:line="240" w:lineRule="auto"/>
              <w:rPr>
                <w:rFonts w:ascii="Times New Roman" w:eastAsia="Calibri" w:hAnsi="Times New Roman"/>
                <w:b/>
                <w:noProof/>
                <w:sz w:val="18"/>
              </w:rPr>
            </w:pPr>
            <w:r>
              <w:rPr>
                <w:rFonts w:ascii="Times New Roman" w:eastAsia="Calibri" w:hAnsi="Times New Roman"/>
                <w:b/>
                <w:noProof/>
                <w:sz w:val="18"/>
              </w:rPr>
              <w:t>Proportionality</w:t>
            </w:r>
          </w:p>
        </w:tc>
        <w:tc>
          <w:tcPr>
            <w:tcW w:w="3119" w:type="dxa"/>
            <w:tcBorders>
              <w:top w:val="nil"/>
              <w:left w:val="nil"/>
              <w:bottom w:val="single" w:sz="8" w:space="0" w:color="auto"/>
              <w:right w:val="single" w:sz="8" w:space="0" w:color="auto"/>
            </w:tcBorders>
            <w:tcMar>
              <w:top w:w="0" w:type="dxa"/>
              <w:left w:w="108" w:type="dxa"/>
              <w:bottom w:w="0" w:type="dxa"/>
              <w:right w:w="108" w:type="dxa"/>
            </w:tcMar>
          </w:tcPr>
          <w:p w:rsidR="00DF1A33" w:rsidRDefault="00456F01">
            <w:pPr>
              <w:spacing w:after="0" w:line="240" w:lineRule="auto"/>
              <w:rPr>
                <w:rFonts w:ascii="Times New Roman" w:eastAsia="Calibri" w:hAnsi="Times New Roman"/>
                <w:noProof/>
                <w:sz w:val="18"/>
              </w:rPr>
            </w:pPr>
            <w:r>
              <w:rPr>
                <w:rFonts w:ascii="Times New Roman" w:hAnsi="Times New Roman"/>
                <w:noProof/>
                <w:sz w:val="18"/>
              </w:rPr>
              <w:t>This option is designed to minimise negative impact of the extension of scope, by basing it on the already existing utility procurement legislation. It presents a balanced yet focused polic</w:t>
            </w:r>
            <w:r>
              <w:rPr>
                <w:rFonts w:ascii="Times New Roman" w:hAnsi="Times New Roman"/>
                <w:noProof/>
                <w:sz w:val="18"/>
              </w:rPr>
              <w:t>y intervention. By targeting the new requirements in areas where change is necessary, it reduces unnecessary compliance burden in areas where change is not essential and difficult to enact. In addition, the intervention logic tested in the previous revisio</w:t>
            </w:r>
            <w:r>
              <w:rPr>
                <w:rFonts w:ascii="Times New Roman" w:hAnsi="Times New Roman"/>
                <w:noProof/>
                <w:sz w:val="18"/>
              </w:rPr>
              <w:t>n of the Directive (ensuring a competitive market for PSI re-use as a first step, before the application of an obligation to allow re-use) has proved to be an efficient strategy, ensuring the attainment of objectives for all groups of bodies successively b</w:t>
            </w:r>
            <w:r>
              <w:rPr>
                <w:rFonts w:ascii="Times New Roman" w:hAnsi="Times New Roman"/>
                <w:noProof/>
                <w:sz w:val="18"/>
              </w:rPr>
              <w:t>rought within the scope of the Directive, while allowing for an ample adjustment period and giving space for non-legislative instruments to make impact.</w:t>
            </w:r>
          </w:p>
        </w:tc>
        <w:tc>
          <w:tcPr>
            <w:tcW w:w="3366" w:type="dxa"/>
            <w:tcBorders>
              <w:top w:val="nil"/>
              <w:left w:val="nil"/>
              <w:bottom w:val="single" w:sz="8" w:space="0" w:color="auto"/>
              <w:right w:val="single" w:sz="8" w:space="0" w:color="auto"/>
            </w:tcBorders>
            <w:tcMar>
              <w:top w:w="0" w:type="dxa"/>
              <w:left w:w="108" w:type="dxa"/>
              <w:bottom w:w="0" w:type="dxa"/>
              <w:right w:w="108" w:type="dxa"/>
            </w:tcMar>
          </w:tcPr>
          <w:p w:rsidR="00DF1A33" w:rsidRDefault="00456F01">
            <w:pPr>
              <w:spacing w:after="0" w:line="240" w:lineRule="auto"/>
              <w:rPr>
                <w:rFonts w:ascii="Times New Roman" w:eastAsia="Calibri" w:hAnsi="Times New Roman"/>
                <w:noProof/>
                <w:sz w:val="18"/>
                <w:szCs w:val="18"/>
              </w:rPr>
            </w:pPr>
            <w:r>
              <w:rPr>
                <w:rFonts w:ascii="Times New Roman" w:hAnsi="Times New Roman"/>
                <w:noProof/>
                <w:sz w:val="18"/>
                <w:szCs w:val="18"/>
              </w:rPr>
              <w:t>This option is also designed to minimise negative impact of the extension of scope, by basing it on the</w:t>
            </w:r>
            <w:r>
              <w:rPr>
                <w:rFonts w:ascii="Times New Roman" w:hAnsi="Times New Roman"/>
                <w:noProof/>
                <w:sz w:val="18"/>
                <w:szCs w:val="18"/>
              </w:rPr>
              <w:t xml:space="preserve"> already existing utility procurement legislation. However, the enforcement of the elements </w:t>
            </w:r>
            <w:r>
              <w:rPr>
                <w:rFonts w:ascii="Times New Roman" w:hAnsi="Times New Roman" w:cs="Times New Roman"/>
                <w:noProof/>
                <w:sz w:val="18"/>
                <w:szCs w:val="18"/>
              </w:rPr>
              <w:t xml:space="preserve">included in </w:t>
            </w:r>
            <w:r>
              <w:rPr>
                <w:rFonts w:ascii="Times New Roman" w:hAnsi="Times New Roman"/>
                <w:noProof/>
                <w:sz w:val="18"/>
                <w:szCs w:val="18"/>
              </w:rPr>
              <w:t>the higher intensity regulatory intervention</w:t>
            </w:r>
            <w:r>
              <w:rPr>
                <w:rFonts w:ascii="Times New Roman" w:hAnsi="Times New Roman" w:cs="Times New Roman"/>
                <w:noProof/>
                <w:sz w:val="18"/>
                <w:szCs w:val="18"/>
              </w:rPr>
              <w:t xml:space="preserve"> would require substantial adjustment efforts by many stakeholders, particularly on the part of the bodies n</w:t>
            </w:r>
            <w:r>
              <w:rPr>
                <w:rFonts w:ascii="Times New Roman" w:hAnsi="Times New Roman" w:cs="Times New Roman"/>
                <w:noProof/>
                <w:sz w:val="18"/>
                <w:szCs w:val="18"/>
              </w:rPr>
              <w:t xml:space="preserve">ewly covered by the rules. It would also require significant investment by public sector bodies in the update of the necessary IT infrastructure and have a chilling effect on public-private collaboration projects. In addition, Member State acceptance of a </w:t>
            </w:r>
            <w:r>
              <w:rPr>
                <w:rFonts w:ascii="Times New Roman" w:hAnsi="Times New Roman" w:cs="Times New Roman"/>
                <w:noProof/>
                <w:sz w:val="18"/>
                <w:szCs w:val="18"/>
              </w:rPr>
              <w:t>radical change, relatively early after the previous regulatory revision, is low. All such risks appear in disproportion to the objectives sought.</w:t>
            </w:r>
          </w:p>
        </w:tc>
      </w:tr>
    </w:tbl>
    <w:p w:rsidR="00DF1A33" w:rsidRDefault="00456F01">
      <w:pPr>
        <w:pStyle w:val="Text1"/>
        <w:keepNext/>
        <w:ind w:left="0"/>
        <w:rPr>
          <w:noProof/>
        </w:rPr>
      </w:pPr>
      <w:r>
        <w:rPr>
          <w:noProof/>
        </w:rPr>
        <w:t>This analysis translates into the following overview:</w:t>
      </w:r>
    </w:p>
    <w:tbl>
      <w:tblPr>
        <w:tblStyle w:val="TableGrid"/>
        <w:tblW w:w="0" w:type="auto"/>
        <w:tblLook w:val="04A0" w:firstRow="1" w:lastRow="0" w:firstColumn="1" w:lastColumn="0" w:noHBand="0" w:noVBand="1"/>
      </w:tblPr>
      <w:tblGrid>
        <w:gridCol w:w="1441"/>
        <w:gridCol w:w="1321"/>
        <w:gridCol w:w="1484"/>
        <w:gridCol w:w="1356"/>
        <w:gridCol w:w="1561"/>
        <w:gridCol w:w="1671"/>
      </w:tblGrid>
      <w:tr w:rsidR="00DF1A33">
        <w:tc>
          <w:tcPr>
            <w:tcW w:w="1441" w:type="dxa"/>
          </w:tcPr>
          <w:p w:rsidR="00DF1A33" w:rsidRDefault="00DF1A33">
            <w:pPr>
              <w:keepNext/>
              <w:rPr>
                <w:noProof/>
                <w:sz w:val="18"/>
              </w:rPr>
            </w:pPr>
          </w:p>
        </w:tc>
        <w:tc>
          <w:tcPr>
            <w:tcW w:w="1321" w:type="dxa"/>
          </w:tcPr>
          <w:p w:rsidR="00DF1A33" w:rsidRDefault="00456F01">
            <w:pPr>
              <w:keepNext/>
              <w:rPr>
                <w:rFonts w:eastAsia="Calibri"/>
                <w:b/>
                <w:noProof/>
                <w:sz w:val="18"/>
              </w:rPr>
            </w:pPr>
            <w:r>
              <w:rPr>
                <w:rFonts w:eastAsia="Calibri"/>
                <w:b/>
                <w:noProof/>
                <w:sz w:val="18"/>
              </w:rPr>
              <w:t>Efficiency</w:t>
            </w:r>
          </w:p>
        </w:tc>
        <w:tc>
          <w:tcPr>
            <w:tcW w:w="1484" w:type="dxa"/>
          </w:tcPr>
          <w:p w:rsidR="00DF1A33" w:rsidRDefault="00456F01">
            <w:pPr>
              <w:keepNext/>
              <w:rPr>
                <w:noProof/>
                <w:sz w:val="18"/>
              </w:rPr>
            </w:pPr>
            <w:r>
              <w:rPr>
                <w:rFonts w:eastAsia="Calibri"/>
                <w:b/>
                <w:noProof/>
                <w:sz w:val="18"/>
              </w:rPr>
              <w:t>Effectiveness</w:t>
            </w:r>
          </w:p>
        </w:tc>
        <w:tc>
          <w:tcPr>
            <w:tcW w:w="1356" w:type="dxa"/>
          </w:tcPr>
          <w:p w:rsidR="00DF1A33" w:rsidRDefault="00456F01">
            <w:pPr>
              <w:keepNext/>
              <w:rPr>
                <w:noProof/>
                <w:sz w:val="18"/>
              </w:rPr>
            </w:pPr>
            <w:r>
              <w:rPr>
                <w:rFonts w:eastAsia="Calibri"/>
                <w:b/>
                <w:noProof/>
                <w:sz w:val="18"/>
              </w:rPr>
              <w:t>Coherence</w:t>
            </w:r>
          </w:p>
        </w:tc>
        <w:tc>
          <w:tcPr>
            <w:tcW w:w="1561" w:type="dxa"/>
          </w:tcPr>
          <w:p w:rsidR="00DF1A33" w:rsidRDefault="00456F01">
            <w:pPr>
              <w:keepNext/>
              <w:rPr>
                <w:noProof/>
                <w:sz w:val="18"/>
              </w:rPr>
            </w:pPr>
            <w:r>
              <w:rPr>
                <w:rFonts w:eastAsia="Calibri"/>
                <w:b/>
                <w:noProof/>
                <w:sz w:val="18"/>
              </w:rPr>
              <w:t xml:space="preserve">Legal/political </w:t>
            </w:r>
            <w:r>
              <w:rPr>
                <w:rFonts w:eastAsia="Calibri"/>
                <w:b/>
                <w:noProof/>
                <w:sz w:val="18"/>
              </w:rPr>
              <w:t>feasibility</w:t>
            </w:r>
          </w:p>
        </w:tc>
        <w:tc>
          <w:tcPr>
            <w:tcW w:w="1671" w:type="dxa"/>
          </w:tcPr>
          <w:p w:rsidR="00DF1A33" w:rsidRDefault="00456F01">
            <w:pPr>
              <w:keepNext/>
              <w:rPr>
                <w:noProof/>
                <w:sz w:val="18"/>
              </w:rPr>
            </w:pPr>
            <w:r>
              <w:rPr>
                <w:rFonts w:eastAsia="Calibri"/>
                <w:b/>
                <w:noProof/>
                <w:sz w:val="18"/>
              </w:rPr>
              <w:t>Proportionality</w:t>
            </w:r>
          </w:p>
        </w:tc>
      </w:tr>
      <w:tr w:rsidR="00DF1A33">
        <w:tc>
          <w:tcPr>
            <w:tcW w:w="1441" w:type="dxa"/>
          </w:tcPr>
          <w:p w:rsidR="00DF1A33" w:rsidRDefault="00456F01">
            <w:pPr>
              <w:rPr>
                <w:noProof/>
                <w:sz w:val="18"/>
              </w:rPr>
            </w:pPr>
            <w:r>
              <w:rPr>
                <w:rFonts w:eastAsia="Calibri"/>
                <w:b/>
                <w:noProof/>
                <w:sz w:val="18"/>
              </w:rPr>
              <w:t>Lower intensity regulatory intervention</w:t>
            </w:r>
          </w:p>
        </w:tc>
        <w:tc>
          <w:tcPr>
            <w:tcW w:w="1321" w:type="dxa"/>
            <w:vAlign w:val="center"/>
          </w:tcPr>
          <w:p w:rsidR="00DF1A33" w:rsidRDefault="00456F01">
            <w:pPr>
              <w:jc w:val="center"/>
              <w:rPr>
                <w:rFonts w:eastAsia="Calibri"/>
                <w:b/>
                <w:noProof/>
                <w:sz w:val="18"/>
              </w:rPr>
            </w:pPr>
            <w:r>
              <w:rPr>
                <w:rFonts w:eastAsia="Calibri"/>
                <w:b/>
                <w:noProof/>
                <w:sz w:val="18"/>
              </w:rPr>
              <w:t>+</w:t>
            </w:r>
          </w:p>
        </w:tc>
        <w:tc>
          <w:tcPr>
            <w:tcW w:w="1484" w:type="dxa"/>
            <w:vAlign w:val="center"/>
          </w:tcPr>
          <w:p w:rsidR="00DF1A33" w:rsidRDefault="00456F01">
            <w:pPr>
              <w:jc w:val="center"/>
              <w:rPr>
                <w:noProof/>
                <w:sz w:val="18"/>
              </w:rPr>
            </w:pPr>
            <w:r>
              <w:rPr>
                <w:noProof/>
                <w:sz w:val="18"/>
              </w:rPr>
              <w:t>+</w:t>
            </w:r>
          </w:p>
        </w:tc>
        <w:tc>
          <w:tcPr>
            <w:tcW w:w="1356" w:type="dxa"/>
            <w:vAlign w:val="center"/>
          </w:tcPr>
          <w:p w:rsidR="00DF1A33" w:rsidRDefault="00456F01">
            <w:pPr>
              <w:jc w:val="center"/>
              <w:rPr>
                <w:noProof/>
                <w:sz w:val="18"/>
              </w:rPr>
            </w:pPr>
            <w:r>
              <w:rPr>
                <w:noProof/>
                <w:sz w:val="18"/>
              </w:rPr>
              <w:t>+</w:t>
            </w:r>
          </w:p>
        </w:tc>
        <w:tc>
          <w:tcPr>
            <w:tcW w:w="1561" w:type="dxa"/>
            <w:vAlign w:val="center"/>
          </w:tcPr>
          <w:p w:rsidR="00DF1A33" w:rsidRDefault="00456F01">
            <w:pPr>
              <w:jc w:val="center"/>
              <w:rPr>
                <w:noProof/>
                <w:sz w:val="18"/>
              </w:rPr>
            </w:pPr>
            <w:r>
              <w:rPr>
                <w:noProof/>
                <w:sz w:val="18"/>
              </w:rPr>
              <w:t>+</w:t>
            </w:r>
          </w:p>
        </w:tc>
        <w:tc>
          <w:tcPr>
            <w:tcW w:w="1671" w:type="dxa"/>
            <w:vAlign w:val="center"/>
          </w:tcPr>
          <w:p w:rsidR="00DF1A33" w:rsidRDefault="00456F01">
            <w:pPr>
              <w:jc w:val="center"/>
              <w:rPr>
                <w:noProof/>
                <w:sz w:val="18"/>
              </w:rPr>
            </w:pPr>
            <w:r>
              <w:rPr>
                <w:noProof/>
                <w:sz w:val="18"/>
              </w:rPr>
              <w:t>+</w:t>
            </w:r>
          </w:p>
        </w:tc>
      </w:tr>
      <w:tr w:rsidR="00DF1A33">
        <w:tc>
          <w:tcPr>
            <w:tcW w:w="1441" w:type="dxa"/>
          </w:tcPr>
          <w:p w:rsidR="00DF1A33" w:rsidRDefault="00456F01">
            <w:pPr>
              <w:rPr>
                <w:noProof/>
                <w:sz w:val="18"/>
              </w:rPr>
            </w:pPr>
            <w:r>
              <w:rPr>
                <w:rFonts w:eastAsia="Calibri"/>
                <w:b/>
                <w:noProof/>
                <w:sz w:val="18"/>
              </w:rPr>
              <w:t>Higher intensity regulatory intervention</w:t>
            </w:r>
          </w:p>
        </w:tc>
        <w:tc>
          <w:tcPr>
            <w:tcW w:w="1321" w:type="dxa"/>
            <w:vAlign w:val="center"/>
          </w:tcPr>
          <w:p w:rsidR="00DF1A33" w:rsidRDefault="00456F01">
            <w:pPr>
              <w:jc w:val="center"/>
              <w:rPr>
                <w:rFonts w:eastAsia="Calibri"/>
                <w:b/>
                <w:noProof/>
                <w:sz w:val="18"/>
              </w:rPr>
            </w:pPr>
            <w:r>
              <w:rPr>
                <w:rFonts w:eastAsia="Calibri"/>
                <w:b/>
                <w:noProof/>
                <w:sz w:val="18"/>
              </w:rPr>
              <w:t>++</w:t>
            </w:r>
          </w:p>
        </w:tc>
        <w:tc>
          <w:tcPr>
            <w:tcW w:w="1484" w:type="dxa"/>
            <w:vAlign w:val="center"/>
          </w:tcPr>
          <w:p w:rsidR="00DF1A33" w:rsidRDefault="00456F01">
            <w:pPr>
              <w:jc w:val="center"/>
              <w:rPr>
                <w:noProof/>
                <w:sz w:val="18"/>
              </w:rPr>
            </w:pPr>
            <w:r>
              <w:rPr>
                <w:noProof/>
                <w:sz w:val="18"/>
              </w:rPr>
              <w:t>++</w:t>
            </w:r>
          </w:p>
        </w:tc>
        <w:tc>
          <w:tcPr>
            <w:tcW w:w="1356" w:type="dxa"/>
            <w:vAlign w:val="center"/>
          </w:tcPr>
          <w:p w:rsidR="00DF1A33" w:rsidRDefault="00456F01">
            <w:pPr>
              <w:jc w:val="center"/>
              <w:rPr>
                <w:noProof/>
                <w:sz w:val="18"/>
              </w:rPr>
            </w:pPr>
            <w:r>
              <w:rPr>
                <w:noProof/>
                <w:sz w:val="18"/>
              </w:rPr>
              <w:t>-</w:t>
            </w:r>
          </w:p>
        </w:tc>
        <w:tc>
          <w:tcPr>
            <w:tcW w:w="1561" w:type="dxa"/>
            <w:vAlign w:val="center"/>
          </w:tcPr>
          <w:p w:rsidR="00DF1A33" w:rsidRDefault="00456F01">
            <w:pPr>
              <w:jc w:val="center"/>
              <w:rPr>
                <w:noProof/>
                <w:sz w:val="18"/>
              </w:rPr>
            </w:pPr>
            <w:r>
              <w:rPr>
                <w:noProof/>
                <w:sz w:val="18"/>
              </w:rPr>
              <w:t>-</w:t>
            </w:r>
          </w:p>
        </w:tc>
        <w:tc>
          <w:tcPr>
            <w:tcW w:w="1671" w:type="dxa"/>
            <w:vAlign w:val="center"/>
          </w:tcPr>
          <w:p w:rsidR="00DF1A33" w:rsidRDefault="00456F01">
            <w:pPr>
              <w:jc w:val="center"/>
              <w:rPr>
                <w:noProof/>
                <w:sz w:val="18"/>
              </w:rPr>
            </w:pPr>
            <w:r>
              <w:rPr>
                <w:noProof/>
                <w:sz w:val="18"/>
              </w:rPr>
              <w:t>-</w:t>
            </w:r>
          </w:p>
        </w:tc>
      </w:tr>
    </w:tbl>
    <w:p w:rsidR="00DF1A33" w:rsidRDefault="00456F01">
      <w:pPr>
        <w:jc w:val="both"/>
        <w:rPr>
          <w:noProof/>
          <w:sz w:val="18"/>
          <w:szCs w:val="18"/>
        </w:rPr>
      </w:pPr>
      <w:bookmarkStart w:id="1637" w:name="_Toc506369425"/>
      <w:bookmarkStart w:id="1638" w:name="_Toc506369555"/>
      <w:bookmarkStart w:id="1639" w:name="_Toc506372652"/>
      <w:bookmarkStart w:id="1640" w:name="_Toc506373019"/>
      <w:bookmarkStart w:id="1641" w:name="_Toc506374103"/>
      <w:bookmarkStart w:id="1642" w:name="_Toc506370300"/>
      <w:bookmarkStart w:id="1643" w:name="_Toc506370929"/>
      <w:bookmarkStart w:id="1644" w:name="_Toc506371923"/>
      <w:bookmarkStart w:id="1645" w:name="_Toc506372923"/>
      <w:bookmarkStart w:id="1646" w:name="_Toc506374026"/>
      <w:bookmarkStart w:id="1647" w:name="_Toc506375342"/>
      <w:bookmarkStart w:id="1648" w:name="_Toc506376516"/>
      <w:bookmarkEnd w:id="1637"/>
      <w:bookmarkEnd w:id="1638"/>
      <w:bookmarkEnd w:id="1639"/>
      <w:bookmarkEnd w:id="1640"/>
      <w:bookmarkEnd w:id="1641"/>
      <w:bookmarkEnd w:id="1642"/>
      <w:bookmarkEnd w:id="1643"/>
      <w:bookmarkEnd w:id="1644"/>
      <w:bookmarkEnd w:id="1645"/>
      <w:bookmarkEnd w:id="1646"/>
      <w:bookmarkEnd w:id="1647"/>
      <w:bookmarkEnd w:id="1648"/>
      <w:r>
        <w:rPr>
          <w:rFonts w:ascii="Times New Roman" w:hAnsi="Times New Roman"/>
          <w:noProof/>
          <w:sz w:val="18"/>
          <w:szCs w:val="18"/>
        </w:rPr>
        <w:t xml:space="preserve">For efficiency, effectiveness and coherence, the scores are given on the expected </w:t>
      </w:r>
      <w:r>
        <w:rPr>
          <w:rFonts w:ascii="Times New Roman" w:hAnsi="Times New Roman" w:cs="Times New Roman"/>
          <w:noProof/>
          <w:sz w:val="18"/>
          <w:szCs w:val="18"/>
        </w:rPr>
        <w:t>magnitude of impact</w:t>
      </w:r>
      <w:r>
        <w:rPr>
          <w:rFonts w:ascii="Times New Roman" w:hAnsi="Times New Roman"/>
          <w:noProof/>
          <w:sz w:val="18"/>
          <w:szCs w:val="18"/>
        </w:rPr>
        <w:t xml:space="preserve"> as explained above</w:t>
      </w:r>
      <w:r>
        <w:rPr>
          <w:rFonts w:ascii="Times New Roman" w:hAnsi="Times New Roman" w:cs="Times New Roman"/>
          <w:noProof/>
          <w:sz w:val="18"/>
          <w:szCs w:val="18"/>
        </w:rPr>
        <w:t>:</w:t>
      </w:r>
      <w:r>
        <w:rPr>
          <w:rFonts w:ascii="Times New Roman" w:hAnsi="Times New Roman"/>
          <w:noProof/>
          <w:sz w:val="18"/>
          <w:szCs w:val="18"/>
        </w:rPr>
        <w:t xml:space="preserve"> ++ being </w:t>
      </w:r>
      <w:r>
        <w:rPr>
          <w:rFonts w:ascii="Times New Roman" w:hAnsi="Times New Roman" w:cs="Times New Roman"/>
          <w:noProof/>
          <w:sz w:val="18"/>
          <w:szCs w:val="18"/>
        </w:rPr>
        <w:t>strongly</w:t>
      </w:r>
      <w:r>
        <w:rPr>
          <w:rFonts w:ascii="Times New Roman" w:hAnsi="Times New Roman"/>
          <w:noProof/>
          <w:sz w:val="18"/>
          <w:szCs w:val="18"/>
        </w:rPr>
        <w:t xml:space="preserve"> positive, + positive, and – negative. For legal/political feasibility and proportionality, + </w:t>
      </w:r>
      <w:r>
        <w:rPr>
          <w:rFonts w:ascii="Times New Roman" w:hAnsi="Times New Roman" w:cs="Times New Roman"/>
          <w:noProof/>
          <w:sz w:val="18"/>
          <w:szCs w:val="18"/>
        </w:rPr>
        <w:t>means</w:t>
      </w:r>
      <w:bookmarkStart w:id="1649" w:name="_Toc505771168"/>
      <w:bookmarkStart w:id="1650" w:name="_Toc505773173"/>
      <w:bookmarkStart w:id="1651" w:name="_Toc505773435"/>
      <w:bookmarkStart w:id="1652" w:name="_Toc505788947"/>
      <w:bookmarkStart w:id="1653" w:name="_Toc505845235"/>
      <w:bookmarkStart w:id="1654" w:name="_Toc505847878"/>
      <w:bookmarkStart w:id="1655" w:name="_Toc505851492"/>
      <w:bookmarkStart w:id="1656" w:name="_Toc505848295"/>
      <w:bookmarkStart w:id="1657" w:name="_Toc505851575"/>
      <w:bookmarkStart w:id="1658" w:name="_Toc505852984"/>
      <w:bookmarkStart w:id="1659" w:name="_Toc505855705"/>
      <w:bookmarkStart w:id="1660" w:name="_Toc505858262"/>
      <w:bookmarkStart w:id="1661" w:name="_Toc505857211"/>
      <w:bookmarkStart w:id="1662" w:name="_Toc505860078"/>
      <w:bookmarkStart w:id="1663" w:name="_Toc505860530"/>
      <w:bookmarkStart w:id="1664" w:name="_Toc505860606"/>
      <w:bookmarkStart w:id="1665" w:name="_Toc505861014"/>
      <w:bookmarkStart w:id="1666" w:name="_Toc505861095"/>
      <w:bookmarkStart w:id="1667" w:name="_Toc505861171"/>
      <w:bookmarkStart w:id="1668" w:name="_Toc505861338"/>
      <w:bookmarkStart w:id="1669" w:name="_Toc505861687"/>
      <w:bookmarkStart w:id="1670" w:name="_Toc505861760"/>
      <w:bookmarkStart w:id="1671" w:name="_Toc505861761"/>
      <w:bookmarkStart w:id="1672" w:name="_Toc505861763"/>
      <w:bookmarkStart w:id="1673" w:name="_Toc505861764"/>
      <w:bookmarkStart w:id="1674" w:name="_Toc505861765"/>
      <w:bookmarkStart w:id="1675" w:name="_Toc505861766"/>
      <w:bookmarkStart w:id="1676" w:name="_Toc481484479"/>
      <w:bookmarkStart w:id="1677" w:name="_Toc504142980"/>
      <w:bookmarkStart w:id="1678" w:name="_Toc504151680"/>
      <w:bookmarkStart w:id="1679" w:name="_Toc504382964"/>
      <w:bookmarkStart w:id="1680" w:name="_Toc504391110"/>
      <w:bookmarkStart w:id="1681" w:name="_Toc504403199"/>
      <w:bookmarkStart w:id="1682" w:name="_Toc504743666"/>
      <w:bookmarkStart w:id="1683" w:name="_Toc504751218"/>
      <w:bookmarkStart w:id="1684" w:name="_Toc504751392"/>
      <w:bookmarkStart w:id="1685" w:name="_Toc505182013"/>
      <w:bookmarkStart w:id="1686" w:name="_Toc505248667"/>
      <w:bookmarkStart w:id="1687" w:name="_Toc505266543"/>
      <w:bookmarkStart w:id="1688" w:name="_Toc505335394"/>
      <w:bookmarkStart w:id="1689" w:name="_Toc505345865"/>
      <w:bookmarkStart w:id="1690" w:name="_Toc505346453"/>
      <w:bookmarkStart w:id="1691" w:name="_Toc505696710"/>
      <w:bookmarkStart w:id="1692" w:name="_Toc505698196"/>
      <w:bookmarkStart w:id="1693" w:name="_Toc505701709"/>
      <w:bookmarkStart w:id="1694" w:name="_Toc505705196"/>
      <w:bookmarkStart w:id="1695" w:name="_Toc505773181"/>
      <w:bookmarkStart w:id="1696" w:name="_Toc505856885"/>
      <w:bookmarkStart w:id="1697" w:name="_Toc505862327"/>
      <w:bookmarkStart w:id="1698" w:name="_Toc505864892"/>
      <w:bookmarkStart w:id="1699" w:name="_Toc505868746"/>
      <w:bookmarkStart w:id="1700" w:name="_Toc505869213"/>
      <w:bookmarkStart w:id="1701" w:name="_Toc506363056"/>
      <w:bookmarkStart w:id="1702" w:name="_Toc506369556"/>
      <w:bookmarkStart w:id="1703" w:name="_Toc506376143"/>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r>
        <w:rPr>
          <w:rFonts w:ascii="Times New Roman" w:hAnsi="Times New Roman" w:cs="Times New Roman"/>
          <w:noProof/>
          <w:sz w:val="18"/>
          <w:szCs w:val="18"/>
        </w:rPr>
        <w:t xml:space="preserve"> that the assessment is positive, and – means that it is negative.</w:t>
      </w:r>
    </w:p>
    <w:p w:rsidR="00DF1A33" w:rsidRDefault="00456F01">
      <w:pPr>
        <w:pStyle w:val="Heading1"/>
        <w:rPr>
          <w:noProof/>
        </w:rPr>
      </w:pPr>
      <w:bookmarkStart w:id="1704" w:name="_Toc506378456"/>
      <w:bookmarkStart w:id="1705" w:name="_Toc506378539"/>
      <w:bookmarkStart w:id="1706" w:name="_Toc509412636"/>
      <w:bookmarkStart w:id="1707" w:name="_Toc509414812"/>
      <w:bookmarkStart w:id="1708" w:name="_Toc509414868"/>
      <w:r>
        <w:rPr>
          <w:noProof/>
        </w:rPr>
        <w:t>Preferred option</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Based on the evidence presented above, a mixed package </w:t>
      </w:r>
      <w:r>
        <w:rPr>
          <w:rFonts w:ascii="Times New Roman" w:hAnsi="Times New Roman" w:cs="Times New Roman"/>
          <w:noProof/>
          <w:sz w:val="24"/>
          <w:szCs w:val="24"/>
        </w:rPr>
        <w:t>of lower intensity regulatory intervention combined with an update of existing soft law is the preferred option.</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It allows for a targeted and proportional intervention, amounting to an incremental strengthening of the Commission's open data policy. It will</w:t>
      </w:r>
      <w:r>
        <w:rPr>
          <w:rFonts w:ascii="Times New Roman" w:hAnsi="Times New Roman" w:cs="Times New Roman"/>
          <w:noProof/>
          <w:sz w:val="24"/>
          <w:szCs w:val="24"/>
        </w:rPr>
        <w:t xml:space="preserve"> lead to a significant improvement over the baseline scenario, is broadly acceptable to stakeholders and can be realistically enacted within a reasonable timeframe due to lack of notable Member State opposition.</w:t>
      </w:r>
    </w:p>
    <w:p w:rsidR="00DF1A33" w:rsidRDefault="00456F01">
      <w:pPr>
        <w:jc w:val="both"/>
        <w:rPr>
          <w:rFonts w:ascii="Times New Roman" w:hAnsi="Times New Roman"/>
          <w:noProof/>
          <w:sz w:val="24"/>
          <w:vertAlign w:val="superscript"/>
          <w:lang w:val="en-US"/>
        </w:rPr>
      </w:pPr>
      <w:r>
        <w:rPr>
          <w:rFonts w:ascii="Times New Roman" w:hAnsi="Times New Roman" w:cs="Times New Roman"/>
          <w:noProof/>
          <w:sz w:val="24"/>
          <w:szCs w:val="24"/>
        </w:rPr>
        <w:t>Although the benefits of the higher intensit</w:t>
      </w:r>
      <w:r>
        <w:rPr>
          <w:rFonts w:ascii="Times New Roman" w:hAnsi="Times New Roman" w:cs="Times New Roman"/>
          <w:noProof/>
          <w:sz w:val="24"/>
          <w:szCs w:val="24"/>
        </w:rPr>
        <w:t>y regulatory intervention scenario are substantial, that scenario is also generally characterised by a lower feasibility, higher compliance costs and higher risks for legal and policy coherence. This has also been confirmed by the multi-criteria analysis p</w:t>
      </w:r>
      <w:r>
        <w:rPr>
          <w:rFonts w:ascii="Times New Roman" w:hAnsi="Times New Roman" w:cs="Times New Roman"/>
          <w:noProof/>
          <w:sz w:val="24"/>
          <w:szCs w:val="24"/>
        </w:rPr>
        <w:t>erformed for all the options.</w:t>
      </w:r>
      <w:r>
        <w:rPr>
          <w:rFonts w:ascii="Times New Roman" w:hAnsi="Times New Roman"/>
          <w:noProof/>
          <w:sz w:val="24"/>
          <w:vertAlign w:val="superscript"/>
        </w:rPr>
        <w:footnoteReference w:id="181"/>
      </w:r>
      <w:r>
        <w:rPr>
          <w:rFonts w:ascii="Times New Roman" w:hAnsi="Times New Roman" w:cs="Times New Roman"/>
          <w:noProof/>
          <w:sz w:val="24"/>
          <w:szCs w:val="24"/>
        </w:rPr>
        <w:t xml:space="preserve"> Also, the higher intensity regulatory intervention scenario will not be supported by many stakeholders, including Member States.</w:t>
      </w:r>
    </w:p>
    <w:p w:rsidR="00DF1A33" w:rsidRDefault="00456F01">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szCs w:val="24"/>
        </w:rPr>
      </w:pPr>
      <w:r>
        <w:rPr>
          <w:rFonts w:ascii="Times New Roman" w:hAnsi="Times New Roman" w:cs="Times New Roman"/>
          <w:noProof/>
          <w:sz w:val="24"/>
          <w:szCs w:val="24"/>
        </w:rPr>
        <w:t>This leads to a preferred option that is based on the following elements:</w:t>
      </w:r>
    </w:p>
    <w:p w:rsidR="00DF1A33" w:rsidRDefault="00456F01">
      <w:pPr>
        <w:pStyle w:val="ListParagraph"/>
        <w:numPr>
          <w:ilvl w:val="0"/>
          <w:numId w:val="16"/>
        </w:numPr>
        <w:pBdr>
          <w:top w:val="single" w:sz="4" w:space="1" w:color="auto"/>
          <w:left w:val="single" w:sz="4" w:space="4" w:color="auto"/>
          <w:bottom w:val="single" w:sz="4" w:space="1" w:color="auto"/>
          <w:right w:val="single" w:sz="4" w:space="4" w:color="auto"/>
        </w:pBdr>
        <w:jc w:val="both"/>
        <w:rPr>
          <w:rFonts w:ascii="Times New Roman" w:hAnsi="Times New Roman"/>
          <w:b/>
          <w:noProof/>
          <w:sz w:val="24"/>
        </w:rPr>
      </w:pPr>
      <w:r>
        <w:rPr>
          <w:rFonts w:ascii="Times New Roman" w:hAnsi="Times New Roman"/>
          <w:b/>
          <w:noProof/>
          <w:sz w:val="24"/>
        </w:rPr>
        <w:t xml:space="preserve">Dynamic data/APIs: </w:t>
      </w:r>
      <w:r>
        <w:rPr>
          <w:rFonts w:ascii="Times New Roman" w:hAnsi="Times New Roman"/>
          <w:noProof/>
          <w:sz w:val="24"/>
        </w:rPr>
        <w:t xml:space="preserve">a </w:t>
      </w:r>
      <w:r>
        <w:rPr>
          <w:rFonts w:ascii="Times New Roman" w:hAnsi="Times New Roman"/>
          <w:noProof/>
          <w:sz w:val="24"/>
        </w:rPr>
        <w:t>‘soft’ obligation for Member States to make dynamic data available in a timely manner and to introduce APIs. For a limited number of fundamental high-value datasets (to be adopted through a Delegated Act) there will be a hard obligation to do so.</w:t>
      </w:r>
    </w:p>
    <w:p w:rsidR="00DF1A33" w:rsidRDefault="00456F01">
      <w:pPr>
        <w:pStyle w:val="ListParagraph"/>
        <w:numPr>
          <w:ilvl w:val="0"/>
          <w:numId w:val="16"/>
        </w:numPr>
        <w:pBdr>
          <w:top w:val="single" w:sz="4" w:space="1" w:color="auto"/>
          <w:left w:val="single" w:sz="4" w:space="4" w:color="auto"/>
          <w:bottom w:val="single" w:sz="4" w:space="1" w:color="auto"/>
          <w:right w:val="single" w:sz="4" w:space="4" w:color="auto"/>
        </w:pBdr>
        <w:jc w:val="both"/>
        <w:rPr>
          <w:rFonts w:ascii="Times New Roman" w:hAnsi="Times New Roman"/>
          <w:b/>
          <w:noProof/>
          <w:sz w:val="24"/>
        </w:rPr>
      </w:pPr>
      <w:r>
        <w:rPr>
          <w:rFonts w:ascii="Times New Roman" w:hAnsi="Times New Roman"/>
          <w:b/>
          <w:noProof/>
          <w:sz w:val="24"/>
        </w:rPr>
        <w:t>Charging:</w:t>
      </w:r>
      <w:r>
        <w:rPr>
          <w:rFonts w:ascii="Times New Roman" w:hAnsi="Times New Roman"/>
          <w:noProof/>
          <w:sz w:val="24"/>
        </w:rPr>
        <w:t xml:space="preserve"> tighten the rules for Member States for invoking the exceptions to the general rule that public sector bodies cannot charge more than marginal costs for dissemination. Create a list of fundamental high-value datasets that should be freely available in all</w:t>
      </w:r>
      <w:r>
        <w:rPr>
          <w:rFonts w:ascii="Times New Roman" w:hAnsi="Times New Roman"/>
          <w:noProof/>
          <w:sz w:val="24"/>
        </w:rPr>
        <w:t xml:space="preserve"> Member States (same datasets as above, to be adopted through a Delegated Act).</w:t>
      </w:r>
    </w:p>
    <w:p w:rsidR="00DF1A33" w:rsidRDefault="00456F01">
      <w:pPr>
        <w:pStyle w:val="ListParagraph"/>
        <w:numPr>
          <w:ilvl w:val="0"/>
          <w:numId w:val="18"/>
        </w:numPr>
        <w:pBdr>
          <w:top w:val="single" w:sz="4" w:space="1" w:color="auto"/>
          <w:left w:val="single" w:sz="4" w:space="4" w:color="auto"/>
          <w:bottom w:val="single" w:sz="4" w:space="1" w:color="auto"/>
          <w:right w:val="single" w:sz="4" w:space="4" w:color="auto"/>
        </w:pBdr>
        <w:jc w:val="both"/>
        <w:rPr>
          <w:rFonts w:ascii="Times New Roman" w:hAnsi="Times New Roman"/>
          <w:b/>
          <w:noProof/>
          <w:sz w:val="24"/>
        </w:rPr>
      </w:pPr>
      <w:r>
        <w:rPr>
          <w:rFonts w:ascii="Times New Roman" w:hAnsi="Times New Roman"/>
          <w:b/>
          <w:noProof/>
          <w:sz w:val="24"/>
        </w:rPr>
        <w:t xml:space="preserve">Data in the transport and utilities sector: </w:t>
      </w:r>
      <w:r>
        <w:rPr>
          <w:rFonts w:ascii="Times New Roman" w:hAnsi="Times New Roman"/>
          <w:noProof/>
          <w:sz w:val="24"/>
        </w:rPr>
        <w:t>only public undertakings will be covered, not private companies. A limited set of obligations will apply: public undertakings can ch</w:t>
      </w:r>
      <w:r>
        <w:rPr>
          <w:rFonts w:ascii="Times New Roman" w:hAnsi="Times New Roman"/>
          <w:noProof/>
          <w:sz w:val="24"/>
        </w:rPr>
        <w:t>arge above marginal costs for dissemination and are under no obligation to release the data they do not want to release. 2003 rules of the PSI Directive apply (as explained in the table on p. 31).</w:t>
      </w:r>
    </w:p>
    <w:p w:rsidR="00DF1A33" w:rsidRDefault="00456F01">
      <w:pPr>
        <w:pStyle w:val="ListParagraph"/>
        <w:numPr>
          <w:ilvl w:val="0"/>
          <w:numId w:val="18"/>
        </w:numPr>
        <w:pBdr>
          <w:top w:val="single" w:sz="4" w:space="1" w:color="auto"/>
          <w:left w:val="single" w:sz="4" w:space="4" w:color="auto"/>
          <w:bottom w:val="single" w:sz="4" w:space="1" w:color="auto"/>
          <w:right w:val="single" w:sz="4" w:space="4" w:color="auto"/>
        </w:pBdr>
        <w:jc w:val="both"/>
        <w:rPr>
          <w:rFonts w:ascii="Times New Roman" w:hAnsi="Times New Roman"/>
          <w:b/>
          <w:noProof/>
          <w:sz w:val="24"/>
        </w:rPr>
      </w:pPr>
      <w:r>
        <w:rPr>
          <w:rFonts w:ascii="Times New Roman" w:hAnsi="Times New Roman"/>
          <w:b/>
          <w:noProof/>
          <w:sz w:val="24"/>
        </w:rPr>
        <w:t xml:space="preserve">Research data: </w:t>
      </w:r>
      <w:r>
        <w:rPr>
          <w:rFonts w:ascii="Times New Roman" w:hAnsi="Times New Roman"/>
          <w:noProof/>
          <w:sz w:val="24"/>
        </w:rPr>
        <w:t>Member States will be obliged to develop pol</w:t>
      </w:r>
      <w:r>
        <w:rPr>
          <w:rFonts w:ascii="Times New Roman" w:hAnsi="Times New Roman"/>
          <w:noProof/>
          <w:sz w:val="24"/>
        </w:rPr>
        <w:t>icies for open access to research data resulting from publicly funded research, while keeping flexibility in implementation. An updated Recommendation to Member States on access to and preservation of scientific information would guide Member States on the</w:t>
      </w:r>
      <w:r>
        <w:rPr>
          <w:rFonts w:ascii="Times New Roman" w:hAnsi="Times New Roman"/>
          <w:noProof/>
          <w:sz w:val="24"/>
        </w:rPr>
        <w:t xml:space="preserve"> elements ideally contained in an Open Access policy. The PSI Directive would be extended in scope, so as to cover</w:t>
      </w:r>
      <w:r>
        <w:rPr>
          <w:rFonts w:ascii="Times New Roman" w:hAnsi="Times New Roman"/>
          <w:b/>
          <w:noProof/>
          <w:sz w:val="24"/>
        </w:rPr>
        <w:t xml:space="preserve"> </w:t>
      </w:r>
      <w:r>
        <w:rPr>
          <w:rFonts w:ascii="Times New Roman" w:hAnsi="Times New Roman"/>
          <w:noProof/>
          <w:sz w:val="24"/>
        </w:rPr>
        <w:t>research data that have already been made accessible as a result of open access mandates, focusing on re-usability aspects.</w:t>
      </w:r>
    </w:p>
    <w:p w:rsidR="00DF1A33" w:rsidRDefault="00456F01">
      <w:pPr>
        <w:pStyle w:val="ListParagraph"/>
        <w:numPr>
          <w:ilvl w:val="0"/>
          <w:numId w:val="20"/>
        </w:numPr>
        <w:pBdr>
          <w:top w:val="single" w:sz="4" w:space="1" w:color="auto"/>
          <w:left w:val="single" w:sz="4" w:space="4" w:color="auto"/>
          <w:bottom w:val="single" w:sz="4" w:space="1" w:color="auto"/>
          <w:right w:val="single" w:sz="4" w:space="4" w:color="auto"/>
        </w:pBdr>
        <w:jc w:val="both"/>
        <w:rPr>
          <w:noProof/>
        </w:rPr>
      </w:pPr>
      <w:r>
        <w:rPr>
          <w:rFonts w:ascii="Times New Roman" w:hAnsi="Times New Roman"/>
          <w:b/>
          <w:noProof/>
          <w:sz w:val="24"/>
        </w:rPr>
        <w:t xml:space="preserve">Non-exclusivity: </w:t>
      </w:r>
      <w:r>
        <w:rPr>
          <w:rFonts w:ascii="Times New Roman" w:hAnsi="Times New Roman"/>
          <w:noProof/>
          <w:sz w:val="24"/>
        </w:rPr>
        <w:t xml:space="preserve">reinforced transparency requirements for public-private agreements involving public sector information </w:t>
      </w:r>
    </w:p>
    <w:p w:rsidR="00DF1A33" w:rsidRDefault="00456F01">
      <w:pPr>
        <w:pBdr>
          <w:top w:val="single" w:sz="4" w:space="1" w:color="auto"/>
          <w:left w:val="single" w:sz="4" w:space="4" w:color="auto"/>
          <w:bottom w:val="single" w:sz="4" w:space="1" w:color="auto"/>
          <w:right w:val="single" w:sz="4" w:space="4" w:color="auto"/>
        </w:pBdr>
        <w:jc w:val="both"/>
        <w:rPr>
          <w:noProof/>
        </w:rPr>
      </w:pPr>
      <w:r>
        <w:rPr>
          <w:rFonts w:ascii="Times New Roman" w:hAnsi="Times New Roman"/>
          <w:noProof/>
          <w:sz w:val="24"/>
        </w:rPr>
        <w:t>This will be combined with an update of the Recommendation on the access to and preservation of scientific information</w:t>
      </w:r>
      <w:r>
        <w:rPr>
          <w:rStyle w:val="FootnoteReference"/>
          <w:rFonts w:ascii="Times New Roman" w:hAnsi="Times New Roman"/>
          <w:noProof/>
          <w:sz w:val="24"/>
        </w:rPr>
        <w:footnoteReference w:id="182"/>
      </w:r>
      <w:r>
        <w:rPr>
          <w:rFonts w:ascii="Times New Roman" w:hAnsi="Times New Roman"/>
          <w:noProof/>
          <w:sz w:val="24"/>
        </w:rPr>
        <w:t xml:space="preserve"> and a clarification of the inter</w:t>
      </w:r>
      <w:r>
        <w:rPr>
          <w:rFonts w:ascii="Times New Roman" w:hAnsi="Times New Roman"/>
          <w:noProof/>
          <w:sz w:val="24"/>
        </w:rPr>
        <w:t>action between the PSI Directive and the Database and INSPIRE Directives.</w:t>
      </w:r>
    </w:p>
    <w:p w:rsidR="00DF1A33" w:rsidRDefault="00456F01">
      <w:pPr>
        <w:pStyle w:val="Heading2"/>
        <w:numPr>
          <w:ilvl w:val="1"/>
          <w:numId w:val="4"/>
        </w:numPr>
        <w:rPr>
          <w:noProof/>
        </w:rPr>
      </w:pPr>
      <w:bookmarkStart w:id="1709" w:name="_Toc504741231"/>
      <w:bookmarkStart w:id="1710" w:name="_Toc504741529"/>
      <w:bookmarkStart w:id="1711" w:name="_Toc504742090"/>
      <w:bookmarkStart w:id="1712" w:name="_Toc504742255"/>
      <w:bookmarkStart w:id="1713" w:name="_Toc504742507"/>
      <w:bookmarkStart w:id="1714" w:name="_Toc504743512"/>
      <w:bookmarkStart w:id="1715" w:name="_Toc504741448"/>
      <w:bookmarkStart w:id="1716" w:name="_Toc504743667"/>
      <w:bookmarkStart w:id="1717" w:name="_Toc504745314"/>
      <w:bookmarkStart w:id="1718" w:name="_Toc504745967"/>
      <w:bookmarkStart w:id="1719" w:name="_Toc504747463"/>
      <w:bookmarkStart w:id="1720" w:name="_Toc504749346"/>
      <w:bookmarkStart w:id="1721" w:name="_Toc504750762"/>
      <w:bookmarkStart w:id="1722" w:name="_Toc504750936"/>
      <w:bookmarkStart w:id="1723" w:name="_Toc504751219"/>
      <w:bookmarkStart w:id="1724" w:name="_Toc504751393"/>
      <w:bookmarkStart w:id="1725" w:name="_Toc504751567"/>
      <w:bookmarkStart w:id="1726" w:name="_Toc504741233"/>
      <w:bookmarkStart w:id="1727" w:name="_Toc504741531"/>
      <w:bookmarkStart w:id="1728" w:name="_Toc504742092"/>
      <w:bookmarkStart w:id="1729" w:name="_Toc504742257"/>
      <w:bookmarkStart w:id="1730" w:name="_Toc504742509"/>
      <w:bookmarkStart w:id="1731" w:name="_Toc504743514"/>
      <w:bookmarkStart w:id="1732" w:name="_Toc504741450"/>
      <w:bookmarkStart w:id="1733" w:name="_Toc504743669"/>
      <w:bookmarkStart w:id="1734" w:name="_Toc504745316"/>
      <w:bookmarkStart w:id="1735" w:name="_Toc504745969"/>
      <w:bookmarkStart w:id="1736" w:name="_Toc504747465"/>
      <w:bookmarkStart w:id="1737" w:name="_Toc504749348"/>
      <w:bookmarkStart w:id="1738" w:name="_Toc504750764"/>
      <w:bookmarkStart w:id="1739" w:name="_Toc504750938"/>
      <w:bookmarkStart w:id="1740" w:name="_Toc504751221"/>
      <w:bookmarkStart w:id="1741" w:name="_Toc504751395"/>
      <w:bookmarkStart w:id="1742" w:name="_Toc504751569"/>
      <w:bookmarkStart w:id="1743" w:name="_Toc505194503"/>
      <w:bookmarkStart w:id="1744" w:name="_Toc505856886"/>
      <w:bookmarkStart w:id="1745" w:name="_Toc505862328"/>
      <w:bookmarkStart w:id="1746" w:name="_Toc505864893"/>
      <w:bookmarkStart w:id="1747" w:name="_Toc505868747"/>
      <w:bookmarkStart w:id="1748" w:name="_Toc505869214"/>
      <w:bookmarkStart w:id="1749" w:name="_Toc506363057"/>
      <w:bookmarkStart w:id="1750" w:name="_Toc506369557"/>
      <w:bookmarkStart w:id="1751" w:name="_Toc506376144"/>
      <w:bookmarkStart w:id="1752" w:name="_Toc506378457"/>
      <w:bookmarkStart w:id="1753" w:name="_Toc506378540"/>
      <w:bookmarkStart w:id="1754" w:name="_Toc509412637"/>
      <w:bookmarkStart w:id="1755" w:name="_Toc509414813"/>
      <w:bookmarkStart w:id="1756" w:name="_Toc509414869"/>
      <w:bookmarkStart w:id="1757" w:name="_Toc481484481"/>
      <w:bookmarkStart w:id="1758" w:name="_Toc504142982"/>
      <w:bookmarkStart w:id="1759" w:name="_Toc504151682"/>
      <w:bookmarkStart w:id="1760" w:name="_Toc504382966"/>
      <w:bookmarkStart w:id="1761" w:name="_Toc504391112"/>
      <w:bookmarkStart w:id="1762" w:name="_Toc504403201"/>
      <w:bookmarkStart w:id="1763" w:name="_Toc504743670"/>
      <w:bookmarkStart w:id="1764" w:name="_Toc504751222"/>
      <w:bookmarkStart w:id="1765" w:name="_Toc504751396"/>
      <w:bookmarkStart w:id="1766" w:name="_Toc505182015"/>
      <w:bookmarkStart w:id="1767" w:name="_Toc505248669"/>
      <w:bookmarkStart w:id="1768" w:name="_Toc505266544"/>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r>
        <w:rPr>
          <w:noProof/>
        </w:rPr>
        <w:t>Estimated impact of the preferred option</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The Impact Assessment study</w:t>
      </w:r>
      <w:r>
        <w:rPr>
          <w:rStyle w:val="FootnoteReference"/>
          <w:rFonts w:ascii="Times New Roman" w:hAnsi="Times New Roman" w:cs="Times New Roman"/>
          <w:noProof/>
          <w:sz w:val="24"/>
          <w:szCs w:val="24"/>
        </w:rPr>
        <w:footnoteReference w:id="183"/>
      </w:r>
      <w:r>
        <w:rPr>
          <w:rFonts w:ascii="Times New Roman" w:hAnsi="Times New Roman" w:cs="Times New Roman"/>
          <w:noProof/>
          <w:sz w:val="24"/>
          <w:szCs w:val="24"/>
        </w:rPr>
        <w:t xml:space="preserve"> indicates that while in the baseline scenario the direct value of PSI is expected to grow from EUR 52 billion in 2018 to almost EUR 150 billion in 2028, implementing the preferred, politically feasible option will ensure that this growth can be 30% higher</w:t>
      </w:r>
      <w:r>
        <w:rPr>
          <w:rFonts w:ascii="Times New Roman" w:hAnsi="Times New Roman" w:cs="Times New Roman"/>
          <w:noProof/>
          <w:sz w:val="24"/>
          <w:szCs w:val="24"/>
        </w:rPr>
        <w:t>, reaching almost 194 billion EUR. It is also expected that under the preferred option the number of jobs based on PSI will reach 709,000, i.e. 40% above the baseline scenario which foresees 518.000 jobs in that timeframe. Finally, the cost of making PSI a</w:t>
      </w:r>
      <w:r>
        <w:rPr>
          <w:rFonts w:ascii="Times New Roman" w:hAnsi="Times New Roman" w:cs="Times New Roman"/>
          <w:noProof/>
          <w:sz w:val="24"/>
          <w:szCs w:val="24"/>
        </w:rPr>
        <w:t>vailable for re-use will be reduced to 3 billion EUR if the preferred option is chosen, which is 21% lower than the estimated cost under the baseline scenario (3.8 billion EUR).</w:t>
      </w:r>
    </w:p>
    <w:p w:rsidR="00DF1A33" w:rsidRDefault="00456F01">
      <w:pPr>
        <w:pStyle w:val="Heading2"/>
        <w:numPr>
          <w:ilvl w:val="1"/>
          <w:numId w:val="4"/>
        </w:numPr>
        <w:rPr>
          <w:noProof/>
        </w:rPr>
      </w:pPr>
      <w:bookmarkStart w:id="1769" w:name="_Toc505855714"/>
      <w:bookmarkStart w:id="1770" w:name="_Toc505858271"/>
      <w:bookmarkStart w:id="1771" w:name="_Toc505857220"/>
      <w:bookmarkStart w:id="1772" w:name="_Toc505860087"/>
      <w:bookmarkStart w:id="1773" w:name="_Toc505860539"/>
      <w:bookmarkStart w:id="1774" w:name="_Toc505860615"/>
      <w:bookmarkStart w:id="1775" w:name="_Toc505861023"/>
      <w:bookmarkStart w:id="1776" w:name="_Toc505861104"/>
      <w:bookmarkStart w:id="1777" w:name="_Toc505861180"/>
      <w:bookmarkStart w:id="1778" w:name="_Toc505861347"/>
      <w:bookmarkStart w:id="1779" w:name="_Toc505861696"/>
      <w:bookmarkStart w:id="1780" w:name="_Toc505788966"/>
      <w:bookmarkStart w:id="1781" w:name="_Toc505845254"/>
      <w:bookmarkStart w:id="1782" w:name="_Toc505847897"/>
      <w:bookmarkStart w:id="1783" w:name="_Toc505851511"/>
      <w:bookmarkStart w:id="1784" w:name="_Toc505848314"/>
      <w:bookmarkStart w:id="1785" w:name="_Toc505851594"/>
      <w:bookmarkStart w:id="1786" w:name="_Toc505853003"/>
      <w:bookmarkStart w:id="1787" w:name="_Toc505861770"/>
      <w:bookmarkStart w:id="1788" w:name="_Toc505335396"/>
      <w:bookmarkStart w:id="1789" w:name="_Toc505345867"/>
      <w:bookmarkStart w:id="1790" w:name="_Toc505346455"/>
      <w:bookmarkStart w:id="1791" w:name="_Toc505696712"/>
      <w:bookmarkStart w:id="1792" w:name="_Toc505698198"/>
      <w:bookmarkStart w:id="1793" w:name="_Toc505701711"/>
      <w:bookmarkStart w:id="1794" w:name="_Toc505705198"/>
      <w:bookmarkStart w:id="1795" w:name="_Toc505773192"/>
      <w:bookmarkStart w:id="1796" w:name="_Toc505856887"/>
      <w:bookmarkStart w:id="1797" w:name="_Toc505862329"/>
      <w:bookmarkStart w:id="1798" w:name="_Toc505864894"/>
      <w:bookmarkStart w:id="1799" w:name="_Toc505868748"/>
      <w:bookmarkStart w:id="1800" w:name="_Toc505869215"/>
      <w:bookmarkStart w:id="1801" w:name="_Toc506363058"/>
      <w:bookmarkStart w:id="1802" w:name="_Toc506369558"/>
      <w:bookmarkStart w:id="1803" w:name="_Toc506376145"/>
      <w:bookmarkStart w:id="1804" w:name="_Toc506378458"/>
      <w:bookmarkStart w:id="1805" w:name="_Toc506378541"/>
      <w:bookmarkStart w:id="1806" w:name="_Toc509412638"/>
      <w:bookmarkStart w:id="1807" w:name="_Toc509414814"/>
      <w:bookmarkStart w:id="1808" w:name="_Toc509414870"/>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r>
        <w:rPr>
          <w:noProof/>
        </w:rPr>
        <w:t>REFIT (simplification and improved efficiency)</w:t>
      </w:r>
      <w:bookmarkEnd w:id="1757"/>
      <w:bookmarkEnd w:id="1758"/>
      <w:bookmarkEnd w:id="1759"/>
      <w:bookmarkEnd w:id="1760"/>
      <w:bookmarkEnd w:id="1761"/>
      <w:bookmarkEnd w:id="1762"/>
      <w:bookmarkEnd w:id="1763"/>
      <w:bookmarkEnd w:id="1764"/>
      <w:bookmarkEnd w:id="1765"/>
      <w:bookmarkEnd w:id="1766"/>
      <w:bookmarkEnd w:id="1767"/>
      <w:bookmarkEnd w:id="1768"/>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p>
    <w:tbl>
      <w:tblPr>
        <w:tblW w:w="850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828"/>
        <w:gridCol w:w="1725"/>
        <w:gridCol w:w="2956"/>
      </w:tblGrid>
      <w:tr w:rsidR="00DF1A33">
        <w:trPr>
          <w:trHeight w:val="461"/>
          <w:tblHeader/>
        </w:trPr>
        <w:tc>
          <w:tcPr>
            <w:tcW w:w="8509" w:type="dxa"/>
            <w:gridSpan w:val="3"/>
            <w:tcBorders>
              <w:top w:val="double" w:sz="4" w:space="0" w:color="auto"/>
              <w:bottom w:val="single" w:sz="4" w:space="0" w:color="auto"/>
            </w:tcBorders>
            <w:shd w:val="clear" w:color="auto" w:fill="C6D9F1" w:themeFill="text2" w:themeFillTint="33"/>
          </w:tcPr>
          <w:p w:rsidR="00DF1A33" w:rsidRDefault="00456F01">
            <w:pPr>
              <w:keepNext/>
              <w:rPr>
                <w:rFonts w:ascii="Times New Roman" w:hAnsi="Times New Roman"/>
                <w:b/>
                <w:i/>
                <w:noProof/>
                <w:sz w:val="18"/>
              </w:rPr>
            </w:pPr>
            <w:r>
              <w:rPr>
                <w:rFonts w:ascii="Times New Roman" w:hAnsi="Times New Roman"/>
                <w:b/>
                <w:i/>
                <w:noProof/>
                <w:sz w:val="18"/>
              </w:rPr>
              <w:t xml:space="preserve">REFIT Cost Savings – Preferred </w:t>
            </w:r>
            <w:r>
              <w:rPr>
                <w:rFonts w:ascii="Times New Roman" w:hAnsi="Times New Roman"/>
                <w:b/>
                <w:i/>
                <w:noProof/>
                <w:sz w:val="18"/>
              </w:rPr>
              <w:t>Option</w:t>
            </w:r>
          </w:p>
        </w:tc>
      </w:tr>
      <w:tr w:rsidR="00DF1A33">
        <w:trPr>
          <w:trHeight w:val="345"/>
          <w:tblHeader/>
        </w:trPr>
        <w:tc>
          <w:tcPr>
            <w:tcW w:w="3828" w:type="dxa"/>
            <w:tcBorders>
              <w:top w:val="single" w:sz="4" w:space="0" w:color="auto"/>
            </w:tcBorders>
            <w:shd w:val="clear" w:color="auto" w:fill="F2F2F2" w:themeFill="background1" w:themeFillShade="F2"/>
          </w:tcPr>
          <w:p w:rsidR="00DF1A33" w:rsidRDefault="00456F01">
            <w:pPr>
              <w:keepNext/>
              <w:rPr>
                <w:rFonts w:ascii="Times New Roman" w:hAnsi="Times New Roman"/>
                <w:b/>
                <w:i/>
                <w:noProof/>
                <w:sz w:val="18"/>
              </w:rPr>
            </w:pPr>
            <w:r>
              <w:rPr>
                <w:rFonts w:ascii="Times New Roman" w:hAnsi="Times New Roman"/>
                <w:b/>
                <w:i/>
                <w:noProof/>
                <w:sz w:val="18"/>
              </w:rPr>
              <w:t>Description</w:t>
            </w:r>
          </w:p>
        </w:tc>
        <w:tc>
          <w:tcPr>
            <w:tcW w:w="1725" w:type="dxa"/>
            <w:tcBorders>
              <w:top w:val="single" w:sz="4" w:space="0" w:color="auto"/>
              <w:bottom w:val="double" w:sz="4" w:space="0" w:color="auto"/>
            </w:tcBorders>
            <w:shd w:val="clear" w:color="auto" w:fill="F2F2F2" w:themeFill="background1" w:themeFillShade="F2"/>
          </w:tcPr>
          <w:p w:rsidR="00DF1A33" w:rsidRDefault="00456F01">
            <w:pPr>
              <w:keepNext/>
              <w:rPr>
                <w:rFonts w:ascii="Times New Roman" w:hAnsi="Times New Roman"/>
                <w:b/>
                <w:i/>
                <w:noProof/>
                <w:sz w:val="18"/>
              </w:rPr>
            </w:pPr>
            <w:r>
              <w:rPr>
                <w:rFonts w:ascii="Times New Roman" w:hAnsi="Times New Roman"/>
                <w:b/>
                <w:i/>
                <w:noProof/>
                <w:sz w:val="18"/>
              </w:rPr>
              <w:t>Amount</w:t>
            </w:r>
          </w:p>
        </w:tc>
        <w:tc>
          <w:tcPr>
            <w:tcW w:w="2956" w:type="dxa"/>
            <w:tcBorders>
              <w:top w:val="single" w:sz="4" w:space="0" w:color="auto"/>
              <w:bottom w:val="double" w:sz="4" w:space="0" w:color="auto"/>
            </w:tcBorders>
            <w:shd w:val="clear" w:color="auto" w:fill="F2F2F2" w:themeFill="background1" w:themeFillShade="F2"/>
            <w:tcMar>
              <w:top w:w="57" w:type="dxa"/>
              <w:left w:w="57" w:type="dxa"/>
              <w:bottom w:w="57" w:type="dxa"/>
              <w:right w:w="57" w:type="dxa"/>
            </w:tcMar>
          </w:tcPr>
          <w:p w:rsidR="00DF1A33" w:rsidRDefault="00456F01">
            <w:pPr>
              <w:keepNext/>
              <w:rPr>
                <w:rFonts w:ascii="Times New Roman" w:hAnsi="Times New Roman"/>
                <w:b/>
                <w:i/>
                <w:noProof/>
                <w:sz w:val="18"/>
              </w:rPr>
            </w:pPr>
            <w:r>
              <w:rPr>
                <w:rFonts w:ascii="Times New Roman" w:hAnsi="Times New Roman"/>
                <w:b/>
                <w:i/>
                <w:noProof/>
                <w:sz w:val="18"/>
              </w:rPr>
              <w:t>Affected stakeholders</w:t>
            </w:r>
          </w:p>
        </w:tc>
      </w:tr>
      <w:tr w:rsidR="00DF1A33">
        <w:trPr>
          <w:trHeight w:val="1749"/>
        </w:trPr>
        <w:tc>
          <w:tcPr>
            <w:tcW w:w="3828" w:type="dxa"/>
            <w:tcBorders>
              <w:top w:val="double" w:sz="4" w:space="0" w:color="auto"/>
              <w:bottom w:val="single" w:sz="4" w:space="0" w:color="auto"/>
            </w:tcBorders>
            <w:shd w:val="clear" w:color="auto" w:fill="auto"/>
          </w:tcPr>
          <w:p w:rsidR="00DF1A33" w:rsidRDefault="00456F01">
            <w:pPr>
              <w:jc w:val="both"/>
              <w:rPr>
                <w:rFonts w:ascii="Times New Roman" w:hAnsi="Times New Roman"/>
                <w:noProof/>
                <w:sz w:val="18"/>
              </w:rPr>
            </w:pPr>
            <w:r>
              <w:rPr>
                <w:rFonts w:ascii="Times New Roman" w:hAnsi="Times New Roman"/>
                <w:noProof/>
                <w:sz w:val="18"/>
              </w:rPr>
              <w:t xml:space="preserve">Enhanced use of APIs and proactive publishing of dynamic data online results in a decrease of administrative burden due to a lower number of re-use requests to process and a lower risk of complaints </w:t>
            </w:r>
            <w:r>
              <w:rPr>
                <w:rFonts w:ascii="Times New Roman" w:hAnsi="Times New Roman"/>
                <w:noProof/>
                <w:sz w:val="18"/>
              </w:rPr>
              <w:t>(including litigation).</w:t>
            </w:r>
          </w:p>
        </w:tc>
        <w:tc>
          <w:tcPr>
            <w:tcW w:w="1725" w:type="dxa"/>
            <w:tcBorders>
              <w:top w:val="double" w:sz="4" w:space="0" w:color="auto"/>
              <w:bottom w:val="single" w:sz="4" w:space="0" w:color="auto"/>
            </w:tcBorders>
            <w:shd w:val="clear" w:color="auto" w:fill="auto"/>
            <w:tcMar>
              <w:top w:w="57" w:type="dxa"/>
              <w:left w:w="57" w:type="dxa"/>
              <w:bottom w:w="57" w:type="dxa"/>
              <w:right w:w="57" w:type="dxa"/>
            </w:tcMar>
          </w:tcPr>
          <w:p w:rsidR="00DF1A33" w:rsidRDefault="00456F01">
            <w:pPr>
              <w:jc w:val="both"/>
              <w:rPr>
                <w:rFonts w:ascii="Times New Roman" w:hAnsi="Times New Roman"/>
                <w:noProof/>
                <w:sz w:val="18"/>
              </w:rPr>
            </w:pPr>
            <w:r>
              <w:rPr>
                <w:rFonts w:ascii="Times New Roman" w:hAnsi="Times New Roman"/>
                <w:noProof/>
                <w:sz w:val="18"/>
              </w:rPr>
              <w:t>Savings due to a lower number of requests (the processing of which costs min. 375 EUR per institution per request).</w:t>
            </w:r>
            <w:r>
              <w:rPr>
                <w:rStyle w:val="FootnoteReference"/>
                <w:rFonts w:ascii="Times New Roman" w:hAnsi="Times New Roman"/>
                <w:noProof/>
                <w:sz w:val="18"/>
              </w:rPr>
              <w:footnoteReference w:id="184"/>
            </w:r>
          </w:p>
        </w:tc>
        <w:tc>
          <w:tcPr>
            <w:tcW w:w="2956" w:type="dxa"/>
            <w:tcBorders>
              <w:top w:val="double" w:sz="4" w:space="0" w:color="auto"/>
              <w:bottom w:val="single" w:sz="4" w:space="0" w:color="auto"/>
            </w:tcBorders>
            <w:shd w:val="clear" w:color="auto" w:fill="auto"/>
            <w:tcMar>
              <w:top w:w="57" w:type="dxa"/>
              <w:left w:w="57" w:type="dxa"/>
              <w:bottom w:w="57" w:type="dxa"/>
              <w:right w:w="57" w:type="dxa"/>
            </w:tcMar>
          </w:tcPr>
          <w:p w:rsidR="00DF1A33" w:rsidRDefault="00456F01">
            <w:pPr>
              <w:jc w:val="both"/>
              <w:rPr>
                <w:rFonts w:ascii="Times New Roman" w:hAnsi="Times New Roman"/>
                <w:noProof/>
                <w:sz w:val="18"/>
              </w:rPr>
            </w:pPr>
            <w:r>
              <w:rPr>
                <w:rFonts w:ascii="Times New Roman" w:hAnsi="Times New Roman"/>
                <w:noProof/>
                <w:sz w:val="18"/>
              </w:rPr>
              <w:t>Reduces administrative burden and related costs of public sector bodies on local, regional and national level.</w:t>
            </w:r>
          </w:p>
        </w:tc>
      </w:tr>
      <w:tr w:rsidR="00DF1A33">
        <w:trPr>
          <w:trHeight w:val="1438"/>
        </w:trPr>
        <w:tc>
          <w:tcPr>
            <w:tcW w:w="3828" w:type="dxa"/>
            <w:tcBorders>
              <w:top w:val="double" w:sz="4" w:space="0" w:color="auto"/>
              <w:bottom w:val="single" w:sz="4" w:space="0" w:color="auto"/>
            </w:tcBorders>
            <w:shd w:val="clear" w:color="auto" w:fill="auto"/>
          </w:tcPr>
          <w:p w:rsidR="00DF1A33" w:rsidRDefault="00456F01">
            <w:pPr>
              <w:jc w:val="both"/>
              <w:rPr>
                <w:rFonts w:ascii="Times New Roman" w:hAnsi="Times New Roman"/>
                <w:noProof/>
                <w:sz w:val="18"/>
              </w:rPr>
            </w:pPr>
            <w:r>
              <w:rPr>
                <w:rFonts w:ascii="Times New Roman" w:hAnsi="Times New Roman"/>
                <w:noProof/>
                <w:sz w:val="18"/>
              </w:rPr>
              <w:t>Reduced application of charges, bringing the regulatory framework in line with the recommendations included in the 'PSI Guidelines' of 2014, since what was considered 'best practice' back then would now become binding administrative procedure.</w:t>
            </w:r>
          </w:p>
        </w:tc>
        <w:tc>
          <w:tcPr>
            <w:tcW w:w="1725" w:type="dxa"/>
            <w:tcBorders>
              <w:top w:val="double" w:sz="4" w:space="0" w:color="auto"/>
              <w:bottom w:val="single" w:sz="4" w:space="0" w:color="auto"/>
            </w:tcBorders>
            <w:shd w:val="clear" w:color="auto" w:fill="auto"/>
            <w:tcMar>
              <w:top w:w="57" w:type="dxa"/>
              <w:left w:w="57" w:type="dxa"/>
              <w:bottom w:w="57" w:type="dxa"/>
              <w:right w:w="57" w:type="dxa"/>
            </w:tcMar>
          </w:tcPr>
          <w:p w:rsidR="00DF1A33" w:rsidRDefault="00456F01">
            <w:pPr>
              <w:jc w:val="both"/>
              <w:rPr>
                <w:rFonts w:ascii="Times New Roman" w:hAnsi="Times New Roman"/>
                <w:noProof/>
                <w:sz w:val="18"/>
              </w:rPr>
            </w:pPr>
            <w:r>
              <w:rPr>
                <w:rFonts w:ascii="Times New Roman" w:hAnsi="Times New Roman"/>
                <w:noProof/>
                <w:sz w:val="18"/>
              </w:rPr>
              <w:t>Reduced cost</w:t>
            </w:r>
            <w:r>
              <w:rPr>
                <w:rFonts w:ascii="Times New Roman" w:hAnsi="Times New Roman"/>
                <w:noProof/>
                <w:sz w:val="18"/>
              </w:rPr>
              <w:t xml:space="preserve"> of processing and monitoring payments. </w:t>
            </w:r>
          </w:p>
        </w:tc>
        <w:tc>
          <w:tcPr>
            <w:tcW w:w="2956" w:type="dxa"/>
            <w:tcBorders>
              <w:top w:val="double" w:sz="4" w:space="0" w:color="auto"/>
              <w:bottom w:val="single" w:sz="4" w:space="0" w:color="auto"/>
            </w:tcBorders>
            <w:shd w:val="clear" w:color="auto" w:fill="auto"/>
            <w:tcMar>
              <w:top w:w="57" w:type="dxa"/>
              <w:left w:w="57" w:type="dxa"/>
              <w:bottom w:w="57" w:type="dxa"/>
              <w:right w:w="57" w:type="dxa"/>
            </w:tcMar>
          </w:tcPr>
          <w:p w:rsidR="00DF1A33" w:rsidRDefault="00456F01">
            <w:pPr>
              <w:jc w:val="both"/>
              <w:rPr>
                <w:rFonts w:ascii="Times New Roman" w:hAnsi="Times New Roman"/>
                <w:noProof/>
                <w:sz w:val="18"/>
              </w:rPr>
            </w:pPr>
            <w:r>
              <w:rPr>
                <w:rFonts w:ascii="Times New Roman" w:hAnsi="Times New Roman"/>
                <w:noProof/>
                <w:sz w:val="18"/>
              </w:rPr>
              <w:t>Reduces administrative burden for both public sector bodies and data users, SMEs. A win-win situation, especially in cases where the costs outweigh the income generated by charging for re-use.</w:t>
            </w:r>
          </w:p>
        </w:tc>
      </w:tr>
      <w:tr w:rsidR="00DF1A33">
        <w:trPr>
          <w:trHeight w:val="1385"/>
        </w:trPr>
        <w:tc>
          <w:tcPr>
            <w:tcW w:w="3828" w:type="dxa"/>
            <w:tcBorders>
              <w:top w:val="single" w:sz="4" w:space="0" w:color="auto"/>
              <w:bottom w:val="single" w:sz="4" w:space="0" w:color="auto"/>
            </w:tcBorders>
            <w:shd w:val="clear" w:color="auto" w:fill="auto"/>
          </w:tcPr>
          <w:p w:rsidR="00DF1A33" w:rsidRDefault="00456F01">
            <w:pPr>
              <w:jc w:val="both"/>
              <w:rPr>
                <w:rFonts w:ascii="Times New Roman" w:hAnsi="Times New Roman"/>
                <w:noProof/>
                <w:sz w:val="18"/>
              </w:rPr>
            </w:pPr>
            <w:r>
              <w:rPr>
                <w:rFonts w:ascii="Times New Roman" w:hAnsi="Times New Roman"/>
                <w:noProof/>
                <w:sz w:val="18"/>
              </w:rPr>
              <w:t xml:space="preserve">Discontinued reporting obligation (due to a detailed and regular monitoring exercise performed by the European Data Portal, which feeds the annual Open Data Maturity report), allows the Member States to save human resources and time. </w:t>
            </w:r>
          </w:p>
        </w:tc>
        <w:tc>
          <w:tcPr>
            <w:tcW w:w="1725" w:type="dxa"/>
            <w:tcBorders>
              <w:top w:val="single" w:sz="4" w:space="0" w:color="auto"/>
              <w:bottom w:val="single" w:sz="4" w:space="0" w:color="auto"/>
            </w:tcBorders>
            <w:shd w:val="clear" w:color="auto" w:fill="auto"/>
            <w:tcMar>
              <w:top w:w="57" w:type="dxa"/>
              <w:left w:w="57" w:type="dxa"/>
              <w:bottom w:w="57" w:type="dxa"/>
              <w:right w:w="57" w:type="dxa"/>
            </w:tcMar>
          </w:tcPr>
          <w:p w:rsidR="00DF1A33" w:rsidRDefault="00456F01">
            <w:pPr>
              <w:jc w:val="both"/>
              <w:rPr>
                <w:rFonts w:ascii="Times New Roman" w:hAnsi="Times New Roman"/>
                <w:noProof/>
                <w:sz w:val="18"/>
              </w:rPr>
            </w:pPr>
            <w:r>
              <w:rPr>
                <w:rFonts w:ascii="Times New Roman" w:hAnsi="Times New Roman"/>
                <w:noProof/>
                <w:sz w:val="18"/>
              </w:rPr>
              <w:t>Estimated at min. 280</w:t>
            </w:r>
            <w:r>
              <w:rPr>
                <w:rFonts w:ascii="Times New Roman" w:hAnsi="Times New Roman"/>
                <w:noProof/>
                <w:sz w:val="18"/>
              </w:rPr>
              <w:t>,000 EUR (1400 man/days).</w:t>
            </w:r>
            <w:r>
              <w:rPr>
                <w:rStyle w:val="FootnoteReference"/>
                <w:rFonts w:ascii="Times New Roman" w:hAnsi="Times New Roman"/>
                <w:noProof/>
                <w:sz w:val="18"/>
              </w:rPr>
              <w:footnoteReference w:id="185"/>
            </w:r>
          </w:p>
        </w:tc>
        <w:tc>
          <w:tcPr>
            <w:tcW w:w="2956" w:type="dxa"/>
            <w:tcBorders>
              <w:top w:val="single" w:sz="4" w:space="0" w:color="auto"/>
              <w:bottom w:val="single" w:sz="4" w:space="0" w:color="auto"/>
            </w:tcBorders>
            <w:shd w:val="clear" w:color="auto" w:fill="auto"/>
            <w:tcMar>
              <w:top w:w="57" w:type="dxa"/>
              <w:left w:w="57" w:type="dxa"/>
              <w:bottom w:w="57" w:type="dxa"/>
              <w:right w:w="57" w:type="dxa"/>
            </w:tcMar>
          </w:tcPr>
          <w:p w:rsidR="00DF1A33" w:rsidRDefault="00456F01">
            <w:pPr>
              <w:jc w:val="both"/>
              <w:rPr>
                <w:rFonts w:ascii="Times New Roman" w:hAnsi="Times New Roman"/>
                <w:noProof/>
                <w:sz w:val="18"/>
              </w:rPr>
            </w:pPr>
            <w:r>
              <w:rPr>
                <w:rFonts w:ascii="Times New Roman" w:hAnsi="Times New Roman"/>
                <w:noProof/>
                <w:sz w:val="18"/>
              </w:rPr>
              <w:t>Reduces administrative burden and related costs of public sector bodies on local, regional and national level.</w:t>
            </w:r>
          </w:p>
        </w:tc>
      </w:tr>
      <w:tr w:rsidR="00DF1A33">
        <w:trPr>
          <w:trHeight w:val="1293"/>
        </w:trPr>
        <w:tc>
          <w:tcPr>
            <w:tcW w:w="3828" w:type="dxa"/>
            <w:tcBorders>
              <w:top w:val="single" w:sz="4" w:space="0" w:color="auto"/>
              <w:bottom w:val="single" w:sz="4" w:space="0" w:color="auto"/>
            </w:tcBorders>
            <w:shd w:val="clear" w:color="auto" w:fill="auto"/>
          </w:tcPr>
          <w:p w:rsidR="00DF1A33" w:rsidRDefault="00456F01">
            <w:pPr>
              <w:jc w:val="both"/>
              <w:rPr>
                <w:rFonts w:ascii="Times New Roman" w:hAnsi="Times New Roman"/>
                <w:noProof/>
                <w:sz w:val="18"/>
              </w:rPr>
            </w:pPr>
            <w:r>
              <w:rPr>
                <w:rFonts w:ascii="Times New Roman" w:hAnsi="Times New Roman"/>
                <w:noProof/>
                <w:sz w:val="18"/>
              </w:rPr>
              <w:t xml:space="preserve">Enhanced legal certainty and easier application/interpretation of the Directive thanks to clearer rules on charging </w:t>
            </w:r>
            <w:r>
              <w:rPr>
                <w:rFonts w:ascii="Times New Roman" w:hAnsi="Times New Roman"/>
                <w:noProof/>
                <w:sz w:val="18"/>
              </w:rPr>
              <w:t>for the re-use of documents and on the interplay between Database and INSPIRE Directives.</w:t>
            </w:r>
          </w:p>
        </w:tc>
        <w:tc>
          <w:tcPr>
            <w:tcW w:w="1725" w:type="dxa"/>
            <w:tcBorders>
              <w:top w:val="single" w:sz="4" w:space="0" w:color="auto"/>
              <w:bottom w:val="single" w:sz="4" w:space="0" w:color="auto"/>
            </w:tcBorders>
            <w:shd w:val="clear" w:color="auto" w:fill="auto"/>
            <w:tcMar>
              <w:top w:w="57" w:type="dxa"/>
              <w:left w:w="57" w:type="dxa"/>
              <w:bottom w:w="57" w:type="dxa"/>
              <w:right w:w="57" w:type="dxa"/>
            </w:tcMar>
          </w:tcPr>
          <w:p w:rsidR="00DF1A33" w:rsidRDefault="00456F01">
            <w:pPr>
              <w:jc w:val="both"/>
              <w:rPr>
                <w:rFonts w:ascii="Times New Roman" w:hAnsi="Times New Roman"/>
                <w:noProof/>
                <w:sz w:val="18"/>
              </w:rPr>
            </w:pPr>
            <w:r>
              <w:rPr>
                <w:rFonts w:ascii="Times New Roman" w:hAnsi="Times New Roman"/>
                <w:noProof/>
                <w:sz w:val="18"/>
              </w:rPr>
              <w:t>Impossible to quantify but could be considerable in case of legal counsel costs.</w:t>
            </w:r>
          </w:p>
        </w:tc>
        <w:tc>
          <w:tcPr>
            <w:tcW w:w="2956" w:type="dxa"/>
            <w:tcBorders>
              <w:top w:val="single" w:sz="4" w:space="0" w:color="auto"/>
              <w:bottom w:val="single" w:sz="4" w:space="0" w:color="auto"/>
            </w:tcBorders>
            <w:shd w:val="clear" w:color="auto" w:fill="auto"/>
            <w:tcMar>
              <w:top w:w="57" w:type="dxa"/>
              <w:left w:w="57" w:type="dxa"/>
              <w:bottom w:w="57" w:type="dxa"/>
              <w:right w:w="57" w:type="dxa"/>
            </w:tcMar>
          </w:tcPr>
          <w:p w:rsidR="00DF1A33" w:rsidRDefault="00456F01">
            <w:pPr>
              <w:jc w:val="both"/>
              <w:rPr>
                <w:rFonts w:ascii="Times New Roman" w:hAnsi="Times New Roman"/>
                <w:noProof/>
                <w:sz w:val="18"/>
              </w:rPr>
            </w:pPr>
            <w:r>
              <w:rPr>
                <w:rFonts w:ascii="Times New Roman" w:hAnsi="Times New Roman"/>
                <w:noProof/>
                <w:sz w:val="18"/>
              </w:rPr>
              <w:t>Reduces administrative burden and related costs of public sector bodies on local, reg</w:t>
            </w:r>
            <w:r>
              <w:rPr>
                <w:rFonts w:ascii="Times New Roman" w:hAnsi="Times New Roman"/>
                <w:noProof/>
                <w:sz w:val="18"/>
              </w:rPr>
              <w:t>ional and national level.</w:t>
            </w:r>
          </w:p>
        </w:tc>
      </w:tr>
      <w:tr w:rsidR="00DF1A33">
        <w:trPr>
          <w:trHeight w:val="1626"/>
        </w:trPr>
        <w:tc>
          <w:tcPr>
            <w:tcW w:w="3828" w:type="dxa"/>
            <w:tcBorders>
              <w:top w:val="single" w:sz="4" w:space="0" w:color="auto"/>
              <w:bottom w:val="double" w:sz="4" w:space="0" w:color="auto"/>
            </w:tcBorders>
            <w:shd w:val="clear" w:color="auto" w:fill="auto"/>
          </w:tcPr>
          <w:p w:rsidR="00DF1A33" w:rsidRDefault="00456F01">
            <w:pPr>
              <w:jc w:val="both"/>
              <w:rPr>
                <w:rFonts w:ascii="Times New Roman" w:hAnsi="Times New Roman"/>
                <w:noProof/>
                <w:sz w:val="18"/>
              </w:rPr>
            </w:pPr>
            <w:r>
              <w:rPr>
                <w:rFonts w:ascii="Times New Roman" w:hAnsi="Times New Roman"/>
                <w:noProof/>
                <w:sz w:val="18"/>
              </w:rPr>
              <w:t xml:space="preserve">Faster and cheaper development of business models by SMEs thanks to a higher supply of high value open data (through a common list of datasets and the extension of the scope of the Directive) and its easier integration into </w:t>
            </w:r>
            <w:r>
              <w:rPr>
                <w:rFonts w:ascii="Times New Roman" w:hAnsi="Times New Roman"/>
                <w:noProof/>
                <w:sz w:val="18"/>
              </w:rPr>
              <w:t>digital services (due to the systematic use of APIs).</w:t>
            </w:r>
          </w:p>
        </w:tc>
        <w:tc>
          <w:tcPr>
            <w:tcW w:w="1725" w:type="dxa"/>
            <w:tcBorders>
              <w:top w:val="single" w:sz="4" w:space="0" w:color="auto"/>
            </w:tcBorders>
            <w:shd w:val="clear" w:color="auto" w:fill="auto"/>
            <w:tcMar>
              <w:top w:w="57" w:type="dxa"/>
              <w:left w:w="57" w:type="dxa"/>
              <w:bottom w:w="57" w:type="dxa"/>
              <w:right w:w="57" w:type="dxa"/>
            </w:tcMar>
          </w:tcPr>
          <w:p w:rsidR="00DF1A33" w:rsidRDefault="00456F01">
            <w:pPr>
              <w:jc w:val="both"/>
              <w:rPr>
                <w:rFonts w:ascii="Times New Roman" w:hAnsi="Times New Roman"/>
                <w:noProof/>
                <w:sz w:val="18"/>
              </w:rPr>
            </w:pPr>
            <w:r>
              <w:rPr>
                <w:rFonts w:ascii="Times New Roman" w:hAnsi="Times New Roman"/>
                <w:noProof/>
                <w:sz w:val="18"/>
              </w:rPr>
              <w:t xml:space="preserve">A key factor contributing to the increase of total economic value of PSI beyond the public sector. </w:t>
            </w:r>
          </w:p>
        </w:tc>
        <w:tc>
          <w:tcPr>
            <w:tcW w:w="2956" w:type="dxa"/>
            <w:tcBorders>
              <w:top w:val="single" w:sz="4" w:space="0" w:color="auto"/>
            </w:tcBorders>
            <w:shd w:val="clear" w:color="auto" w:fill="auto"/>
            <w:tcMar>
              <w:top w:w="57" w:type="dxa"/>
              <w:left w:w="57" w:type="dxa"/>
              <w:bottom w:w="57" w:type="dxa"/>
              <w:right w:w="57" w:type="dxa"/>
            </w:tcMar>
          </w:tcPr>
          <w:p w:rsidR="00DF1A33" w:rsidRDefault="00456F01">
            <w:pPr>
              <w:jc w:val="both"/>
              <w:rPr>
                <w:rFonts w:ascii="Times New Roman" w:hAnsi="Times New Roman"/>
                <w:noProof/>
                <w:sz w:val="18"/>
              </w:rPr>
            </w:pPr>
            <w:r>
              <w:rPr>
                <w:rFonts w:ascii="Times New Roman" w:hAnsi="Times New Roman"/>
                <w:noProof/>
                <w:sz w:val="18"/>
              </w:rPr>
              <w:t>Reduces investment and transactional costs, lowers barriers to market entry by SMEs, limits administra</w:t>
            </w:r>
            <w:r>
              <w:rPr>
                <w:rFonts w:ascii="Times New Roman" w:hAnsi="Times New Roman"/>
                <w:noProof/>
                <w:sz w:val="18"/>
              </w:rPr>
              <w:t>tive burden linked to filing individual requests.</w:t>
            </w:r>
          </w:p>
        </w:tc>
      </w:tr>
    </w:tbl>
    <w:p w:rsidR="00DF1A33" w:rsidRDefault="00456F01">
      <w:pPr>
        <w:pStyle w:val="Heading1"/>
        <w:rPr>
          <w:noProof/>
        </w:rPr>
      </w:pPr>
      <w:bookmarkStart w:id="1809" w:name="_Toc505861772"/>
      <w:bookmarkStart w:id="1810" w:name="_Toc505861773"/>
      <w:bookmarkStart w:id="1811" w:name="_Toc505861774"/>
      <w:bookmarkStart w:id="1812" w:name="_Toc505861775"/>
      <w:bookmarkStart w:id="1813" w:name="_Toc505861776"/>
      <w:bookmarkStart w:id="1814" w:name="_Toc481484482"/>
      <w:bookmarkStart w:id="1815" w:name="_Toc504142983"/>
      <w:bookmarkStart w:id="1816" w:name="_Toc504151683"/>
      <w:bookmarkStart w:id="1817" w:name="_Toc504382967"/>
      <w:bookmarkStart w:id="1818" w:name="_Toc504391113"/>
      <w:bookmarkStart w:id="1819" w:name="_Toc504403202"/>
      <w:bookmarkStart w:id="1820" w:name="_Toc504743671"/>
      <w:bookmarkStart w:id="1821" w:name="_Toc504751223"/>
      <w:bookmarkStart w:id="1822" w:name="_Toc504751397"/>
      <w:bookmarkStart w:id="1823" w:name="_Toc505182016"/>
      <w:bookmarkStart w:id="1824" w:name="_Toc505248670"/>
      <w:bookmarkStart w:id="1825" w:name="_Toc505266545"/>
      <w:bookmarkStart w:id="1826" w:name="_Toc505335397"/>
      <w:bookmarkStart w:id="1827" w:name="_Toc505345868"/>
      <w:bookmarkStart w:id="1828" w:name="_Toc505346456"/>
      <w:bookmarkStart w:id="1829" w:name="_Toc505856888"/>
      <w:bookmarkStart w:id="1830" w:name="_Toc505696713"/>
      <w:bookmarkStart w:id="1831" w:name="_Toc505698199"/>
      <w:bookmarkStart w:id="1832" w:name="_Toc505701712"/>
      <w:bookmarkStart w:id="1833" w:name="_Toc505705199"/>
      <w:bookmarkStart w:id="1834" w:name="_Toc505773193"/>
      <w:bookmarkStart w:id="1835" w:name="_Toc505862330"/>
      <w:bookmarkStart w:id="1836" w:name="_Toc505864895"/>
      <w:bookmarkStart w:id="1837" w:name="_Toc505868749"/>
      <w:bookmarkStart w:id="1838" w:name="_Toc505869216"/>
      <w:bookmarkStart w:id="1839" w:name="_Toc506363059"/>
      <w:bookmarkStart w:id="1840" w:name="_Toc506369559"/>
      <w:bookmarkStart w:id="1841" w:name="_Toc506376146"/>
      <w:bookmarkStart w:id="1842" w:name="_Toc506378459"/>
      <w:bookmarkStart w:id="1843" w:name="_Toc506378542"/>
      <w:bookmarkStart w:id="1844" w:name="_Toc509412639"/>
      <w:bookmarkStart w:id="1845" w:name="_Toc509414815"/>
      <w:bookmarkStart w:id="1846" w:name="_Toc509414871"/>
      <w:bookmarkEnd w:id="1809"/>
      <w:bookmarkEnd w:id="1810"/>
      <w:bookmarkEnd w:id="1811"/>
      <w:bookmarkEnd w:id="1812"/>
      <w:bookmarkEnd w:id="1813"/>
      <w:r>
        <w:rPr>
          <w:noProof/>
        </w:rPr>
        <w:t>How will impacts be monitored and evaluated?</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p>
    <w:p w:rsidR="00DF1A33" w:rsidRDefault="00456F01">
      <w:pPr>
        <w:pStyle w:val="ListParagraph"/>
        <w:numPr>
          <w:ilvl w:val="0"/>
          <w:numId w:val="14"/>
        </w:numPr>
        <w:ind w:left="426" w:hanging="284"/>
        <w:jc w:val="both"/>
        <w:rPr>
          <w:rFonts w:ascii="Times New Roman" w:hAnsi="Times New Roman"/>
          <w:noProof/>
          <w:sz w:val="24"/>
          <w:szCs w:val="24"/>
        </w:rPr>
      </w:pPr>
      <w:r>
        <w:rPr>
          <w:rFonts w:ascii="Times New Roman" w:hAnsi="Times New Roman"/>
          <w:noProof/>
          <w:sz w:val="24"/>
          <w:szCs w:val="24"/>
        </w:rPr>
        <w:t>The European Data Portal</w:t>
      </w:r>
      <w:r>
        <w:rPr>
          <w:noProof/>
          <w:vertAlign w:val="superscript"/>
        </w:rPr>
        <w:footnoteReference w:id="186"/>
      </w:r>
      <w:r>
        <w:rPr>
          <w:rFonts w:ascii="Times New Roman" w:hAnsi="Times New Roman"/>
          <w:noProof/>
          <w:sz w:val="24"/>
          <w:szCs w:val="24"/>
        </w:rPr>
        <w:t xml:space="preserve"> conducts the annual 'landscaping exercise' that monitors performance indicators in each EU Member State. The exercise, which is compiled in an Open Data Maturity Report, will be continued, while the definition of the performance indicators will be adjuste</w:t>
      </w:r>
      <w:r>
        <w:rPr>
          <w:rFonts w:ascii="Times New Roman" w:hAnsi="Times New Roman"/>
          <w:noProof/>
          <w:sz w:val="24"/>
          <w:szCs w:val="24"/>
        </w:rPr>
        <w:t>d so as to be taken into account from the date of the adoption of the revised Directive. The European Data Portal will for example measure (both via structured feedback from national authorities and by the monitoring of the data flows through the portal) t</w:t>
      </w:r>
      <w:r>
        <w:rPr>
          <w:rFonts w:ascii="Times New Roman" w:hAnsi="Times New Roman"/>
          <w:noProof/>
          <w:sz w:val="24"/>
          <w:szCs w:val="24"/>
        </w:rPr>
        <w:t xml:space="preserve">he progress in which research data and data coming from public </w:t>
      </w:r>
      <w:r>
        <w:rPr>
          <w:rFonts w:ascii="Times New Roman" w:hAnsi="Times New Roman" w:cs="Times New Roman"/>
          <w:noProof/>
          <w:sz w:val="24"/>
          <w:szCs w:val="24"/>
        </w:rPr>
        <w:t>undertakings in the transport and utility domains</w:t>
      </w:r>
      <w:r>
        <w:rPr>
          <w:rFonts w:ascii="Times New Roman" w:hAnsi="Times New Roman"/>
          <w:noProof/>
          <w:sz w:val="24"/>
          <w:szCs w:val="24"/>
        </w:rPr>
        <w:t xml:space="preserve"> are published via open data portals and other repositories. It will also be able to detect the amount of dynamic data being made available and </w:t>
      </w:r>
      <w:r>
        <w:rPr>
          <w:rFonts w:ascii="Times New Roman" w:hAnsi="Times New Roman"/>
          <w:noProof/>
          <w:sz w:val="24"/>
          <w:szCs w:val="24"/>
        </w:rPr>
        <w:t xml:space="preserve">the increased use of APIs. </w:t>
      </w:r>
    </w:p>
    <w:p w:rsidR="00DF1A33" w:rsidRDefault="00456F01">
      <w:pPr>
        <w:pStyle w:val="ListParagraph"/>
        <w:numPr>
          <w:ilvl w:val="0"/>
          <w:numId w:val="14"/>
        </w:numPr>
        <w:ind w:left="426" w:hanging="284"/>
        <w:jc w:val="both"/>
        <w:rPr>
          <w:rFonts w:ascii="Times New Roman" w:hAnsi="Times New Roman"/>
          <w:noProof/>
          <w:sz w:val="24"/>
          <w:szCs w:val="24"/>
        </w:rPr>
      </w:pPr>
      <w:r>
        <w:rPr>
          <w:rFonts w:ascii="Times New Roman" w:hAnsi="Times New Roman"/>
          <w:noProof/>
          <w:sz w:val="24"/>
          <w:szCs w:val="24"/>
        </w:rPr>
        <w:t>The existing expert groups (PSI Group and the sub-group on portals</w:t>
      </w:r>
      <w:r>
        <w:rPr>
          <w:noProof/>
          <w:vertAlign w:val="superscript"/>
        </w:rPr>
        <w:footnoteReference w:id="187"/>
      </w:r>
      <w:r>
        <w:rPr>
          <w:rFonts w:ascii="Times New Roman" w:hAnsi="Times New Roman"/>
          <w:noProof/>
          <w:sz w:val="24"/>
          <w:szCs w:val="24"/>
        </w:rPr>
        <w:t>; Expert Group on National Points of Reference on Scientific Information) will assist the Commission in evaluating the state of transposition of the revised legi</w:t>
      </w:r>
      <w:r>
        <w:rPr>
          <w:rFonts w:ascii="Times New Roman" w:hAnsi="Times New Roman"/>
          <w:noProof/>
          <w:sz w:val="24"/>
          <w:szCs w:val="24"/>
        </w:rPr>
        <w:t>slation and communicate the outcome of their own, national assessment and related studies.</w:t>
      </w:r>
    </w:p>
    <w:p w:rsidR="00DF1A33" w:rsidRDefault="00456F01">
      <w:pPr>
        <w:pStyle w:val="ListParagraph"/>
        <w:numPr>
          <w:ilvl w:val="0"/>
          <w:numId w:val="14"/>
        </w:numPr>
        <w:ind w:left="426" w:hanging="284"/>
        <w:jc w:val="both"/>
        <w:rPr>
          <w:rFonts w:ascii="Times New Roman" w:hAnsi="Times New Roman"/>
          <w:noProof/>
          <w:sz w:val="24"/>
          <w:szCs w:val="24"/>
        </w:rPr>
      </w:pPr>
      <w:r>
        <w:rPr>
          <w:rFonts w:ascii="Times New Roman" w:hAnsi="Times New Roman"/>
          <w:noProof/>
          <w:sz w:val="24"/>
          <w:szCs w:val="24"/>
        </w:rPr>
        <w:t>PSI Request repository</w:t>
      </w:r>
      <w:r>
        <w:rPr>
          <w:rStyle w:val="FootnoteReference"/>
          <w:rFonts w:ascii="Times New Roman" w:hAnsi="Times New Roman"/>
          <w:noProof/>
          <w:sz w:val="24"/>
          <w:szCs w:val="24"/>
        </w:rPr>
        <w:footnoteReference w:id="188"/>
      </w:r>
      <w:r>
        <w:rPr>
          <w:rFonts w:ascii="Times New Roman" w:hAnsi="Times New Roman"/>
          <w:noProof/>
          <w:sz w:val="24"/>
          <w:szCs w:val="24"/>
        </w:rPr>
        <w:t xml:space="preserve">, an online EU-wide register of requests submitted by re-users with the description of the follow-up given by public sector bodies, is </w:t>
      </w:r>
      <w:r>
        <w:rPr>
          <w:rFonts w:ascii="Times New Roman" w:hAnsi="Times New Roman"/>
          <w:noProof/>
          <w:sz w:val="24"/>
          <w:szCs w:val="24"/>
        </w:rPr>
        <w:t>currently being set up to help the Commission gather evidence on the impact of the upcoming measures in terms of easier availability of data without the need to submit individual requests, and the ensuing reduction of administrative burden.</w:t>
      </w:r>
    </w:p>
    <w:p w:rsidR="00DF1A33" w:rsidRDefault="00456F01">
      <w:pPr>
        <w:pStyle w:val="ListParagraph"/>
        <w:numPr>
          <w:ilvl w:val="0"/>
          <w:numId w:val="14"/>
        </w:numPr>
        <w:ind w:left="426" w:hanging="284"/>
        <w:jc w:val="both"/>
        <w:rPr>
          <w:rFonts w:ascii="Times New Roman" w:hAnsi="Times New Roman"/>
          <w:noProof/>
          <w:sz w:val="24"/>
          <w:szCs w:val="24"/>
        </w:rPr>
      </w:pPr>
      <w:r>
        <w:rPr>
          <w:rFonts w:ascii="Times New Roman" w:hAnsi="Times New Roman"/>
          <w:noProof/>
          <w:sz w:val="24"/>
          <w:szCs w:val="24"/>
        </w:rPr>
        <w:t>Evaluation of t</w:t>
      </w:r>
      <w:r>
        <w:rPr>
          <w:rFonts w:ascii="Times New Roman" w:hAnsi="Times New Roman"/>
          <w:noProof/>
          <w:sz w:val="24"/>
          <w:szCs w:val="24"/>
        </w:rPr>
        <w:t>he implementation of the Directive based on a modified review clause (Article 13), possibly six years after the adoption of the amending legislation.</w:t>
      </w:r>
    </w:p>
    <w:p w:rsidR="00DF1A33" w:rsidRDefault="00456F01">
      <w:pPr>
        <w:pStyle w:val="ListParagraph"/>
        <w:numPr>
          <w:ilvl w:val="0"/>
          <w:numId w:val="14"/>
        </w:numPr>
        <w:ind w:left="426" w:hanging="284"/>
        <w:jc w:val="both"/>
        <w:rPr>
          <w:rFonts w:ascii="Times New Roman" w:hAnsi="Times New Roman"/>
          <w:noProof/>
          <w:sz w:val="24"/>
          <w:szCs w:val="24"/>
        </w:rPr>
      </w:pPr>
      <w:r>
        <w:rPr>
          <w:rFonts w:ascii="Times New Roman" w:hAnsi="Times New Roman"/>
          <w:noProof/>
          <w:sz w:val="24"/>
          <w:szCs w:val="24"/>
        </w:rPr>
        <w:t xml:space="preserve">Ad hoc studies, as deemed appropriate (e.g. in line with the development of data processing technologies) </w:t>
      </w:r>
      <w:r>
        <w:rPr>
          <w:rFonts w:ascii="Times New Roman" w:hAnsi="Times New Roman"/>
          <w:noProof/>
          <w:sz w:val="24"/>
          <w:szCs w:val="24"/>
        </w:rPr>
        <w:t xml:space="preserve">and targeted surveys (e.g. to measure the reduction of the administrative burden among selected groups of stakeholders). </w:t>
      </w:r>
    </w:p>
    <w:p w:rsidR="00DF1A33" w:rsidRDefault="00456F01">
      <w:pPr>
        <w:keepNext/>
        <w:ind w:left="360"/>
        <w:jc w:val="both"/>
        <w:rPr>
          <w:rFonts w:ascii="Times New Roman" w:hAnsi="Times New Roman"/>
          <w:b/>
          <w:noProof/>
          <w:sz w:val="24"/>
        </w:rPr>
      </w:pPr>
      <w:r>
        <w:rPr>
          <w:rFonts w:ascii="Times New Roman" w:hAnsi="Times New Roman"/>
          <w:b/>
          <w:noProof/>
          <w:sz w:val="24"/>
        </w:rPr>
        <w:t>Monitoring indicators for specific objectives:</w:t>
      </w:r>
    </w:p>
    <w:tbl>
      <w:tblPr>
        <w:tblStyle w:val="TableGrid"/>
        <w:tblW w:w="0" w:type="auto"/>
        <w:tblInd w:w="360" w:type="dxa"/>
        <w:tblLook w:val="04A0" w:firstRow="1" w:lastRow="0" w:firstColumn="1" w:lastColumn="0" w:noHBand="0" w:noVBand="1"/>
      </w:tblPr>
      <w:tblGrid>
        <w:gridCol w:w="2828"/>
        <w:gridCol w:w="2830"/>
        <w:gridCol w:w="2816"/>
      </w:tblGrid>
      <w:tr w:rsidR="00DF1A33">
        <w:tc>
          <w:tcPr>
            <w:tcW w:w="2944" w:type="dxa"/>
          </w:tcPr>
          <w:p w:rsidR="00DF1A33" w:rsidRDefault="00456F01">
            <w:pPr>
              <w:keepNext/>
              <w:jc w:val="both"/>
              <w:rPr>
                <w:b/>
                <w:noProof/>
                <w:sz w:val="18"/>
                <w:szCs w:val="18"/>
              </w:rPr>
            </w:pPr>
            <w:r>
              <w:rPr>
                <w:b/>
                <w:noProof/>
                <w:sz w:val="18"/>
                <w:szCs w:val="18"/>
              </w:rPr>
              <w:t>Specific objectives</w:t>
            </w:r>
          </w:p>
        </w:tc>
        <w:tc>
          <w:tcPr>
            <w:tcW w:w="2945" w:type="dxa"/>
          </w:tcPr>
          <w:p w:rsidR="00DF1A33" w:rsidRDefault="00456F01">
            <w:pPr>
              <w:keepNext/>
              <w:jc w:val="both"/>
              <w:rPr>
                <w:b/>
                <w:noProof/>
                <w:sz w:val="18"/>
                <w:szCs w:val="18"/>
              </w:rPr>
            </w:pPr>
            <w:r>
              <w:rPr>
                <w:b/>
                <w:noProof/>
                <w:sz w:val="18"/>
                <w:szCs w:val="18"/>
              </w:rPr>
              <w:t>Operational objectives</w:t>
            </w:r>
          </w:p>
        </w:tc>
        <w:tc>
          <w:tcPr>
            <w:tcW w:w="2945" w:type="dxa"/>
          </w:tcPr>
          <w:p w:rsidR="00DF1A33" w:rsidRDefault="00456F01">
            <w:pPr>
              <w:keepNext/>
              <w:jc w:val="both"/>
              <w:rPr>
                <w:b/>
                <w:noProof/>
                <w:sz w:val="18"/>
                <w:szCs w:val="18"/>
              </w:rPr>
            </w:pPr>
            <w:r>
              <w:rPr>
                <w:b/>
                <w:noProof/>
                <w:sz w:val="18"/>
                <w:szCs w:val="18"/>
              </w:rPr>
              <w:t>Proposed monitoring indicators</w:t>
            </w:r>
          </w:p>
        </w:tc>
      </w:tr>
      <w:tr w:rsidR="00DF1A33">
        <w:tc>
          <w:tcPr>
            <w:tcW w:w="2944" w:type="dxa"/>
          </w:tcPr>
          <w:p w:rsidR="00DF1A33" w:rsidRDefault="00456F01">
            <w:pPr>
              <w:ind w:left="66"/>
              <w:jc w:val="both"/>
              <w:rPr>
                <w:noProof/>
                <w:sz w:val="18"/>
                <w:szCs w:val="18"/>
              </w:rPr>
            </w:pPr>
            <w:r>
              <w:rPr>
                <w:noProof/>
                <w:sz w:val="18"/>
                <w:szCs w:val="18"/>
              </w:rPr>
              <w:t xml:space="preserve">Adaptation </w:t>
            </w:r>
            <w:r>
              <w:rPr>
                <w:noProof/>
                <w:sz w:val="18"/>
                <w:szCs w:val="18"/>
              </w:rPr>
              <w:t>to technological changes in the field of data management and use</w:t>
            </w:r>
          </w:p>
        </w:tc>
        <w:tc>
          <w:tcPr>
            <w:tcW w:w="2945" w:type="dxa"/>
          </w:tcPr>
          <w:p w:rsidR="00DF1A33" w:rsidRDefault="00456F01">
            <w:pPr>
              <w:jc w:val="both"/>
              <w:rPr>
                <w:b/>
                <w:noProof/>
                <w:sz w:val="18"/>
                <w:szCs w:val="18"/>
              </w:rPr>
            </w:pPr>
            <w:r>
              <w:rPr>
                <w:noProof/>
                <w:sz w:val="18"/>
                <w:szCs w:val="18"/>
              </w:rPr>
              <w:t>Incentivising public bodies to use modern methods of access and use of dynamic data</w:t>
            </w:r>
          </w:p>
        </w:tc>
        <w:tc>
          <w:tcPr>
            <w:tcW w:w="2945" w:type="dxa"/>
          </w:tcPr>
          <w:p w:rsidR="00DF1A33" w:rsidRDefault="00456F01">
            <w:pPr>
              <w:jc w:val="both"/>
              <w:rPr>
                <w:noProof/>
                <w:sz w:val="18"/>
                <w:szCs w:val="18"/>
              </w:rPr>
            </w:pPr>
            <w:r>
              <w:rPr>
                <w:noProof/>
                <w:sz w:val="18"/>
                <w:szCs w:val="18"/>
              </w:rPr>
              <w:t>Increase in key registries using APIs</w:t>
            </w:r>
          </w:p>
          <w:p w:rsidR="00DF1A33" w:rsidRDefault="00456F01">
            <w:pPr>
              <w:jc w:val="both"/>
              <w:rPr>
                <w:b/>
                <w:noProof/>
                <w:sz w:val="18"/>
                <w:szCs w:val="18"/>
              </w:rPr>
            </w:pPr>
            <w:r>
              <w:rPr>
                <w:noProof/>
                <w:sz w:val="18"/>
                <w:szCs w:val="18"/>
              </w:rPr>
              <w:t xml:space="preserve">Increase in share of dynamic PSI vs total available for re-use </w:t>
            </w:r>
          </w:p>
        </w:tc>
      </w:tr>
      <w:tr w:rsidR="00DF1A33">
        <w:tc>
          <w:tcPr>
            <w:tcW w:w="2944" w:type="dxa"/>
          </w:tcPr>
          <w:p w:rsidR="00DF1A33" w:rsidRDefault="00456F01">
            <w:pPr>
              <w:pStyle w:val="ListParagraph"/>
              <w:ind w:left="66"/>
              <w:jc w:val="both"/>
              <w:rPr>
                <w:noProof/>
                <w:sz w:val="18"/>
                <w:szCs w:val="18"/>
              </w:rPr>
            </w:pPr>
            <w:r>
              <w:rPr>
                <w:noProof/>
                <w:sz w:val="18"/>
                <w:szCs w:val="18"/>
              </w:rPr>
              <w:t>Lowe</w:t>
            </w:r>
            <w:r>
              <w:rPr>
                <w:noProof/>
                <w:sz w:val="18"/>
                <w:szCs w:val="18"/>
              </w:rPr>
              <w:t>ring the existing barriers to accessing the PSI re-use market and preventing the emergence of new ones</w:t>
            </w:r>
          </w:p>
        </w:tc>
        <w:tc>
          <w:tcPr>
            <w:tcW w:w="2945" w:type="dxa"/>
          </w:tcPr>
          <w:p w:rsidR="00DF1A33" w:rsidRDefault="00456F01">
            <w:pPr>
              <w:jc w:val="both"/>
              <w:rPr>
                <w:noProof/>
                <w:sz w:val="18"/>
                <w:szCs w:val="18"/>
              </w:rPr>
            </w:pPr>
            <w:r>
              <w:rPr>
                <w:noProof/>
                <w:sz w:val="18"/>
                <w:szCs w:val="18"/>
              </w:rPr>
              <w:t>Limiting the range of situations in which charging for PSI is allowed.</w:t>
            </w:r>
          </w:p>
          <w:p w:rsidR="00DF1A33" w:rsidRDefault="00456F01">
            <w:pPr>
              <w:jc w:val="both"/>
              <w:rPr>
                <w:noProof/>
                <w:sz w:val="18"/>
                <w:szCs w:val="18"/>
              </w:rPr>
            </w:pPr>
            <w:r>
              <w:rPr>
                <w:noProof/>
                <w:sz w:val="18"/>
                <w:szCs w:val="18"/>
              </w:rPr>
              <w:t>Ensuring transparency around arrangements that can lead to 'data lock-in'</w:t>
            </w:r>
          </w:p>
        </w:tc>
        <w:tc>
          <w:tcPr>
            <w:tcW w:w="2945" w:type="dxa"/>
          </w:tcPr>
          <w:p w:rsidR="00DF1A33" w:rsidRDefault="00456F01">
            <w:pPr>
              <w:jc w:val="both"/>
              <w:rPr>
                <w:noProof/>
                <w:sz w:val="18"/>
                <w:szCs w:val="18"/>
              </w:rPr>
            </w:pPr>
            <w:r>
              <w:rPr>
                <w:noProof/>
                <w:sz w:val="18"/>
                <w:szCs w:val="18"/>
              </w:rPr>
              <w:t>Reductio</w:t>
            </w:r>
            <w:r>
              <w:rPr>
                <w:noProof/>
                <w:sz w:val="18"/>
                <w:szCs w:val="18"/>
              </w:rPr>
              <w:t>n in the number of public sector bodies charging above marginal costs</w:t>
            </w:r>
          </w:p>
          <w:p w:rsidR="00DF1A33" w:rsidRDefault="00456F01">
            <w:pPr>
              <w:jc w:val="both"/>
              <w:rPr>
                <w:noProof/>
                <w:sz w:val="18"/>
                <w:szCs w:val="18"/>
              </w:rPr>
            </w:pPr>
            <w:r>
              <w:rPr>
                <w:noProof/>
                <w:sz w:val="18"/>
                <w:szCs w:val="18"/>
              </w:rPr>
              <w:t>Increase in the number of data start-ups</w:t>
            </w:r>
          </w:p>
          <w:p w:rsidR="00DF1A33" w:rsidRDefault="00456F01">
            <w:pPr>
              <w:jc w:val="both"/>
              <w:rPr>
                <w:noProof/>
                <w:sz w:val="18"/>
                <w:szCs w:val="18"/>
              </w:rPr>
            </w:pPr>
            <w:r>
              <w:rPr>
                <w:noProof/>
                <w:sz w:val="18"/>
                <w:szCs w:val="18"/>
              </w:rPr>
              <w:t>Number of complaints about unjustified exclusive data use</w:t>
            </w:r>
          </w:p>
        </w:tc>
      </w:tr>
      <w:tr w:rsidR="00DF1A33">
        <w:tc>
          <w:tcPr>
            <w:tcW w:w="2944" w:type="dxa"/>
          </w:tcPr>
          <w:p w:rsidR="00DF1A33" w:rsidRDefault="00456F01">
            <w:pPr>
              <w:pStyle w:val="ListParagraph"/>
              <w:ind w:left="66"/>
              <w:jc w:val="both"/>
              <w:rPr>
                <w:noProof/>
                <w:sz w:val="18"/>
                <w:szCs w:val="18"/>
              </w:rPr>
            </w:pPr>
            <w:r>
              <w:rPr>
                <w:noProof/>
                <w:sz w:val="18"/>
                <w:szCs w:val="18"/>
              </w:rPr>
              <w:t>Making more data available for re-use as raw material for innovation</w:t>
            </w:r>
          </w:p>
        </w:tc>
        <w:tc>
          <w:tcPr>
            <w:tcW w:w="2945" w:type="dxa"/>
          </w:tcPr>
          <w:p w:rsidR="00DF1A33" w:rsidRDefault="00456F01">
            <w:pPr>
              <w:jc w:val="both"/>
              <w:rPr>
                <w:b/>
                <w:noProof/>
                <w:sz w:val="18"/>
                <w:szCs w:val="18"/>
              </w:rPr>
            </w:pPr>
            <w:r>
              <w:rPr>
                <w:noProof/>
                <w:sz w:val="18"/>
                <w:szCs w:val="18"/>
              </w:rPr>
              <w:t xml:space="preserve">Higher supply of </w:t>
            </w:r>
            <w:r>
              <w:rPr>
                <w:noProof/>
                <w:sz w:val="18"/>
                <w:szCs w:val="18"/>
              </w:rPr>
              <w:t>data from the utilities sector and research establishments</w:t>
            </w:r>
          </w:p>
        </w:tc>
        <w:tc>
          <w:tcPr>
            <w:tcW w:w="2945" w:type="dxa"/>
          </w:tcPr>
          <w:p w:rsidR="00DF1A33" w:rsidRDefault="00456F01">
            <w:pPr>
              <w:jc w:val="both"/>
              <w:rPr>
                <w:noProof/>
                <w:sz w:val="18"/>
                <w:szCs w:val="18"/>
              </w:rPr>
            </w:pPr>
            <w:r>
              <w:rPr>
                <w:noProof/>
                <w:sz w:val="18"/>
                <w:szCs w:val="18"/>
              </w:rPr>
              <w:t>Increase in the number of datasets from these two areas available via APIs and portals</w:t>
            </w:r>
          </w:p>
        </w:tc>
      </w:tr>
    </w:tbl>
    <w:p w:rsidR="00DF1A33" w:rsidRDefault="00DF1A33">
      <w:pPr>
        <w:rPr>
          <w:noProof/>
        </w:rPr>
        <w:sectPr w:rsidR="00DF1A33">
          <w:headerReference w:type="even" r:id="rId31"/>
          <w:headerReference w:type="default" r:id="rId32"/>
          <w:footerReference w:type="even" r:id="rId33"/>
          <w:footerReference w:type="default" r:id="rId34"/>
          <w:headerReference w:type="first" r:id="rId35"/>
          <w:footerReference w:type="first" r:id="rId36"/>
          <w:pgSz w:w="11906" w:h="16838"/>
          <w:pgMar w:top="1020" w:right="1701" w:bottom="1020" w:left="1587" w:header="601" w:footer="1077" w:gutter="0"/>
          <w:pgNumType w:start="1"/>
          <w:cols w:space="720"/>
          <w:titlePg/>
        </w:sectPr>
      </w:pPr>
    </w:p>
    <w:p w:rsidR="00DF1A33" w:rsidRDefault="00456F01">
      <w:pPr>
        <w:jc w:val="center"/>
        <w:rPr>
          <w:rFonts w:ascii="Times New Roman" w:hAnsi="Times New Roman"/>
          <w:b/>
          <w:noProof/>
          <w:sz w:val="28"/>
        </w:rPr>
      </w:pPr>
      <w:bookmarkStart w:id="1847" w:name="_Toc481484483"/>
      <w:bookmarkStart w:id="1848" w:name="_Toc504120241"/>
      <w:bookmarkStart w:id="1849" w:name="_Toc504142984"/>
      <w:bookmarkStart w:id="1850" w:name="_Toc504151684"/>
      <w:bookmarkStart w:id="1851" w:name="_Toc504382968"/>
      <w:bookmarkStart w:id="1852" w:name="_Toc504391114"/>
      <w:bookmarkStart w:id="1853" w:name="_Toc504403203"/>
      <w:r>
        <w:rPr>
          <w:rFonts w:ascii="Times New Roman" w:hAnsi="Times New Roman"/>
          <w:b/>
          <w:noProof/>
          <w:sz w:val="28"/>
        </w:rPr>
        <w:t>Glossary</w:t>
      </w:r>
    </w:p>
    <w:tbl>
      <w:tblPr>
        <w:tblStyle w:val="TableGrid"/>
        <w:tblW w:w="0" w:type="auto"/>
        <w:tblLook w:val="04A0" w:firstRow="1" w:lastRow="0" w:firstColumn="1" w:lastColumn="0" w:noHBand="0" w:noVBand="1"/>
      </w:tblPr>
      <w:tblGrid>
        <w:gridCol w:w="3227"/>
        <w:gridCol w:w="5607"/>
      </w:tblGrid>
      <w:tr w:rsidR="00DF1A33">
        <w:tc>
          <w:tcPr>
            <w:tcW w:w="3227" w:type="dxa"/>
            <w:tcBorders>
              <w:bottom w:val="double" w:sz="4" w:space="0" w:color="auto"/>
            </w:tcBorders>
            <w:shd w:val="clear" w:color="auto" w:fill="F2F2F2" w:themeFill="background1" w:themeFillShade="F2"/>
          </w:tcPr>
          <w:p w:rsidR="00DF1A33" w:rsidRDefault="00456F01">
            <w:pPr>
              <w:spacing w:before="120" w:after="120"/>
              <w:jc w:val="center"/>
              <w:rPr>
                <w:b/>
                <w:i/>
                <w:noProof/>
              </w:rPr>
            </w:pPr>
            <w:r>
              <w:rPr>
                <w:b/>
                <w:i/>
                <w:noProof/>
              </w:rPr>
              <w:t>Term or acronym</w:t>
            </w:r>
          </w:p>
        </w:tc>
        <w:tc>
          <w:tcPr>
            <w:tcW w:w="5607" w:type="dxa"/>
            <w:tcBorders>
              <w:bottom w:val="double" w:sz="4" w:space="0" w:color="auto"/>
            </w:tcBorders>
            <w:shd w:val="clear" w:color="auto" w:fill="F2F2F2" w:themeFill="background1" w:themeFillShade="F2"/>
          </w:tcPr>
          <w:p w:rsidR="00DF1A33" w:rsidRDefault="00456F01">
            <w:pPr>
              <w:spacing w:before="120" w:after="120"/>
              <w:jc w:val="center"/>
              <w:rPr>
                <w:b/>
                <w:i/>
                <w:noProof/>
              </w:rPr>
            </w:pPr>
            <w:r>
              <w:rPr>
                <w:b/>
                <w:i/>
                <w:noProof/>
              </w:rPr>
              <w:t xml:space="preserve">Meaning or </w:t>
            </w:r>
            <w:r>
              <w:rPr>
                <w:b/>
                <w:i/>
                <w:noProof/>
              </w:rPr>
              <w:t>definition</w:t>
            </w:r>
          </w:p>
        </w:tc>
      </w:tr>
      <w:tr w:rsidR="00DF1A33">
        <w:tc>
          <w:tcPr>
            <w:tcW w:w="3227" w:type="dxa"/>
            <w:tcBorders>
              <w:top w:val="double" w:sz="4" w:space="0" w:color="auto"/>
            </w:tcBorders>
            <w:tcMar>
              <w:top w:w="85" w:type="dxa"/>
              <w:left w:w="57" w:type="dxa"/>
              <w:bottom w:w="85" w:type="dxa"/>
              <w:right w:w="57" w:type="dxa"/>
            </w:tcMar>
          </w:tcPr>
          <w:p w:rsidR="00DF1A33" w:rsidRDefault="00456F01">
            <w:pPr>
              <w:rPr>
                <w:noProof/>
              </w:rPr>
            </w:pPr>
            <w:r>
              <w:rPr>
                <w:b/>
                <w:noProof/>
              </w:rPr>
              <w:t>Artificial Intelligence (AI)</w:t>
            </w:r>
          </w:p>
        </w:tc>
        <w:tc>
          <w:tcPr>
            <w:tcW w:w="5607" w:type="dxa"/>
            <w:tcBorders>
              <w:top w:val="double" w:sz="4" w:space="0" w:color="auto"/>
            </w:tcBorders>
            <w:tcMar>
              <w:top w:w="85" w:type="dxa"/>
              <w:left w:w="57" w:type="dxa"/>
              <w:bottom w:w="85" w:type="dxa"/>
              <w:right w:w="57" w:type="dxa"/>
            </w:tcMar>
          </w:tcPr>
          <w:p w:rsidR="00DF1A33" w:rsidRDefault="00456F01">
            <w:pPr>
              <w:jc w:val="both"/>
              <w:rPr>
                <w:noProof/>
              </w:rPr>
            </w:pPr>
            <w:r>
              <w:rPr>
                <w:noProof/>
              </w:rPr>
              <w:t>Artificial Intelligence, intelligence displayed by machines, is applied when a machine mimics cognitive functions that humans associate with other human minds, such as learning and problem solving.</w:t>
            </w:r>
          </w:p>
        </w:tc>
      </w:tr>
      <w:tr w:rsidR="00DF1A33">
        <w:tc>
          <w:tcPr>
            <w:tcW w:w="3227" w:type="dxa"/>
            <w:tcMar>
              <w:top w:w="85" w:type="dxa"/>
              <w:left w:w="57" w:type="dxa"/>
              <w:bottom w:w="85" w:type="dxa"/>
              <w:right w:w="57" w:type="dxa"/>
            </w:tcMar>
          </w:tcPr>
          <w:p w:rsidR="00DF1A33" w:rsidRDefault="00456F01">
            <w:pPr>
              <w:rPr>
                <w:noProof/>
              </w:rPr>
            </w:pPr>
            <w:r>
              <w:rPr>
                <w:b/>
                <w:noProof/>
              </w:rPr>
              <w:t xml:space="preserve">Application </w:t>
            </w:r>
            <w:r>
              <w:rPr>
                <w:b/>
                <w:noProof/>
              </w:rPr>
              <w:t>Programming Interface (API)</w:t>
            </w:r>
          </w:p>
        </w:tc>
        <w:tc>
          <w:tcPr>
            <w:tcW w:w="5607" w:type="dxa"/>
            <w:tcMar>
              <w:top w:w="85" w:type="dxa"/>
              <w:left w:w="57" w:type="dxa"/>
              <w:bottom w:w="85" w:type="dxa"/>
              <w:right w:w="57" w:type="dxa"/>
            </w:tcMar>
          </w:tcPr>
          <w:p w:rsidR="00DF1A33" w:rsidRDefault="00456F01">
            <w:pPr>
              <w:jc w:val="both"/>
              <w:rPr>
                <w:noProof/>
              </w:rPr>
            </w:pPr>
            <w:r>
              <w:rPr>
                <w:noProof/>
              </w:rPr>
              <w:t>A set of technical protocols by means of which one piece of software asks another programme to perform a service. The service could be granting access to data or performing a specified function.</w:t>
            </w:r>
          </w:p>
        </w:tc>
      </w:tr>
      <w:tr w:rsidR="00DF1A33">
        <w:tc>
          <w:tcPr>
            <w:tcW w:w="3227" w:type="dxa"/>
            <w:tcMar>
              <w:top w:w="85" w:type="dxa"/>
              <w:left w:w="57" w:type="dxa"/>
              <w:bottom w:w="85" w:type="dxa"/>
              <w:right w:w="57" w:type="dxa"/>
            </w:tcMar>
          </w:tcPr>
          <w:p w:rsidR="00DF1A33" w:rsidRDefault="00456F01">
            <w:pPr>
              <w:rPr>
                <w:noProof/>
              </w:rPr>
            </w:pPr>
            <w:r>
              <w:rPr>
                <w:b/>
                <w:noProof/>
              </w:rPr>
              <w:t>contracting authority</w:t>
            </w:r>
          </w:p>
        </w:tc>
        <w:tc>
          <w:tcPr>
            <w:tcW w:w="5607" w:type="dxa"/>
            <w:tcMar>
              <w:top w:w="85" w:type="dxa"/>
              <w:left w:w="57" w:type="dxa"/>
              <w:bottom w:w="85" w:type="dxa"/>
              <w:right w:w="57" w:type="dxa"/>
            </w:tcMar>
          </w:tcPr>
          <w:p w:rsidR="00DF1A33" w:rsidRDefault="00456F01">
            <w:pPr>
              <w:jc w:val="both"/>
              <w:rPr>
                <w:noProof/>
              </w:rPr>
            </w:pPr>
            <w:r>
              <w:rPr>
                <w:noProof/>
              </w:rPr>
              <w:t>A State, r</w:t>
            </w:r>
            <w:r>
              <w:rPr>
                <w:noProof/>
              </w:rPr>
              <w:t>egional or local authority, a body governed by public law or an association formed by one or more such authorities or one or more such bodies governed by public law.</w:t>
            </w:r>
          </w:p>
        </w:tc>
      </w:tr>
      <w:tr w:rsidR="00DF1A33">
        <w:tc>
          <w:tcPr>
            <w:tcW w:w="3227" w:type="dxa"/>
            <w:tcMar>
              <w:top w:w="85" w:type="dxa"/>
              <w:left w:w="57" w:type="dxa"/>
              <w:bottom w:w="85" w:type="dxa"/>
              <w:right w:w="57" w:type="dxa"/>
            </w:tcMar>
          </w:tcPr>
          <w:p w:rsidR="00DF1A33" w:rsidRDefault="00456F01">
            <w:pPr>
              <w:rPr>
                <w:noProof/>
              </w:rPr>
            </w:pPr>
            <w:r>
              <w:rPr>
                <w:b/>
                <w:noProof/>
              </w:rPr>
              <w:t>cost recovery method</w:t>
            </w:r>
            <w:r>
              <w:rPr>
                <w:noProof/>
              </w:rPr>
              <w:t xml:space="preserve"> </w:t>
            </w:r>
          </w:p>
        </w:tc>
        <w:tc>
          <w:tcPr>
            <w:tcW w:w="5607" w:type="dxa"/>
            <w:tcMar>
              <w:top w:w="85" w:type="dxa"/>
              <w:left w:w="57" w:type="dxa"/>
              <w:bottom w:w="85" w:type="dxa"/>
              <w:right w:w="57" w:type="dxa"/>
            </w:tcMar>
          </w:tcPr>
          <w:p w:rsidR="00DF1A33" w:rsidRDefault="00456F01">
            <w:pPr>
              <w:jc w:val="both"/>
              <w:rPr>
                <w:noProof/>
              </w:rPr>
            </w:pPr>
            <w:r>
              <w:rPr>
                <w:noProof/>
              </w:rPr>
              <w:t>A principle which allows for the recovery of incurred eligible cost</w:t>
            </w:r>
            <w:r>
              <w:rPr>
                <w:noProof/>
              </w:rPr>
              <w:t>s, such as costs relating to the creation of data or costs relating broadly to distribution.</w:t>
            </w:r>
          </w:p>
        </w:tc>
      </w:tr>
      <w:tr w:rsidR="00DF1A33">
        <w:tc>
          <w:tcPr>
            <w:tcW w:w="3227" w:type="dxa"/>
            <w:tcMar>
              <w:top w:w="85" w:type="dxa"/>
              <w:left w:w="57" w:type="dxa"/>
              <w:bottom w:w="85" w:type="dxa"/>
              <w:right w:w="57" w:type="dxa"/>
            </w:tcMar>
          </w:tcPr>
          <w:p w:rsidR="00DF1A33" w:rsidRDefault="00456F01">
            <w:pPr>
              <w:rPr>
                <w:noProof/>
              </w:rPr>
            </w:pPr>
            <w:r>
              <w:rPr>
                <w:b/>
                <w:noProof/>
              </w:rPr>
              <w:t>Database Directive</w:t>
            </w:r>
          </w:p>
        </w:tc>
        <w:tc>
          <w:tcPr>
            <w:tcW w:w="5607" w:type="dxa"/>
            <w:tcMar>
              <w:top w:w="85" w:type="dxa"/>
              <w:left w:w="57" w:type="dxa"/>
              <w:bottom w:w="85" w:type="dxa"/>
              <w:right w:w="57" w:type="dxa"/>
            </w:tcMar>
          </w:tcPr>
          <w:p w:rsidR="00DF1A33" w:rsidRDefault="00456F01">
            <w:pPr>
              <w:jc w:val="both"/>
              <w:rPr>
                <w:noProof/>
              </w:rPr>
            </w:pPr>
            <w:r>
              <w:rPr>
                <w:noProof/>
              </w:rPr>
              <w:t>Directive 96/9/EC of the European Parliament and of the Council of 11 March 1996 on the legal protection of databases, which harmonises the tre</w:t>
            </w:r>
            <w:r>
              <w:rPr>
                <w:noProof/>
              </w:rPr>
              <w:t xml:space="preserve">atment of databases under copyright law and introduces the </w:t>
            </w:r>
            <w:r>
              <w:rPr>
                <w:i/>
                <w:noProof/>
              </w:rPr>
              <w:t>sui generis</w:t>
            </w:r>
            <w:r>
              <w:rPr>
                <w:noProof/>
              </w:rPr>
              <w:t xml:space="preserve"> right for the creators of databases even when they do not qualify for copyright. </w:t>
            </w:r>
          </w:p>
        </w:tc>
      </w:tr>
      <w:tr w:rsidR="00DF1A33">
        <w:tc>
          <w:tcPr>
            <w:tcW w:w="3227" w:type="dxa"/>
            <w:tcMar>
              <w:top w:w="85" w:type="dxa"/>
              <w:left w:w="57" w:type="dxa"/>
              <w:bottom w:w="85" w:type="dxa"/>
              <w:right w:w="57" w:type="dxa"/>
            </w:tcMar>
          </w:tcPr>
          <w:p w:rsidR="00DF1A33" w:rsidRDefault="00456F01">
            <w:pPr>
              <w:rPr>
                <w:noProof/>
              </w:rPr>
            </w:pPr>
            <w:r>
              <w:rPr>
                <w:b/>
                <w:noProof/>
              </w:rPr>
              <w:t>Public sector data lock-in arrangements</w:t>
            </w:r>
          </w:p>
        </w:tc>
        <w:tc>
          <w:tcPr>
            <w:tcW w:w="5607" w:type="dxa"/>
            <w:tcMar>
              <w:top w:w="85" w:type="dxa"/>
              <w:left w:w="57" w:type="dxa"/>
              <w:bottom w:w="85" w:type="dxa"/>
              <w:right w:w="57" w:type="dxa"/>
            </w:tcMar>
          </w:tcPr>
          <w:p w:rsidR="00DF1A33" w:rsidRDefault="00456F01">
            <w:pPr>
              <w:jc w:val="both"/>
              <w:rPr>
                <w:noProof/>
              </w:rPr>
            </w:pPr>
            <w:r>
              <w:rPr>
                <w:noProof/>
              </w:rPr>
              <w:t xml:space="preserve">Arrangements where public sector bodies grant access to their </w:t>
            </w:r>
            <w:r>
              <w:rPr>
                <w:noProof/>
              </w:rPr>
              <w:t>datasets (usually free of charge) to one or a small number of economic operators, for example in exchange for in-kind compensation, leading to a situation in which re-use of such data by this economic operator would take away the incentive for commercial r</w:t>
            </w:r>
            <w:r>
              <w:rPr>
                <w:noProof/>
              </w:rPr>
              <w:t>e-use of the same dataset by other companies.</w:t>
            </w:r>
          </w:p>
        </w:tc>
      </w:tr>
      <w:tr w:rsidR="00DF1A33">
        <w:tc>
          <w:tcPr>
            <w:tcW w:w="3227" w:type="dxa"/>
            <w:tcMar>
              <w:top w:w="85" w:type="dxa"/>
              <w:left w:w="57" w:type="dxa"/>
              <w:bottom w:w="85" w:type="dxa"/>
              <w:right w:w="57" w:type="dxa"/>
            </w:tcMar>
          </w:tcPr>
          <w:p w:rsidR="00DF1A33" w:rsidRDefault="00456F01">
            <w:pPr>
              <w:rPr>
                <w:noProof/>
              </w:rPr>
            </w:pPr>
            <w:r>
              <w:rPr>
                <w:b/>
                <w:noProof/>
              </w:rPr>
              <w:t>document</w:t>
            </w:r>
          </w:p>
        </w:tc>
        <w:tc>
          <w:tcPr>
            <w:tcW w:w="5607" w:type="dxa"/>
            <w:tcMar>
              <w:top w:w="85" w:type="dxa"/>
              <w:left w:w="57" w:type="dxa"/>
              <w:bottom w:w="85" w:type="dxa"/>
              <w:right w:w="57" w:type="dxa"/>
            </w:tcMar>
          </w:tcPr>
          <w:p w:rsidR="00DF1A33" w:rsidRDefault="00456F01">
            <w:pPr>
              <w:jc w:val="both"/>
              <w:rPr>
                <w:noProof/>
              </w:rPr>
            </w:pPr>
            <w:r>
              <w:rPr>
                <w:noProof/>
              </w:rPr>
              <w:t>Any content whatever its medium (written on paper or stored in electronic form or as a sound, visual or audio-visual recording), or any part of such content; synonymous with data.</w:t>
            </w:r>
          </w:p>
        </w:tc>
      </w:tr>
      <w:tr w:rsidR="00DF1A33">
        <w:tc>
          <w:tcPr>
            <w:tcW w:w="3227" w:type="dxa"/>
            <w:tcMar>
              <w:top w:w="85" w:type="dxa"/>
              <w:left w:w="57" w:type="dxa"/>
              <w:bottom w:w="85" w:type="dxa"/>
              <w:right w:w="57" w:type="dxa"/>
            </w:tcMar>
          </w:tcPr>
          <w:p w:rsidR="00DF1A33" w:rsidRDefault="00456F01">
            <w:pPr>
              <w:rPr>
                <w:noProof/>
              </w:rPr>
            </w:pPr>
            <w:r>
              <w:rPr>
                <w:b/>
                <w:noProof/>
              </w:rPr>
              <w:t>dynamic data</w:t>
            </w:r>
          </w:p>
        </w:tc>
        <w:tc>
          <w:tcPr>
            <w:tcW w:w="5607" w:type="dxa"/>
            <w:tcMar>
              <w:top w:w="85" w:type="dxa"/>
              <w:left w:w="57" w:type="dxa"/>
              <w:bottom w:w="85" w:type="dxa"/>
              <w:right w:w="57" w:type="dxa"/>
            </w:tcMar>
          </w:tcPr>
          <w:p w:rsidR="00DF1A33" w:rsidRDefault="00456F01">
            <w:pPr>
              <w:jc w:val="both"/>
              <w:rPr>
                <w:noProof/>
              </w:rPr>
            </w:pPr>
            <w:r>
              <w:rPr>
                <w:noProof/>
              </w:rPr>
              <w:t>Data f</w:t>
            </w:r>
            <w:r>
              <w:rPr>
                <w:noProof/>
              </w:rPr>
              <w:t>rom sensors (e.g. bus arrival times, meteorological data), whose economic value depends on its real-time availability.</w:t>
            </w:r>
          </w:p>
        </w:tc>
      </w:tr>
      <w:tr w:rsidR="00DF1A33">
        <w:tc>
          <w:tcPr>
            <w:tcW w:w="3227" w:type="dxa"/>
            <w:tcMar>
              <w:top w:w="85" w:type="dxa"/>
              <w:left w:w="57" w:type="dxa"/>
              <w:bottom w:w="85" w:type="dxa"/>
              <w:right w:w="57" w:type="dxa"/>
            </w:tcMar>
          </w:tcPr>
          <w:p w:rsidR="00DF1A33" w:rsidRDefault="00456F01">
            <w:pPr>
              <w:rPr>
                <w:noProof/>
              </w:rPr>
            </w:pPr>
            <w:r>
              <w:rPr>
                <w:b/>
                <w:noProof/>
              </w:rPr>
              <w:t>European Data Portal (EDP)</w:t>
            </w:r>
          </w:p>
        </w:tc>
        <w:tc>
          <w:tcPr>
            <w:tcW w:w="5607" w:type="dxa"/>
            <w:tcMar>
              <w:top w:w="85" w:type="dxa"/>
              <w:left w:w="57" w:type="dxa"/>
              <w:bottom w:w="85" w:type="dxa"/>
              <w:right w:w="57" w:type="dxa"/>
            </w:tcMar>
          </w:tcPr>
          <w:p w:rsidR="00DF1A33" w:rsidRDefault="00456F01">
            <w:pPr>
              <w:jc w:val="both"/>
              <w:rPr>
                <w:noProof/>
              </w:rPr>
            </w:pPr>
            <w:r>
              <w:rPr>
                <w:noProof/>
              </w:rPr>
              <w:t>A portal that harvests the metadata of Public Sector Information available on public data portals across Euro</w:t>
            </w:r>
            <w:r>
              <w:rPr>
                <w:noProof/>
              </w:rPr>
              <w:t>pean countries. Information regarding the provision of data and the benefits of re-using data is also included.</w:t>
            </w:r>
          </w:p>
        </w:tc>
      </w:tr>
      <w:tr w:rsidR="00DF1A33">
        <w:tc>
          <w:tcPr>
            <w:tcW w:w="3227" w:type="dxa"/>
            <w:tcMar>
              <w:top w:w="85" w:type="dxa"/>
              <w:left w:w="57" w:type="dxa"/>
              <w:bottom w:w="85" w:type="dxa"/>
              <w:right w:w="57" w:type="dxa"/>
            </w:tcMar>
          </w:tcPr>
          <w:p w:rsidR="00DF1A33" w:rsidRDefault="00456F01">
            <w:pPr>
              <w:rPr>
                <w:noProof/>
              </w:rPr>
            </w:pPr>
            <w:r>
              <w:rPr>
                <w:b/>
                <w:noProof/>
              </w:rPr>
              <w:t>European Open Science Cloud (EOSC)</w:t>
            </w:r>
          </w:p>
        </w:tc>
        <w:tc>
          <w:tcPr>
            <w:tcW w:w="5607" w:type="dxa"/>
            <w:tcMar>
              <w:top w:w="85" w:type="dxa"/>
              <w:left w:w="57" w:type="dxa"/>
              <w:bottom w:w="85" w:type="dxa"/>
              <w:right w:w="57" w:type="dxa"/>
            </w:tcMar>
          </w:tcPr>
          <w:p w:rsidR="00DF1A33" w:rsidRDefault="00456F01">
            <w:pPr>
              <w:jc w:val="both"/>
              <w:rPr>
                <w:noProof/>
              </w:rPr>
            </w:pPr>
            <w:r>
              <w:rPr>
                <w:noProof/>
              </w:rPr>
              <w:t xml:space="preserve">A virtual environment to store, share and re-use research and scientific data across disciplines and </w:t>
            </w:r>
            <w:r>
              <w:rPr>
                <w:noProof/>
              </w:rPr>
              <w:t>borders, which will be underpinned by the European Data Infrastructure, deploying the high-bandwidth networks, large scale storage facilities and super-computer capacity necessary to effectively access and process large datasets stored in the cloud.</w:t>
            </w:r>
          </w:p>
        </w:tc>
      </w:tr>
      <w:tr w:rsidR="00DF1A33">
        <w:tc>
          <w:tcPr>
            <w:tcW w:w="3227" w:type="dxa"/>
            <w:tcMar>
              <w:top w:w="85" w:type="dxa"/>
              <w:left w:w="57" w:type="dxa"/>
              <w:bottom w:w="85" w:type="dxa"/>
              <w:right w:w="57" w:type="dxa"/>
            </w:tcMar>
          </w:tcPr>
          <w:p w:rsidR="00DF1A33" w:rsidRDefault="00456F01">
            <w:pPr>
              <w:rPr>
                <w:b/>
                <w:noProof/>
              </w:rPr>
            </w:pPr>
            <w:r>
              <w:rPr>
                <w:b/>
                <w:noProof/>
              </w:rPr>
              <w:t xml:space="preserve">FAIR </w:t>
            </w:r>
            <w:r>
              <w:rPr>
                <w:b/>
                <w:noProof/>
              </w:rPr>
              <w:t>(findable, accessible, interoperable and re-usable) principles</w:t>
            </w:r>
          </w:p>
        </w:tc>
        <w:tc>
          <w:tcPr>
            <w:tcW w:w="5607" w:type="dxa"/>
            <w:tcMar>
              <w:top w:w="85" w:type="dxa"/>
              <w:left w:w="57" w:type="dxa"/>
              <w:bottom w:w="85" w:type="dxa"/>
              <w:right w:w="57" w:type="dxa"/>
            </w:tcMar>
          </w:tcPr>
          <w:p w:rsidR="00DF1A33" w:rsidRDefault="00456F01">
            <w:pPr>
              <w:jc w:val="both"/>
              <w:rPr>
                <w:noProof/>
              </w:rPr>
            </w:pPr>
            <w:r>
              <w:rPr>
                <w:noProof/>
              </w:rPr>
              <w:t>Set of principles developed within the scientific research community in order to make research data findable, accessible, interoperable and re-usable.</w:t>
            </w:r>
          </w:p>
        </w:tc>
      </w:tr>
      <w:tr w:rsidR="00DF1A33">
        <w:tc>
          <w:tcPr>
            <w:tcW w:w="3227" w:type="dxa"/>
            <w:tcMar>
              <w:top w:w="85" w:type="dxa"/>
              <w:left w:w="57" w:type="dxa"/>
              <w:bottom w:w="85" w:type="dxa"/>
              <w:right w:w="57" w:type="dxa"/>
            </w:tcMar>
          </w:tcPr>
          <w:p w:rsidR="00DF1A33" w:rsidRDefault="00456F01">
            <w:pPr>
              <w:rPr>
                <w:noProof/>
              </w:rPr>
            </w:pPr>
            <w:r>
              <w:rPr>
                <w:b/>
                <w:noProof/>
              </w:rPr>
              <w:t>G8 Open Data Charter</w:t>
            </w:r>
          </w:p>
        </w:tc>
        <w:tc>
          <w:tcPr>
            <w:tcW w:w="5607" w:type="dxa"/>
            <w:tcMar>
              <w:top w:w="85" w:type="dxa"/>
              <w:left w:w="57" w:type="dxa"/>
              <w:bottom w:w="85" w:type="dxa"/>
              <w:right w:w="57" w:type="dxa"/>
            </w:tcMar>
          </w:tcPr>
          <w:p w:rsidR="00DF1A33" w:rsidRDefault="00456F01">
            <w:pPr>
              <w:jc w:val="both"/>
              <w:rPr>
                <w:noProof/>
              </w:rPr>
            </w:pPr>
            <w:r>
              <w:rPr>
                <w:noProof/>
              </w:rPr>
              <w:t>A document from 2013</w:t>
            </w:r>
            <w:r>
              <w:rPr>
                <w:noProof/>
              </w:rPr>
              <w:t xml:space="preserve"> listing 5 strategic principles that all G8 members committed to act on, which include an expectation that all government data will be published openly by default, alongside principles to increase the quality, quantity and re-use of the data that is releas</w:t>
            </w:r>
            <w:r>
              <w:rPr>
                <w:noProof/>
              </w:rPr>
              <w:t>ed.</w:t>
            </w:r>
          </w:p>
        </w:tc>
      </w:tr>
      <w:tr w:rsidR="00DF1A33">
        <w:tc>
          <w:tcPr>
            <w:tcW w:w="3227" w:type="dxa"/>
            <w:tcMar>
              <w:top w:w="85" w:type="dxa"/>
              <w:left w:w="57" w:type="dxa"/>
              <w:bottom w:w="85" w:type="dxa"/>
              <w:right w:w="57" w:type="dxa"/>
            </w:tcMar>
          </w:tcPr>
          <w:p w:rsidR="00DF1A33" w:rsidRDefault="00456F01">
            <w:pPr>
              <w:rPr>
                <w:noProof/>
              </w:rPr>
            </w:pPr>
            <w:r>
              <w:rPr>
                <w:b/>
                <w:noProof/>
              </w:rPr>
              <w:t>high-value datasets</w:t>
            </w:r>
          </w:p>
        </w:tc>
        <w:tc>
          <w:tcPr>
            <w:tcW w:w="5607" w:type="dxa"/>
            <w:tcMar>
              <w:top w:w="85" w:type="dxa"/>
              <w:left w:w="57" w:type="dxa"/>
              <w:bottom w:w="85" w:type="dxa"/>
              <w:right w:w="57" w:type="dxa"/>
            </w:tcMar>
          </w:tcPr>
          <w:p w:rsidR="00DF1A33" w:rsidRDefault="00456F01">
            <w:pPr>
              <w:jc w:val="both"/>
              <w:rPr>
                <w:noProof/>
              </w:rPr>
            </w:pPr>
            <w:r>
              <w:rPr>
                <w:noProof/>
              </w:rPr>
              <w:t xml:space="preserve">Datasets which are particularly valuable assets for the economy and society at large. Access to and the re-use of such datasets can speed up the emergence of value-added information products and services, and also encourage </w:t>
            </w:r>
            <w:r>
              <w:rPr>
                <w:noProof/>
              </w:rPr>
              <w:t>participatory democracy. G8 members have identified 14 high-value areas – from education to transport, and from health to crime and justice – which should help unlock the economic potential of open data, support innovation and provide greater accountabilit</w:t>
            </w:r>
            <w:r>
              <w:rPr>
                <w:noProof/>
              </w:rPr>
              <w:t>y.</w:t>
            </w:r>
          </w:p>
        </w:tc>
      </w:tr>
      <w:tr w:rsidR="00DF1A33">
        <w:tc>
          <w:tcPr>
            <w:tcW w:w="3227" w:type="dxa"/>
            <w:tcMar>
              <w:top w:w="85" w:type="dxa"/>
              <w:left w:w="57" w:type="dxa"/>
              <w:bottom w:w="85" w:type="dxa"/>
              <w:right w:w="57" w:type="dxa"/>
            </w:tcMar>
          </w:tcPr>
          <w:p w:rsidR="00DF1A33" w:rsidRDefault="00456F01">
            <w:pPr>
              <w:rPr>
                <w:noProof/>
              </w:rPr>
            </w:pPr>
            <w:r>
              <w:rPr>
                <w:b/>
                <w:noProof/>
              </w:rPr>
              <w:t>INSPIRE Directive</w:t>
            </w:r>
          </w:p>
        </w:tc>
        <w:tc>
          <w:tcPr>
            <w:tcW w:w="5607" w:type="dxa"/>
            <w:tcMar>
              <w:top w:w="85" w:type="dxa"/>
              <w:left w:w="57" w:type="dxa"/>
              <w:bottom w:w="85" w:type="dxa"/>
              <w:right w:w="57" w:type="dxa"/>
            </w:tcMar>
          </w:tcPr>
          <w:p w:rsidR="00DF1A33" w:rsidRDefault="00456F01">
            <w:pPr>
              <w:jc w:val="both"/>
              <w:rPr>
                <w:noProof/>
              </w:rPr>
            </w:pPr>
            <w:r>
              <w:rPr>
                <w:noProof/>
              </w:rPr>
              <w:t>Directive 2007/2/EC of the European Parliament and of the Council of 14 March 2007 establishing an Infrastructure for Spatial Information in the European Community, which aims to create a European Union spatial data infrastructure for</w:t>
            </w:r>
            <w:r>
              <w:rPr>
                <w:noProof/>
              </w:rPr>
              <w:t xml:space="preserve"> the purposes of EU environmental policies and policies or activities which may have an impact on the environment.</w:t>
            </w:r>
          </w:p>
        </w:tc>
      </w:tr>
      <w:tr w:rsidR="00DF1A33">
        <w:trPr>
          <w:trHeight w:val="493"/>
        </w:trPr>
        <w:tc>
          <w:tcPr>
            <w:tcW w:w="3227" w:type="dxa"/>
            <w:tcMar>
              <w:top w:w="85" w:type="dxa"/>
              <w:left w:w="57" w:type="dxa"/>
              <w:bottom w:w="85" w:type="dxa"/>
              <w:right w:w="57" w:type="dxa"/>
            </w:tcMar>
          </w:tcPr>
          <w:p w:rsidR="00DF1A33" w:rsidRDefault="00456F01">
            <w:pPr>
              <w:rPr>
                <w:noProof/>
              </w:rPr>
            </w:pPr>
            <w:r>
              <w:rPr>
                <w:b/>
                <w:noProof/>
              </w:rPr>
              <w:t>Internet of Things (IoT)</w:t>
            </w:r>
          </w:p>
        </w:tc>
        <w:tc>
          <w:tcPr>
            <w:tcW w:w="5607" w:type="dxa"/>
            <w:tcMar>
              <w:top w:w="85" w:type="dxa"/>
              <w:left w:w="57" w:type="dxa"/>
              <w:bottom w:w="85" w:type="dxa"/>
              <w:right w:w="57" w:type="dxa"/>
            </w:tcMar>
          </w:tcPr>
          <w:p w:rsidR="00DF1A33" w:rsidRDefault="00456F01">
            <w:pPr>
              <w:jc w:val="both"/>
              <w:rPr>
                <w:noProof/>
              </w:rPr>
            </w:pPr>
            <w:r>
              <w:rPr>
                <w:noProof/>
              </w:rPr>
              <w:t>A network of physical devices, vehicles, home appliances and other items embedded with connectivity software, which</w:t>
            </w:r>
            <w:r>
              <w:rPr>
                <w:noProof/>
              </w:rPr>
              <w:t xml:space="preserve"> enables these objects to connect and exchange data.</w:t>
            </w:r>
          </w:p>
        </w:tc>
      </w:tr>
      <w:tr w:rsidR="00DF1A33">
        <w:tc>
          <w:tcPr>
            <w:tcW w:w="3227" w:type="dxa"/>
            <w:tcMar>
              <w:top w:w="85" w:type="dxa"/>
              <w:left w:w="57" w:type="dxa"/>
              <w:bottom w:w="85" w:type="dxa"/>
              <w:right w:w="57" w:type="dxa"/>
            </w:tcMar>
          </w:tcPr>
          <w:p w:rsidR="00DF1A33" w:rsidRDefault="00456F01">
            <w:pPr>
              <w:rPr>
                <w:noProof/>
              </w:rPr>
            </w:pPr>
            <w:r>
              <w:rPr>
                <w:b/>
                <w:noProof/>
              </w:rPr>
              <w:t>machine-readable format</w:t>
            </w:r>
          </w:p>
        </w:tc>
        <w:tc>
          <w:tcPr>
            <w:tcW w:w="5607" w:type="dxa"/>
            <w:tcMar>
              <w:top w:w="85" w:type="dxa"/>
              <w:left w:w="57" w:type="dxa"/>
              <w:bottom w:w="85" w:type="dxa"/>
              <w:right w:w="57" w:type="dxa"/>
            </w:tcMar>
          </w:tcPr>
          <w:p w:rsidR="00DF1A33" w:rsidRDefault="00456F01">
            <w:pPr>
              <w:jc w:val="both"/>
              <w:rPr>
                <w:noProof/>
              </w:rPr>
            </w:pPr>
            <w:r>
              <w:rPr>
                <w:noProof/>
              </w:rPr>
              <w:t>A file format structured so that software applications can easily identify, recognise and extract specific data, including individual statements of fact, and their internal struc</w:t>
            </w:r>
            <w:r>
              <w:rPr>
                <w:noProof/>
              </w:rPr>
              <w:t>ture.</w:t>
            </w:r>
          </w:p>
        </w:tc>
      </w:tr>
      <w:tr w:rsidR="00DF1A33">
        <w:tc>
          <w:tcPr>
            <w:tcW w:w="3227" w:type="dxa"/>
            <w:tcMar>
              <w:top w:w="85" w:type="dxa"/>
              <w:left w:w="57" w:type="dxa"/>
              <w:bottom w:w="85" w:type="dxa"/>
              <w:right w:w="57" w:type="dxa"/>
            </w:tcMar>
          </w:tcPr>
          <w:p w:rsidR="00DF1A33" w:rsidRDefault="00456F01">
            <w:pPr>
              <w:rPr>
                <w:noProof/>
              </w:rPr>
            </w:pPr>
            <w:r>
              <w:rPr>
                <w:b/>
                <w:noProof/>
              </w:rPr>
              <w:t>marginal cost method</w:t>
            </w:r>
          </w:p>
        </w:tc>
        <w:tc>
          <w:tcPr>
            <w:tcW w:w="5607" w:type="dxa"/>
            <w:tcMar>
              <w:top w:w="85" w:type="dxa"/>
              <w:left w:w="57" w:type="dxa"/>
              <w:bottom w:w="85" w:type="dxa"/>
              <w:right w:w="57" w:type="dxa"/>
            </w:tcMar>
          </w:tcPr>
          <w:p w:rsidR="00DF1A33" w:rsidRDefault="00456F01">
            <w:pPr>
              <w:jc w:val="both"/>
              <w:rPr>
                <w:noProof/>
              </w:rPr>
            </w:pPr>
            <w:r>
              <w:rPr>
                <w:noProof/>
              </w:rPr>
              <w:t>A principle applying to all charging for public sector data re-use in the EU, with some exceptions: public sector bodies may charge no more than the marginal cost of reproducing, providing and disseminating the documents.</w:t>
            </w:r>
          </w:p>
        </w:tc>
      </w:tr>
      <w:tr w:rsidR="00DF1A33">
        <w:tc>
          <w:tcPr>
            <w:tcW w:w="3227" w:type="dxa"/>
            <w:tcMar>
              <w:top w:w="85" w:type="dxa"/>
              <w:left w:w="57" w:type="dxa"/>
              <w:bottom w:w="85" w:type="dxa"/>
              <w:right w:w="57" w:type="dxa"/>
            </w:tcMar>
          </w:tcPr>
          <w:p w:rsidR="00DF1A33" w:rsidRDefault="00456F01">
            <w:pPr>
              <w:rPr>
                <w:noProof/>
              </w:rPr>
            </w:pPr>
            <w:r>
              <w:rPr>
                <w:b/>
                <w:noProof/>
              </w:rPr>
              <w:t xml:space="preserve">Open </w:t>
            </w:r>
            <w:r>
              <w:rPr>
                <w:b/>
                <w:noProof/>
              </w:rPr>
              <w:t>Access Infrastructure for Research in Europe (OpenAIRE)</w:t>
            </w:r>
          </w:p>
        </w:tc>
        <w:tc>
          <w:tcPr>
            <w:tcW w:w="5607" w:type="dxa"/>
            <w:tcMar>
              <w:top w:w="85" w:type="dxa"/>
              <w:left w:w="57" w:type="dxa"/>
              <w:bottom w:w="85" w:type="dxa"/>
              <w:right w:w="57" w:type="dxa"/>
            </w:tcMar>
          </w:tcPr>
          <w:p w:rsidR="00DF1A33" w:rsidRDefault="00456F01">
            <w:pPr>
              <w:jc w:val="both"/>
              <w:rPr>
                <w:noProof/>
              </w:rPr>
            </w:pPr>
            <w:r>
              <w:rPr>
                <w:noProof/>
              </w:rPr>
              <w:t>Electronic infrastructure and supporting mechanisms for the identification, deposition, access, and monitoring of research data (publications and data) funded by H2020.</w:t>
            </w:r>
          </w:p>
        </w:tc>
      </w:tr>
      <w:tr w:rsidR="00DF1A33">
        <w:tc>
          <w:tcPr>
            <w:tcW w:w="3227" w:type="dxa"/>
            <w:tcMar>
              <w:top w:w="85" w:type="dxa"/>
              <w:left w:w="57" w:type="dxa"/>
              <w:bottom w:w="85" w:type="dxa"/>
              <w:right w:w="57" w:type="dxa"/>
            </w:tcMar>
          </w:tcPr>
          <w:p w:rsidR="00DF1A33" w:rsidRDefault="00456F01">
            <w:pPr>
              <w:rPr>
                <w:noProof/>
              </w:rPr>
            </w:pPr>
            <w:r>
              <w:rPr>
                <w:b/>
                <w:noProof/>
              </w:rPr>
              <w:t>Open Access (OA)</w:t>
            </w:r>
          </w:p>
        </w:tc>
        <w:tc>
          <w:tcPr>
            <w:tcW w:w="5607" w:type="dxa"/>
            <w:tcMar>
              <w:top w:w="85" w:type="dxa"/>
              <w:left w:w="57" w:type="dxa"/>
              <w:bottom w:w="85" w:type="dxa"/>
              <w:right w:w="57" w:type="dxa"/>
            </w:tcMar>
          </w:tcPr>
          <w:p w:rsidR="00DF1A33" w:rsidRDefault="00456F01">
            <w:pPr>
              <w:jc w:val="both"/>
              <w:rPr>
                <w:noProof/>
              </w:rPr>
            </w:pPr>
            <w:r>
              <w:rPr>
                <w:noProof/>
              </w:rPr>
              <w:t xml:space="preserve">Online, free </w:t>
            </w:r>
            <w:r>
              <w:rPr>
                <w:noProof/>
              </w:rPr>
              <w:t>availability of research outputs without restrictions on use commonly imposed by publisher copyright agreements. Open Access includes the outputs that scholars normally give away for free for publication; it includes peer-reviewed journal articles, confere</w:t>
            </w:r>
            <w:r>
              <w:rPr>
                <w:noProof/>
              </w:rPr>
              <w:t>nce papers and datasets of various kinds.</w:t>
            </w:r>
          </w:p>
        </w:tc>
      </w:tr>
      <w:tr w:rsidR="00DF1A33">
        <w:tc>
          <w:tcPr>
            <w:tcW w:w="3227" w:type="dxa"/>
            <w:tcBorders>
              <w:bottom w:val="single" w:sz="4" w:space="0" w:color="auto"/>
            </w:tcBorders>
            <w:tcMar>
              <w:top w:w="85" w:type="dxa"/>
              <w:left w:w="57" w:type="dxa"/>
              <w:bottom w:w="85" w:type="dxa"/>
              <w:right w:w="57" w:type="dxa"/>
            </w:tcMar>
          </w:tcPr>
          <w:p w:rsidR="00DF1A33" w:rsidRDefault="00456F01">
            <w:pPr>
              <w:rPr>
                <w:noProof/>
              </w:rPr>
            </w:pPr>
            <w:r>
              <w:rPr>
                <w:b/>
                <w:noProof/>
              </w:rPr>
              <w:t>open data</w:t>
            </w:r>
          </w:p>
        </w:tc>
        <w:tc>
          <w:tcPr>
            <w:tcW w:w="5607" w:type="dxa"/>
            <w:tcBorders>
              <w:bottom w:val="single" w:sz="4" w:space="0" w:color="auto"/>
            </w:tcBorders>
            <w:tcMar>
              <w:top w:w="85" w:type="dxa"/>
              <w:left w:w="57" w:type="dxa"/>
              <w:bottom w:w="85" w:type="dxa"/>
              <w:right w:w="57" w:type="dxa"/>
            </w:tcMar>
          </w:tcPr>
          <w:p w:rsidR="00DF1A33" w:rsidRDefault="00456F01">
            <w:pPr>
              <w:jc w:val="both"/>
              <w:rPr>
                <w:noProof/>
              </w:rPr>
            </w:pPr>
            <w:r>
              <w:rPr>
                <w:noProof/>
              </w:rPr>
              <w:t>Data that is freely available to everyone to access and re-use as they wish, without restrictions from copyright, patents or other mechanisms of control. In the context of this document, open data refers</w:t>
            </w:r>
            <w:r>
              <w:rPr>
                <w:noProof/>
              </w:rPr>
              <w:t xml:space="preserve"> to public sector information which is openly re-usable.</w:t>
            </w:r>
          </w:p>
        </w:tc>
      </w:tr>
      <w:tr w:rsidR="00DF1A33">
        <w:tc>
          <w:tcPr>
            <w:tcW w:w="3227" w:type="dxa"/>
          </w:tcPr>
          <w:p w:rsidR="00DF1A33" w:rsidRDefault="00456F01">
            <w:pPr>
              <w:rPr>
                <w:noProof/>
              </w:rPr>
            </w:pPr>
            <w:r>
              <w:rPr>
                <w:b/>
                <w:noProof/>
              </w:rPr>
              <w:t>open format</w:t>
            </w:r>
          </w:p>
        </w:tc>
        <w:tc>
          <w:tcPr>
            <w:tcW w:w="5607" w:type="dxa"/>
          </w:tcPr>
          <w:p w:rsidR="00DF1A33" w:rsidRDefault="00456F01">
            <w:pPr>
              <w:jc w:val="both"/>
              <w:rPr>
                <w:noProof/>
              </w:rPr>
            </w:pPr>
            <w:r>
              <w:rPr>
                <w:noProof/>
              </w:rPr>
              <w:t>A file format that is platform-independent and made available to the public without any restriction that impedes the re-use of documents.</w:t>
            </w:r>
          </w:p>
        </w:tc>
      </w:tr>
      <w:tr w:rsidR="00DF1A33">
        <w:tc>
          <w:tcPr>
            <w:tcW w:w="3227" w:type="dxa"/>
          </w:tcPr>
          <w:p w:rsidR="00DF1A33" w:rsidRDefault="00456F01">
            <w:pPr>
              <w:rPr>
                <w:noProof/>
              </w:rPr>
            </w:pPr>
            <w:r>
              <w:rPr>
                <w:b/>
                <w:noProof/>
              </w:rPr>
              <w:t>public sector body</w:t>
            </w:r>
          </w:p>
        </w:tc>
        <w:tc>
          <w:tcPr>
            <w:tcW w:w="5607" w:type="dxa"/>
          </w:tcPr>
          <w:p w:rsidR="00DF1A33" w:rsidRDefault="00456F01">
            <w:pPr>
              <w:jc w:val="both"/>
              <w:rPr>
                <w:noProof/>
              </w:rPr>
            </w:pPr>
            <w:r>
              <w:rPr>
                <w:noProof/>
              </w:rPr>
              <w:t xml:space="preserve">A State, regional or local </w:t>
            </w:r>
            <w:r>
              <w:rPr>
                <w:noProof/>
              </w:rPr>
              <w:t>authority, a body governed by public law or an association formed by one or several such authorities or one or several such bodies governed by public law. This definition is based on that of a 'contracting authority' under EU procurement legislation (Direc</w:t>
            </w:r>
            <w:r>
              <w:rPr>
                <w:noProof/>
              </w:rPr>
              <w:t>tive 2014/24/EU, Article 2).</w:t>
            </w:r>
          </w:p>
        </w:tc>
      </w:tr>
      <w:tr w:rsidR="00DF1A33">
        <w:tc>
          <w:tcPr>
            <w:tcW w:w="3227" w:type="dxa"/>
          </w:tcPr>
          <w:p w:rsidR="00DF1A33" w:rsidRDefault="00456F01">
            <w:pPr>
              <w:rPr>
                <w:b/>
                <w:noProof/>
              </w:rPr>
            </w:pPr>
            <w:r>
              <w:rPr>
                <w:b/>
                <w:noProof/>
              </w:rPr>
              <w:t>Public Sector Information (PSI)</w:t>
            </w:r>
          </w:p>
        </w:tc>
        <w:tc>
          <w:tcPr>
            <w:tcW w:w="5607" w:type="dxa"/>
          </w:tcPr>
          <w:p w:rsidR="00DF1A33" w:rsidRDefault="00456F01">
            <w:pPr>
              <w:jc w:val="both"/>
              <w:rPr>
                <w:noProof/>
              </w:rPr>
            </w:pPr>
            <w:r>
              <w:rPr>
                <w:noProof/>
              </w:rPr>
              <w:t>Information (i.e. 'documents') in many areas of public sector activity, including social, economic, geographical, weather, tourist, business, patent and educational information, which the public</w:t>
            </w:r>
            <w:r>
              <w:rPr>
                <w:noProof/>
              </w:rPr>
              <w:t xml:space="preserve"> sector collects or produces.</w:t>
            </w:r>
          </w:p>
        </w:tc>
      </w:tr>
      <w:tr w:rsidR="00DF1A33">
        <w:tc>
          <w:tcPr>
            <w:tcW w:w="3227" w:type="dxa"/>
          </w:tcPr>
          <w:p w:rsidR="00DF1A33" w:rsidRDefault="00456F01">
            <w:pPr>
              <w:rPr>
                <w:noProof/>
              </w:rPr>
            </w:pPr>
            <w:r>
              <w:rPr>
                <w:b/>
                <w:noProof/>
              </w:rPr>
              <w:t>public undertaking</w:t>
            </w:r>
          </w:p>
        </w:tc>
        <w:tc>
          <w:tcPr>
            <w:tcW w:w="5607" w:type="dxa"/>
          </w:tcPr>
          <w:p w:rsidR="00DF1A33" w:rsidRDefault="00456F01">
            <w:pPr>
              <w:jc w:val="both"/>
              <w:rPr>
                <w:noProof/>
              </w:rPr>
            </w:pPr>
            <w:r>
              <w:rPr>
                <w:noProof/>
              </w:rPr>
              <w:t xml:space="preserve">Any undertaking over which the contracting authorities may exercise directly or indirectly a dominant influence by virtue of their ownership of it, their financial participation therein, or the rules which </w:t>
            </w:r>
            <w:r>
              <w:rPr>
                <w:noProof/>
              </w:rPr>
              <w:t>govern it.</w:t>
            </w:r>
          </w:p>
        </w:tc>
      </w:tr>
      <w:tr w:rsidR="00DF1A33">
        <w:tc>
          <w:tcPr>
            <w:tcW w:w="3227" w:type="dxa"/>
          </w:tcPr>
          <w:p w:rsidR="00DF1A33" w:rsidRDefault="00456F01">
            <w:pPr>
              <w:rPr>
                <w:noProof/>
              </w:rPr>
            </w:pPr>
            <w:r>
              <w:rPr>
                <w:b/>
                <w:noProof/>
              </w:rPr>
              <w:t>reasonable return on investment</w:t>
            </w:r>
          </w:p>
        </w:tc>
        <w:tc>
          <w:tcPr>
            <w:tcW w:w="5607" w:type="dxa"/>
          </w:tcPr>
          <w:p w:rsidR="00DF1A33" w:rsidRDefault="00456F01">
            <w:pPr>
              <w:jc w:val="both"/>
              <w:rPr>
                <w:noProof/>
              </w:rPr>
            </w:pPr>
            <w:r>
              <w:rPr>
                <w:noProof/>
              </w:rPr>
              <w:t>Amount understood as a percentage, in addition to eligible costs, allowing for the recovery of the cost of capital; and the inclusion of a real rate of return (profit).</w:t>
            </w:r>
          </w:p>
        </w:tc>
      </w:tr>
      <w:tr w:rsidR="00DF1A33">
        <w:tc>
          <w:tcPr>
            <w:tcW w:w="3227" w:type="dxa"/>
          </w:tcPr>
          <w:p w:rsidR="00DF1A33" w:rsidRDefault="00456F01">
            <w:pPr>
              <w:rPr>
                <w:noProof/>
              </w:rPr>
            </w:pPr>
            <w:r>
              <w:rPr>
                <w:b/>
                <w:noProof/>
              </w:rPr>
              <w:t>re-use</w:t>
            </w:r>
          </w:p>
        </w:tc>
        <w:tc>
          <w:tcPr>
            <w:tcW w:w="5607" w:type="dxa"/>
          </w:tcPr>
          <w:p w:rsidR="00DF1A33" w:rsidRDefault="00456F01">
            <w:pPr>
              <w:jc w:val="both"/>
              <w:rPr>
                <w:noProof/>
              </w:rPr>
            </w:pPr>
            <w:r>
              <w:rPr>
                <w:noProof/>
              </w:rPr>
              <w:t>The use by persons or legal entitie</w:t>
            </w:r>
            <w:r>
              <w:rPr>
                <w:noProof/>
              </w:rPr>
              <w:t>s of documents held by public sector bodies, for commercial or non-commercial purposes other than the initial purpose within the public task for which the documents were produced.</w:t>
            </w:r>
          </w:p>
        </w:tc>
      </w:tr>
      <w:tr w:rsidR="00DF1A33">
        <w:tc>
          <w:tcPr>
            <w:tcW w:w="3227" w:type="dxa"/>
          </w:tcPr>
          <w:p w:rsidR="00DF1A33" w:rsidRDefault="00456F01">
            <w:pPr>
              <w:rPr>
                <w:noProof/>
              </w:rPr>
            </w:pPr>
            <w:r>
              <w:rPr>
                <w:b/>
                <w:i/>
                <w:noProof/>
              </w:rPr>
              <w:t>sui generis</w:t>
            </w:r>
            <w:r>
              <w:rPr>
                <w:b/>
                <w:noProof/>
              </w:rPr>
              <w:t xml:space="preserve"> database right</w:t>
            </w:r>
          </w:p>
        </w:tc>
        <w:tc>
          <w:tcPr>
            <w:tcW w:w="5607" w:type="dxa"/>
          </w:tcPr>
          <w:p w:rsidR="00DF1A33" w:rsidRDefault="00456F01">
            <w:pPr>
              <w:jc w:val="both"/>
              <w:rPr>
                <w:noProof/>
              </w:rPr>
            </w:pPr>
            <w:r>
              <w:rPr>
                <w:noProof/>
              </w:rPr>
              <w:t xml:space="preserve">A </w:t>
            </w:r>
            <w:r>
              <w:rPr>
                <w:i/>
                <w:noProof/>
              </w:rPr>
              <w:t>sui generis</w:t>
            </w:r>
            <w:r>
              <w:rPr>
                <w:noProof/>
              </w:rPr>
              <w:t xml:space="preserve"> database right is a property right, comparable to but distinct from copyright, that exists to recognise the investment that is made to compile a database, even when this does not involve the creative aspect that is reflected by copyright. </w:t>
            </w:r>
          </w:p>
        </w:tc>
      </w:tr>
    </w:tbl>
    <w:p w:rsidR="00DF1A33" w:rsidRDefault="00456F01">
      <w:pPr>
        <w:pStyle w:val="Heading1"/>
        <w:pageBreakBefore/>
        <w:numPr>
          <w:ilvl w:val="0"/>
          <w:numId w:val="0"/>
        </w:numPr>
        <w:ind w:left="482"/>
        <w:jc w:val="center"/>
        <w:rPr>
          <w:noProof/>
          <w:szCs w:val="32"/>
        </w:rPr>
      </w:pPr>
      <w:bookmarkStart w:id="1854" w:name="_Toc504743672"/>
      <w:bookmarkStart w:id="1855" w:name="_Toc504751224"/>
      <w:bookmarkStart w:id="1856" w:name="_Toc504751398"/>
      <w:bookmarkStart w:id="1857" w:name="_Toc505862331"/>
      <w:bookmarkStart w:id="1858" w:name="_Toc505864896"/>
      <w:bookmarkStart w:id="1859" w:name="_Toc505868750"/>
      <w:bookmarkStart w:id="1860" w:name="_Toc505869217"/>
      <w:bookmarkStart w:id="1861" w:name="_Toc505881407"/>
      <w:bookmarkStart w:id="1862" w:name="_Toc509412640"/>
      <w:bookmarkStart w:id="1863" w:name="_Toc509414816"/>
      <w:bookmarkStart w:id="1864" w:name="_Toc509414872"/>
      <w:bookmarkEnd w:id="1847"/>
      <w:bookmarkEnd w:id="1848"/>
      <w:bookmarkEnd w:id="1849"/>
      <w:bookmarkEnd w:id="1850"/>
      <w:bookmarkEnd w:id="1851"/>
      <w:bookmarkEnd w:id="1852"/>
      <w:bookmarkEnd w:id="1853"/>
      <w:r>
        <w:rPr>
          <w:noProof/>
          <w:sz w:val="32"/>
          <w:szCs w:val="32"/>
        </w:rPr>
        <w:t xml:space="preserve">Annex 1: </w:t>
      </w:r>
      <w:bookmarkStart w:id="1865" w:name="_Toc505182018"/>
      <w:bookmarkStart w:id="1866" w:name="_Toc505248672"/>
      <w:bookmarkStart w:id="1867" w:name="_Toc505266547"/>
      <w:bookmarkStart w:id="1868" w:name="_Toc505335399"/>
      <w:bookmarkStart w:id="1869" w:name="_Toc505345870"/>
      <w:bookmarkStart w:id="1870" w:name="_Toc505346458"/>
      <w:bookmarkStart w:id="1871" w:name="_Toc505696715"/>
      <w:bookmarkStart w:id="1872" w:name="_Toc505698201"/>
      <w:bookmarkStart w:id="1873" w:name="_Toc505701714"/>
      <w:bookmarkStart w:id="1874" w:name="_Toc505705201"/>
      <w:bookmarkStart w:id="1875" w:name="_Toc505773195"/>
      <w:bookmarkStart w:id="1876" w:name="_Toc505856889"/>
      <w:r>
        <w:rPr>
          <w:noProof/>
          <w:sz w:val="32"/>
          <w:szCs w:val="32"/>
        </w:rPr>
        <w:t>Proce</w:t>
      </w:r>
      <w:r>
        <w:rPr>
          <w:noProof/>
          <w:sz w:val="32"/>
          <w:szCs w:val="32"/>
        </w:rPr>
        <w:t>dural information</w:t>
      </w:r>
      <w:bookmarkEnd w:id="1854"/>
      <w:bookmarkEnd w:id="1855"/>
      <w:bookmarkEnd w:id="1856"/>
      <w:bookmarkEnd w:id="1857"/>
      <w:bookmarkEnd w:id="1858"/>
      <w:bookmarkEnd w:id="1859"/>
      <w:bookmarkEnd w:id="1860"/>
      <w:bookmarkEnd w:id="1861"/>
      <w:bookmarkEnd w:id="1865"/>
      <w:bookmarkEnd w:id="1866"/>
      <w:bookmarkEnd w:id="1867"/>
      <w:bookmarkEnd w:id="1868"/>
      <w:bookmarkEnd w:id="1869"/>
      <w:bookmarkEnd w:id="1870"/>
      <w:bookmarkEnd w:id="1871"/>
      <w:bookmarkEnd w:id="1872"/>
      <w:bookmarkEnd w:id="1873"/>
      <w:bookmarkEnd w:id="1874"/>
      <w:bookmarkEnd w:id="1875"/>
      <w:bookmarkEnd w:id="1876"/>
      <w:bookmarkEnd w:id="1862"/>
      <w:bookmarkEnd w:id="1863"/>
      <w:bookmarkEnd w:id="1864"/>
    </w:p>
    <w:p w:rsidR="00DF1A33" w:rsidRDefault="00DF1A33">
      <w:pPr>
        <w:jc w:val="center"/>
        <w:rPr>
          <w:noProof/>
        </w:rPr>
      </w:pPr>
    </w:p>
    <w:p w:rsidR="00DF1A33" w:rsidRDefault="00456F01">
      <w:pPr>
        <w:rPr>
          <w:rFonts w:ascii="Times New Roman" w:hAnsi="Times New Roman" w:cs="Times New Roman"/>
          <w:b/>
          <w:smallCaps/>
          <w:noProof/>
          <w:sz w:val="24"/>
          <w:szCs w:val="24"/>
        </w:rPr>
      </w:pPr>
      <w:bookmarkStart w:id="1877" w:name="_Toc471997754"/>
      <w:bookmarkStart w:id="1878" w:name="_Toc481484484"/>
      <w:bookmarkStart w:id="1879" w:name="_Toc504120242"/>
      <w:bookmarkStart w:id="1880" w:name="_Toc504142985"/>
      <w:bookmarkStart w:id="1881" w:name="_Toc504151685"/>
      <w:bookmarkStart w:id="1882" w:name="_Toc504382969"/>
      <w:bookmarkStart w:id="1883" w:name="_Toc504391115"/>
      <w:bookmarkStart w:id="1884" w:name="_Toc504403204"/>
      <w:bookmarkStart w:id="1885" w:name="_Toc504743673"/>
      <w:bookmarkStart w:id="1886" w:name="_Toc504751225"/>
      <w:bookmarkStart w:id="1887" w:name="_Toc504751399"/>
      <w:bookmarkStart w:id="1888" w:name="_Toc505182019"/>
      <w:bookmarkStart w:id="1889" w:name="_Toc505248673"/>
      <w:r>
        <w:rPr>
          <w:rFonts w:ascii="Times New Roman" w:hAnsi="Times New Roman" w:cs="Times New Roman"/>
          <w:b/>
          <w:smallCaps/>
          <w:noProof/>
          <w:sz w:val="24"/>
          <w:szCs w:val="24"/>
        </w:rPr>
        <w:t>Lead DG, D</w:t>
      </w:r>
      <w:r>
        <w:rPr>
          <w:b/>
          <w:i/>
          <w:smallCaps/>
          <w:noProof/>
        </w:rPr>
        <w:t>e</w:t>
      </w:r>
      <w:r>
        <w:rPr>
          <w:rFonts w:ascii="Times New Roman" w:hAnsi="Times New Roman" w:cs="Times New Roman"/>
          <w:b/>
          <w:smallCaps/>
          <w:noProof/>
          <w:sz w:val="24"/>
          <w:szCs w:val="24"/>
        </w:rPr>
        <w:t>cide Planning/CWP references</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p>
    <w:p w:rsidR="00DF1A33" w:rsidRDefault="00456F01">
      <w:pPr>
        <w:jc w:val="both"/>
        <w:rPr>
          <w:rFonts w:ascii="Times New Roman" w:eastAsia="Times New Roman" w:hAnsi="Times New Roman" w:cs="Times New Roman"/>
          <w:noProof/>
          <w:color w:val="000000"/>
          <w:sz w:val="24"/>
          <w:szCs w:val="24"/>
        </w:rPr>
      </w:pPr>
      <w:r>
        <w:rPr>
          <w:rFonts w:ascii="Times New Roman" w:eastAsia="Times New Roman" w:hAnsi="Times New Roman"/>
          <w:noProof/>
          <w:color w:val="000000"/>
          <w:sz w:val="24"/>
        </w:rPr>
        <w:t>The proposal for an amended Public Sector Information (PSI) Directive</w:t>
      </w:r>
      <w:r>
        <w:rPr>
          <w:rStyle w:val="FootnoteReference"/>
          <w:rFonts w:ascii="Times New Roman" w:eastAsia="Times New Roman" w:hAnsi="Times New Roman"/>
          <w:noProof/>
          <w:color w:val="000000"/>
          <w:sz w:val="24"/>
        </w:rPr>
        <w:footnoteReference w:id="189"/>
      </w:r>
      <w:r>
        <w:rPr>
          <w:rFonts w:ascii="Times New Roman" w:eastAsia="Times New Roman" w:hAnsi="Times New Roman"/>
          <w:noProof/>
          <w:color w:val="000000"/>
          <w:sz w:val="24"/>
        </w:rPr>
        <w:t xml:space="preserve"> was prepared under the lead of the Directorate-General </w:t>
      </w:r>
      <w:r>
        <w:rPr>
          <w:rFonts w:ascii="Times New Roman" w:eastAsia="Times New Roman" w:hAnsi="Times New Roman" w:cs="Times New Roman"/>
          <w:noProof/>
          <w:color w:val="000000"/>
          <w:sz w:val="24"/>
          <w:szCs w:val="24"/>
        </w:rPr>
        <w:t xml:space="preserve">Communication Networks, Content and Technology. In the DECIDE Planning </w:t>
      </w:r>
      <w:r>
        <w:rPr>
          <w:rFonts w:ascii="Times New Roman" w:eastAsia="Times New Roman" w:hAnsi="Times New Roman" w:cs="Times New Roman"/>
          <w:noProof/>
          <w:color w:val="000000"/>
          <w:sz w:val="24"/>
          <w:szCs w:val="24"/>
        </w:rPr>
        <w:t>of the European Commission, the review process is referred to under item PLAN/2017/</w:t>
      </w:r>
      <w:r>
        <w:rPr>
          <w:rFonts w:ascii="Times New Roman" w:eastAsia="Times New Roman" w:hAnsi="Times New Roman" w:cs="Times New Roman"/>
          <w:noProof/>
          <w:color w:val="000000"/>
          <w:sz w:val="24"/>
          <w:szCs w:val="24"/>
          <w:shd w:val="clear" w:color="auto" w:fill="FFFFFF"/>
        </w:rPr>
        <w:t>1391</w:t>
      </w:r>
      <w:r>
        <w:rPr>
          <w:rFonts w:ascii="Times New Roman" w:eastAsia="Times New Roman" w:hAnsi="Times New Roman" w:cs="Times New Roman"/>
          <w:noProof/>
          <w:color w:val="000000"/>
          <w:sz w:val="24"/>
          <w:szCs w:val="24"/>
        </w:rPr>
        <w:t>. The Commission Work Programme for 2018 includes the review of the PSI Directive among the REFIT initiatives, under the header "A Connected Digital Single Market".</w:t>
      </w:r>
    </w:p>
    <w:p w:rsidR="00DF1A33" w:rsidRDefault="00456F01">
      <w:pPr>
        <w:rPr>
          <w:rFonts w:ascii="Times New Roman" w:hAnsi="Times New Roman" w:cs="Times New Roman"/>
          <w:b/>
          <w:smallCaps/>
          <w:noProof/>
          <w:sz w:val="24"/>
          <w:szCs w:val="24"/>
        </w:rPr>
      </w:pPr>
      <w:bookmarkStart w:id="1890" w:name="_Toc471997755"/>
      <w:bookmarkStart w:id="1891" w:name="_Toc481484485"/>
      <w:bookmarkStart w:id="1892" w:name="_Toc504120243"/>
      <w:bookmarkStart w:id="1893" w:name="_Toc504142986"/>
      <w:bookmarkStart w:id="1894" w:name="_Toc504151686"/>
      <w:bookmarkStart w:id="1895" w:name="_Toc504382970"/>
      <w:bookmarkStart w:id="1896" w:name="_Toc504391116"/>
      <w:bookmarkStart w:id="1897" w:name="_Toc504403205"/>
      <w:bookmarkStart w:id="1898" w:name="_Toc504743674"/>
      <w:bookmarkStart w:id="1899" w:name="_Toc504751226"/>
      <w:bookmarkStart w:id="1900" w:name="_Toc504751400"/>
      <w:bookmarkStart w:id="1901" w:name="_Toc505182020"/>
      <w:bookmarkStart w:id="1902" w:name="_Toc505248674"/>
      <w:r>
        <w:rPr>
          <w:rFonts w:ascii="Times New Roman" w:hAnsi="Times New Roman" w:cs="Times New Roman"/>
          <w:b/>
          <w:smallCaps/>
          <w:noProof/>
          <w:sz w:val="24"/>
          <w:szCs w:val="24"/>
        </w:rPr>
        <w:t>Orga</w:t>
      </w:r>
      <w:r>
        <w:rPr>
          <w:rFonts w:ascii="Times New Roman" w:hAnsi="Times New Roman" w:cs="Times New Roman"/>
          <w:b/>
          <w:smallCaps/>
          <w:noProof/>
          <w:sz w:val="24"/>
          <w:szCs w:val="24"/>
        </w:rPr>
        <w:t>nisation and timing</w:t>
      </w:r>
      <w:bookmarkEnd w:id="1890"/>
      <w:bookmarkEnd w:id="1891"/>
      <w:bookmarkEnd w:id="1892"/>
      <w:bookmarkEnd w:id="1893"/>
      <w:bookmarkEnd w:id="1894"/>
      <w:bookmarkEnd w:id="1895"/>
      <w:bookmarkEnd w:id="1896"/>
      <w:bookmarkEnd w:id="1897"/>
      <w:bookmarkEnd w:id="1898"/>
      <w:bookmarkEnd w:id="1899"/>
      <w:bookmarkEnd w:id="1900"/>
      <w:bookmarkEnd w:id="1901"/>
      <w:bookmarkEnd w:id="1902"/>
    </w:p>
    <w:p w:rsidR="00DF1A33" w:rsidRDefault="00456F01">
      <w:pPr>
        <w:jc w:val="both"/>
        <w:rPr>
          <w:rFonts w:ascii="Times New Roman" w:eastAsia="Times New Roman" w:hAnsi="Times New Roman" w:cs="Times New Roman"/>
          <w:noProof/>
          <w:color w:val="000000"/>
          <w:sz w:val="24"/>
          <w:szCs w:val="24"/>
        </w:rPr>
      </w:pPr>
      <w:r>
        <w:rPr>
          <w:rFonts w:ascii="Times New Roman" w:eastAsia="Times New Roman" w:hAnsi="Times New Roman"/>
          <w:noProof/>
          <w:color w:val="000000"/>
          <w:sz w:val="24"/>
        </w:rPr>
        <w:t>Work on the preparation of this Directive review started in May 2017. An Inter-Service Steering Group assisted DG Communication Networks, Content and Technology</w:t>
      </w:r>
      <w:r>
        <w:rPr>
          <w:rFonts w:ascii="Times New Roman" w:eastAsia="Times New Roman" w:hAnsi="Times New Roman"/>
          <w:noProof/>
          <w:color w:val="000000"/>
          <w:sz w:val="24"/>
          <w:shd w:val="clear" w:color="auto" w:fill="FFFFFF"/>
        </w:rPr>
        <w:t xml:space="preserve"> in the preparation of the back-to-back exercise (evaluation and Impact Asse</w:t>
      </w:r>
      <w:r>
        <w:rPr>
          <w:rFonts w:ascii="Times New Roman" w:eastAsia="Times New Roman" w:hAnsi="Times New Roman"/>
          <w:noProof/>
          <w:color w:val="000000"/>
          <w:sz w:val="24"/>
          <w:shd w:val="clear" w:color="auto" w:fill="FFFFFF"/>
        </w:rPr>
        <w:t>ssment) and included Commission services of 16 Directorate-Generals, together with the Commission's Legal Service and Secretariat General.</w:t>
      </w:r>
    </w:p>
    <w:p w:rsidR="00DF1A33" w:rsidRDefault="00456F01">
      <w:pPr>
        <w:jc w:val="both"/>
        <w:rPr>
          <w:rFonts w:ascii="Times New Roman" w:eastAsia="Times New Roman" w:hAnsi="Times New Roman" w:cs="Times New Roman"/>
          <w:noProof/>
          <w:color w:val="000000"/>
          <w:sz w:val="24"/>
          <w:szCs w:val="24"/>
        </w:rPr>
      </w:pPr>
      <w:r>
        <w:rPr>
          <w:rFonts w:ascii="Times New Roman" w:eastAsia="Times New Roman" w:hAnsi="Times New Roman"/>
          <w:noProof/>
          <w:color w:val="000000"/>
          <w:sz w:val="24"/>
          <w:shd w:val="clear" w:color="auto" w:fill="FFFFFF"/>
        </w:rPr>
        <w:t xml:space="preserve">The Steering Group met on occasions between July 2017 and March 2018. At each occasion, the members of the Steering Group were given the opportunity to provide comments orally or in in writing on the draft versions of the documents presented. </w:t>
      </w:r>
    </w:p>
    <w:p w:rsidR="00DF1A33" w:rsidRDefault="00456F01">
      <w:pPr>
        <w:rPr>
          <w:rFonts w:ascii="Times New Roman" w:hAnsi="Times New Roman" w:cs="Times New Roman"/>
          <w:b/>
          <w:smallCaps/>
          <w:noProof/>
          <w:sz w:val="24"/>
          <w:szCs w:val="24"/>
        </w:rPr>
      </w:pPr>
      <w:bookmarkStart w:id="1903" w:name="_Toc471997757"/>
      <w:bookmarkStart w:id="1904" w:name="_Toc481484487"/>
      <w:bookmarkStart w:id="1905" w:name="_Toc504120244"/>
      <w:bookmarkStart w:id="1906" w:name="_Toc504142987"/>
      <w:bookmarkStart w:id="1907" w:name="_Toc504151687"/>
      <w:bookmarkStart w:id="1908" w:name="_Toc504382971"/>
      <w:bookmarkStart w:id="1909" w:name="_Toc504391117"/>
      <w:bookmarkStart w:id="1910" w:name="_Toc504403206"/>
      <w:bookmarkStart w:id="1911" w:name="_Toc504743675"/>
      <w:bookmarkStart w:id="1912" w:name="_Toc504751227"/>
      <w:bookmarkStart w:id="1913" w:name="_Toc504751401"/>
      <w:bookmarkStart w:id="1914" w:name="_Toc505182021"/>
      <w:bookmarkStart w:id="1915" w:name="_Toc505248675"/>
      <w:r>
        <w:rPr>
          <w:rFonts w:ascii="Times New Roman" w:hAnsi="Times New Roman" w:cs="Times New Roman"/>
          <w:b/>
          <w:smallCaps/>
          <w:noProof/>
          <w:sz w:val="24"/>
          <w:szCs w:val="24"/>
        </w:rPr>
        <w:t>Consultation</w:t>
      </w:r>
      <w:r>
        <w:rPr>
          <w:rFonts w:ascii="Times New Roman" w:hAnsi="Times New Roman" w:cs="Times New Roman"/>
          <w:b/>
          <w:smallCaps/>
          <w:noProof/>
          <w:sz w:val="24"/>
          <w:szCs w:val="24"/>
        </w:rPr>
        <w:t xml:space="preserve"> of the RSB</w:t>
      </w:r>
      <w:bookmarkEnd w:id="1903"/>
      <w:bookmarkEnd w:id="1904"/>
      <w:bookmarkEnd w:id="1905"/>
      <w:bookmarkEnd w:id="1906"/>
      <w:bookmarkEnd w:id="1907"/>
      <w:bookmarkEnd w:id="1908"/>
      <w:bookmarkEnd w:id="1909"/>
      <w:bookmarkEnd w:id="1910"/>
      <w:bookmarkEnd w:id="1911"/>
      <w:bookmarkEnd w:id="1912"/>
      <w:bookmarkEnd w:id="1913"/>
      <w:bookmarkEnd w:id="1914"/>
      <w:bookmarkEnd w:id="1915"/>
      <w:r>
        <w:rPr>
          <w:rFonts w:ascii="Times New Roman" w:hAnsi="Times New Roman" w:cs="Times New Roman"/>
          <w:b/>
          <w:smallCaps/>
          <w:noProof/>
          <w:sz w:val="24"/>
          <w:szCs w:val="24"/>
        </w:rPr>
        <w:t xml:space="preserve"> </w:t>
      </w:r>
    </w:p>
    <w:p w:rsidR="00DF1A33" w:rsidRDefault="00456F01">
      <w:pPr>
        <w:jc w:val="both"/>
        <w:rPr>
          <w:rFonts w:ascii="Times New Roman" w:eastAsia="Times New Roman" w:hAnsi="Times New Roman" w:cs="Times New Roman"/>
          <w:noProof/>
          <w:color w:val="000000"/>
          <w:sz w:val="24"/>
          <w:szCs w:val="24"/>
        </w:rPr>
      </w:pPr>
      <w:r>
        <w:rPr>
          <w:rFonts w:ascii="Times New Roman" w:eastAsia="Times New Roman" w:hAnsi="Times New Roman"/>
          <w:noProof/>
          <w:color w:val="000000"/>
          <w:sz w:val="24"/>
        </w:rPr>
        <w:t>The Impact Assessment report was reviewed by the Regulatory Scrutiny Board on 14 March 2018. Based on the Board's recommendations</w:t>
      </w:r>
      <w:r>
        <w:rPr>
          <w:rStyle w:val="FootnoteReference"/>
          <w:rFonts w:ascii="Times New Roman" w:eastAsia="Times New Roman" w:hAnsi="Times New Roman"/>
          <w:noProof/>
          <w:color w:val="000000"/>
          <w:sz w:val="24"/>
        </w:rPr>
        <w:footnoteReference w:id="190"/>
      </w:r>
      <w:r>
        <w:rPr>
          <w:rFonts w:ascii="Times New Roman" w:eastAsia="Times New Roman" w:hAnsi="Times New Roman"/>
          <w:noProof/>
          <w:color w:val="000000"/>
          <w:sz w:val="24"/>
        </w:rPr>
        <w:t>, the Impact Assessment has been revised in accordance with the following points:</w:t>
      </w:r>
    </w:p>
    <w:tbl>
      <w:tblPr>
        <w:tblStyle w:val="TableGrid"/>
        <w:tblW w:w="0" w:type="auto"/>
        <w:tblLook w:val="04A0" w:firstRow="1" w:lastRow="0" w:firstColumn="1" w:lastColumn="0" w:noHBand="0" w:noVBand="1"/>
      </w:tblPr>
      <w:tblGrid>
        <w:gridCol w:w="4417"/>
        <w:gridCol w:w="4417"/>
      </w:tblGrid>
      <w:tr w:rsidR="00DF1A33">
        <w:tc>
          <w:tcPr>
            <w:tcW w:w="4417" w:type="dxa"/>
          </w:tcPr>
          <w:tbl>
            <w:tblPr>
              <w:tblW w:w="4051" w:type="dxa"/>
              <w:tblBorders>
                <w:top w:val="nil"/>
                <w:left w:val="nil"/>
                <w:bottom w:val="nil"/>
                <w:right w:val="nil"/>
              </w:tblBorders>
              <w:tblLook w:val="0000" w:firstRow="0" w:lastRow="0" w:firstColumn="0" w:lastColumn="0" w:noHBand="0" w:noVBand="0"/>
            </w:tblPr>
            <w:tblGrid>
              <w:gridCol w:w="3828"/>
              <w:gridCol w:w="223"/>
            </w:tblGrid>
            <w:tr w:rsidR="00DF1A33">
              <w:trPr>
                <w:trHeight w:val="237"/>
              </w:trPr>
              <w:tc>
                <w:tcPr>
                  <w:tcW w:w="3828" w:type="dxa"/>
                </w:tcPr>
                <w:p w:rsidR="00DF1A33" w:rsidRDefault="00456F01">
                  <w:pPr>
                    <w:pStyle w:val="Default"/>
                    <w:ind w:right="-391"/>
                    <w:jc w:val="center"/>
                    <w:rPr>
                      <w:rFonts w:ascii="Times New Roman" w:hAnsi="Times New Roman" w:cs="Times New Roman"/>
                      <w:noProof/>
                    </w:rPr>
                  </w:pPr>
                  <w:r>
                    <w:rPr>
                      <w:rFonts w:ascii="Times New Roman" w:hAnsi="Times New Roman" w:cs="Times New Roman"/>
                      <w:b/>
                      <w:bCs/>
                      <w:noProof/>
                    </w:rPr>
                    <w:t xml:space="preserve">RSB Opinion </w:t>
                  </w:r>
                  <w:r>
                    <w:rPr>
                      <w:rFonts w:ascii="Times New Roman" w:hAnsi="Times New Roman" w:cs="Times New Roman"/>
                      <w:b/>
                      <w:bCs/>
                      <w:noProof/>
                    </w:rPr>
                    <w:br/>
                  </w:r>
                  <w:r>
                    <w:rPr>
                      <w:rFonts w:ascii="Times New Roman" w:hAnsi="Times New Roman"/>
                      <w:noProof/>
                    </w:rPr>
                    <w:t>(</w:t>
                  </w:r>
                  <w:r>
                    <w:rPr>
                      <w:rFonts w:ascii="Times New Roman" w:hAnsi="Times New Roman" w:cs="Times New Roman"/>
                      <w:noProof/>
                    </w:rPr>
                    <w:t>copy of the RSB c</w:t>
                  </w:r>
                  <w:r>
                    <w:rPr>
                      <w:rFonts w:ascii="Times New Roman" w:hAnsi="Times New Roman" w:cs="Times New Roman"/>
                      <w:noProof/>
                    </w:rPr>
                    <w:t xml:space="preserve">omments </w:t>
                  </w:r>
                  <w:r>
                    <w:rPr>
                      <w:rFonts w:ascii="Times New Roman" w:hAnsi="Times New Roman" w:cs="Times New Roman"/>
                      <w:noProof/>
                    </w:rPr>
                    <w:br/>
                    <w:t>from the opinion</w:t>
                  </w:r>
                  <w:r>
                    <w:rPr>
                      <w:rFonts w:ascii="Times New Roman" w:hAnsi="Times New Roman"/>
                      <w:noProof/>
                    </w:rPr>
                    <w:t>)</w:t>
                  </w:r>
                </w:p>
              </w:tc>
              <w:tc>
                <w:tcPr>
                  <w:tcW w:w="0" w:type="auto"/>
                </w:tcPr>
                <w:p w:rsidR="00DF1A33" w:rsidRDefault="00DF1A33">
                  <w:pPr>
                    <w:autoSpaceDE w:val="0"/>
                    <w:autoSpaceDN w:val="0"/>
                    <w:adjustRightInd w:val="0"/>
                    <w:spacing w:after="0" w:line="240" w:lineRule="auto"/>
                    <w:rPr>
                      <w:rFonts w:ascii="Times New Roman" w:hAnsi="Times New Roman" w:cs="Times New Roman"/>
                      <w:noProof/>
                      <w:color w:val="000000"/>
                      <w:sz w:val="24"/>
                      <w:szCs w:val="24"/>
                    </w:rPr>
                  </w:pPr>
                </w:p>
              </w:tc>
            </w:tr>
          </w:tbl>
          <w:p w:rsidR="00DF1A33" w:rsidRDefault="00DF1A33">
            <w:pPr>
              <w:jc w:val="both"/>
              <w:rPr>
                <w:noProof/>
                <w:color w:val="000000"/>
                <w:sz w:val="24"/>
                <w:szCs w:val="24"/>
              </w:rPr>
            </w:pPr>
          </w:p>
        </w:tc>
        <w:tc>
          <w:tcPr>
            <w:tcW w:w="4417" w:type="dxa"/>
          </w:tcPr>
          <w:p w:rsidR="00DF1A33" w:rsidRDefault="00456F01">
            <w:pPr>
              <w:jc w:val="center"/>
              <w:rPr>
                <w:noProof/>
                <w:color w:val="000000"/>
                <w:sz w:val="24"/>
                <w:szCs w:val="24"/>
              </w:rPr>
            </w:pPr>
            <w:r>
              <w:rPr>
                <w:b/>
                <w:bCs/>
                <w:noProof/>
                <w:color w:val="000000"/>
                <w:sz w:val="24"/>
                <w:szCs w:val="24"/>
              </w:rPr>
              <w:t xml:space="preserve">How and where comments </w:t>
            </w:r>
            <w:r>
              <w:rPr>
                <w:b/>
                <w:bCs/>
                <w:noProof/>
                <w:color w:val="000000"/>
                <w:sz w:val="24"/>
                <w:szCs w:val="24"/>
              </w:rPr>
              <w:br/>
              <w:t>have been addressed</w:t>
            </w:r>
          </w:p>
        </w:tc>
      </w:tr>
      <w:tr w:rsidR="00DF1A33">
        <w:tc>
          <w:tcPr>
            <w:tcW w:w="4417" w:type="dxa"/>
          </w:tcPr>
          <w:tbl>
            <w:tblPr>
              <w:tblW w:w="0" w:type="auto"/>
              <w:tblBorders>
                <w:top w:val="nil"/>
                <w:left w:val="nil"/>
                <w:bottom w:val="nil"/>
                <w:right w:val="nil"/>
              </w:tblBorders>
              <w:tblLook w:val="0000" w:firstRow="0" w:lastRow="0" w:firstColumn="0" w:lastColumn="0" w:noHBand="0" w:noVBand="0"/>
            </w:tblPr>
            <w:tblGrid>
              <w:gridCol w:w="4201"/>
            </w:tblGrid>
            <w:tr w:rsidR="00DF1A33">
              <w:trPr>
                <w:trHeight w:val="521"/>
              </w:trPr>
              <w:tc>
                <w:tcPr>
                  <w:tcW w:w="0" w:type="auto"/>
                </w:tcPr>
                <w:p w:rsidR="00DF1A33" w:rsidRDefault="00456F01">
                  <w:pPr>
                    <w:autoSpaceDE w:val="0"/>
                    <w:autoSpaceDN w:val="0"/>
                    <w:adjustRightInd w:val="0"/>
                    <w:spacing w:after="0" w:line="240" w:lineRule="auto"/>
                    <w:jc w:val="both"/>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 xml:space="preserve">The report does not adequately reflect stakeholder views. In particular, it does not sufficiently address stakeholder concerns about personal data and database protection. It gives little indication about support from Member States and public bodies. </w:t>
                  </w:r>
                </w:p>
                <w:p w:rsidR="00DF1A33" w:rsidRDefault="00456F01">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The </w:t>
                  </w:r>
                  <w:r>
                    <w:rPr>
                      <w:rFonts w:ascii="Times New Roman" w:hAnsi="Times New Roman" w:cs="Times New Roman"/>
                      <w:noProof/>
                      <w:sz w:val="24"/>
                      <w:szCs w:val="24"/>
                    </w:rPr>
                    <w:t>report should make better use of its extensive evidence base. In particular, it should report in more detail on stakeholder views. It should provide a more granular representation of the categories of stakeholders at stake. It should transparently report o</w:t>
                  </w:r>
                  <w:r>
                    <w:rPr>
                      <w:rFonts w:ascii="Times New Roman" w:hAnsi="Times New Roman" w:cs="Times New Roman"/>
                      <w:noProof/>
                      <w:sz w:val="24"/>
                      <w:szCs w:val="24"/>
                    </w:rPr>
                    <w:t xml:space="preserve">n whether stakeholders expressed views on the different parts of the initiative. The report should elaborate on the concerns of stakeholders and it should explain the respective mitigation measures that the initiative intends to propose. </w:t>
                  </w:r>
                </w:p>
              </w:tc>
            </w:tr>
          </w:tbl>
          <w:p w:rsidR="00DF1A33" w:rsidRDefault="00DF1A33">
            <w:pPr>
              <w:jc w:val="both"/>
              <w:rPr>
                <w:noProof/>
                <w:color w:val="000000"/>
                <w:sz w:val="24"/>
                <w:szCs w:val="24"/>
              </w:rPr>
            </w:pPr>
          </w:p>
        </w:tc>
        <w:tc>
          <w:tcPr>
            <w:tcW w:w="4417" w:type="dxa"/>
          </w:tcPr>
          <w:p w:rsidR="00DF1A33" w:rsidRDefault="00456F01">
            <w:pPr>
              <w:jc w:val="both"/>
              <w:rPr>
                <w:noProof/>
                <w:color w:val="000000"/>
                <w:sz w:val="24"/>
                <w:szCs w:val="24"/>
              </w:rPr>
            </w:pPr>
            <w:r>
              <w:rPr>
                <w:noProof/>
                <w:color w:val="000000"/>
                <w:sz w:val="24"/>
                <w:szCs w:val="24"/>
              </w:rPr>
              <w:t>The views of st</w:t>
            </w:r>
            <w:r>
              <w:rPr>
                <w:noProof/>
                <w:color w:val="000000"/>
                <w:sz w:val="24"/>
                <w:szCs w:val="24"/>
              </w:rPr>
              <w:t>akeholders have been developed with increased granularity, i.e. depicting positions by type of stakeholders (e.g. PSI holders or re-users, educational and research establishments, public undertakings in the transport and utilities sector) and relating them</w:t>
            </w:r>
            <w:r>
              <w:rPr>
                <w:noProof/>
                <w:color w:val="000000"/>
                <w:sz w:val="24"/>
                <w:szCs w:val="24"/>
              </w:rPr>
              <w:t xml:space="preserve"> some specific consultations actions. </w:t>
            </w:r>
          </w:p>
          <w:p w:rsidR="00DF1A33" w:rsidRDefault="00456F01">
            <w:pPr>
              <w:jc w:val="both"/>
              <w:rPr>
                <w:noProof/>
                <w:color w:val="000000"/>
                <w:sz w:val="24"/>
                <w:szCs w:val="24"/>
              </w:rPr>
            </w:pPr>
            <w:r>
              <w:rPr>
                <w:noProof/>
                <w:color w:val="000000"/>
                <w:sz w:val="24"/>
                <w:szCs w:val="24"/>
              </w:rPr>
              <w:t>The views of stakeholders are reported in the section 6.4, in a much more detailed way, but are also reinforcing the description of the problem areas in the section 2 of the IA.</w:t>
            </w:r>
          </w:p>
          <w:p w:rsidR="00DF1A33" w:rsidRDefault="00456F01">
            <w:pPr>
              <w:jc w:val="both"/>
              <w:rPr>
                <w:noProof/>
                <w:color w:val="000000"/>
                <w:sz w:val="24"/>
                <w:szCs w:val="24"/>
              </w:rPr>
            </w:pPr>
            <w:r>
              <w:rPr>
                <w:noProof/>
                <w:color w:val="000000"/>
                <w:sz w:val="24"/>
                <w:szCs w:val="24"/>
              </w:rPr>
              <w:t>The positions of Member States have als</w:t>
            </w:r>
            <w:r>
              <w:rPr>
                <w:noProof/>
                <w:color w:val="000000"/>
                <w:sz w:val="24"/>
                <w:szCs w:val="24"/>
              </w:rPr>
              <w:t>o been described in a more detailed way both in section 3.2 on subsidiarity and in section 6.4.</w:t>
            </w:r>
          </w:p>
          <w:p w:rsidR="00DF1A33" w:rsidRDefault="00456F01">
            <w:pPr>
              <w:jc w:val="both"/>
              <w:rPr>
                <w:noProof/>
                <w:color w:val="000000"/>
                <w:sz w:val="24"/>
                <w:szCs w:val="24"/>
              </w:rPr>
            </w:pPr>
            <w:r>
              <w:rPr>
                <w:noProof/>
                <w:color w:val="000000"/>
                <w:sz w:val="24"/>
                <w:szCs w:val="24"/>
              </w:rPr>
              <w:t>An explanation was given regarding the nature of the stakeholders' view on the re-use of data in line with personal data protection requirements, as well as the</w:t>
            </w:r>
            <w:r>
              <w:rPr>
                <w:noProof/>
                <w:color w:val="000000"/>
                <w:sz w:val="24"/>
                <w:szCs w:val="24"/>
              </w:rPr>
              <w:t xml:space="preserve"> possible mitigating measures in that respect.</w:t>
            </w:r>
          </w:p>
        </w:tc>
      </w:tr>
      <w:tr w:rsidR="00DF1A33">
        <w:tc>
          <w:tcPr>
            <w:tcW w:w="4417" w:type="dxa"/>
          </w:tcPr>
          <w:tbl>
            <w:tblPr>
              <w:tblW w:w="0" w:type="auto"/>
              <w:tblBorders>
                <w:top w:val="nil"/>
                <w:left w:val="nil"/>
                <w:bottom w:val="nil"/>
                <w:right w:val="nil"/>
              </w:tblBorders>
              <w:tblLook w:val="0000" w:firstRow="0" w:lastRow="0" w:firstColumn="0" w:lastColumn="0" w:noHBand="0" w:noVBand="0"/>
            </w:tblPr>
            <w:tblGrid>
              <w:gridCol w:w="4201"/>
            </w:tblGrid>
            <w:tr w:rsidR="00DF1A33">
              <w:trPr>
                <w:trHeight w:val="245"/>
              </w:trPr>
              <w:tc>
                <w:tcPr>
                  <w:tcW w:w="0" w:type="auto"/>
                </w:tcPr>
                <w:p w:rsidR="00DF1A33" w:rsidRDefault="00456F01">
                  <w:pPr>
                    <w:autoSpaceDE w:val="0"/>
                    <w:autoSpaceDN w:val="0"/>
                    <w:adjustRightInd w:val="0"/>
                    <w:spacing w:after="0" w:line="240" w:lineRule="auto"/>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 xml:space="preserve">The report does not sufficiently explain how the initiative avoids conflicting with the Database Directive and the General Data Protection Regulation (GDPR). </w:t>
                  </w:r>
                </w:p>
                <w:p w:rsidR="00DF1A33" w:rsidRDefault="00456F01">
                  <w:pPr>
                    <w:autoSpaceDE w:val="0"/>
                    <w:autoSpaceDN w:val="0"/>
                    <w:adjustRightInd w:val="0"/>
                    <w:spacing w:after="0" w:line="240" w:lineRule="auto"/>
                    <w:rPr>
                      <w:rFonts w:ascii="Times New Roman" w:hAnsi="Times New Roman" w:cs="Times New Roman"/>
                      <w:noProof/>
                      <w:color w:val="000000"/>
                      <w:sz w:val="24"/>
                      <w:szCs w:val="24"/>
                    </w:rPr>
                  </w:pPr>
                  <w:r>
                    <w:rPr>
                      <w:rFonts w:ascii="Times New Roman" w:hAnsi="Times New Roman" w:cs="Times New Roman"/>
                      <w:noProof/>
                      <w:sz w:val="24"/>
                      <w:szCs w:val="24"/>
                    </w:rPr>
                    <w:t>The report should clarify the relationship and co</w:t>
                  </w:r>
                  <w:r>
                    <w:rPr>
                      <w:rFonts w:ascii="Times New Roman" w:hAnsi="Times New Roman" w:cs="Times New Roman"/>
                      <w:noProof/>
                      <w:sz w:val="24"/>
                      <w:szCs w:val="24"/>
                    </w:rPr>
                    <w:t>herence of the PSI with the GDPR and the Database Directive. The report should elaborate on how the initiative addresses challenges of anonymisation of data and privacy, protection of databases and IPR. It should better address stakeholder concerns related</w:t>
                  </w:r>
                  <w:r>
                    <w:rPr>
                      <w:rFonts w:ascii="Times New Roman" w:hAnsi="Times New Roman" w:cs="Times New Roman"/>
                      <w:noProof/>
                      <w:sz w:val="24"/>
                      <w:szCs w:val="24"/>
                    </w:rPr>
                    <w:t xml:space="preserve"> to the necessary (specific) protection of data and databases in sensitive sectors such as the health sector, when they are open to private operators and service providers. The report should clarify the risks (of re-identification for example) and limits o</w:t>
                  </w:r>
                  <w:r>
                    <w:rPr>
                      <w:rFonts w:ascii="Times New Roman" w:hAnsi="Times New Roman" w:cs="Times New Roman"/>
                      <w:noProof/>
                      <w:sz w:val="24"/>
                      <w:szCs w:val="24"/>
                    </w:rPr>
                    <w:t xml:space="preserve">f the PSI. Consequently the report should better explain the safeguards against those risks. The report should elaborate on how the PSI tailors measures to tackle sui generis rights of national authorities. </w:t>
                  </w:r>
                </w:p>
              </w:tc>
            </w:tr>
          </w:tbl>
          <w:p w:rsidR="00DF1A33" w:rsidRDefault="00DF1A33">
            <w:pPr>
              <w:jc w:val="both"/>
              <w:rPr>
                <w:noProof/>
                <w:color w:val="000000"/>
                <w:sz w:val="24"/>
                <w:szCs w:val="24"/>
              </w:rPr>
            </w:pPr>
          </w:p>
        </w:tc>
        <w:tc>
          <w:tcPr>
            <w:tcW w:w="4417" w:type="dxa"/>
          </w:tcPr>
          <w:p w:rsidR="00DF1A33" w:rsidRDefault="00456F01">
            <w:pPr>
              <w:jc w:val="both"/>
              <w:rPr>
                <w:noProof/>
                <w:color w:val="000000"/>
                <w:sz w:val="24"/>
                <w:szCs w:val="24"/>
              </w:rPr>
            </w:pPr>
            <w:r>
              <w:rPr>
                <w:noProof/>
                <w:color w:val="000000"/>
                <w:sz w:val="24"/>
                <w:szCs w:val="24"/>
              </w:rPr>
              <w:t xml:space="preserve">Section 1.2 of the IA has been substantially </w:t>
            </w:r>
            <w:r>
              <w:rPr>
                <w:noProof/>
                <w:color w:val="000000"/>
                <w:sz w:val="24"/>
                <w:szCs w:val="24"/>
              </w:rPr>
              <w:t>reinforced in order to provide a more comprehensive overview of the complementarity of the PSI Directive, the GDPR, the Database Directive and the INSPIRE Directive. A specific section has been added to the text explaining how the challenges of pseudonymis</w:t>
            </w:r>
            <w:r>
              <w:rPr>
                <w:noProof/>
                <w:color w:val="000000"/>
                <w:sz w:val="24"/>
                <w:szCs w:val="24"/>
              </w:rPr>
              <w:t>ation, anonymisation and data protection are to be addressed, in particular, through targeted funding activities addressing privacy enhancing technologies both under the H2020 and CEF programmes.</w:t>
            </w:r>
          </w:p>
        </w:tc>
      </w:tr>
      <w:tr w:rsidR="00DF1A33">
        <w:tc>
          <w:tcPr>
            <w:tcW w:w="4417" w:type="dxa"/>
          </w:tcPr>
          <w:tbl>
            <w:tblPr>
              <w:tblW w:w="0" w:type="auto"/>
              <w:tblBorders>
                <w:top w:val="nil"/>
                <w:left w:val="nil"/>
                <w:bottom w:val="nil"/>
                <w:right w:val="nil"/>
              </w:tblBorders>
              <w:tblLook w:val="0000" w:firstRow="0" w:lastRow="0" w:firstColumn="0" w:lastColumn="0" w:noHBand="0" w:noVBand="0"/>
            </w:tblPr>
            <w:tblGrid>
              <w:gridCol w:w="4201"/>
            </w:tblGrid>
            <w:tr w:rsidR="00DF1A33">
              <w:trPr>
                <w:trHeight w:val="245"/>
              </w:trPr>
              <w:tc>
                <w:tcPr>
                  <w:tcW w:w="0" w:type="auto"/>
                </w:tcPr>
                <w:p w:rsidR="00DF1A33" w:rsidRDefault="00456F01">
                  <w:pPr>
                    <w:autoSpaceDE w:val="0"/>
                    <w:autoSpaceDN w:val="0"/>
                    <w:adjustRightInd w:val="0"/>
                    <w:spacing w:after="0" w:line="240" w:lineRule="auto"/>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 xml:space="preserve">The definition of options is not sufficiently specific and </w:t>
                  </w:r>
                  <w:r>
                    <w:rPr>
                      <w:rFonts w:ascii="Times New Roman" w:hAnsi="Times New Roman" w:cs="Times New Roman"/>
                      <w:b/>
                      <w:bCs/>
                      <w:noProof/>
                      <w:color w:val="000000"/>
                      <w:sz w:val="24"/>
                      <w:szCs w:val="24"/>
                    </w:rPr>
                    <w:t xml:space="preserve">their range is too narrow to provide a genuine choice of alternative solutions. </w:t>
                  </w:r>
                </w:p>
                <w:p w:rsidR="00DF1A33" w:rsidRDefault="00456F01">
                  <w:pPr>
                    <w:autoSpaceDE w:val="0"/>
                    <w:autoSpaceDN w:val="0"/>
                    <w:adjustRightInd w:val="0"/>
                    <w:spacing w:after="0" w:line="240" w:lineRule="auto"/>
                    <w:rPr>
                      <w:rFonts w:ascii="Times New Roman" w:hAnsi="Times New Roman" w:cs="Times New Roman"/>
                      <w:noProof/>
                      <w:color w:val="000000"/>
                      <w:sz w:val="24"/>
                      <w:szCs w:val="24"/>
                    </w:rPr>
                  </w:pPr>
                  <w:r>
                    <w:rPr>
                      <w:rFonts w:ascii="Times New Roman" w:hAnsi="Times New Roman" w:cs="Times New Roman"/>
                      <w:noProof/>
                      <w:sz w:val="24"/>
                      <w:szCs w:val="24"/>
                    </w:rPr>
                    <w:t>The report should avoid including unworkable measures in option 2. The report should explain in more detail the content of the options, including the list of high-value data t</w:t>
                  </w:r>
                  <w:r>
                    <w:rPr>
                      <w:rFonts w:ascii="Times New Roman" w:hAnsi="Times New Roman" w:cs="Times New Roman"/>
                      <w:noProof/>
                      <w:sz w:val="24"/>
                      <w:szCs w:val="24"/>
                    </w:rPr>
                    <w:t xml:space="preserve">hat potentially would have to be disseminated free of charge. Similarly, the report should explain the modalities for tightening the rules for invoking exceptions to the marginal cost of dissemination approach. The report should better clarify what issues </w:t>
                  </w:r>
                  <w:r>
                    <w:rPr>
                      <w:rFonts w:ascii="Times New Roman" w:hAnsi="Times New Roman" w:cs="Times New Roman"/>
                      <w:noProof/>
                      <w:sz w:val="24"/>
                      <w:szCs w:val="24"/>
                    </w:rPr>
                    <w:t xml:space="preserve">will be dealt with in delegated acts. It could also usefully expand the range of options with intermediate solutions (possibly combining regulatory with soft-law measures) in order to provide the decision makers with a wider choice of alternatives. </w:t>
                  </w:r>
                </w:p>
              </w:tc>
            </w:tr>
          </w:tbl>
          <w:p w:rsidR="00DF1A33" w:rsidRDefault="00DF1A33">
            <w:pPr>
              <w:jc w:val="both"/>
              <w:rPr>
                <w:noProof/>
                <w:color w:val="000000"/>
                <w:sz w:val="24"/>
                <w:szCs w:val="24"/>
              </w:rPr>
            </w:pPr>
          </w:p>
        </w:tc>
        <w:tc>
          <w:tcPr>
            <w:tcW w:w="4417" w:type="dxa"/>
          </w:tcPr>
          <w:p w:rsidR="00DF1A33" w:rsidRDefault="00456F01">
            <w:pPr>
              <w:jc w:val="both"/>
              <w:rPr>
                <w:noProof/>
                <w:color w:val="000000"/>
                <w:sz w:val="24"/>
                <w:szCs w:val="24"/>
              </w:rPr>
            </w:pPr>
            <w:r>
              <w:rPr>
                <w:noProof/>
                <w:color w:val="000000"/>
                <w:sz w:val="24"/>
                <w:szCs w:val="24"/>
              </w:rPr>
              <w:t xml:space="preserve">The </w:t>
            </w:r>
            <w:r>
              <w:rPr>
                <w:noProof/>
                <w:color w:val="000000"/>
                <w:sz w:val="24"/>
                <w:szCs w:val="24"/>
              </w:rPr>
              <w:t xml:space="preserve">choice for the distinction between the policy options has been explained in chapter 5.2., including the clarification of the interplay between the main legislative packaged solutions of 'high' and 'low' intervention intensity and the 'intermediate' option </w:t>
            </w:r>
            <w:r>
              <w:rPr>
                <w:noProof/>
                <w:color w:val="000000"/>
                <w:sz w:val="24"/>
                <w:szCs w:val="24"/>
              </w:rPr>
              <w:t>consisting of a future Delegated Act subject to a separate future Impact Assessment.</w:t>
            </w:r>
            <w:r>
              <w:rPr>
                <w:noProof/>
              </w:rPr>
              <w:t xml:space="preserve"> </w:t>
            </w:r>
            <w:r>
              <w:rPr>
                <w:noProof/>
                <w:color w:val="000000"/>
                <w:sz w:val="24"/>
                <w:szCs w:val="24"/>
              </w:rPr>
              <w:t>The table on page 31 was also updated to bring it in line with the descriptions of the two main packages of policy options and the inclusion of binding and non-binding ele</w:t>
            </w:r>
            <w:r>
              <w:rPr>
                <w:noProof/>
                <w:color w:val="000000"/>
                <w:sz w:val="24"/>
                <w:szCs w:val="24"/>
              </w:rPr>
              <w:t>ments was clarified.</w:t>
            </w:r>
          </w:p>
          <w:p w:rsidR="00DF1A33" w:rsidRDefault="00DF1A33">
            <w:pPr>
              <w:jc w:val="both"/>
              <w:rPr>
                <w:noProof/>
                <w:color w:val="000000"/>
                <w:sz w:val="24"/>
                <w:szCs w:val="24"/>
              </w:rPr>
            </w:pPr>
          </w:p>
          <w:p w:rsidR="00DF1A33" w:rsidRDefault="00456F01">
            <w:pPr>
              <w:jc w:val="both"/>
              <w:rPr>
                <w:noProof/>
                <w:color w:val="000000"/>
                <w:sz w:val="24"/>
                <w:szCs w:val="24"/>
              </w:rPr>
            </w:pPr>
            <w:r>
              <w:rPr>
                <w:noProof/>
                <w:color w:val="000000"/>
                <w:sz w:val="24"/>
                <w:szCs w:val="24"/>
              </w:rPr>
              <w:t>The reasons behind assessing the impact of two main policy packages, both including the soft and hard law measures, while assigning the 'intermediate' measure of high value datasets to a 'lower intensity' option, have also been explai</w:t>
            </w:r>
            <w:r>
              <w:rPr>
                <w:noProof/>
                <w:color w:val="000000"/>
                <w:sz w:val="24"/>
                <w:szCs w:val="24"/>
              </w:rPr>
              <w:t>ned.</w:t>
            </w:r>
          </w:p>
          <w:p w:rsidR="00DF1A33" w:rsidRDefault="00DF1A33">
            <w:pPr>
              <w:jc w:val="both"/>
              <w:rPr>
                <w:noProof/>
                <w:color w:val="000000"/>
                <w:sz w:val="24"/>
                <w:szCs w:val="24"/>
              </w:rPr>
            </w:pPr>
          </w:p>
          <w:p w:rsidR="00DF1A33" w:rsidRDefault="00456F01">
            <w:pPr>
              <w:jc w:val="both"/>
              <w:rPr>
                <w:noProof/>
                <w:color w:val="000000"/>
                <w:sz w:val="24"/>
                <w:szCs w:val="24"/>
              </w:rPr>
            </w:pPr>
            <w:r>
              <w:rPr>
                <w:noProof/>
                <w:color w:val="000000"/>
                <w:sz w:val="24"/>
                <w:szCs w:val="24"/>
              </w:rPr>
              <w:t>Each policy option is now described with reference to the concrete legislative changes resulting from it (see: table of policy options in chapter 5.2).</w:t>
            </w:r>
          </w:p>
          <w:p w:rsidR="00DF1A33" w:rsidRDefault="00DF1A33">
            <w:pPr>
              <w:jc w:val="both"/>
              <w:rPr>
                <w:noProof/>
                <w:color w:val="000000"/>
                <w:sz w:val="24"/>
                <w:szCs w:val="24"/>
              </w:rPr>
            </w:pPr>
          </w:p>
        </w:tc>
      </w:tr>
      <w:tr w:rsidR="00DF1A33">
        <w:tc>
          <w:tcPr>
            <w:tcW w:w="4417" w:type="dxa"/>
          </w:tcPr>
          <w:p w:rsidR="00DF1A33" w:rsidRDefault="00456F01">
            <w:pPr>
              <w:pStyle w:val="Default"/>
              <w:jc w:val="both"/>
              <w:rPr>
                <w:rFonts w:ascii="Times New Roman" w:hAnsi="Times New Roman" w:cs="Times New Roman"/>
                <w:noProof/>
              </w:rPr>
            </w:pPr>
            <w:r>
              <w:rPr>
                <w:rFonts w:ascii="Times New Roman" w:hAnsi="Times New Roman" w:cs="Times New Roman"/>
                <w:noProof/>
              </w:rPr>
              <w:t>The report should clarify the role of the initiative in the context of the 2018 Data Package. It should also elaborate on the relationship of the PSI with international initiatives such as the G8 Open Data Charter and the recent OECD Recommendations on dat</w:t>
            </w:r>
            <w:r>
              <w:rPr>
                <w:rFonts w:ascii="Times New Roman" w:hAnsi="Times New Roman" w:cs="Times New Roman"/>
                <w:noProof/>
              </w:rPr>
              <w:t xml:space="preserve">a openness. </w:t>
            </w:r>
          </w:p>
        </w:tc>
        <w:tc>
          <w:tcPr>
            <w:tcW w:w="4417" w:type="dxa"/>
          </w:tcPr>
          <w:p w:rsidR="00DF1A33" w:rsidRDefault="00456F01">
            <w:pPr>
              <w:jc w:val="both"/>
              <w:rPr>
                <w:noProof/>
                <w:color w:val="000000"/>
                <w:sz w:val="24"/>
                <w:szCs w:val="24"/>
              </w:rPr>
            </w:pPr>
            <w:r>
              <w:rPr>
                <w:noProof/>
                <w:color w:val="000000"/>
                <w:sz w:val="24"/>
                <w:szCs w:val="24"/>
              </w:rPr>
              <w:t xml:space="preserve">Two paragraphs have been added to the Introduction of the report clarifying the role of the initiative in the 2018 Data Package. Additionally, Section 1.1 (Policy Context) has been reinforced in order to give a thorough overview of the </w:t>
            </w:r>
            <w:r>
              <w:rPr>
                <w:noProof/>
                <w:color w:val="000000"/>
                <w:sz w:val="24"/>
                <w:szCs w:val="24"/>
              </w:rPr>
              <w:t>relations between the PSI Directive and international initiatives like the G8 Open Data Charter and the relevant OECD Council Recommendations.</w:t>
            </w:r>
          </w:p>
        </w:tc>
      </w:tr>
      <w:tr w:rsidR="00DF1A33">
        <w:tc>
          <w:tcPr>
            <w:tcW w:w="4417" w:type="dxa"/>
          </w:tcPr>
          <w:p w:rsidR="00DF1A33" w:rsidRDefault="00456F01">
            <w:pPr>
              <w:pStyle w:val="Default"/>
              <w:jc w:val="both"/>
              <w:rPr>
                <w:rFonts w:ascii="Times New Roman" w:hAnsi="Times New Roman" w:cs="Times New Roman"/>
                <w:noProof/>
              </w:rPr>
            </w:pPr>
            <w:r>
              <w:rPr>
                <w:rFonts w:ascii="Times New Roman" w:hAnsi="Times New Roman" w:cs="Times New Roman"/>
                <w:noProof/>
              </w:rPr>
              <w:t>Based on the accompanying study, the report should present more data on the magnitude of the four problems it id</w:t>
            </w:r>
            <w:r>
              <w:rPr>
                <w:rFonts w:ascii="Times New Roman" w:hAnsi="Times New Roman" w:cs="Times New Roman"/>
                <w:noProof/>
              </w:rPr>
              <w:t xml:space="preserve">entifies. It should analyse them in the context of potential single market distortions. It should explain what the main drivers that underpin the four issues are. </w:t>
            </w:r>
          </w:p>
        </w:tc>
        <w:tc>
          <w:tcPr>
            <w:tcW w:w="4417" w:type="dxa"/>
          </w:tcPr>
          <w:p w:rsidR="00DF1A33" w:rsidRDefault="00456F01">
            <w:pPr>
              <w:jc w:val="both"/>
              <w:rPr>
                <w:noProof/>
                <w:color w:val="000000"/>
                <w:sz w:val="24"/>
                <w:szCs w:val="24"/>
              </w:rPr>
            </w:pPr>
            <w:r>
              <w:rPr>
                <w:noProof/>
                <w:color w:val="000000"/>
                <w:sz w:val="24"/>
                <w:szCs w:val="24"/>
              </w:rPr>
              <w:t>All the sub-sections in Section 2.2 ( on the description of the four problems have been rein</w:t>
            </w:r>
            <w:r>
              <w:rPr>
                <w:noProof/>
                <w:color w:val="000000"/>
                <w:sz w:val="24"/>
                <w:szCs w:val="24"/>
              </w:rPr>
              <w:t>forced by the respective analysis and arguments used in the PSI Impact Assessment Support Study (SMART 2017/0061) and the Evaluation Report (Annex 5).</w:t>
            </w:r>
            <w:r>
              <w:rPr>
                <w:noProof/>
              </w:rPr>
              <w:t xml:space="preserve"> </w:t>
            </w:r>
            <w:r>
              <w:rPr>
                <w:noProof/>
                <w:color w:val="000000"/>
                <w:sz w:val="24"/>
                <w:szCs w:val="24"/>
              </w:rPr>
              <w:t>The aspect related to extent of the problems over time and in line with technological changes has also be</w:t>
            </w:r>
            <w:r>
              <w:rPr>
                <w:noProof/>
                <w:color w:val="000000"/>
                <w:sz w:val="24"/>
                <w:szCs w:val="24"/>
              </w:rPr>
              <w:t>en highlighted.</w:t>
            </w:r>
          </w:p>
        </w:tc>
      </w:tr>
      <w:tr w:rsidR="00DF1A33">
        <w:tc>
          <w:tcPr>
            <w:tcW w:w="4417" w:type="dxa"/>
          </w:tcPr>
          <w:p w:rsidR="00DF1A33" w:rsidRDefault="00456F01">
            <w:pPr>
              <w:pStyle w:val="Default"/>
              <w:jc w:val="both"/>
              <w:rPr>
                <w:rFonts w:ascii="Times New Roman" w:hAnsi="Times New Roman" w:cs="Times New Roman"/>
                <w:noProof/>
              </w:rPr>
            </w:pPr>
            <w:r>
              <w:rPr>
                <w:rFonts w:ascii="Times New Roman" w:hAnsi="Times New Roman" w:cs="Times New Roman"/>
                <w:noProof/>
              </w:rPr>
              <w:t xml:space="preserve">The report should draw on the accompanying study to more extensively describe the elements underpinning the baseline scenario. This includes information on the current and projected costs of production, anonymisation, and dissemination of </w:t>
            </w:r>
            <w:r>
              <w:rPr>
                <w:rFonts w:ascii="Times New Roman" w:hAnsi="Times New Roman" w:cs="Times New Roman"/>
                <w:noProof/>
              </w:rPr>
              <w:t xml:space="preserve">various PSI datasets and their potential market value. The baseline should project how the current situation will evolve in the absence of further EU action. It should serve as the comparator of the options envisaged for this initiative. </w:t>
            </w:r>
          </w:p>
        </w:tc>
        <w:tc>
          <w:tcPr>
            <w:tcW w:w="4417" w:type="dxa"/>
          </w:tcPr>
          <w:p w:rsidR="00DF1A33" w:rsidRDefault="00456F01">
            <w:pPr>
              <w:jc w:val="both"/>
              <w:rPr>
                <w:noProof/>
                <w:color w:val="000000"/>
                <w:sz w:val="24"/>
                <w:szCs w:val="24"/>
              </w:rPr>
            </w:pPr>
            <w:r>
              <w:rPr>
                <w:noProof/>
                <w:color w:val="000000"/>
                <w:sz w:val="24"/>
                <w:szCs w:val="24"/>
              </w:rPr>
              <w:t>Chapter 6.1.1. ha</w:t>
            </w:r>
            <w:r>
              <w:rPr>
                <w:noProof/>
                <w:color w:val="000000"/>
                <w:sz w:val="24"/>
                <w:szCs w:val="24"/>
              </w:rPr>
              <w:t xml:space="preserve">s been complemented with new, detailed information on the factors influencing the steadily increasing impact of open data despite the lack of additional EU intervention. </w:t>
            </w:r>
          </w:p>
          <w:p w:rsidR="00DF1A33" w:rsidRDefault="00DF1A33">
            <w:pPr>
              <w:jc w:val="both"/>
              <w:rPr>
                <w:noProof/>
                <w:color w:val="000000"/>
                <w:sz w:val="24"/>
                <w:szCs w:val="24"/>
              </w:rPr>
            </w:pPr>
          </w:p>
          <w:p w:rsidR="00DF1A33" w:rsidRDefault="00456F01">
            <w:pPr>
              <w:jc w:val="both"/>
              <w:rPr>
                <w:noProof/>
                <w:color w:val="000000"/>
                <w:sz w:val="24"/>
                <w:szCs w:val="24"/>
              </w:rPr>
            </w:pPr>
            <w:r>
              <w:rPr>
                <w:noProof/>
                <w:color w:val="000000"/>
                <w:sz w:val="24"/>
                <w:szCs w:val="24"/>
              </w:rPr>
              <w:t>References to more detailed descriptions included in the Support Study and acting as</w:t>
            </w:r>
            <w:r>
              <w:rPr>
                <w:noProof/>
                <w:color w:val="000000"/>
                <w:sz w:val="24"/>
                <w:szCs w:val="24"/>
              </w:rPr>
              <w:t xml:space="preserve"> methodological background, have also been added. </w:t>
            </w:r>
          </w:p>
        </w:tc>
      </w:tr>
      <w:tr w:rsidR="00DF1A33">
        <w:tc>
          <w:tcPr>
            <w:tcW w:w="4417" w:type="dxa"/>
          </w:tcPr>
          <w:p w:rsidR="00DF1A33" w:rsidRDefault="00456F01">
            <w:pPr>
              <w:pStyle w:val="Default"/>
              <w:jc w:val="both"/>
              <w:rPr>
                <w:rFonts w:ascii="Times New Roman" w:hAnsi="Times New Roman" w:cs="Times New Roman"/>
                <w:noProof/>
              </w:rPr>
            </w:pPr>
            <w:r>
              <w:rPr>
                <w:rFonts w:ascii="Times New Roman" w:hAnsi="Times New Roman" w:cs="Times New Roman"/>
                <w:noProof/>
              </w:rPr>
              <w:t>The section on impact needs also to include more information on costs and benefits. It can draw on the external study for this. It should indicate the costs that are quantified and those that are not (adm</w:t>
            </w:r>
            <w:r>
              <w:rPr>
                <w:rFonts w:ascii="Times New Roman" w:hAnsi="Times New Roman" w:cs="Times New Roman"/>
                <w:noProof/>
              </w:rPr>
              <w:t xml:space="preserve">inistrative and litigation costs). It should be more specific on how benefits and costs are distributed over time and across stakeholder categories. It should also show that public bodies can cope with additional obligations on re-use of data. </w:t>
            </w:r>
          </w:p>
          <w:p w:rsidR="00DF1A33" w:rsidRDefault="00DF1A33">
            <w:pPr>
              <w:pStyle w:val="Default"/>
              <w:jc w:val="both"/>
              <w:rPr>
                <w:rFonts w:ascii="Times New Roman" w:hAnsi="Times New Roman" w:cs="Times New Roman"/>
                <w:noProof/>
              </w:rPr>
            </w:pPr>
          </w:p>
          <w:p w:rsidR="00DF1A33" w:rsidRDefault="00456F01">
            <w:pPr>
              <w:jc w:val="both"/>
              <w:rPr>
                <w:noProof/>
                <w:sz w:val="24"/>
                <w:szCs w:val="24"/>
              </w:rPr>
            </w:pPr>
            <w:r>
              <w:rPr>
                <w:noProof/>
                <w:color w:val="000000"/>
                <w:sz w:val="24"/>
                <w:szCs w:val="24"/>
              </w:rPr>
              <w:t xml:space="preserve">The Board </w:t>
            </w:r>
            <w:r>
              <w:rPr>
                <w:noProof/>
                <w:color w:val="000000"/>
                <w:sz w:val="24"/>
                <w:szCs w:val="24"/>
              </w:rPr>
              <w:t xml:space="preserve">takes note of the quantification of the various costs and benefits associated to </w:t>
            </w:r>
            <w:r>
              <w:rPr>
                <w:noProof/>
                <w:sz w:val="24"/>
                <w:szCs w:val="24"/>
              </w:rPr>
              <w:t xml:space="preserve">the preferred option of this initiative, as assessed in the report considered by the Board and summarised in the attached quantification tables. </w:t>
            </w:r>
          </w:p>
        </w:tc>
        <w:tc>
          <w:tcPr>
            <w:tcW w:w="4417" w:type="dxa"/>
          </w:tcPr>
          <w:p w:rsidR="00DF1A33" w:rsidRDefault="00456F01">
            <w:pPr>
              <w:jc w:val="both"/>
              <w:rPr>
                <w:noProof/>
                <w:color w:val="000000"/>
                <w:sz w:val="24"/>
                <w:szCs w:val="24"/>
              </w:rPr>
            </w:pPr>
            <w:r>
              <w:rPr>
                <w:noProof/>
                <w:color w:val="000000"/>
                <w:sz w:val="24"/>
                <w:szCs w:val="24"/>
              </w:rPr>
              <w:t>Additional information regard</w:t>
            </w:r>
            <w:r>
              <w:rPr>
                <w:noProof/>
                <w:color w:val="000000"/>
                <w:sz w:val="24"/>
                <w:szCs w:val="24"/>
              </w:rPr>
              <w:t xml:space="preserve">ing the methodology used by the Support Study to measure costs and benefits, as well as their distribution over time and across the individual elements of the policy options, has been added to Annex 8 and Annex 5. </w:t>
            </w:r>
          </w:p>
          <w:p w:rsidR="00DF1A33" w:rsidRDefault="00DF1A33">
            <w:pPr>
              <w:jc w:val="both"/>
              <w:rPr>
                <w:noProof/>
                <w:color w:val="000000"/>
                <w:sz w:val="24"/>
                <w:szCs w:val="24"/>
              </w:rPr>
            </w:pPr>
          </w:p>
          <w:p w:rsidR="00DF1A33" w:rsidRDefault="00456F01">
            <w:pPr>
              <w:jc w:val="both"/>
              <w:rPr>
                <w:noProof/>
                <w:color w:val="000000"/>
                <w:sz w:val="24"/>
                <w:szCs w:val="24"/>
              </w:rPr>
            </w:pPr>
            <w:r>
              <w:rPr>
                <w:noProof/>
                <w:color w:val="000000"/>
                <w:sz w:val="24"/>
                <w:szCs w:val="24"/>
              </w:rPr>
              <w:t>Section 6.1 includes a more detailed exp</w:t>
            </w:r>
            <w:r>
              <w:rPr>
                <w:noProof/>
                <w:color w:val="000000"/>
                <w:sz w:val="24"/>
                <w:szCs w:val="24"/>
              </w:rPr>
              <w:t>lanation of the factors taken into account for the estimates of expected impact of the policy options retained.</w:t>
            </w:r>
          </w:p>
        </w:tc>
      </w:tr>
    </w:tbl>
    <w:p w:rsidR="00DF1A33" w:rsidRDefault="00DF1A33">
      <w:pPr>
        <w:jc w:val="both"/>
        <w:rPr>
          <w:rFonts w:ascii="Times New Roman" w:eastAsia="Times New Roman" w:hAnsi="Times New Roman" w:cs="Times New Roman"/>
          <w:noProof/>
          <w:color w:val="000000"/>
          <w:sz w:val="24"/>
          <w:szCs w:val="24"/>
        </w:rPr>
      </w:pPr>
    </w:p>
    <w:p w:rsidR="00DF1A33" w:rsidRDefault="00456F01">
      <w:pPr>
        <w:rPr>
          <w:rFonts w:ascii="Times New Roman" w:hAnsi="Times New Roman" w:cs="Times New Roman"/>
          <w:b/>
          <w:smallCaps/>
          <w:noProof/>
          <w:sz w:val="24"/>
          <w:szCs w:val="24"/>
        </w:rPr>
      </w:pPr>
      <w:bookmarkStart w:id="1916" w:name="_Toc471997758"/>
      <w:bookmarkStart w:id="1917" w:name="_Toc481484488"/>
      <w:bookmarkStart w:id="1918" w:name="_Toc504120245"/>
      <w:bookmarkStart w:id="1919" w:name="_Toc504142988"/>
      <w:bookmarkStart w:id="1920" w:name="_Toc504151688"/>
      <w:bookmarkStart w:id="1921" w:name="_Toc504382972"/>
      <w:bookmarkStart w:id="1922" w:name="_Toc504391118"/>
      <w:bookmarkStart w:id="1923" w:name="_Toc504403207"/>
      <w:bookmarkStart w:id="1924" w:name="_Toc504743676"/>
      <w:bookmarkStart w:id="1925" w:name="_Toc504751228"/>
      <w:bookmarkStart w:id="1926" w:name="_Toc504751402"/>
      <w:bookmarkStart w:id="1927" w:name="_Toc505182022"/>
      <w:bookmarkStart w:id="1928" w:name="_Toc505248676"/>
      <w:r>
        <w:rPr>
          <w:rFonts w:ascii="Times New Roman" w:hAnsi="Times New Roman" w:cs="Times New Roman"/>
          <w:b/>
          <w:smallCaps/>
          <w:noProof/>
          <w:sz w:val="24"/>
          <w:szCs w:val="24"/>
        </w:rPr>
        <w:t>Evidence, sources and quality</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p>
    <w:p w:rsidR="00DF1A33" w:rsidRDefault="00456F01">
      <w:pPr>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i/>
          <w:iCs/>
          <w:noProof/>
          <w:color w:val="000000"/>
          <w:sz w:val="24"/>
          <w:szCs w:val="24"/>
        </w:rPr>
        <w:t>Evidence-collection process</w:t>
      </w:r>
    </w:p>
    <w:p w:rsidR="00DF1A33" w:rsidRDefault="00456F01">
      <w:pPr>
        <w:jc w:val="both"/>
        <w:rPr>
          <w:rFonts w:ascii="Times New Roman" w:hAnsi="Times New Roman" w:cs="Times New Roman"/>
          <w:noProof/>
          <w:color w:val="000000"/>
          <w:sz w:val="24"/>
          <w:szCs w:val="24"/>
        </w:rPr>
      </w:pPr>
      <w:r>
        <w:rPr>
          <w:rFonts w:ascii="Times New Roman" w:hAnsi="Times New Roman"/>
          <w:noProof/>
          <w:color w:val="000000"/>
          <w:sz w:val="24"/>
        </w:rPr>
        <w:t>A REFIT evaluation</w:t>
      </w:r>
      <w:r>
        <w:rPr>
          <w:rStyle w:val="FootnoteReference"/>
          <w:rFonts w:ascii="Times New Roman" w:hAnsi="Times New Roman"/>
          <w:noProof/>
          <w:color w:val="000000"/>
          <w:sz w:val="24"/>
        </w:rPr>
        <w:footnoteReference w:id="191"/>
      </w:r>
      <w:r>
        <w:rPr>
          <w:rFonts w:ascii="Times New Roman" w:hAnsi="Times New Roman"/>
          <w:noProof/>
          <w:color w:val="000000"/>
          <w:sz w:val="24"/>
        </w:rPr>
        <w:t xml:space="preserve"> (ex-post evaluation) was performed in parallel with the review and Impact Assessment. This evidence-collection process has been supported by a study (SMART 2017/0061), combining an evaluation with an Impact Assessment ("back-to-back"). Complementary eleme</w:t>
      </w:r>
      <w:r>
        <w:rPr>
          <w:rFonts w:ascii="Times New Roman" w:hAnsi="Times New Roman"/>
          <w:noProof/>
          <w:color w:val="000000"/>
          <w:sz w:val="24"/>
        </w:rPr>
        <w:t>nts will come from the preliminary results of the study on PSI Request repository (SMART 2016/0088) which provided a comparison of re-use requests and their outcomes across countries.</w:t>
      </w:r>
    </w:p>
    <w:p w:rsidR="00DF1A33" w:rsidRDefault="00456F01">
      <w:pPr>
        <w:jc w:val="both"/>
        <w:rPr>
          <w:rFonts w:ascii="Times New Roman" w:hAnsi="Times New Roman" w:cs="Times New Roman"/>
          <w:noProof/>
          <w:color w:val="000000"/>
          <w:sz w:val="24"/>
          <w:szCs w:val="24"/>
        </w:rPr>
      </w:pPr>
      <w:r>
        <w:rPr>
          <w:rFonts w:ascii="Times New Roman" w:hAnsi="Times New Roman"/>
          <w:noProof/>
          <w:color w:val="000000"/>
          <w:sz w:val="24"/>
        </w:rPr>
        <w:t xml:space="preserve">At the same time, a reporting exercise took place, as mandated by </w:t>
      </w:r>
      <w:r>
        <w:rPr>
          <w:rFonts w:ascii="Times New Roman" w:hAnsi="Times New Roman"/>
          <w:noProof/>
          <w:color w:val="000000"/>
          <w:sz w:val="24"/>
        </w:rPr>
        <w:t>article 13.2 of the Directive, aiming to collect feedback from Member States on the availability of public sector information for re-use, the conditions under which it is made available, and redress practices. This reporting exercise was complementary to t</w:t>
      </w:r>
      <w:r>
        <w:rPr>
          <w:rFonts w:ascii="Times New Roman" w:hAnsi="Times New Roman"/>
          <w:noProof/>
          <w:color w:val="000000"/>
          <w:sz w:val="24"/>
        </w:rPr>
        <w:t xml:space="preserve">he landscaping action led by the European Data Portal on the maturity of open data across Europe. A series of indicators cover the level of development of national policies promoting open data, an assessment of the features made available on national data </w:t>
      </w:r>
      <w:r>
        <w:rPr>
          <w:rFonts w:ascii="Times New Roman" w:hAnsi="Times New Roman"/>
          <w:noProof/>
          <w:color w:val="000000"/>
          <w:sz w:val="24"/>
        </w:rPr>
        <w:t>portals, as well as the expected impact of open data.</w:t>
      </w:r>
    </w:p>
    <w:p w:rsidR="00DF1A33" w:rsidRDefault="00456F01">
      <w:pPr>
        <w:jc w:val="both"/>
        <w:rPr>
          <w:rFonts w:ascii="Times New Roman" w:hAnsi="Times New Roman" w:cs="Times New Roman"/>
          <w:noProof/>
          <w:color w:val="000000"/>
          <w:sz w:val="24"/>
          <w:szCs w:val="24"/>
        </w:rPr>
      </w:pPr>
      <w:r>
        <w:rPr>
          <w:rFonts w:ascii="Times New Roman" w:hAnsi="Times New Roman"/>
          <w:i/>
          <w:noProof/>
          <w:color w:val="000000"/>
          <w:sz w:val="24"/>
        </w:rPr>
        <w:t>Stakeholders' consultation process</w:t>
      </w:r>
    </w:p>
    <w:p w:rsidR="00DF1A33" w:rsidRDefault="00456F01">
      <w:pPr>
        <w:jc w:val="both"/>
        <w:rPr>
          <w:rFonts w:ascii="Times New Roman" w:hAnsi="Times New Roman" w:cs="Times New Roman"/>
          <w:noProof/>
          <w:color w:val="000000"/>
          <w:sz w:val="24"/>
          <w:szCs w:val="24"/>
        </w:rPr>
      </w:pPr>
      <w:r>
        <w:rPr>
          <w:rFonts w:ascii="Times New Roman" w:hAnsi="Times New Roman"/>
          <w:noProof/>
          <w:color w:val="000000"/>
          <w:sz w:val="24"/>
        </w:rPr>
        <w:t>In addition to the feedback received on the Inception Impact Assessment (IIA), a public online consultation was conducted from September to December 2017, aiming at bo</w:t>
      </w:r>
      <w:r>
        <w:rPr>
          <w:rFonts w:ascii="Times New Roman" w:hAnsi="Times New Roman"/>
          <w:noProof/>
          <w:color w:val="000000"/>
          <w:sz w:val="24"/>
        </w:rPr>
        <w:t xml:space="preserve">th evaluating the implementation and effects of the current PSI Directive, and at getting feedback on possible impacts of the different policy options. The Inception Impact Assessment served as a supporting document to this public online consultation. </w:t>
      </w:r>
    </w:p>
    <w:p w:rsidR="00DF1A33" w:rsidRDefault="00456F01">
      <w:pPr>
        <w:jc w:val="both"/>
        <w:rPr>
          <w:rFonts w:ascii="Times New Roman" w:hAnsi="Times New Roman" w:cs="Times New Roman"/>
          <w:noProof/>
          <w:color w:val="000000"/>
          <w:sz w:val="24"/>
          <w:szCs w:val="24"/>
        </w:rPr>
      </w:pPr>
      <w:r>
        <w:rPr>
          <w:rFonts w:ascii="Times New Roman" w:hAnsi="Times New Roman"/>
          <w:noProof/>
          <w:color w:val="000000"/>
          <w:sz w:val="24"/>
        </w:rPr>
        <w:t xml:space="preserve">In </w:t>
      </w:r>
      <w:r>
        <w:rPr>
          <w:rFonts w:ascii="Times New Roman" w:hAnsi="Times New Roman"/>
          <w:noProof/>
          <w:color w:val="000000"/>
          <w:sz w:val="24"/>
        </w:rPr>
        <w:t>addition to these online consultations, workshops, some of which organised in the framework of the aforementioned "back-to-back" study, guaranteed further interactions with Member States, public bodies and businesses. Annex 2 presents a detailed analysis a</w:t>
      </w:r>
      <w:r>
        <w:rPr>
          <w:rFonts w:ascii="Times New Roman" w:hAnsi="Times New Roman"/>
          <w:noProof/>
          <w:color w:val="000000"/>
          <w:sz w:val="24"/>
        </w:rPr>
        <w:t xml:space="preserve">nd conclusions from this consultation process. </w:t>
      </w:r>
    </w:p>
    <w:p w:rsidR="00DF1A33" w:rsidRDefault="00456F01">
      <w:pPr>
        <w:pStyle w:val="Heading1"/>
        <w:pageBreakBefore/>
        <w:numPr>
          <w:ilvl w:val="0"/>
          <w:numId w:val="0"/>
        </w:numPr>
        <w:ind w:left="482"/>
        <w:jc w:val="center"/>
        <w:rPr>
          <w:noProof/>
          <w:sz w:val="32"/>
          <w:szCs w:val="32"/>
        </w:rPr>
      </w:pPr>
      <w:bookmarkStart w:id="1929" w:name="_Toc504747469"/>
      <w:bookmarkStart w:id="1930" w:name="_Toc504745321"/>
      <w:bookmarkStart w:id="1931" w:name="_Toc504745322"/>
      <w:bookmarkStart w:id="1932" w:name="_Toc504745323"/>
      <w:bookmarkStart w:id="1933" w:name="_Toc505182023"/>
      <w:bookmarkStart w:id="1934" w:name="_Toc504751403"/>
      <w:bookmarkStart w:id="1935" w:name="_Toc504751229"/>
      <w:bookmarkStart w:id="1936" w:name="_Toc504743677"/>
      <w:bookmarkStart w:id="1937" w:name="_Toc504403208"/>
      <w:bookmarkStart w:id="1938" w:name="_Toc504391119"/>
      <w:bookmarkStart w:id="1939" w:name="_Toc504382973"/>
      <w:bookmarkStart w:id="1940" w:name="_Toc504151689"/>
      <w:bookmarkStart w:id="1941" w:name="_Toc504142989"/>
      <w:bookmarkStart w:id="1942" w:name="_Toc504120246"/>
      <w:bookmarkStart w:id="1943" w:name="_Toc481484489"/>
      <w:bookmarkStart w:id="1944" w:name="_Toc505881408"/>
      <w:bookmarkStart w:id="1945" w:name="_Toc505869218"/>
      <w:bookmarkStart w:id="1946" w:name="_Toc505868751"/>
      <w:bookmarkStart w:id="1947" w:name="_Toc505864897"/>
      <w:bookmarkStart w:id="1948" w:name="_Toc505862332"/>
      <w:bookmarkStart w:id="1949" w:name="_Toc505856890"/>
      <w:bookmarkStart w:id="1950" w:name="_Toc505773196"/>
      <w:bookmarkStart w:id="1951" w:name="_Toc505705202"/>
      <w:bookmarkStart w:id="1952" w:name="_Toc505701715"/>
      <w:bookmarkStart w:id="1953" w:name="_Toc505698202"/>
      <w:bookmarkStart w:id="1954" w:name="_Toc505696716"/>
      <w:bookmarkStart w:id="1955" w:name="_Toc505346459"/>
      <w:bookmarkStart w:id="1956" w:name="_Toc505345871"/>
      <w:bookmarkStart w:id="1957" w:name="_Toc505335400"/>
      <w:bookmarkStart w:id="1958" w:name="_Toc505266548"/>
      <w:bookmarkStart w:id="1959" w:name="_Toc505248677"/>
      <w:bookmarkStart w:id="1960" w:name="_Toc509412641"/>
      <w:bookmarkStart w:id="1961" w:name="_Toc509414817"/>
      <w:bookmarkStart w:id="1962" w:name="_Toc509414873"/>
      <w:bookmarkEnd w:id="1929"/>
      <w:bookmarkEnd w:id="1930"/>
      <w:bookmarkEnd w:id="1931"/>
      <w:bookmarkEnd w:id="1932"/>
      <w:r>
        <w:rPr>
          <w:noProof/>
          <w:sz w:val="32"/>
          <w:szCs w:val="32"/>
        </w:rPr>
        <w:t xml:space="preserve">Annex 2: </w:t>
      </w:r>
      <w:bookmarkEnd w:id="1933"/>
      <w:bookmarkEnd w:id="1934"/>
      <w:bookmarkEnd w:id="1935"/>
      <w:bookmarkEnd w:id="1936"/>
      <w:bookmarkEnd w:id="1937"/>
      <w:bookmarkEnd w:id="1938"/>
      <w:bookmarkEnd w:id="1939"/>
      <w:bookmarkEnd w:id="1940"/>
      <w:bookmarkEnd w:id="1941"/>
      <w:bookmarkEnd w:id="1942"/>
      <w:bookmarkEnd w:id="1943"/>
      <w:r>
        <w:rPr>
          <w:noProof/>
          <w:sz w:val="32"/>
          <w:szCs w:val="32"/>
        </w:rPr>
        <w:tab/>
        <w:t>Consultation on PSI Directive review</w:t>
      </w:r>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rsidR="00DF1A33" w:rsidRDefault="00456F01">
      <w:pPr>
        <w:spacing w:after="240"/>
        <w:rPr>
          <w:rFonts w:ascii="Times New Roman" w:hAnsi="Times New Roman" w:cs="Times New Roman"/>
          <w:b/>
          <w:smallCaps/>
          <w:noProof/>
          <w:sz w:val="24"/>
          <w:szCs w:val="24"/>
        </w:rPr>
      </w:pPr>
      <w:bookmarkStart w:id="1963" w:name="_Toc505248678"/>
      <w:r>
        <w:rPr>
          <w:rFonts w:ascii="Times New Roman" w:hAnsi="Times New Roman" w:cs="Times New Roman"/>
          <w:b/>
          <w:smallCaps/>
          <w:noProof/>
          <w:sz w:val="24"/>
          <w:szCs w:val="24"/>
        </w:rPr>
        <w:t>Introduction</w:t>
      </w:r>
      <w:bookmarkEnd w:id="1963"/>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held a consultation on the review of </w:t>
      </w:r>
      <w:hyperlink r:id="rId37" w:history="1">
        <w:r>
          <w:rPr>
            <w:rStyle w:val="Hyperlink"/>
            <w:rFonts w:ascii="Times New Roman" w:hAnsi="Times New Roman" w:cs="Times New Roman"/>
            <w:noProof/>
            <w:sz w:val="24"/>
            <w:szCs w:val="24"/>
          </w:rPr>
          <w:t>Directive 2003/98/EC on the re-use of public sector information (PSI Directive)</w:t>
        </w:r>
      </w:hyperlink>
      <w:r>
        <w:rPr>
          <w:rFonts w:ascii="Times New Roman" w:hAnsi="Times New Roman" w:cs="Times New Roman"/>
          <w:noProof/>
          <w:sz w:val="24"/>
          <w:szCs w:val="24"/>
        </w:rPr>
        <w:t xml:space="preserve"> between June 2017 and late January 2018. The aim of this consultation was to assess the functioning of the Directive, consider the scope of the review, and reflect on pol</w:t>
      </w:r>
      <w:r>
        <w:rPr>
          <w:rFonts w:ascii="Times New Roman" w:hAnsi="Times New Roman" w:cs="Times New Roman"/>
          <w:noProof/>
          <w:sz w:val="24"/>
          <w:szCs w:val="24"/>
        </w:rPr>
        <w:t>icy options. At the same time, it explored the issue of access to private sector data which are of public interest. The consultation sought to involve PSI holders (public sector bodies) and re</w:t>
      </w:r>
      <w:r>
        <w:rPr>
          <w:rFonts w:ascii="Times New Roman" w:hAnsi="Times New Roman" w:cs="Times New Roman"/>
          <w:noProof/>
          <w:sz w:val="24"/>
          <w:szCs w:val="24"/>
        </w:rPr>
        <w:noBreakHyphen/>
        <w:t>users (public, private, commercial and non</w:t>
      </w:r>
      <w:r>
        <w:rPr>
          <w:rFonts w:ascii="Times New Roman" w:hAnsi="Times New Roman" w:cs="Times New Roman"/>
          <w:noProof/>
          <w:sz w:val="24"/>
          <w:szCs w:val="24"/>
        </w:rPr>
        <w:noBreakHyphen/>
        <w:t>commercial actors).</w:t>
      </w:r>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The feedback received from workshops (mainly from PSI holders) and an online questionnaire (68 % of respondents to which were primarily interested in re</w:t>
      </w:r>
      <w:r>
        <w:rPr>
          <w:rFonts w:ascii="Times New Roman" w:hAnsi="Times New Roman" w:cs="Times New Roman"/>
          <w:noProof/>
          <w:sz w:val="24"/>
          <w:szCs w:val="24"/>
        </w:rPr>
        <w:noBreakHyphen/>
        <w:t>using PSI) form the basis for the analysis and conclusions presented here.</w:t>
      </w:r>
    </w:p>
    <w:p w:rsidR="00DF1A33" w:rsidRDefault="00456F01">
      <w:pPr>
        <w:spacing w:after="240"/>
        <w:jc w:val="both"/>
        <w:rPr>
          <w:rFonts w:ascii="Times New Roman" w:hAnsi="Times New Roman" w:cs="Times New Roman"/>
          <w:b/>
          <w:noProof/>
          <w:sz w:val="24"/>
          <w:szCs w:val="24"/>
        </w:rPr>
      </w:pPr>
      <w:r>
        <w:rPr>
          <w:rFonts w:ascii="Times New Roman" w:hAnsi="Times New Roman" w:cs="Times New Roman"/>
          <w:b/>
          <w:noProof/>
          <w:sz w:val="24"/>
          <w:szCs w:val="24"/>
        </w:rPr>
        <w:t>Inception impact assessment</w:t>
      </w:r>
    </w:p>
    <w:p w:rsidR="00DF1A33" w:rsidRDefault="00456F01">
      <w:pPr>
        <w:pStyle w:val="m-5707567040959589615msolistparagraph"/>
        <w:spacing w:before="0" w:beforeAutospacing="0" w:after="240" w:afterAutospacing="0" w:line="276" w:lineRule="auto"/>
        <w:jc w:val="both"/>
        <w:rPr>
          <w:noProof/>
          <w:lang w:val="en-GB"/>
        </w:rPr>
      </w:pPr>
      <w:r>
        <w:rPr>
          <w:noProof/>
          <w:lang w:val="en-GB"/>
        </w:rPr>
        <w:t xml:space="preserve">The </w:t>
      </w:r>
      <w:hyperlink r:id="rId38" w:history="1">
        <w:r>
          <w:rPr>
            <w:rStyle w:val="Hyperlink"/>
            <w:noProof/>
            <w:lang w:val="en-GB"/>
          </w:rPr>
          <w:t>inception impact assessment</w:t>
        </w:r>
      </w:hyperlink>
      <w:r>
        <w:rPr>
          <w:noProof/>
          <w:lang w:val="en-GB"/>
        </w:rPr>
        <w:t xml:space="preserve"> was available for feedback on the Better Regulation portal from 18 September to 16 October 2017. The seven </w:t>
      </w:r>
      <w:hyperlink r:id="rId39" w:history="1">
        <w:r>
          <w:rPr>
            <w:rStyle w:val="Hyperlink"/>
            <w:noProof/>
            <w:lang w:val="en-GB"/>
          </w:rPr>
          <w:t>replies</w:t>
        </w:r>
      </w:hyperlink>
      <w:r>
        <w:rPr>
          <w:noProof/>
          <w:lang w:val="en-GB"/>
        </w:rPr>
        <w:t xml:space="preserve"> (from associations, public organisations, national statistical offices and private individuals) addressed topics including improving the interoperability of data, mai</w:t>
      </w:r>
      <w:r>
        <w:rPr>
          <w:noProof/>
          <w:lang w:val="en-GB"/>
        </w:rPr>
        <w:t>ntaining current charging rules, and maintaining the exception for cultural establishments. On extending the Directive’s scope to public utilities undertakings, concerns were raised as to cost and coherence with other legislation.</w:t>
      </w:r>
    </w:p>
    <w:p w:rsidR="00DF1A33" w:rsidRDefault="00456F01">
      <w:pPr>
        <w:spacing w:after="240"/>
        <w:jc w:val="both"/>
        <w:rPr>
          <w:rFonts w:ascii="Times New Roman" w:hAnsi="Times New Roman" w:cs="Times New Roman"/>
          <w:b/>
          <w:noProof/>
          <w:sz w:val="24"/>
          <w:szCs w:val="24"/>
        </w:rPr>
      </w:pPr>
      <w:r>
        <w:rPr>
          <w:rFonts w:ascii="Times New Roman" w:hAnsi="Times New Roman" w:cs="Times New Roman"/>
          <w:b/>
          <w:noProof/>
          <w:sz w:val="24"/>
          <w:szCs w:val="24"/>
        </w:rPr>
        <w:t>Online consultation</w:t>
      </w:r>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The p</w:t>
      </w:r>
      <w:r>
        <w:rPr>
          <w:rFonts w:ascii="Times New Roman" w:hAnsi="Times New Roman" w:cs="Times New Roman"/>
          <w:noProof/>
          <w:sz w:val="24"/>
          <w:szCs w:val="24"/>
        </w:rPr>
        <w:t xml:space="preserve">ublic online consultation (19 September to 16 December 2017) asked for views on how the Directive is implemented, (including problems, objectives and possible options for the future) and addressed the issue of public access to data of public interest held </w:t>
      </w:r>
      <w:r>
        <w:rPr>
          <w:rFonts w:ascii="Times New Roman" w:hAnsi="Times New Roman" w:cs="Times New Roman"/>
          <w:noProof/>
          <w:sz w:val="24"/>
          <w:szCs w:val="24"/>
        </w:rPr>
        <w:t>by the private sector. It targeted all interested parties, including governments, public sector content</w:t>
      </w:r>
      <w:r>
        <w:rPr>
          <w:rFonts w:ascii="Times New Roman" w:hAnsi="Times New Roman" w:cs="Times New Roman"/>
          <w:noProof/>
          <w:sz w:val="24"/>
          <w:szCs w:val="24"/>
        </w:rPr>
        <w:noBreakHyphen/>
        <w:t>holders and users, commercial and non-commercial re-users, experts and academics, and the general public.</w:t>
      </w:r>
    </w:p>
    <w:p w:rsidR="00DF1A33" w:rsidRDefault="00456F01">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273 replies, from all Member States, inclu</w:t>
      </w:r>
      <w:r>
        <w:rPr>
          <w:rFonts w:ascii="Times New Roman" w:hAnsi="Times New Roman" w:cs="Times New Roman"/>
          <w:noProof/>
          <w:sz w:val="24"/>
          <w:szCs w:val="24"/>
        </w:rPr>
        <w:t>ded:</w:t>
      </w:r>
    </w:p>
    <w:p w:rsidR="00DF1A33" w:rsidRDefault="00456F01">
      <w:pPr>
        <w:pStyle w:val="ListParagraph"/>
        <w:numPr>
          <w:ilvl w:val="0"/>
          <w:numId w:val="23"/>
        </w:numPr>
        <w:spacing w:after="120"/>
        <w:ind w:left="850" w:hanging="425"/>
        <w:jc w:val="both"/>
        <w:rPr>
          <w:rFonts w:ascii="Times New Roman" w:hAnsi="Times New Roman" w:cs="Times New Roman"/>
          <w:noProof/>
          <w:sz w:val="24"/>
          <w:szCs w:val="24"/>
        </w:rPr>
      </w:pPr>
      <w:r>
        <w:rPr>
          <w:rFonts w:ascii="Times New Roman" w:hAnsi="Times New Roman" w:cs="Times New Roman"/>
          <w:noProof/>
          <w:sz w:val="24"/>
          <w:szCs w:val="24"/>
        </w:rPr>
        <w:t>almost 29 % from public organisations (general and statistical services, research, etc.);</w:t>
      </w:r>
    </w:p>
    <w:p w:rsidR="00DF1A33" w:rsidRDefault="00456F01">
      <w:pPr>
        <w:pStyle w:val="ListParagraph"/>
        <w:numPr>
          <w:ilvl w:val="0"/>
          <w:numId w:val="23"/>
        </w:numPr>
        <w:spacing w:after="120"/>
        <w:ind w:left="850" w:hanging="425"/>
        <w:jc w:val="both"/>
        <w:rPr>
          <w:rFonts w:ascii="Times New Roman" w:hAnsi="Times New Roman" w:cs="Times New Roman"/>
          <w:noProof/>
          <w:sz w:val="24"/>
          <w:szCs w:val="24"/>
        </w:rPr>
      </w:pPr>
      <w:r>
        <w:rPr>
          <w:rFonts w:ascii="Times New Roman" w:hAnsi="Times New Roman" w:cs="Times New Roman"/>
          <w:noProof/>
          <w:sz w:val="24"/>
          <w:szCs w:val="24"/>
        </w:rPr>
        <w:t xml:space="preserve">almost 25 % from associations (representing public or private actors); and </w:t>
      </w:r>
    </w:p>
    <w:p w:rsidR="00DF1A33" w:rsidRDefault="00456F01">
      <w:pPr>
        <w:pStyle w:val="ListParagraph"/>
        <w:numPr>
          <w:ilvl w:val="0"/>
          <w:numId w:val="23"/>
        </w:numPr>
        <w:spacing w:after="240"/>
        <w:ind w:left="850" w:hanging="425"/>
        <w:jc w:val="both"/>
        <w:rPr>
          <w:rFonts w:ascii="Times New Roman" w:hAnsi="Times New Roman" w:cs="Times New Roman"/>
          <w:noProof/>
          <w:sz w:val="24"/>
          <w:szCs w:val="24"/>
        </w:rPr>
      </w:pPr>
      <w:r>
        <w:rPr>
          <w:rFonts w:ascii="Times New Roman" w:hAnsi="Times New Roman" w:cs="Times New Roman"/>
          <w:noProof/>
          <w:sz w:val="24"/>
          <w:szCs w:val="24"/>
        </w:rPr>
        <w:t xml:space="preserve">25 % from citizens. </w:t>
      </w:r>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Of the business respondents, half were very large organisations </w:t>
      </w:r>
      <w:r>
        <w:rPr>
          <w:rFonts w:ascii="Times New Roman" w:hAnsi="Times New Roman" w:cs="Times New Roman"/>
          <w:noProof/>
          <w:sz w:val="24"/>
          <w:szCs w:val="24"/>
        </w:rPr>
        <w:t>(5 000+ employees) and 40 % were SMEs.</w:t>
      </w:r>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In addition, 58 position papers and five stand-alone contributions were received, mostly on specific issues, e.g. access to scientific information and to private sector data of public interest.</w:t>
      </w:r>
    </w:p>
    <w:p w:rsidR="00DF1A33" w:rsidRDefault="00456F01">
      <w:pPr>
        <w:spacing w:after="120"/>
        <w:jc w:val="both"/>
        <w:rPr>
          <w:rFonts w:ascii="Times New Roman" w:hAnsi="Times New Roman" w:cs="Times New Roman"/>
          <w:b/>
          <w:noProof/>
          <w:sz w:val="24"/>
          <w:szCs w:val="24"/>
        </w:rPr>
      </w:pPr>
      <w:r>
        <w:rPr>
          <w:rFonts w:ascii="Times New Roman" w:hAnsi="Times New Roman" w:cs="Times New Roman"/>
          <w:b/>
          <w:noProof/>
          <w:sz w:val="24"/>
          <w:szCs w:val="24"/>
        </w:rPr>
        <w:t>Other consultation acti</w:t>
      </w:r>
      <w:r>
        <w:rPr>
          <w:rFonts w:ascii="Times New Roman" w:hAnsi="Times New Roman" w:cs="Times New Roman"/>
          <w:b/>
          <w:noProof/>
          <w:sz w:val="24"/>
          <w:szCs w:val="24"/>
        </w:rPr>
        <w:t>ons</w:t>
      </w:r>
    </w:p>
    <w:p w:rsidR="00DF1A33" w:rsidRDefault="00456F01">
      <w:pPr>
        <w:pStyle w:val="m-5707567040959589615msolistparagraph"/>
        <w:numPr>
          <w:ilvl w:val="0"/>
          <w:numId w:val="12"/>
        </w:numPr>
        <w:spacing w:line="276" w:lineRule="auto"/>
        <w:jc w:val="both"/>
        <w:rPr>
          <w:noProof/>
          <w:lang w:val="en-GB"/>
        </w:rPr>
      </w:pPr>
      <w:hyperlink r:id="rId40" w:history="1">
        <w:r>
          <w:rPr>
            <w:rStyle w:val="Hyperlink"/>
            <w:noProof/>
            <w:lang w:val="en-GB"/>
          </w:rPr>
          <w:t>Workshop</w:t>
        </w:r>
      </w:hyperlink>
      <w:r>
        <w:rPr>
          <w:noProof/>
          <w:lang w:val="en-GB"/>
        </w:rPr>
        <w:t xml:space="preserve"> on public bodies’ access to commercially held data of public interest (26 June 2017);</w:t>
      </w:r>
    </w:p>
    <w:p w:rsidR="00DF1A33" w:rsidRDefault="00456F01">
      <w:pPr>
        <w:pStyle w:val="m-5707567040959589615msolistparagraph"/>
        <w:numPr>
          <w:ilvl w:val="0"/>
          <w:numId w:val="12"/>
        </w:numPr>
        <w:spacing w:line="276" w:lineRule="auto"/>
        <w:jc w:val="both"/>
        <w:rPr>
          <w:noProof/>
          <w:lang w:val="en-GB"/>
        </w:rPr>
      </w:pPr>
      <w:hyperlink r:id="rId41" w:history="1">
        <w:r>
          <w:rPr>
            <w:rStyle w:val="Hyperlink"/>
            <w:noProof/>
            <w:lang w:val="en-GB"/>
          </w:rPr>
          <w:t>Meeting</w:t>
        </w:r>
      </w:hyperlink>
      <w:r>
        <w:rPr>
          <w:noProof/>
          <w:lang w:val="en-GB"/>
        </w:rPr>
        <w:t xml:space="preserve"> of Member State representatives from the ‘PSI group’</w:t>
      </w:r>
      <w:r>
        <w:rPr>
          <w:noProof/>
          <w:lang w:val="en-GB"/>
        </w:rPr>
        <w:t xml:space="preserve">  (15 November 2017);</w:t>
      </w:r>
    </w:p>
    <w:p w:rsidR="00DF1A33" w:rsidRDefault="00456F01">
      <w:pPr>
        <w:pStyle w:val="m-5707567040959589615msolistparagraph"/>
        <w:numPr>
          <w:ilvl w:val="0"/>
          <w:numId w:val="12"/>
        </w:numPr>
        <w:spacing w:line="276" w:lineRule="auto"/>
        <w:jc w:val="both"/>
        <w:rPr>
          <w:noProof/>
          <w:lang w:val="en-GB"/>
        </w:rPr>
      </w:pPr>
      <w:hyperlink r:id="rId42" w:history="1">
        <w:r>
          <w:rPr>
            <w:rStyle w:val="Hyperlink"/>
            <w:noProof/>
            <w:lang w:val="en-GB"/>
          </w:rPr>
          <w:t>Meeting</w:t>
        </w:r>
      </w:hyperlink>
      <w:r>
        <w:rPr>
          <w:noProof/>
          <w:lang w:val="en-GB"/>
        </w:rPr>
        <w:t xml:space="preserve"> of the National Points of Reference on access to and preservation of scientific information (5 December 2017);</w:t>
      </w:r>
    </w:p>
    <w:p w:rsidR="00DF1A33" w:rsidRDefault="00456F01">
      <w:pPr>
        <w:pStyle w:val="m-5707567040959589615msolistparagraph"/>
        <w:numPr>
          <w:ilvl w:val="0"/>
          <w:numId w:val="12"/>
        </w:numPr>
        <w:spacing w:line="276" w:lineRule="auto"/>
        <w:jc w:val="both"/>
        <w:rPr>
          <w:noProof/>
          <w:lang w:val="en-GB"/>
        </w:rPr>
      </w:pPr>
      <w:hyperlink r:id="rId43" w:history="1">
        <w:r>
          <w:rPr>
            <w:rStyle w:val="Hyperlink"/>
            <w:noProof/>
            <w:lang w:val="en-GB"/>
          </w:rPr>
          <w:t>Workshop</w:t>
        </w:r>
      </w:hyperlink>
      <w:r>
        <w:rPr>
          <w:noProof/>
          <w:lang w:val="en-GB"/>
        </w:rPr>
        <w:t xml:space="preserve"> on access to scientific information and extending the scope of the Directive to research data (1</w:t>
      </w:r>
      <w:r>
        <w:rPr>
          <w:noProof/>
          <w:lang w:val="en-GB"/>
        </w:rPr>
        <w:t>4 December 2017);</w:t>
      </w:r>
    </w:p>
    <w:p w:rsidR="00DF1A33" w:rsidRDefault="00456F01">
      <w:pPr>
        <w:pStyle w:val="m-5707567040959589615msolistparagraph"/>
        <w:numPr>
          <w:ilvl w:val="0"/>
          <w:numId w:val="12"/>
        </w:numPr>
        <w:spacing w:line="276" w:lineRule="auto"/>
        <w:jc w:val="both"/>
        <w:rPr>
          <w:noProof/>
          <w:lang w:val="en-GB"/>
        </w:rPr>
      </w:pPr>
      <w:hyperlink r:id="rId44" w:history="1">
        <w:r>
          <w:rPr>
            <w:rStyle w:val="Hyperlink"/>
            <w:noProof/>
            <w:lang w:val="en-GB"/>
          </w:rPr>
          <w:t>Workshop</w:t>
        </w:r>
      </w:hyperlink>
      <w:r>
        <w:rPr>
          <w:noProof/>
          <w:lang w:val="en-GB"/>
        </w:rPr>
        <w:t xml:space="preserve"> for PSI holders and re-users (18 January 2018);</w:t>
      </w:r>
    </w:p>
    <w:p w:rsidR="00DF1A33" w:rsidRDefault="00456F01">
      <w:pPr>
        <w:pStyle w:val="m-5707567040959589615msolistparagraph"/>
        <w:numPr>
          <w:ilvl w:val="0"/>
          <w:numId w:val="12"/>
        </w:numPr>
        <w:spacing w:line="276" w:lineRule="auto"/>
        <w:jc w:val="both"/>
        <w:rPr>
          <w:noProof/>
          <w:lang w:val="en-GB"/>
        </w:rPr>
      </w:pPr>
      <w:hyperlink r:id="rId45" w:history="1">
        <w:r>
          <w:rPr>
            <w:rStyle w:val="Hyperlink"/>
            <w:noProof/>
            <w:lang w:val="en-GB"/>
          </w:rPr>
          <w:t>Public Hearing</w:t>
        </w:r>
      </w:hyperlink>
      <w:r>
        <w:rPr>
          <w:noProof/>
          <w:lang w:val="en-GB"/>
        </w:rPr>
        <w:t xml:space="preserve"> on the PSI Directive review (19 January 2018); and</w:t>
      </w:r>
    </w:p>
    <w:p w:rsidR="00DF1A33" w:rsidRDefault="00456F01">
      <w:pPr>
        <w:pStyle w:val="m-5707567040959589615msolistparagraph"/>
        <w:numPr>
          <w:ilvl w:val="0"/>
          <w:numId w:val="12"/>
        </w:numPr>
        <w:spacing w:line="276" w:lineRule="auto"/>
        <w:jc w:val="both"/>
        <w:rPr>
          <w:noProof/>
          <w:lang w:val="en-GB"/>
        </w:rPr>
      </w:pPr>
      <w:r>
        <w:rPr>
          <w:noProof/>
          <w:lang w:val="en-GB"/>
        </w:rPr>
        <w:t>High-level roundtable on opening up transport and utilities sector data (23 January 2018).</w:t>
      </w:r>
    </w:p>
    <w:p w:rsidR="00DF1A33" w:rsidRDefault="00456F01">
      <w:pPr>
        <w:keepNext/>
        <w:rPr>
          <w:rFonts w:ascii="Times New Roman" w:hAnsi="Times New Roman" w:cs="Times New Roman"/>
          <w:b/>
          <w:smallCaps/>
          <w:noProof/>
          <w:sz w:val="24"/>
          <w:szCs w:val="24"/>
        </w:rPr>
      </w:pPr>
      <w:bookmarkStart w:id="1964" w:name="_Toc505248679"/>
      <w:r>
        <w:rPr>
          <w:rFonts w:ascii="Times New Roman" w:hAnsi="Times New Roman" w:cs="Times New Roman"/>
          <w:b/>
          <w:smallCaps/>
          <w:noProof/>
          <w:sz w:val="24"/>
          <w:szCs w:val="24"/>
        </w:rPr>
        <w:t>Results of the consultation process</w:t>
      </w:r>
      <w:bookmarkEnd w:id="1964"/>
    </w:p>
    <w:p w:rsidR="00DF1A33" w:rsidRDefault="00456F01">
      <w:pPr>
        <w:spacing w:after="240"/>
        <w:jc w:val="both"/>
        <w:rPr>
          <w:rFonts w:ascii="Times New Roman" w:hAnsi="Times New Roman" w:cs="Times New Roman"/>
          <w:b/>
          <w:noProof/>
          <w:sz w:val="24"/>
          <w:szCs w:val="24"/>
        </w:rPr>
      </w:pPr>
      <w:r>
        <w:rPr>
          <w:rFonts w:ascii="Times New Roman" w:hAnsi="Times New Roman" w:cs="Times New Roman"/>
          <w:b/>
          <w:noProof/>
          <w:sz w:val="24"/>
          <w:szCs w:val="24"/>
        </w:rPr>
        <w:t>Evaluation</w:t>
      </w:r>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The implementation of the Directive was assessed against the Better Regulation criteria (effectiveness, efficiency, relevance, coherence, EU added-value and clarity). The online consultation was the main oppor</w:t>
      </w:r>
      <w:r>
        <w:rPr>
          <w:rFonts w:ascii="Times New Roman" w:hAnsi="Times New Roman" w:cs="Times New Roman"/>
          <w:noProof/>
          <w:sz w:val="24"/>
          <w:szCs w:val="24"/>
        </w:rPr>
        <w:t>tunity for stakeholders to make detailed statements.</w:t>
      </w:r>
    </w:p>
    <w:p w:rsidR="00DF1A33" w:rsidRDefault="00456F01">
      <w:pPr>
        <w:spacing w:after="120"/>
        <w:jc w:val="both"/>
        <w:rPr>
          <w:rFonts w:ascii="Times New Roman" w:hAnsi="Times New Roman" w:cs="Times New Roman"/>
          <w:i/>
          <w:noProof/>
          <w:sz w:val="24"/>
          <w:szCs w:val="24"/>
        </w:rPr>
      </w:pPr>
      <w:r>
        <w:rPr>
          <w:rFonts w:ascii="Times New Roman" w:hAnsi="Times New Roman" w:cs="Times New Roman"/>
          <w:b/>
          <w:i/>
          <w:noProof/>
          <w:sz w:val="24"/>
          <w:szCs w:val="24"/>
        </w:rPr>
        <w:t>Effectiveness</w:t>
      </w:r>
      <w:r>
        <w:rPr>
          <w:rFonts w:ascii="Times New Roman" w:hAnsi="Times New Roman" w:cs="Times New Roman"/>
          <w:i/>
          <w:noProof/>
          <w:sz w:val="24"/>
          <w:szCs w:val="24"/>
        </w:rPr>
        <w:t xml:space="preserve"> </w:t>
      </w:r>
    </w:p>
    <w:p w:rsidR="00DF1A33" w:rsidRDefault="00456F01">
      <w:pPr>
        <w:pStyle w:val="m-5707567040959589615msolistparagraph"/>
        <w:numPr>
          <w:ilvl w:val="0"/>
          <w:numId w:val="24"/>
        </w:numPr>
        <w:spacing w:before="0" w:beforeAutospacing="0" w:after="120" w:afterAutospacing="0" w:line="276" w:lineRule="auto"/>
        <w:ind w:left="851" w:hanging="425"/>
        <w:jc w:val="both"/>
        <w:rPr>
          <w:noProof/>
          <w:lang w:val="en-GB"/>
        </w:rPr>
      </w:pPr>
      <w:r>
        <w:rPr>
          <w:noProof/>
          <w:lang w:val="en-GB"/>
        </w:rPr>
        <w:t>81 % of respondents to the online consultation felt that more data held by public sector bodies had become available for re-use;</w:t>
      </w:r>
    </w:p>
    <w:p w:rsidR="00DF1A33" w:rsidRDefault="00456F01">
      <w:pPr>
        <w:pStyle w:val="m-5707567040959589615msolistparagraph"/>
        <w:numPr>
          <w:ilvl w:val="0"/>
          <w:numId w:val="24"/>
        </w:numPr>
        <w:spacing w:before="0" w:beforeAutospacing="0" w:after="120" w:afterAutospacing="0" w:line="276" w:lineRule="auto"/>
        <w:ind w:left="851" w:hanging="425"/>
        <w:jc w:val="both"/>
        <w:rPr>
          <w:noProof/>
          <w:lang w:val="en-GB"/>
        </w:rPr>
      </w:pPr>
      <w:r>
        <w:rPr>
          <w:noProof/>
          <w:lang w:val="en-GB"/>
        </w:rPr>
        <w:t>73 % agreed that PSI was increasingly providing a basis for</w:t>
      </w:r>
      <w:r>
        <w:rPr>
          <w:noProof/>
          <w:lang w:val="en-GB"/>
        </w:rPr>
        <w:t xml:space="preserve"> innovative services and products; </w:t>
      </w:r>
    </w:p>
    <w:p w:rsidR="00DF1A33" w:rsidRDefault="00456F01">
      <w:pPr>
        <w:pStyle w:val="m-5707567040959589615msolistparagraph"/>
        <w:numPr>
          <w:ilvl w:val="0"/>
          <w:numId w:val="24"/>
        </w:numPr>
        <w:spacing w:before="0" w:beforeAutospacing="0" w:after="120" w:afterAutospacing="0" w:line="276" w:lineRule="auto"/>
        <w:ind w:left="851" w:hanging="425"/>
        <w:jc w:val="both"/>
        <w:rPr>
          <w:noProof/>
          <w:lang w:val="en-GB"/>
        </w:rPr>
      </w:pPr>
      <w:r>
        <w:rPr>
          <w:noProof/>
          <w:lang w:val="en-GB"/>
        </w:rPr>
        <w:t xml:space="preserve">over half (and most of those who provided additional feedback as free text) felt that PSI had become more affordable, including for start-ups and SMEs; </w:t>
      </w:r>
    </w:p>
    <w:p w:rsidR="00DF1A33" w:rsidRDefault="00456F01">
      <w:pPr>
        <w:pStyle w:val="ListParagraph"/>
        <w:numPr>
          <w:ilvl w:val="0"/>
          <w:numId w:val="25"/>
        </w:numPr>
        <w:spacing w:after="120"/>
        <w:ind w:left="851" w:hanging="425"/>
        <w:jc w:val="both"/>
        <w:rPr>
          <w:rFonts w:ascii="Times New Roman" w:hAnsi="Times New Roman" w:cs="Times New Roman"/>
          <w:noProof/>
          <w:sz w:val="24"/>
          <w:szCs w:val="24"/>
        </w:rPr>
      </w:pPr>
      <w:r>
        <w:rPr>
          <w:rFonts w:ascii="Times New Roman" w:hAnsi="Times New Roman" w:cs="Times New Roman"/>
          <w:noProof/>
          <w:sz w:val="24"/>
          <w:szCs w:val="24"/>
        </w:rPr>
        <w:t>several stakeholders felt that cross-border use of PSI was still di</w:t>
      </w:r>
      <w:r>
        <w:rPr>
          <w:rFonts w:ascii="Times New Roman" w:hAnsi="Times New Roman" w:cs="Times New Roman"/>
          <w:noProof/>
          <w:sz w:val="24"/>
          <w:szCs w:val="24"/>
        </w:rPr>
        <w:t xml:space="preserve">fficult, as practices across Member States vary widely and this creates legal uncertainty; </w:t>
      </w:r>
    </w:p>
    <w:p w:rsidR="00DF1A33" w:rsidRDefault="00456F01">
      <w:pPr>
        <w:pStyle w:val="ListParagraph"/>
        <w:numPr>
          <w:ilvl w:val="0"/>
          <w:numId w:val="25"/>
        </w:numPr>
        <w:spacing w:after="120"/>
        <w:ind w:left="851" w:hanging="425"/>
        <w:jc w:val="both"/>
        <w:rPr>
          <w:rFonts w:ascii="Times New Roman" w:hAnsi="Times New Roman" w:cs="Times New Roman"/>
          <w:noProof/>
          <w:sz w:val="24"/>
          <w:szCs w:val="24"/>
        </w:rPr>
      </w:pPr>
      <w:r>
        <w:rPr>
          <w:rFonts w:ascii="Times New Roman" w:hAnsi="Times New Roman" w:cs="Times New Roman"/>
          <w:noProof/>
          <w:sz w:val="24"/>
          <w:szCs w:val="24"/>
        </w:rPr>
        <w:t>only 38 % of respondents felt that exclusive arrangements were used exceptionally and only in the cases set out in the Directive (while Member States representative</w:t>
      </w:r>
      <w:r>
        <w:rPr>
          <w:rFonts w:ascii="Times New Roman" w:hAnsi="Times New Roman" w:cs="Times New Roman"/>
          <w:noProof/>
          <w:sz w:val="24"/>
          <w:szCs w:val="24"/>
        </w:rPr>
        <w:t>s generally report that they are not aware of exclusive arrangements based on PSI); and</w:t>
      </w:r>
    </w:p>
    <w:p w:rsidR="00DF1A33" w:rsidRDefault="00456F01">
      <w:pPr>
        <w:pStyle w:val="ListParagraph"/>
        <w:numPr>
          <w:ilvl w:val="0"/>
          <w:numId w:val="25"/>
        </w:numPr>
        <w:spacing w:after="240"/>
        <w:ind w:left="851" w:hanging="425"/>
        <w:jc w:val="both"/>
        <w:rPr>
          <w:rFonts w:ascii="Times New Roman" w:hAnsi="Times New Roman" w:cs="Times New Roman"/>
          <w:noProof/>
          <w:sz w:val="24"/>
          <w:szCs w:val="24"/>
        </w:rPr>
      </w:pPr>
      <w:r>
        <w:rPr>
          <w:rFonts w:ascii="Times New Roman" w:hAnsi="Times New Roman" w:cs="Times New Roman"/>
          <w:noProof/>
          <w:sz w:val="24"/>
          <w:szCs w:val="24"/>
        </w:rPr>
        <w:t>67 % saw the variety of licensing conditions as still hampering effective re</w:t>
      </w:r>
      <w:r>
        <w:rPr>
          <w:rFonts w:ascii="Times New Roman" w:hAnsi="Times New Roman" w:cs="Times New Roman"/>
          <w:noProof/>
          <w:sz w:val="24"/>
          <w:szCs w:val="24"/>
        </w:rPr>
        <w:noBreakHyphen/>
        <w:t xml:space="preserve">use. </w:t>
      </w:r>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At the 18 January workshop for PSI holders and re-users, there were several calls for</w:t>
      </w:r>
      <w:r>
        <w:rPr>
          <w:rFonts w:ascii="Times New Roman" w:hAnsi="Times New Roman" w:cs="Times New Roman"/>
          <w:noProof/>
          <w:sz w:val="24"/>
          <w:szCs w:val="24"/>
        </w:rPr>
        <w:t xml:space="preserve"> EU intervention to prevent exclusive agreements.</w:t>
      </w:r>
    </w:p>
    <w:p w:rsidR="00DF1A33" w:rsidRDefault="00456F01">
      <w:pPr>
        <w:spacing w:after="120"/>
        <w:jc w:val="both"/>
        <w:rPr>
          <w:rFonts w:ascii="Times New Roman" w:hAnsi="Times New Roman" w:cs="Times New Roman"/>
          <w:i/>
          <w:noProof/>
          <w:sz w:val="24"/>
          <w:szCs w:val="24"/>
        </w:rPr>
      </w:pPr>
      <w:r>
        <w:rPr>
          <w:rFonts w:ascii="Times New Roman" w:hAnsi="Times New Roman" w:cs="Times New Roman"/>
          <w:b/>
          <w:i/>
          <w:noProof/>
          <w:sz w:val="24"/>
          <w:szCs w:val="24"/>
        </w:rPr>
        <w:t>Efficiency</w:t>
      </w:r>
      <w:r>
        <w:rPr>
          <w:rFonts w:ascii="Times New Roman" w:hAnsi="Times New Roman" w:cs="Times New Roman"/>
          <w:i/>
          <w:noProof/>
          <w:sz w:val="24"/>
          <w:szCs w:val="24"/>
        </w:rPr>
        <w:t xml:space="preserve"> </w:t>
      </w:r>
    </w:p>
    <w:p w:rsidR="00DF1A33" w:rsidRDefault="00456F01">
      <w:pPr>
        <w:pStyle w:val="m-5707567040959589615msolistparagraph"/>
        <w:numPr>
          <w:ilvl w:val="0"/>
          <w:numId w:val="24"/>
        </w:numPr>
        <w:spacing w:before="0" w:beforeAutospacing="0" w:after="120" w:afterAutospacing="0" w:line="276" w:lineRule="auto"/>
        <w:ind w:left="851" w:hanging="425"/>
        <w:jc w:val="both"/>
        <w:rPr>
          <w:noProof/>
          <w:lang w:val="en-GB"/>
        </w:rPr>
      </w:pPr>
      <w:r>
        <w:rPr>
          <w:noProof/>
          <w:lang w:val="en-GB"/>
        </w:rPr>
        <w:t>66 % of online respondents argued that implementation costs borne by public sector bodies are offset by the socio</w:t>
      </w:r>
      <w:r>
        <w:rPr>
          <w:noProof/>
          <w:lang w:val="en-GB"/>
        </w:rPr>
        <w:noBreakHyphen/>
        <w:t xml:space="preserve">economic benefits of data re-use; </w:t>
      </w:r>
    </w:p>
    <w:p w:rsidR="00DF1A33" w:rsidRDefault="00456F01">
      <w:pPr>
        <w:pStyle w:val="m-5707567040959589615msolistparagraph"/>
        <w:numPr>
          <w:ilvl w:val="0"/>
          <w:numId w:val="24"/>
        </w:numPr>
        <w:spacing w:before="0" w:beforeAutospacing="0" w:after="120" w:afterAutospacing="0" w:line="276" w:lineRule="auto"/>
        <w:ind w:left="851" w:hanging="425"/>
        <w:jc w:val="both"/>
        <w:rPr>
          <w:noProof/>
          <w:lang w:val="en-GB"/>
        </w:rPr>
      </w:pPr>
      <w:r>
        <w:rPr>
          <w:noProof/>
          <w:lang w:val="en-GB"/>
        </w:rPr>
        <w:t xml:space="preserve">72 % argued that compliance requires public </w:t>
      </w:r>
      <w:r>
        <w:rPr>
          <w:noProof/>
          <w:lang w:val="en-GB"/>
        </w:rPr>
        <w:t>bodies to improve data management, leading to cost savings and efficiency gains; but</w:t>
      </w:r>
    </w:p>
    <w:p w:rsidR="00DF1A33" w:rsidRDefault="00456F01">
      <w:pPr>
        <w:pStyle w:val="ListParagraph"/>
        <w:numPr>
          <w:ilvl w:val="0"/>
          <w:numId w:val="25"/>
        </w:numPr>
        <w:spacing w:after="240"/>
        <w:ind w:left="851" w:hanging="425"/>
        <w:jc w:val="both"/>
        <w:rPr>
          <w:rFonts w:ascii="Times New Roman" w:hAnsi="Times New Roman" w:cs="Times New Roman"/>
          <w:noProof/>
          <w:sz w:val="24"/>
          <w:szCs w:val="24"/>
        </w:rPr>
      </w:pPr>
      <w:r>
        <w:rPr>
          <w:rFonts w:ascii="Times New Roman" w:hAnsi="Times New Roman" w:cs="Times New Roman"/>
          <w:noProof/>
          <w:sz w:val="24"/>
          <w:szCs w:val="24"/>
        </w:rPr>
        <w:t>44 % criticised the redress procedures as lengthy, inefficient and costly.</w:t>
      </w:r>
    </w:p>
    <w:p w:rsidR="00DF1A33" w:rsidRDefault="00456F01">
      <w:pPr>
        <w:spacing w:after="120"/>
        <w:jc w:val="both"/>
        <w:rPr>
          <w:rFonts w:ascii="Times New Roman" w:hAnsi="Times New Roman" w:cs="Times New Roman"/>
          <w:b/>
          <w:i/>
          <w:noProof/>
          <w:sz w:val="24"/>
          <w:szCs w:val="24"/>
        </w:rPr>
      </w:pPr>
      <w:r>
        <w:rPr>
          <w:rFonts w:ascii="Times New Roman" w:hAnsi="Times New Roman" w:cs="Times New Roman"/>
          <w:b/>
          <w:i/>
          <w:noProof/>
          <w:sz w:val="24"/>
          <w:szCs w:val="24"/>
        </w:rPr>
        <w:t>Relevance</w:t>
      </w:r>
    </w:p>
    <w:p w:rsidR="00DF1A33" w:rsidRDefault="00456F01">
      <w:pPr>
        <w:pStyle w:val="m-5707567040959589615msolistparagraph"/>
        <w:spacing w:before="0" w:beforeAutospacing="0" w:after="240" w:afterAutospacing="0" w:line="276" w:lineRule="auto"/>
        <w:jc w:val="both"/>
        <w:rPr>
          <w:noProof/>
          <w:lang w:val="en-GB"/>
        </w:rPr>
      </w:pPr>
      <w:r>
        <w:rPr>
          <w:noProof/>
          <w:lang w:val="en-GB"/>
        </w:rPr>
        <w:t xml:space="preserve">Respondents overwhelmingly agreed that the PSI Directive is still </w:t>
      </w:r>
      <w:r>
        <w:rPr>
          <w:b/>
          <w:noProof/>
          <w:lang w:val="en-GB"/>
        </w:rPr>
        <w:t>relevant</w:t>
      </w:r>
      <w:r>
        <w:rPr>
          <w:noProof/>
          <w:lang w:val="en-GB"/>
        </w:rPr>
        <w:t>, in particu</w:t>
      </w:r>
      <w:r>
        <w:rPr>
          <w:noProof/>
          <w:lang w:val="en-GB"/>
        </w:rPr>
        <w:t>lar because it ensures</w:t>
      </w:r>
      <w:r>
        <w:rPr>
          <w:rFonts w:eastAsiaTheme="minorHAnsi"/>
          <w:noProof/>
          <w:lang w:val="en-GB" w:eastAsia="en-US"/>
        </w:rPr>
        <w:t xml:space="preserve"> PSI supply (85%), fair market access for re-users (84%), the transparency and accountability of public sector bodies (81 %) and </w:t>
      </w:r>
      <w:r>
        <w:rPr>
          <w:noProof/>
          <w:lang w:val="en-GB"/>
        </w:rPr>
        <w:t xml:space="preserve">the usability (e.g. machine readability) of data (77 %). </w:t>
      </w:r>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Many said that rapid technological advances mad</w:t>
      </w:r>
      <w:r>
        <w:rPr>
          <w:rFonts w:ascii="Times New Roman" w:hAnsi="Times New Roman" w:cs="Times New Roman"/>
          <w:noProof/>
          <w:sz w:val="24"/>
          <w:szCs w:val="24"/>
        </w:rPr>
        <w:t>e the Directive even more relevant; these affect the possible forms of data re-use and the legislation should take account of them.</w:t>
      </w:r>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Stakeholders and especially Member State representatives were generally very supportive of the review process, based on the </w:t>
      </w:r>
      <w:r>
        <w:rPr>
          <w:rFonts w:ascii="Times New Roman" w:hAnsi="Times New Roman" w:cs="Times New Roman"/>
          <w:noProof/>
          <w:sz w:val="24"/>
          <w:szCs w:val="24"/>
        </w:rPr>
        <w:t>observation that the uneven implementation across Member States is creating fragmentation of the single market or bottlenecks to market development.</w:t>
      </w:r>
    </w:p>
    <w:p w:rsidR="00DF1A33" w:rsidRDefault="00456F01">
      <w:pPr>
        <w:spacing w:after="120"/>
        <w:jc w:val="both"/>
        <w:rPr>
          <w:rFonts w:ascii="Times New Roman" w:hAnsi="Times New Roman" w:cs="Times New Roman"/>
          <w:b/>
          <w:i/>
          <w:noProof/>
          <w:sz w:val="24"/>
          <w:szCs w:val="24"/>
        </w:rPr>
      </w:pPr>
      <w:r>
        <w:rPr>
          <w:rFonts w:ascii="Times New Roman" w:hAnsi="Times New Roman" w:cs="Times New Roman"/>
          <w:b/>
          <w:i/>
          <w:noProof/>
          <w:sz w:val="24"/>
          <w:szCs w:val="24"/>
        </w:rPr>
        <w:t xml:space="preserve">Coherence </w:t>
      </w:r>
    </w:p>
    <w:p w:rsidR="00DF1A33" w:rsidRDefault="00456F01">
      <w:pPr>
        <w:pStyle w:val="m-5707567040959589615msolistparagraph"/>
        <w:numPr>
          <w:ilvl w:val="0"/>
          <w:numId w:val="24"/>
        </w:numPr>
        <w:spacing w:before="0" w:beforeAutospacing="0" w:after="120" w:afterAutospacing="0" w:line="276" w:lineRule="auto"/>
        <w:ind w:left="709" w:hanging="283"/>
        <w:jc w:val="both"/>
        <w:rPr>
          <w:noProof/>
          <w:lang w:val="en-GB"/>
        </w:rPr>
      </w:pPr>
      <w:r>
        <w:rPr>
          <w:noProof/>
          <w:lang w:val="en-GB"/>
        </w:rPr>
        <w:t>in general, it was felt that the Directive was coherent with other relevant EU legal acts;</w:t>
      </w:r>
    </w:p>
    <w:p w:rsidR="00DF1A33" w:rsidRDefault="00456F01">
      <w:pPr>
        <w:pStyle w:val="ListParagraph"/>
        <w:numPr>
          <w:ilvl w:val="0"/>
          <w:numId w:val="25"/>
        </w:numPr>
        <w:spacing w:after="120"/>
        <w:ind w:left="709" w:hanging="283"/>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i/>
          <w:noProof/>
          <w:sz w:val="24"/>
          <w:szCs w:val="24"/>
        </w:rPr>
        <w:t>s</w:t>
      </w:r>
      <w:r>
        <w:rPr>
          <w:rFonts w:ascii="Times New Roman" w:hAnsi="Times New Roman" w:cs="Times New Roman"/>
          <w:i/>
          <w:noProof/>
          <w:sz w:val="24"/>
          <w:szCs w:val="24"/>
        </w:rPr>
        <w:t>ui generis</w:t>
      </w:r>
      <w:r>
        <w:rPr>
          <w:rFonts w:ascii="Times New Roman" w:hAnsi="Times New Roman" w:cs="Times New Roman"/>
          <w:noProof/>
          <w:sz w:val="24"/>
          <w:szCs w:val="24"/>
        </w:rPr>
        <w:t xml:space="preserve"> database right was seen as problematic because public bodies could use it to restrict the applicability of the PSI access and re-use rules; and</w:t>
      </w:r>
    </w:p>
    <w:p w:rsidR="00DF1A33" w:rsidRDefault="00456F01">
      <w:pPr>
        <w:pStyle w:val="ListParagraph"/>
        <w:numPr>
          <w:ilvl w:val="0"/>
          <w:numId w:val="25"/>
        </w:numPr>
        <w:spacing w:after="240"/>
        <w:jc w:val="both"/>
        <w:rPr>
          <w:rFonts w:ascii="Times New Roman" w:hAnsi="Times New Roman" w:cs="Times New Roman"/>
          <w:noProof/>
          <w:sz w:val="24"/>
          <w:szCs w:val="24"/>
        </w:rPr>
      </w:pPr>
      <w:r>
        <w:rPr>
          <w:rFonts w:ascii="Times New Roman" w:hAnsi="Times New Roman" w:cs="Times New Roman"/>
          <w:noProof/>
          <w:sz w:val="24"/>
          <w:szCs w:val="24"/>
        </w:rPr>
        <w:t>the Directive’s relationship with personal data protection legislation is clear; however, the stakeho</w:t>
      </w:r>
      <w:r>
        <w:rPr>
          <w:rFonts w:ascii="Times New Roman" w:hAnsi="Times New Roman" w:cs="Times New Roman"/>
          <w:noProof/>
          <w:sz w:val="24"/>
          <w:szCs w:val="24"/>
        </w:rPr>
        <w:t xml:space="preserve">lders pointed to certain practical isuses.  Ssome public sector bodies have raised the question of appropriate techniques to be used for pseudonymisation or anonymization processes. </w:t>
      </w:r>
    </w:p>
    <w:p w:rsidR="00DF1A33" w:rsidRDefault="00456F01">
      <w:pPr>
        <w:spacing w:after="120"/>
        <w:jc w:val="both"/>
        <w:rPr>
          <w:rFonts w:ascii="Times New Roman" w:hAnsi="Times New Roman" w:cs="Times New Roman"/>
          <w:noProof/>
          <w:sz w:val="24"/>
          <w:szCs w:val="24"/>
        </w:rPr>
      </w:pPr>
      <w:r>
        <w:rPr>
          <w:rFonts w:ascii="Times New Roman" w:hAnsi="Times New Roman" w:cs="Times New Roman"/>
          <w:b/>
          <w:i/>
          <w:noProof/>
          <w:sz w:val="24"/>
          <w:szCs w:val="24"/>
        </w:rPr>
        <w:t>EU added value</w:t>
      </w:r>
      <w:r>
        <w:rPr>
          <w:rFonts w:ascii="Times New Roman" w:hAnsi="Times New Roman" w:cs="Times New Roman"/>
          <w:noProof/>
          <w:sz w:val="24"/>
          <w:szCs w:val="24"/>
        </w:rPr>
        <w:t xml:space="preserve"> </w:t>
      </w:r>
    </w:p>
    <w:p w:rsidR="00DF1A33" w:rsidRDefault="00456F01">
      <w:pPr>
        <w:pStyle w:val="m-5707567040959589615msolistparagraph"/>
        <w:numPr>
          <w:ilvl w:val="0"/>
          <w:numId w:val="24"/>
        </w:numPr>
        <w:spacing w:before="0" w:beforeAutospacing="0" w:after="120" w:afterAutospacing="0" w:line="276" w:lineRule="auto"/>
        <w:ind w:left="851" w:hanging="425"/>
        <w:jc w:val="both"/>
        <w:rPr>
          <w:noProof/>
          <w:lang w:val="en-GB"/>
        </w:rPr>
      </w:pPr>
      <w:r>
        <w:rPr>
          <w:noProof/>
          <w:lang w:val="en-GB"/>
        </w:rPr>
        <w:t xml:space="preserve">87 % of online respondents agreed that the Directive had </w:t>
      </w:r>
      <w:r>
        <w:rPr>
          <w:noProof/>
          <w:lang w:val="en-GB"/>
        </w:rPr>
        <w:t>encouraged national authorities to open up more public sector data;</w:t>
      </w:r>
    </w:p>
    <w:p w:rsidR="00DF1A33" w:rsidRDefault="00456F01">
      <w:pPr>
        <w:pStyle w:val="m-5707567040959589615msolistparagraph"/>
        <w:numPr>
          <w:ilvl w:val="0"/>
          <w:numId w:val="24"/>
        </w:numPr>
        <w:spacing w:before="0" w:beforeAutospacing="0" w:after="120" w:afterAutospacing="0" w:line="276" w:lineRule="auto"/>
        <w:ind w:left="851" w:hanging="425"/>
        <w:jc w:val="both"/>
        <w:rPr>
          <w:noProof/>
          <w:lang w:val="en-GB"/>
        </w:rPr>
      </w:pPr>
      <w:r>
        <w:rPr>
          <w:noProof/>
          <w:lang w:val="en-GB"/>
        </w:rPr>
        <w:t xml:space="preserve">almost 63 % felt that it had facilitated access to PSI from countries other than that in which the person concerned lives; </w:t>
      </w:r>
    </w:p>
    <w:p w:rsidR="00DF1A33" w:rsidRDefault="00456F01">
      <w:pPr>
        <w:pStyle w:val="m-5707567040959589615msolistparagraph"/>
        <w:numPr>
          <w:ilvl w:val="0"/>
          <w:numId w:val="24"/>
        </w:numPr>
        <w:spacing w:before="0" w:beforeAutospacing="0" w:after="120" w:afterAutospacing="0" w:line="276" w:lineRule="auto"/>
        <w:ind w:left="851" w:hanging="425"/>
        <w:jc w:val="both"/>
        <w:rPr>
          <w:noProof/>
          <w:lang w:val="en-GB"/>
        </w:rPr>
      </w:pPr>
      <w:r>
        <w:rPr>
          <w:noProof/>
          <w:lang w:val="en-GB"/>
        </w:rPr>
        <w:t>almost 64 % felt that it had helped create an EU-wide market for</w:t>
      </w:r>
      <w:r>
        <w:rPr>
          <w:noProof/>
          <w:lang w:val="en-GB"/>
        </w:rPr>
        <w:t xml:space="preserve"> products and services based on PSI; but</w:t>
      </w:r>
    </w:p>
    <w:p w:rsidR="00DF1A33" w:rsidRDefault="00456F01">
      <w:pPr>
        <w:pStyle w:val="ListParagraph"/>
        <w:numPr>
          <w:ilvl w:val="0"/>
          <w:numId w:val="25"/>
        </w:numPr>
        <w:spacing w:after="240"/>
        <w:ind w:left="851" w:hanging="425"/>
        <w:jc w:val="both"/>
        <w:rPr>
          <w:rFonts w:ascii="Times New Roman" w:hAnsi="Times New Roman" w:cs="Times New Roman"/>
          <w:noProof/>
          <w:sz w:val="24"/>
          <w:szCs w:val="24"/>
        </w:rPr>
      </w:pPr>
      <w:r>
        <w:rPr>
          <w:rFonts w:ascii="Times New Roman" w:hAnsi="Times New Roman" w:cs="Times New Roman"/>
          <w:noProof/>
          <w:sz w:val="24"/>
          <w:szCs w:val="24"/>
        </w:rPr>
        <w:t>additional feedback shows that the re-use of data across borders is still burdensome, as national practices are still very different and sometimes ‘data protectionist’ (e.g. on valuable datasets such as business, ad</w:t>
      </w:r>
      <w:r>
        <w:rPr>
          <w:rFonts w:ascii="Times New Roman" w:hAnsi="Times New Roman" w:cs="Times New Roman"/>
          <w:noProof/>
          <w:sz w:val="24"/>
          <w:szCs w:val="24"/>
        </w:rPr>
        <w:t>dress and real estate, and planning registers).</w:t>
      </w:r>
    </w:p>
    <w:p w:rsidR="00DF1A33" w:rsidRDefault="00456F01">
      <w:pPr>
        <w:spacing w:after="120"/>
        <w:jc w:val="both"/>
        <w:rPr>
          <w:rFonts w:ascii="Times New Roman" w:hAnsi="Times New Roman" w:cs="Times New Roman"/>
          <w:b/>
          <w:i/>
          <w:noProof/>
          <w:sz w:val="24"/>
          <w:szCs w:val="24"/>
        </w:rPr>
      </w:pPr>
      <w:r>
        <w:rPr>
          <w:rFonts w:ascii="Times New Roman" w:hAnsi="Times New Roman" w:cs="Times New Roman"/>
          <w:b/>
          <w:i/>
          <w:noProof/>
          <w:sz w:val="24"/>
          <w:szCs w:val="24"/>
        </w:rPr>
        <w:t>Clarity</w:t>
      </w:r>
    </w:p>
    <w:p w:rsidR="00DF1A33" w:rsidRDefault="00456F01">
      <w:pPr>
        <w:pStyle w:val="m-5707567040959589615msolistparagraph"/>
        <w:numPr>
          <w:ilvl w:val="0"/>
          <w:numId w:val="24"/>
        </w:numPr>
        <w:spacing w:before="0" w:beforeAutospacing="0" w:after="120" w:afterAutospacing="0" w:line="276" w:lineRule="auto"/>
        <w:ind w:left="851" w:hanging="425"/>
        <w:jc w:val="both"/>
        <w:rPr>
          <w:noProof/>
          <w:lang w:val="en-GB"/>
        </w:rPr>
      </w:pPr>
      <w:r>
        <w:rPr>
          <w:noProof/>
          <w:lang w:val="en-GB"/>
        </w:rPr>
        <w:t>57 % of online respondents felt that the Directive was easy for public bodies and re-users to understand and implement; but</w:t>
      </w:r>
    </w:p>
    <w:p w:rsidR="00DF1A33" w:rsidRDefault="00456F01">
      <w:pPr>
        <w:pStyle w:val="ListParagraph"/>
        <w:numPr>
          <w:ilvl w:val="0"/>
          <w:numId w:val="25"/>
        </w:numPr>
        <w:spacing w:after="240"/>
        <w:ind w:left="851" w:hanging="425"/>
        <w:jc w:val="both"/>
        <w:rPr>
          <w:rFonts w:ascii="Times New Roman" w:hAnsi="Times New Roman" w:cs="Times New Roman"/>
          <w:noProof/>
          <w:sz w:val="24"/>
          <w:szCs w:val="24"/>
        </w:rPr>
      </w:pPr>
      <w:r>
        <w:rPr>
          <w:rFonts w:ascii="Times New Roman" w:hAnsi="Times New Roman" w:cs="Times New Roman"/>
          <w:noProof/>
          <w:sz w:val="24"/>
          <w:szCs w:val="24"/>
        </w:rPr>
        <w:t>63 % felt that some provisions could be made simpler or clearer.</w:t>
      </w:r>
    </w:p>
    <w:p w:rsidR="00DF1A33" w:rsidRDefault="00456F01">
      <w:pPr>
        <w:spacing w:after="240"/>
        <w:jc w:val="both"/>
        <w:rPr>
          <w:rFonts w:ascii="Times New Roman" w:hAnsi="Times New Roman" w:cs="Times New Roman"/>
          <w:b/>
          <w:noProof/>
          <w:sz w:val="24"/>
          <w:szCs w:val="24"/>
        </w:rPr>
      </w:pPr>
      <w:r>
        <w:rPr>
          <w:rFonts w:ascii="Times New Roman" w:hAnsi="Times New Roman" w:cs="Times New Roman"/>
          <w:b/>
          <w:noProof/>
          <w:sz w:val="24"/>
          <w:szCs w:val="24"/>
        </w:rPr>
        <w:t xml:space="preserve">Review of </w:t>
      </w:r>
      <w:r>
        <w:rPr>
          <w:rFonts w:ascii="Times New Roman" w:hAnsi="Times New Roman" w:cs="Times New Roman"/>
          <w:b/>
          <w:noProof/>
          <w:sz w:val="24"/>
          <w:szCs w:val="24"/>
        </w:rPr>
        <w:t>the Directive</w:t>
      </w:r>
    </w:p>
    <w:p w:rsidR="00DF1A33" w:rsidRDefault="00456F01">
      <w:pPr>
        <w:spacing w:after="240"/>
        <w:jc w:val="both"/>
        <w:rPr>
          <w:rFonts w:ascii="Times New Roman" w:hAnsi="Times New Roman" w:cs="Times New Roman"/>
          <w:b/>
          <w:i/>
          <w:noProof/>
          <w:sz w:val="24"/>
          <w:szCs w:val="24"/>
        </w:rPr>
      </w:pPr>
      <w:r>
        <w:rPr>
          <w:rFonts w:ascii="Times New Roman" w:hAnsi="Times New Roman" w:cs="Times New Roman"/>
          <w:b/>
          <w:i/>
          <w:noProof/>
          <w:sz w:val="24"/>
          <w:szCs w:val="24"/>
        </w:rPr>
        <w:t>Practical arrangements for document access and searches</w:t>
      </w:r>
    </w:p>
    <w:p w:rsidR="00DF1A33" w:rsidRDefault="00456F01">
      <w:pPr>
        <w:spacing w:after="120"/>
        <w:jc w:val="both"/>
        <w:rPr>
          <w:rFonts w:ascii="Times New Roman" w:hAnsi="Times New Roman" w:cs="Times New Roman"/>
          <w:noProof/>
          <w:sz w:val="24"/>
          <w:szCs w:val="24"/>
        </w:rPr>
      </w:pPr>
      <w:r>
        <w:rPr>
          <w:rFonts w:ascii="Times New Roman" w:hAnsi="Times New Roman" w:cs="Times New Roman"/>
          <w:noProof/>
          <w:sz w:val="24"/>
          <w:szCs w:val="24"/>
        </w:rPr>
        <w:t>There was general support for further standardisation of metadata, standardisation of data themselves, and greater availability and usability of real-time data. These positions were conf</w:t>
      </w:r>
      <w:r>
        <w:rPr>
          <w:rFonts w:ascii="Times New Roman" w:hAnsi="Times New Roman" w:cs="Times New Roman"/>
          <w:noProof/>
          <w:sz w:val="24"/>
          <w:szCs w:val="24"/>
        </w:rPr>
        <w:t>irmed in the dozen of papers addressing these questions.</w:t>
      </w:r>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Of the 194 online respondents, 46 % strongly agreed and 25 % agreed that metadata should be made available in a mandatory open standard, e.g. DCAT-AP. Respondents acknowledged the need for metadata d</w:t>
      </w:r>
      <w:r>
        <w:rPr>
          <w:rFonts w:ascii="Times New Roman" w:hAnsi="Times New Roman" w:cs="Times New Roman"/>
          <w:noProof/>
          <w:sz w:val="24"/>
          <w:szCs w:val="24"/>
        </w:rPr>
        <w:t xml:space="preserve">ocumenting the content of data so as to ensure their actual re-usability. The standardisation of data themselves was seen as (highly) desirable. Mandatory open standards were recommended as the way to improve data usability. Some saw funding as a critical </w:t>
      </w:r>
      <w:r>
        <w:rPr>
          <w:rFonts w:ascii="Times New Roman" w:hAnsi="Times New Roman" w:cs="Times New Roman"/>
          <w:noProof/>
          <w:sz w:val="24"/>
          <w:szCs w:val="24"/>
        </w:rPr>
        <w:t>issue.</w:t>
      </w:r>
    </w:p>
    <w:p w:rsidR="00DF1A33" w:rsidRDefault="00456F01">
      <w:pPr>
        <w:spacing w:after="120"/>
        <w:jc w:val="both"/>
        <w:rPr>
          <w:rFonts w:ascii="Times New Roman" w:hAnsi="Times New Roman" w:cs="Times New Roman"/>
          <w:noProof/>
          <w:sz w:val="24"/>
          <w:szCs w:val="24"/>
        </w:rPr>
      </w:pPr>
      <w:r>
        <w:rPr>
          <w:rFonts w:ascii="Times New Roman" w:hAnsi="Times New Roman" w:cs="Times New Roman"/>
          <w:noProof/>
          <w:sz w:val="24"/>
          <w:szCs w:val="24"/>
        </w:rPr>
        <w:t>There was an even spread of opinion as regards the availability of dynamic data (e.g. sensors, satellite data). Examples (e.g. Transport for London, Seapilot) were cited during the workshop on 18 January. Many opinions in the online consultation and</w:t>
      </w:r>
      <w:r>
        <w:rPr>
          <w:rFonts w:ascii="Times New Roman" w:hAnsi="Times New Roman" w:cs="Times New Roman"/>
          <w:noProof/>
          <w:sz w:val="24"/>
          <w:szCs w:val="24"/>
        </w:rPr>
        <w:t xml:space="preserve"> position papers reported a remaining need for (more) real-time data, the cost of such availability and a need to prioritise efforts on the basis of real demand. </w:t>
      </w:r>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It was stressed that data standards should relate to specific domains (transport, geospatial,</w:t>
      </w:r>
      <w:r>
        <w:rPr>
          <w:rFonts w:ascii="Times New Roman" w:hAnsi="Times New Roman" w:cs="Times New Roman"/>
          <w:noProof/>
          <w:sz w:val="24"/>
          <w:szCs w:val="24"/>
        </w:rPr>
        <w:t xml:space="preserve"> statistical, etc.). In particular for dynamic data, the cost and technical complexity of setting and implementing standards raise a need for appropriate supporting measures.</w:t>
      </w:r>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77 % of respondents confirmed the need to encourage public bodies to provide dyna</w:t>
      </w:r>
      <w:r>
        <w:rPr>
          <w:rFonts w:ascii="Times New Roman" w:hAnsi="Times New Roman" w:cs="Times New Roman"/>
          <w:noProof/>
          <w:sz w:val="24"/>
          <w:szCs w:val="24"/>
        </w:rPr>
        <w:t xml:space="preserve">mic data in real time and invest in technical solutions (e.g. APIs, Application Programming Interfaces) facilitating data usability. This high demand is still only partially met. This confirms the stakeholders' opinion also expressed in a </w:t>
      </w:r>
      <w:hyperlink r:id="rId46" w:history="1">
        <w:r>
          <w:rPr>
            <w:rStyle w:val="Hyperlink"/>
            <w:rFonts w:ascii="Times New Roman" w:hAnsi="Times New Roman" w:cs="Times New Roman"/>
            <w:noProof/>
            <w:sz w:val="24"/>
            <w:szCs w:val="24"/>
          </w:rPr>
          <w:t>public online consultation earlier in 2017</w:t>
        </w:r>
      </w:hyperlink>
      <w:r>
        <w:rPr>
          <w:rFonts w:ascii="Times New Roman" w:hAnsi="Times New Roman" w:cs="Times New Roman"/>
          <w:noProof/>
          <w:sz w:val="24"/>
          <w:szCs w:val="24"/>
        </w:rPr>
        <w:t>, where 68% of respondents clearly supported an increased use of APIs.</w:t>
      </w:r>
    </w:p>
    <w:p w:rsidR="00DF1A33" w:rsidRDefault="00456F01">
      <w:pPr>
        <w:keepNext/>
        <w:spacing w:after="240"/>
        <w:jc w:val="both"/>
        <w:rPr>
          <w:rFonts w:ascii="Times New Roman" w:hAnsi="Times New Roman" w:cs="Times New Roman"/>
          <w:b/>
          <w:i/>
          <w:noProof/>
          <w:sz w:val="24"/>
          <w:szCs w:val="24"/>
        </w:rPr>
      </w:pPr>
      <w:r>
        <w:rPr>
          <w:rFonts w:ascii="Times New Roman" w:hAnsi="Times New Roman" w:cs="Times New Roman"/>
          <w:b/>
          <w:i/>
          <w:noProof/>
          <w:sz w:val="24"/>
          <w:szCs w:val="24"/>
        </w:rPr>
        <w:t>Charging rules</w:t>
      </w:r>
    </w:p>
    <w:p w:rsidR="00DF1A33" w:rsidRDefault="00456F01">
      <w:pPr>
        <w:keepNext/>
        <w:spacing w:after="240"/>
        <w:jc w:val="both"/>
        <w:rPr>
          <w:rFonts w:ascii="Times New Roman" w:hAnsi="Times New Roman" w:cs="Times New Roman"/>
          <w:noProof/>
          <w:sz w:val="24"/>
          <w:szCs w:val="24"/>
        </w:rPr>
      </w:pPr>
      <w:r>
        <w:rPr>
          <w:rFonts w:ascii="Times New Roman" w:hAnsi="Times New Roman" w:cs="Times New Roman"/>
          <w:noProof/>
          <w:sz w:val="24"/>
          <w:szCs w:val="24"/>
        </w:rPr>
        <w:t>38 % of the</w:t>
      </w:r>
      <w:r>
        <w:rPr>
          <w:rFonts w:ascii="Times New Roman" w:hAnsi="Times New Roman" w:cs="Times New Roman"/>
          <w:noProof/>
          <w:sz w:val="24"/>
          <w:szCs w:val="24"/>
        </w:rPr>
        <w:t xml:space="preserve"> 206 online respondents expressed a slight preference for keeping the rules that prevent public bodies from setting excessive or arbitrary charges on re-use. However, 42 % wanted to abolish the exceptions to Article 6(1) (so that the marginal cost of disse</w:t>
      </w:r>
      <w:r>
        <w:rPr>
          <w:rFonts w:ascii="Times New Roman" w:hAnsi="Times New Roman" w:cs="Times New Roman"/>
          <w:noProof/>
          <w:sz w:val="24"/>
          <w:szCs w:val="24"/>
        </w:rPr>
        <w:t>mination would become the upper limit for charging) or at least clarify (49 %) the circumstances in which they can apply.</w:t>
      </w:r>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PSI re-users are clearly in favour of abolishing or at least clarifying exceptions, while most PSI holders consider that they should n</w:t>
      </w:r>
      <w:r>
        <w:rPr>
          <w:rFonts w:ascii="Times New Roman" w:hAnsi="Times New Roman" w:cs="Times New Roman"/>
          <w:noProof/>
          <w:sz w:val="24"/>
          <w:szCs w:val="24"/>
        </w:rPr>
        <w:t>ot be changed and need no clarification.</w:t>
      </w:r>
    </w:p>
    <w:p w:rsidR="00DF1A33" w:rsidRDefault="00456F01">
      <w:pPr>
        <w:spacing w:after="120"/>
        <w:jc w:val="both"/>
        <w:rPr>
          <w:rFonts w:ascii="Times New Roman" w:hAnsi="Times New Roman" w:cs="Times New Roman"/>
          <w:noProof/>
          <w:sz w:val="24"/>
          <w:szCs w:val="24"/>
        </w:rPr>
      </w:pPr>
      <w:r>
        <w:rPr>
          <w:rFonts w:ascii="Times New Roman" w:hAnsi="Times New Roman" w:cs="Times New Roman"/>
          <w:noProof/>
          <w:sz w:val="24"/>
          <w:szCs w:val="24"/>
        </w:rPr>
        <w:t>Stakeholders also expressed divergent views in their additional feedback. Some argued that the rules should promote open access by eliminating or at least minimising charges. Many others cited challenges that public</w:t>
      </w:r>
      <w:r>
        <w:rPr>
          <w:rFonts w:ascii="Times New Roman" w:hAnsi="Times New Roman" w:cs="Times New Roman"/>
          <w:noProof/>
          <w:sz w:val="24"/>
          <w:szCs w:val="24"/>
        </w:rPr>
        <w:t xml:space="preserve"> administrations are facing that justify the rules, e.g.: the sustainability of investment in digitalisation (especially if more is to be done on standards, interoperability, dynamic data, etc.), and balancing the interests of PSI holders and re-users. </w:t>
      </w:r>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Th</w:t>
      </w:r>
      <w:r>
        <w:rPr>
          <w:rFonts w:ascii="Times New Roman" w:hAnsi="Times New Roman" w:cs="Times New Roman"/>
          <w:noProof/>
          <w:sz w:val="24"/>
          <w:szCs w:val="24"/>
        </w:rPr>
        <w:t xml:space="preserve">e variety and opacity of national charging practices was raised at the workshop for PSI holders and re-users.  </w:t>
      </w:r>
    </w:p>
    <w:p w:rsidR="00DF1A33" w:rsidRDefault="00456F01">
      <w:pPr>
        <w:spacing w:after="240"/>
        <w:jc w:val="both"/>
        <w:rPr>
          <w:rFonts w:ascii="Times New Roman" w:hAnsi="Times New Roman" w:cs="Times New Roman"/>
          <w:b/>
          <w:i/>
          <w:noProof/>
          <w:sz w:val="24"/>
          <w:szCs w:val="24"/>
        </w:rPr>
      </w:pPr>
      <w:r>
        <w:rPr>
          <w:rFonts w:ascii="Times New Roman" w:hAnsi="Times New Roman" w:cs="Times New Roman"/>
          <w:b/>
          <w:i/>
          <w:noProof/>
          <w:sz w:val="24"/>
          <w:szCs w:val="24"/>
        </w:rPr>
        <w:t>Scientific information and data held by research and educational establishments</w:t>
      </w:r>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There was a consensus that data from publicly funded scientific </w:t>
      </w:r>
      <w:r>
        <w:rPr>
          <w:rFonts w:ascii="Times New Roman" w:hAnsi="Times New Roman" w:cs="Times New Roman"/>
          <w:noProof/>
          <w:sz w:val="24"/>
          <w:szCs w:val="24"/>
        </w:rPr>
        <w:t xml:space="preserve">research should be as openly accessible and re-usable as possible. </w:t>
      </w:r>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81 % of the 178 online respondents agreed that a common EU open access policy should apply to all research</w:t>
      </w:r>
      <w:r>
        <w:rPr>
          <w:rFonts w:ascii="Times New Roman" w:hAnsi="Times New Roman" w:cs="Times New Roman"/>
          <w:noProof/>
          <w:sz w:val="24"/>
          <w:szCs w:val="24"/>
        </w:rPr>
        <w:noBreakHyphen/>
        <w:t>funding organisations and academic institutions; only 6 % disagreed. This positio</w:t>
      </w:r>
      <w:r>
        <w:rPr>
          <w:rFonts w:ascii="Times New Roman" w:hAnsi="Times New Roman" w:cs="Times New Roman"/>
          <w:noProof/>
          <w:sz w:val="24"/>
          <w:szCs w:val="24"/>
        </w:rPr>
        <w:t>n was also voiced at the public hearing and the workshop on access to scientific information.</w:t>
      </w:r>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There were similar views on opening up the (currently exempt) administrative data of educational and research establishments, although at the meeting of National </w:t>
      </w:r>
      <w:r>
        <w:rPr>
          <w:rFonts w:ascii="Times New Roman" w:hAnsi="Times New Roman" w:cs="Times New Roman"/>
          <w:noProof/>
          <w:sz w:val="24"/>
          <w:szCs w:val="24"/>
        </w:rPr>
        <w:t>Points of Reference in access to an preservation of scientific information, a Member State representative expressed concerns in the context of competition among universities in Europe.</w:t>
      </w:r>
    </w:p>
    <w:p w:rsidR="00DF1A33" w:rsidRDefault="00456F01">
      <w:pPr>
        <w:spacing w:after="120"/>
        <w:jc w:val="both"/>
        <w:rPr>
          <w:rFonts w:ascii="Times New Roman" w:hAnsi="Times New Roman" w:cs="Times New Roman"/>
          <w:noProof/>
          <w:sz w:val="24"/>
          <w:szCs w:val="24"/>
        </w:rPr>
      </w:pPr>
      <w:r>
        <w:rPr>
          <w:rFonts w:ascii="Times New Roman" w:hAnsi="Times New Roman" w:cs="Times New Roman"/>
          <w:noProof/>
          <w:sz w:val="24"/>
          <w:szCs w:val="24"/>
        </w:rPr>
        <w:t>Of 159 online respondents, 90 % supported the principle of opening up s</w:t>
      </w:r>
      <w:r>
        <w:rPr>
          <w:rFonts w:ascii="Times New Roman" w:hAnsi="Times New Roman" w:cs="Times New Roman"/>
          <w:noProof/>
          <w:sz w:val="24"/>
          <w:szCs w:val="24"/>
        </w:rPr>
        <w:t>cientific results (publications and research data) from public funding. In the open fields in the online consultation and at the workshop on access to scientific information, stakeholders stressed the similarities between such results and government</w:t>
      </w:r>
      <w:r>
        <w:rPr>
          <w:rFonts w:ascii="Times New Roman" w:hAnsi="Times New Roman" w:cs="Times New Roman"/>
          <w:noProof/>
          <w:sz w:val="24"/>
          <w:szCs w:val="24"/>
        </w:rPr>
        <w:noBreakHyphen/>
        <w:t>held i</w:t>
      </w:r>
      <w:r>
        <w:rPr>
          <w:rFonts w:ascii="Times New Roman" w:hAnsi="Times New Roman" w:cs="Times New Roman"/>
          <w:noProof/>
          <w:sz w:val="24"/>
          <w:szCs w:val="24"/>
        </w:rPr>
        <w:t xml:space="preserve">nformation, in particular as regards data re-use value. </w:t>
      </w:r>
    </w:p>
    <w:p w:rsidR="00DF1A33" w:rsidRDefault="00456F01">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At the same time, </w:t>
      </w:r>
    </w:p>
    <w:p w:rsidR="00DF1A33" w:rsidRDefault="00456F01">
      <w:pPr>
        <w:pStyle w:val="ListParagraph"/>
        <w:numPr>
          <w:ilvl w:val="1"/>
          <w:numId w:val="11"/>
        </w:numPr>
        <w:spacing w:after="120"/>
        <w:ind w:left="840" w:hanging="425"/>
        <w:jc w:val="both"/>
        <w:rPr>
          <w:rFonts w:ascii="Times New Roman" w:hAnsi="Times New Roman" w:cs="Times New Roman"/>
          <w:noProof/>
          <w:sz w:val="24"/>
          <w:szCs w:val="24"/>
        </w:rPr>
      </w:pPr>
      <w:r>
        <w:rPr>
          <w:rFonts w:ascii="Times New Roman" w:hAnsi="Times New Roman" w:cs="Times New Roman"/>
          <w:noProof/>
          <w:sz w:val="24"/>
          <w:szCs w:val="24"/>
        </w:rPr>
        <w:t>some respondents pointed to issues for future policy</w:t>
      </w:r>
      <w:r>
        <w:rPr>
          <w:rFonts w:ascii="Times New Roman" w:hAnsi="Times New Roman" w:cs="Times New Roman"/>
          <w:noProof/>
          <w:sz w:val="24"/>
          <w:szCs w:val="24"/>
        </w:rPr>
        <w:noBreakHyphen/>
      </w:r>
      <w:r>
        <w:rPr>
          <w:rFonts w:ascii="Times New Roman" w:hAnsi="Times New Roman" w:cs="Times New Roman"/>
          <w:noProof/>
          <w:sz w:val="24"/>
          <w:szCs w:val="24"/>
        </w:rPr>
        <w:t xml:space="preserve">making, including the financial sustainability of publishers, the protection of intellectual property rights (IPRs), the protection of personal data and trade secrets; </w:t>
      </w:r>
    </w:p>
    <w:p w:rsidR="00DF1A33" w:rsidRDefault="00456F01">
      <w:pPr>
        <w:pStyle w:val="ListParagraph"/>
        <w:numPr>
          <w:ilvl w:val="0"/>
          <w:numId w:val="11"/>
        </w:numPr>
        <w:spacing w:after="120"/>
        <w:ind w:left="850" w:hanging="425"/>
        <w:jc w:val="both"/>
        <w:rPr>
          <w:rFonts w:ascii="Times New Roman" w:hAnsi="Times New Roman" w:cs="Times New Roman"/>
          <w:noProof/>
          <w:sz w:val="24"/>
          <w:szCs w:val="24"/>
        </w:rPr>
      </w:pPr>
      <w:r>
        <w:rPr>
          <w:rFonts w:ascii="Times New Roman" w:hAnsi="Times New Roman" w:cs="Times New Roman"/>
          <w:noProof/>
          <w:sz w:val="24"/>
          <w:szCs w:val="24"/>
        </w:rPr>
        <w:t>structural solutions will be required that do not add unnecessarily to the administrati</w:t>
      </w:r>
      <w:r>
        <w:rPr>
          <w:rFonts w:ascii="Times New Roman" w:hAnsi="Times New Roman" w:cs="Times New Roman"/>
          <w:noProof/>
          <w:sz w:val="24"/>
          <w:szCs w:val="24"/>
        </w:rPr>
        <w:t>ve burden for researchers; and</w:t>
      </w:r>
    </w:p>
    <w:p w:rsidR="00DF1A33" w:rsidRDefault="00456F01">
      <w:pPr>
        <w:pStyle w:val="ListParagraph"/>
        <w:numPr>
          <w:ilvl w:val="1"/>
          <w:numId w:val="11"/>
        </w:numPr>
        <w:spacing w:after="240"/>
        <w:ind w:left="840" w:hanging="425"/>
        <w:jc w:val="both"/>
        <w:rPr>
          <w:rFonts w:ascii="Times New Roman" w:hAnsi="Times New Roman" w:cs="Times New Roman"/>
          <w:noProof/>
          <w:sz w:val="24"/>
          <w:szCs w:val="24"/>
        </w:rPr>
      </w:pPr>
      <w:r>
        <w:rPr>
          <w:rFonts w:ascii="Times New Roman" w:hAnsi="Times New Roman" w:cs="Times New Roman"/>
          <w:noProof/>
          <w:sz w:val="24"/>
          <w:szCs w:val="24"/>
        </w:rPr>
        <w:t>there are other linked barrier to be addressed, including imperfect data</w:t>
      </w:r>
      <w:r>
        <w:rPr>
          <w:rFonts w:ascii="Times New Roman" w:hAnsi="Times New Roman" w:cs="Times New Roman"/>
          <w:noProof/>
          <w:sz w:val="24"/>
          <w:szCs w:val="24"/>
        </w:rPr>
        <w:noBreakHyphen/>
        <w:t>management capabilities, onerous licensing conditions, and problems with common (meta)data standards.</w:t>
      </w:r>
    </w:p>
    <w:p w:rsidR="00DF1A33" w:rsidRDefault="00456F01">
      <w:pPr>
        <w:spacing w:after="240"/>
        <w:jc w:val="both"/>
        <w:rPr>
          <w:rFonts w:ascii="Times New Roman" w:hAnsi="Times New Roman" w:cs="Times New Roman"/>
          <w:b/>
          <w:i/>
          <w:noProof/>
          <w:sz w:val="24"/>
          <w:szCs w:val="24"/>
        </w:rPr>
      </w:pPr>
      <w:r>
        <w:rPr>
          <w:rFonts w:ascii="Times New Roman" w:hAnsi="Times New Roman" w:cs="Times New Roman"/>
          <w:b/>
          <w:i/>
          <w:noProof/>
          <w:sz w:val="24"/>
          <w:szCs w:val="24"/>
        </w:rPr>
        <w:t>Data held by entities providing services of public</w:t>
      </w:r>
      <w:r>
        <w:rPr>
          <w:rFonts w:ascii="Times New Roman" w:hAnsi="Times New Roman" w:cs="Times New Roman"/>
          <w:b/>
          <w:i/>
          <w:noProof/>
          <w:sz w:val="24"/>
          <w:szCs w:val="24"/>
        </w:rPr>
        <w:t xml:space="preserve"> interest</w:t>
      </w:r>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On extending the scope of the Directive to data generated by publicly owned companies or independent operators performing public tasks, those in favour outnumbered those against. Only 23 % of the 193 online respondents to the question agreed that</w:t>
      </w:r>
      <w:r>
        <w:rPr>
          <w:rFonts w:ascii="Times New Roman" w:hAnsi="Times New Roman" w:cs="Times New Roman"/>
          <w:noProof/>
          <w:sz w:val="24"/>
          <w:szCs w:val="24"/>
        </w:rPr>
        <w:t xml:space="preserve"> such data were currently available for re</w:t>
      </w:r>
      <w:r>
        <w:rPr>
          <w:rFonts w:ascii="Times New Roman" w:hAnsi="Times New Roman" w:cs="Times New Roman"/>
          <w:noProof/>
          <w:sz w:val="24"/>
          <w:szCs w:val="24"/>
        </w:rPr>
        <w:noBreakHyphen/>
        <w:t>use. In a breakdown by sector, the figure is higher for transport (36 %) and considerably lower (14 %) for utilities. 71 % believe that such data should be made available for re-use, whether the data</w:t>
      </w:r>
      <w:r>
        <w:rPr>
          <w:rFonts w:ascii="Times New Roman" w:hAnsi="Times New Roman" w:cs="Times New Roman"/>
          <w:noProof/>
          <w:sz w:val="24"/>
          <w:szCs w:val="24"/>
        </w:rPr>
        <w:noBreakHyphen/>
        <w:t>holder is pub</w:t>
      </w:r>
      <w:r>
        <w:rPr>
          <w:rFonts w:ascii="Times New Roman" w:hAnsi="Times New Roman" w:cs="Times New Roman"/>
          <w:noProof/>
          <w:sz w:val="24"/>
          <w:szCs w:val="24"/>
        </w:rPr>
        <w:t>lic or private. 81 % indicated that, if there were such an obligation, the data should be available for all re-users and for other purposes. However, the very few responses coming from energy, waste and water businesses expressed either doubts or strong op</w:t>
      </w:r>
      <w:r>
        <w:rPr>
          <w:rFonts w:ascii="Times New Roman" w:hAnsi="Times New Roman" w:cs="Times New Roman"/>
          <w:noProof/>
          <w:sz w:val="24"/>
          <w:szCs w:val="24"/>
        </w:rPr>
        <w:t xml:space="preserve">position. </w:t>
      </w:r>
    </w:p>
    <w:p w:rsidR="00DF1A33" w:rsidRDefault="00456F01">
      <w:pPr>
        <w:pStyle w:val="m-5707567040959589615msolistparagraph"/>
        <w:spacing w:before="0" w:beforeAutospacing="0" w:after="240" w:afterAutospacing="0" w:line="276" w:lineRule="auto"/>
        <w:jc w:val="both"/>
        <w:rPr>
          <w:noProof/>
          <w:lang w:val="en-GB"/>
        </w:rPr>
      </w:pPr>
      <w:r>
        <w:rPr>
          <w:noProof/>
          <w:lang w:val="en-GB"/>
        </w:rPr>
        <w:t>While stakeholders in favour emphasised the benefits (e.g. better and cheaper services for citizens), others based their opposition or caution on factors such as the commercial sensitivity of some data, the need to ensure a level playing</w:t>
      </w:r>
      <w:r>
        <w:rPr>
          <w:noProof/>
          <w:lang w:val="en-GB"/>
        </w:rPr>
        <w:noBreakHyphen/>
        <w:t xml:space="preserve">field </w:t>
      </w:r>
      <w:r>
        <w:rPr>
          <w:noProof/>
          <w:lang w:val="en-GB"/>
        </w:rPr>
        <w:t>for public and private actors, personal data protection considerations and the need to safeguard the security of critical infrastructure. In particular stakeholders from the transport sector have expressed concerns. They believe that data is crucial for ma</w:t>
      </w:r>
      <w:r>
        <w:rPr>
          <w:noProof/>
          <w:lang w:val="en-GB"/>
        </w:rPr>
        <w:t>intaining their competitiveness and as a result any requirements to make it more open and re-usable should be carefully balanced, as new obligations in this regard may distort competition in the sector. Stakeholders from entities active in the transport an</w:t>
      </w:r>
      <w:r>
        <w:rPr>
          <w:noProof/>
          <w:lang w:val="en-GB"/>
        </w:rPr>
        <w:t>d utilities sectors have also indicated that imposing data sharing obligations on them may have an impact on ensuring the security of critical infrastructure. Moreover, some are anxious that compliance with the new requirements will mean additional adminis</w:t>
      </w:r>
      <w:r>
        <w:rPr>
          <w:noProof/>
          <w:lang w:val="en-GB"/>
        </w:rPr>
        <w:t>trative burden. As a result any requirements to make it more open and re-usable should be carefully balanced.</w:t>
      </w:r>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At the 23 January roundtable, some argued that the issue should be addressed through sectoral legislation.</w:t>
      </w:r>
    </w:p>
    <w:p w:rsidR="00DF1A33" w:rsidRDefault="00456F01">
      <w:pPr>
        <w:spacing w:after="240"/>
        <w:jc w:val="both"/>
        <w:rPr>
          <w:rFonts w:ascii="Times New Roman" w:hAnsi="Times New Roman" w:cs="Times New Roman"/>
          <w:b/>
          <w:i/>
          <w:noProof/>
          <w:sz w:val="24"/>
          <w:szCs w:val="24"/>
        </w:rPr>
      </w:pPr>
      <w:r>
        <w:rPr>
          <w:rFonts w:ascii="Times New Roman" w:hAnsi="Times New Roman" w:cs="Times New Roman"/>
          <w:b/>
          <w:i/>
          <w:noProof/>
          <w:sz w:val="24"/>
          <w:szCs w:val="24"/>
        </w:rPr>
        <w:t>Relationship with the Database Directiv</w:t>
      </w:r>
      <w:r>
        <w:rPr>
          <w:rFonts w:ascii="Times New Roman" w:hAnsi="Times New Roman" w:cs="Times New Roman"/>
          <w:b/>
          <w:i/>
          <w:noProof/>
          <w:sz w:val="24"/>
          <w:szCs w:val="24"/>
        </w:rPr>
        <w:t>e</w:t>
      </w:r>
    </w:p>
    <w:p w:rsidR="00DF1A33" w:rsidRDefault="00456F01">
      <w:pPr>
        <w:spacing w:after="120"/>
        <w:jc w:val="both"/>
        <w:rPr>
          <w:rFonts w:ascii="Times New Roman" w:eastAsia="Times New Roman" w:hAnsi="Times New Roman" w:cs="Times New Roman"/>
          <w:noProof/>
          <w:sz w:val="24"/>
          <w:szCs w:val="24"/>
          <w:lang w:eastAsia="fr-FR"/>
        </w:rPr>
      </w:pPr>
      <w:r>
        <w:rPr>
          <w:rFonts w:ascii="Times New Roman" w:hAnsi="Times New Roman" w:cs="Times New Roman"/>
          <w:noProof/>
          <w:sz w:val="24"/>
          <w:szCs w:val="24"/>
        </w:rPr>
        <w:t>A third of the 190 online replies reported instances of public sector bodies invoking rights under the Database Directive to prevent the re</w:t>
      </w:r>
      <w:r>
        <w:rPr>
          <w:rFonts w:ascii="Times New Roman" w:hAnsi="Times New Roman" w:cs="Times New Roman"/>
          <w:noProof/>
          <w:sz w:val="24"/>
          <w:szCs w:val="24"/>
        </w:rPr>
        <w:noBreakHyphen/>
        <w:t xml:space="preserve">use of PSI from databases, including </w:t>
      </w:r>
      <w:r>
        <w:rPr>
          <w:rFonts w:ascii="Times New Roman" w:eastAsia="Times New Roman" w:hAnsi="Times New Roman" w:cs="Times New Roman"/>
          <w:noProof/>
          <w:sz w:val="24"/>
          <w:szCs w:val="24"/>
          <w:lang w:eastAsia="fr-FR"/>
        </w:rPr>
        <w:t>transport data, legislation and case law, company registers, and public under</w:t>
      </w:r>
      <w:r>
        <w:rPr>
          <w:rFonts w:ascii="Times New Roman" w:eastAsia="Times New Roman" w:hAnsi="Times New Roman" w:cs="Times New Roman"/>
          <w:noProof/>
          <w:sz w:val="24"/>
          <w:szCs w:val="24"/>
          <w:lang w:eastAsia="fr-FR"/>
        </w:rPr>
        <w:t xml:space="preserve">takings’ data in </w:t>
      </w:r>
      <w:r>
        <w:rPr>
          <w:rFonts w:ascii="Times New Roman" w:hAnsi="Times New Roman" w:cs="Times New Roman"/>
          <w:noProof/>
          <w:sz w:val="24"/>
          <w:szCs w:val="24"/>
        </w:rPr>
        <w:t>areas such as</w:t>
      </w:r>
      <w:r>
        <w:rPr>
          <w:rFonts w:ascii="Times New Roman" w:eastAsia="Times New Roman" w:hAnsi="Times New Roman" w:cs="Times New Roman"/>
          <w:noProof/>
          <w:sz w:val="24"/>
          <w:szCs w:val="24"/>
          <w:lang w:eastAsia="fr-FR"/>
        </w:rPr>
        <w:t xml:space="preserve"> healthcare, translation memories and cultural heritage. </w:t>
      </w:r>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In general, the concern was that public bodies circumvent the PSI Directive by invoking database rights, even though the data are not subject to public sector or third</w:t>
      </w:r>
      <w:r>
        <w:rPr>
          <w:rFonts w:ascii="Times New Roman" w:hAnsi="Times New Roman" w:cs="Times New Roman"/>
          <w:noProof/>
          <w:sz w:val="24"/>
          <w:szCs w:val="24"/>
        </w:rPr>
        <w:noBreakHyphen/>
      </w:r>
      <w:r>
        <w:rPr>
          <w:rFonts w:ascii="Times New Roman" w:hAnsi="Times New Roman" w:cs="Times New Roman"/>
          <w:noProof/>
          <w:sz w:val="24"/>
          <w:szCs w:val="24"/>
        </w:rPr>
        <w:t>party rights. The interplay between the two Directives was also raised at the public hearing.</w:t>
      </w:r>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Of the 196 online respondents to the question, 68 % were in favour of clarifying the relationship between the Directives, so as to ensure that public bodies canno</w:t>
      </w:r>
      <w:r>
        <w:rPr>
          <w:rFonts w:ascii="Times New Roman" w:hAnsi="Times New Roman" w:cs="Times New Roman"/>
          <w:noProof/>
          <w:sz w:val="24"/>
          <w:szCs w:val="24"/>
        </w:rPr>
        <w:t>t invoke database rights in order to prevent the re-use of PSI. Stakeholders noted that this was already the case in some national and regional jurisdictions (France, Flanders). Recommended approaches ranged from guidelines and clearer formulations to maki</w:t>
      </w:r>
      <w:r>
        <w:rPr>
          <w:rFonts w:ascii="Times New Roman" w:hAnsi="Times New Roman" w:cs="Times New Roman"/>
          <w:noProof/>
          <w:sz w:val="24"/>
          <w:szCs w:val="24"/>
        </w:rPr>
        <w:t xml:space="preserve">ng the </w:t>
      </w:r>
      <w:r>
        <w:rPr>
          <w:rFonts w:ascii="Times New Roman" w:hAnsi="Times New Roman" w:cs="Times New Roman"/>
          <w:i/>
          <w:noProof/>
          <w:sz w:val="24"/>
          <w:szCs w:val="24"/>
        </w:rPr>
        <w:t>sui generis</w:t>
      </w:r>
      <w:r>
        <w:rPr>
          <w:rFonts w:ascii="Times New Roman" w:hAnsi="Times New Roman" w:cs="Times New Roman"/>
          <w:noProof/>
          <w:sz w:val="24"/>
          <w:szCs w:val="24"/>
        </w:rPr>
        <w:t xml:space="preserve"> database right inapplicable to databases that are maintained by public bodies or with public funding. On the other hand, 17 % found the relationship sufficiently clear, thanks </w:t>
      </w:r>
      <w:r>
        <w:rPr>
          <w:rFonts w:ascii="Times New Roman" w:hAnsi="Times New Roman" w:cs="Times New Roman"/>
          <w:i/>
          <w:noProof/>
          <w:sz w:val="24"/>
          <w:szCs w:val="24"/>
        </w:rPr>
        <w:t>inter alia</w:t>
      </w:r>
      <w:r>
        <w:rPr>
          <w:rFonts w:ascii="Times New Roman" w:hAnsi="Times New Roman" w:cs="Times New Roman"/>
          <w:noProof/>
          <w:sz w:val="24"/>
          <w:szCs w:val="24"/>
        </w:rPr>
        <w:t xml:space="preserve"> to recitals 22 and 23 of the PSI Directive, which </w:t>
      </w:r>
      <w:r>
        <w:rPr>
          <w:rFonts w:ascii="Times New Roman" w:hAnsi="Times New Roman" w:cs="Times New Roman"/>
          <w:noProof/>
          <w:sz w:val="24"/>
          <w:szCs w:val="24"/>
        </w:rPr>
        <w:t>stress that public bodies should exercise their IPRs in a way that facilitates re-use. Public transport undertakings and utilities insisted that they needed to keep their database rights over publicly funded data, in order to protect their legitimate inter</w:t>
      </w:r>
      <w:r>
        <w:rPr>
          <w:rFonts w:ascii="Times New Roman" w:hAnsi="Times New Roman" w:cs="Times New Roman"/>
          <w:noProof/>
          <w:sz w:val="24"/>
          <w:szCs w:val="24"/>
        </w:rPr>
        <w:t>ests in the competitive market.</w:t>
      </w:r>
    </w:p>
    <w:p w:rsidR="00DF1A33" w:rsidRDefault="00456F01">
      <w:pPr>
        <w:spacing w:after="240"/>
        <w:jc w:val="both"/>
        <w:rPr>
          <w:rFonts w:ascii="Times New Roman" w:hAnsi="Times New Roman" w:cs="Times New Roman"/>
          <w:b/>
          <w:i/>
          <w:noProof/>
          <w:sz w:val="24"/>
          <w:szCs w:val="24"/>
        </w:rPr>
      </w:pPr>
      <w:r>
        <w:rPr>
          <w:rFonts w:ascii="Times New Roman" w:hAnsi="Times New Roman" w:cs="Times New Roman"/>
          <w:b/>
          <w:i/>
          <w:noProof/>
          <w:sz w:val="24"/>
          <w:szCs w:val="24"/>
        </w:rPr>
        <w:t xml:space="preserve">National access regimes and barriers to data re-use </w:t>
      </w:r>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National access regimes do not generally seem to constitute a major obstacle to PSI re-use, but 39 % of online respondents felt that the differences between them hamper th</w:t>
      </w:r>
      <w:r>
        <w:rPr>
          <w:rFonts w:ascii="Times New Roman" w:hAnsi="Times New Roman" w:cs="Times New Roman"/>
          <w:noProof/>
          <w:sz w:val="24"/>
          <w:szCs w:val="24"/>
        </w:rPr>
        <w:t>e emergence of EU-wide services and products based on PSI. Some suggested that a common definition of the types of document that could be exempted (e.g. due to national security restrictions) would help prevent the frequent misuse/abuse of exemptions. Diff</w:t>
      </w:r>
      <w:r>
        <w:rPr>
          <w:rFonts w:ascii="Times New Roman" w:hAnsi="Times New Roman" w:cs="Times New Roman"/>
          <w:noProof/>
          <w:sz w:val="24"/>
          <w:szCs w:val="24"/>
        </w:rPr>
        <w:t>erences between national access regimes were also raised at the 18 January workshop for PSI holders and re-users and at the public hearing.</w:t>
      </w:r>
    </w:p>
    <w:p w:rsidR="00DF1A33" w:rsidRDefault="00456F01">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28 % of online respondents agreed that the link between access and re-use is clear and useful, and that it prevents </w:t>
      </w:r>
      <w:r>
        <w:rPr>
          <w:rFonts w:ascii="Times New Roman" w:hAnsi="Times New Roman" w:cs="Times New Roman"/>
          <w:noProof/>
          <w:sz w:val="24"/>
          <w:szCs w:val="24"/>
        </w:rPr>
        <w:t>re-use that could harm the interests of the state, individuals or third parties. However, 23 % argued that the link is not clear and 18 % said that national rules on access (e.g. time limits for obtaining responses, administrative charges, lack of appeal o</w:t>
      </w:r>
      <w:r>
        <w:rPr>
          <w:rFonts w:ascii="Times New Roman" w:hAnsi="Times New Roman" w:cs="Times New Roman"/>
          <w:noProof/>
          <w:sz w:val="24"/>
          <w:szCs w:val="24"/>
        </w:rPr>
        <w:t>ptions) are stricter than the Directive and hamper re-use. Some felt that certain national access regimes lack clarity and transparency.</w:t>
      </w:r>
    </w:p>
    <w:p w:rsidR="00DF1A33" w:rsidRDefault="00456F01">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As reasons for not making data available, public bodies cited </w:t>
      </w:r>
      <w:r>
        <w:rPr>
          <w:rFonts w:ascii="Times New Roman" w:eastAsia="Times New Roman" w:hAnsi="Times New Roman" w:cs="Times New Roman"/>
          <w:noProof/>
          <w:sz w:val="24"/>
          <w:szCs w:val="24"/>
          <w:lang w:eastAsia="fr-FR"/>
        </w:rPr>
        <w:t>data security rules and obligations (21 %), excessive cos</w:t>
      </w:r>
      <w:r>
        <w:rPr>
          <w:rFonts w:ascii="Times New Roman" w:eastAsia="Times New Roman" w:hAnsi="Times New Roman" w:cs="Times New Roman"/>
          <w:noProof/>
          <w:sz w:val="24"/>
          <w:szCs w:val="24"/>
          <w:lang w:eastAsia="fr-FR"/>
        </w:rPr>
        <w:t xml:space="preserve">ts (15 %), and </w:t>
      </w:r>
      <w:r>
        <w:rPr>
          <w:rFonts w:ascii="Times New Roman" w:hAnsi="Times New Roman" w:cs="Times New Roman"/>
          <w:noProof/>
          <w:sz w:val="24"/>
          <w:szCs w:val="24"/>
        </w:rPr>
        <w:t>possible</w:t>
      </w:r>
      <w:r>
        <w:rPr>
          <w:rFonts w:ascii="Times New Roman" w:eastAsia="Times New Roman" w:hAnsi="Times New Roman" w:cs="Times New Roman"/>
          <w:noProof/>
          <w:sz w:val="24"/>
          <w:szCs w:val="24"/>
          <w:lang w:eastAsia="fr-FR"/>
        </w:rPr>
        <w:t xml:space="preserve"> misuse (13 %). </w:t>
      </w:r>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As for data held by operators under a public service contractual arrangement, the main arguments were that the arrangement did not require that they be made available and that it would be too costly.</w:t>
      </w:r>
    </w:p>
    <w:p w:rsidR="00DF1A33" w:rsidRDefault="00456F01">
      <w:pPr>
        <w:spacing w:after="120"/>
        <w:jc w:val="both"/>
        <w:rPr>
          <w:rFonts w:ascii="Times New Roman" w:hAnsi="Times New Roman" w:cs="Times New Roman"/>
          <w:noProof/>
          <w:sz w:val="24"/>
          <w:szCs w:val="24"/>
        </w:rPr>
      </w:pPr>
      <w:r>
        <w:rPr>
          <w:rFonts w:ascii="Times New Roman" w:hAnsi="Times New Roman" w:cs="Times New Roman"/>
          <w:noProof/>
          <w:sz w:val="24"/>
          <w:szCs w:val="24"/>
        </w:rPr>
        <w:t>In cases where r</w:t>
      </w:r>
      <w:r>
        <w:rPr>
          <w:rFonts w:ascii="Times New Roman" w:hAnsi="Times New Roman" w:cs="Times New Roman"/>
          <w:noProof/>
          <w:sz w:val="24"/>
          <w:szCs w:val="24"/>
        </w:rPr>
        <w:t xml:space="preserve">equests for data had been granted, the obstacles reported were poor metadata (34 %), a lack of information on data management (33 %), and unclear or inconsistent terms and conditions for re-use (30 %). </w:t>
      </w:r>
    </w:p>
    <w:p w:rsidR="00DF1A33" w:rsidRDefault="00456F01">
      <w:pPr>
        <w:spacing w:after="120"/>
        <w:jc w:val="both"/>
        <w:rPr>
          <w:rFonts w:ascii="Times New Roman" w:hAnsi="Times New Roman" w:cs="Times New Roman"/>
          <w:noProof/>
          <w:sz w:val="24"/>
          <w:szCs w:val="24"/>
        </w:rPr>
      </w:pPr>
      <w:r>
        <w:rPr>
          <w:rFonts w:ascii="Times New Roman" w:hAnsi="Times New Roman" w:cs="Times New Roman"/>
          <w:noProof/>
          <w:sz w:val="24"/>
          <w:szCs w:val="24"/>
        </w:rPr>
        <w:t>Also a quarter of respondents referred to a lack of m</w:t>
      </w:r>
      <w:r>
        <w:rPr>
          <w:rFonts w:ascii="Times New Roman" w:hAnsi="Times New Roman" w:cs="Times New Roman"/>
          <w:noProof/>
          <w:sz w:val="24"/>
          <w:szCs w:val="24"/>
        </w:rPr>
        <w:t>achine-to-machine interfaces (APIs), and machine</w:t>
      </w:r>
      <w:r>
        <w:rPr>
          <w:rFonts w:ascii="Times New Roman" w:hAnsi="Times New Roman" w:cs="Times New Roman"/>
          <w:noProof/>
          <w:sz w:val="24"/>
          <w:szCs w:val="24"/>
        </w:rPr>
        <w:noBreakHyphen/>
        <w:t>readable/standardised licences. Individual stakeholders cited the scope of IPRs, the geographical scope of licences and the unavailability of linked open data.</w:t>
      </w:r>
    </w:p>
    <w:p w:rsidR="00DF1A33" w:rsidRDefault="00456F01">
      <w:pPr>
        <w:spacing w:after="120"/>
        <w:jc w:val="both"/>
        <w:rPr>
          <w:rFonts w:ascii="Times New Roman" w:hAnsi="Times New Roman" w:cs="Times New Roman"/>
          <w:noProof/>
          <w:sz w:val="24"/>
          <w:szCs w:val="24"/>
        </w:rPr>
      </w:pPr>
      <w:r>
        <w:rPr>
          <w:rFonts w:ascii="Times New Roman" w:hAnsi="Times New Roman" w:cs="Times New Roman"/>
          <w:noProof/>
          <w:sz w:val="24"/>
          <w:szCs w:val="24"/>
        </w:rPr>
        <w:t>78 online respondents provided further input on</w:t>
      </w:r>
      <w:r>
        <w:rPr>
          <w:rFonts w:ascii="Times New Roman" w:hAnsi="Times New Roman" w:cs="Times New Roman"/>
          <w:noProof/>
          <w:sz w:val="24"/>
          <w:szCs w:val="24"/>
        </w:rPr>
        <w:t xml:space="preserve"> ways to ensure data protection in the context of PSIs. Suggested solutions included: </w:t>
      </w:r>
    </w:p>
    <w:p w:rsidR="00DF1A33" w:rsidRDefault="00456F01">
      <w:pPr>
        <w:pStyle w:val="m-5707567040959589615msolistparagraph"/>
        <w:numPr>
          <w:ilvl w:val="0"/>
          <w:numId w:val="26"/>
        </w:numPr>
        <w:spacing w:before="0" w:beforeAutospacing="0" w:after="120" w:afterAutospacing="0" w:line="276" w:lineRule="auto"/>
        <w:ind w:left="851" w:hanging="425"/>
        <w:jc w:val="both"/>
        <w:rPr>
          <w:noProof/>
          <w:lang w:val="en-GB"/>
        </w:rPr>
      </w:pPr>
      <w:r>
        <w:rPr>
          <w:noProof/>
          <w:lang w:val="en-GB"/>
        </w:rPr>
        <w:t>technical (e.g. pseudonymisation, anonymisation, encryption, separation of networks);</w:t>
      </w:r>
    </w:p>
    <w:p w:rsidR="00DF1A33" w:rsidRDefault="00456F01">
      <w:pPr>
        <w:pStyle w:val="m-5707567040959589615msolistparagraph"/>
        <w:numPr>
          <w:ilvl w:val="0"/>
          <w:numId w:val="26"/>
        </w:numPr>
        <w:spacing w:before="0" w:beforeAutospacing="0" w:after="120" w:afterAutospacing="0" w:line="276" w:lineRule="auto"/>
        <w:ind w:left="851" w:hanging="425"/>
        <w:jc w:val="both"/>
        <w:rPr>
          <w:noProof/>
          <w:lang w:val="en-GB"/>
        </w:rPr>
      </w:pPr>
      <w:r>
        <w:rPr>
          <w:noProof/>
          <w:lang w:val="en-GB"/>
        </w:rPr>
        <w:t>legal (e.g. consent</w:t>
      </w:r>
      <w:r>
        <w:rPr>
          <w:noProof/>
          <w:lang w:val="en-GB"/>
        </w:rPr>
        <w:noBreakHyphen/>
        <w:t xml:space="preserve">oriented solutions or ‘privacy by design’ rules); and </w:t>
      </w:r>
    </w:p>
    <w:p w:rsidR="00DF1A33" w:rsidRDefault="00456F01">
      <w:pPr>
        <w:pStyle w:val="m-5707567040959589615msolistparagraph"/>
        <w:numPr>
          <w:ilvl w:val="0"/>
          <w:numId w:val="26"/>
        </w:numPr>
        <w:spacing w:before="0" w:beforeAutospacing="0" w:after="240" w:afterAutospacing="0" w:line="276" w:lineRule="auto"/>
        <w:ind w:left="851" w:hanging="425"/>
        <w:jc w:val="both"/>
        <w:rPr>
          <w:noProof/>
          <w:lang w:val="en-GB"/>
        </w:rPr>
      </w:pPr>
      <w:r>
        <w:rPr>
          <w:noProof/>
          <w:lang w:val="en-GB"/>
        </w:rPr>
        <w:t xml:space="preserve">other </w:t>
      </w:r>
      <w:r>
        <w:rPr>
          <w:noProof/>
          <w:lang w:val="en-GB"/>
        </w:rPr>
        <w:t>(e.g. training of officials, appointing a person in charge of anonymisation).</w:t>
      </w:r>
    </w:p>
    <w:p w:rsidR="00DF1A33" w:rsidRDefault="00456F01">
      <w:pPr>
        <w:keepNext/>
        <w:spacing w:after="240"/>
        <w:jc w:val="both"/>
        <w:rPr>
          <w:rFonts w:ascii="Times New Roman" w:hAnsi="Times New Roman" w:cs="Times New Roman"/>
          <w:b/>
          <w:noProof/>
          <w:sz w:val="24"/>
          <w:szCs w:val="24"/>
        </w:rPr>
      </w:pPr>
      <w:r>
        <w:rPr>
          <w:rFonts w:ascii="Times New Roman" w:hAnsi="Times New Roman" w:cs="Times New Roman"/>
          <w:b/>
          <w:noProof/>
          <w:sz w:val="24"/>
          <w:szCs w:val="24"/>
        </w:rPr>
        <w:t>Access by public sector bodies to private sector data of public interest</w:t>
      </w:r>
    </w:p>
    <w:p w:rsidR="00DF1A33" w:rsidRDefault="00456F01">
      <w:pPr>
        <w:pStyle w:val="Default"/>
        <w:keepNext/>
        <w:spacing w:after="240" w:line="276" w:lineRule="auto"/>
        <w:jc w:val="both"/>
        <w:rPr>
          <w:rFonts w:ascii="Times New Roman" w:hAnsi="Times New Roman" w:cs="Times New Roman"/>
          <w:noProof/>
          <w:color w:val="auto"/>
        </w:rPr>
      </w:pPr>
      <w:r>
        <w:rPr>
          <w:rFonts w:ascii="Times New Roman" w:hAnsi="Times New Roman" w:cs="Times New Roman"/>
          <w:noProof/>
          <w:color w:val="auto"/>
        </w:rPr>
        <w:t xml:space="preserve">Acceptance of the idea of allowing public administrations to access and re-use private sector data of public interest has increased since the </w:t>
      </w:r>
      <w:hyperlink r:id="rId47" w:history="1">
        <w:r>
          <w:rPr>
            <w:rStyle w:val="Hyperlink"/>
            <w:rFonts w:ascii="Times New Roman" w:hAnsi="Times New Roman" w:cs="Times New Roman"/>
            <w:noProof/>
          </w:rPr>
          <w:t>‘Building a European data economy’ consultation</w:t>
        </w:r>
      </w:hyperlink>
      <w:r>
        <w:rPr>
          <w:rFonts w:ascii="Times New Roman" w:hAnsi="Times New Roman" w:cs="Times New Roman"/>
          <w:noProof/>
          <w:color w:val="auto"/>
        </w:rPr>
        <w:t xml:space="preserve"> (June 2017). It was supported by 88 % of 205 respondents, across all types of contributors.</w:t>
      </w:r>
    </w:p>
    <w:p w:rsidR="00DF1A33" w:rsidRDefault="00456F01">
      <w:pPr>
        <w:pStyle w:val="Default"/>
        <w:keepNext/>
        <w:spacing w:after="120" w:line="276" w:lineRule="auto"/>
        <w:jc w:val="both"/>
        <w:rPr>
          <w:rFonts w:ascii="Times New Roman" w:hAnsi="Times New Roman" w:cs="Times New Roman"/>
          <w:noProof/>
          <w:color w:val="auto"/>
        </w:rPr>
      </w:pPr>
      <w:r>
        <w:rPr>
          <w:rFonts w:ascii="Times New Roman" w:hAnsi="Times New Roman" w:cs="Times New Roman"/>
          <w:noProof/>
          <w:color w:val="auto"/>
        </w:rPr>
        <w:t>Of the 189 online respondents, 81 % felt that specific legal measures were needed. Among them, E</w:t>
      </w:r>
      <w:r>
        <w:rPr>
          <w:rFonts w:ascii="Times New Roman" w:hAnsi="Times New Roman" w:cs="Times New Roman"/>
          <w:noProof/>
          <w:color w:val="auto"/>
        </w:rPr>
        <w:t xml:space="preserve">U legislation by sector was mainly supported, followed by general principles, and then by adoption of specific rights and guarantees. </w:t>
      </w:r>
    </w:p>
    <w:p w:rsidR="00DF1A33" w:rsidRDefault="00456F01">
      <w:pPr>
        <w:pStyle w:val="Default"/>
        <w:spacing w:after="240" w:line="276" w:lineRule="auto"/>
        <w:jc w:val="both"/>
        <w:rPr>
          <w:rFonts w:ascii="Times New Roman" w:hAnsi="Times New Roman" w:cs="Times New Roman"/>
          <w:noProof/>
          <w:color w:val="auto"/>
        </w:rPr>
      </w:pPr>
      <w:r>
        <w:rPr>
          <w:rFonts w:ascii="Times New Roman" w:hAnsi="Times New Roman" w:cs="Times New Roman"/>
          <w:noProof/>
        </w:rPr>
        <w:t>Businesses tended to support specific rights and guarantees, while public organisations favoured EU wide legislation by s</w:t>
      </w:r>
      <w:r>
        <w:rPr>
          <w:rFonts w:ascii="Times New Roman" w:hAnsi="Times New Roman" w:cs="Times New Roman"/>
          <w:noProof/>
        </w:rPr>
        <w:t xml:space="preserve">ectors and general principles. </w:t>
      </w:r>
      <w:r>
        <w:rPr>
          <w:rFonts w:ascii="Times New Roman" w:hAnsi="Times New Roman" w:cs="Times New Roman"/>
          <w:noProof/>
          <w:color w:val="auto"/>
        </w:rPr>
        <w:t>O</w:t>
      </w:r>
      <w:r>
        <w:rPr>
          <w:rFonts w:ascii="Times New Roman" w:hAnsi="Times New Roman" w:cs="Times New Roman"/>
          <w:noProof/>
        </w:rPr>
        <w:t>nline, in papers and at the public hearing, s</w:t>
      </w:r>
      <w:r>
        <w:rPr>
          <w:rFonts w:ascii="Times New Roman" w:hAnsi="Times New Roman" w:cs="Times New Roman"/>
          <w:noProof/>
          <w:color w:val="auto"/>
        </w:rPr>
        <w:t>tatistical offices and other public organisations expressed support for laying down principles common to all Member States and highlighted the need to legislate before wide nation</w:t>
      </w:r>
      <w:r>
        <w:rPr>
          <w:rFonts w:ascii="Times New Roman" w:hAnsi="Times New Roman" w:cs="Times New Roman"/>
          <w:noProof/>
          <w:color w:val="auto"/>
        </w:rPr>
        <w:t xml:space="preserve">al disparities appear in the field of statistics. </w:t>
      </w:r>
    </w:p>
    <w:p w:rsidR="00DF1A33" w:rsidRDefault="00456F01">
      <w:pPr>
        <w:pStyle w:val="Default"/>
        <w:spacing w:after="240" w:line="276" w:lineRule="auto"/>
        <w:jc w:val="both"/>
        <w:rPr>
          <w:rFonts w:ascii="Times New Roman" w:hAnsi="Times New Roman" w:cs="Times New Roman"/>
          <w:noProof/>
          <w:color w:val="auto"/>
        </w:rPr>
      </w:pPr>
      <w:r>
        <w:rPr>
          <w:rFonts w:ascii="Times New Roman" w:hAnsi="Times New Roman" w:cs="Times New Roman"/>
          <w:noProof/>
          <w:color w:val="auto"/>
        </w:rPr>
        <w:t>Although businesses supported that approach online, in papers and at events such as the public hearing many businesses and associations stressed the importance of voluntary measures and contractual freedom</w:t>
      </w:r>
      <w:r>
        <w:rPr>
          <w:rFonts w:ascii="Times New Roman" w:hAnsi="Times New Roman" w:cs="Times New Roman"/>
          <w:noProof/>
          <w:color w:val="auto"/>
        </w:rPr>
        <w:t xml:space="preserve"> to implement them.</w:t>
      </w:r>
    </w:p>
    <w:p w:rsidR="00DF1A33" w:rsidRDefault="00456F01">
      <w:pPr>
        <w:pStyle w:val="Default"/>
        <w:spacing w:after="240" w:line="276" w:lineRule="auto"/>
        <w:jc w:val="both"/>
        <w:rPr>
          <w:rFonts w:ascii="Times New Roman" w:hAnsi="Times New Roman" w:cs="Times New Roman"/>
          <w:noProof/>
          <w:color w:val="auto"/>
        </w:rPr>
      </w:pPr>
      <w:r>
        <w:rPr>
          <w:rFonts w:ascii="Times New Roman" w:hAnsi="Times New Roman" w:cs="Times New Roman"/>
          <w:noProof/>
          <w:color w:val="auto"/>
        </w:rPr>
        <w:t>Stakeholders in all categories called for a clearer definition of ‘public interest’ and clarity on the objectives and scope of the initiative. This suggests a need for further discussion with stakeholders, including public organisations</w:t>
      </w:r>
      <w:r>
        <w:rPr>
          <w:rFonts w:ascii="Times New Roman" w:hAnsi="Times New Roman" w:cs="Times New Roman"/>
          <w:noProof/>
          <w:color w:val="auto"/>
        </w:rPr>
        <w:t xml:space="preserve"> with a view to establishing clear areas for action.</w:t>
      </w:r>
    </w:p>
    <w:p w:rsidR="00DF1A33" w:rsidRDefault="00456F01">
      <w:pPr>
        <w:spacing w:after="240"/>
        <w:rPr>
          <w:rFonts w:ascii="Times New Roman" w:hAnsi="Times New Roman" w:cs="Times New Roman"/>
          <w:b/>
          <w:smallCaps/>
          <w:noProof/>
          <w:sz w:val="24"/>
          <w:szCs w:val="24"/>
        </w:rPr>
      </w:pPr>
      <w:bookmarkStart w:id="1965" w:name="_Toc505248680"/>
      <w:r>
        <w:rPr>
          <w:rFonts w:ascii="Times New Roman" w:hAnsi="Times New Roman" w:cs="Times New Roman"/>
          <w:b/>
          <w:smallCaps/>
          <w:noProof/>
          <w:sz w:val="24"/>
          <w:szCs w:val="24"/>
        </w:rPr>
        <w:t>Next steps</w:t>
      </w:r>
      <w:bookmarkEnd w:id="1965"/>
    </w:p>
    <w:p w:rsidR="00DF1A33" w:rsidRDefault="00456F01">
      <w:pPr>
        <w:spacing w:after="240"/>
        <w:jc w:val="both"/>
        <w:rPr>
          <w:rFonts w:ascii="Times New Roman" w:hAnsi="Times New Roman" w:cs="Times New Roman"/>
          <w:noProof/>
          <w:sz w:val="24"/>
          <w:szCs w:val="24"/>
        </w:rPr>
      </w:pPr>
      <w:r>
        <w:rPr>
          <w:rFonts w:ascii="Times New Roman" w:hAnsi="Times New Roman" w:cs="Times New Roman"/>
          <w:noProof/>
          <w:sz w:val="24"/>
          <w:szCs w:val="24"/>
        </w:rPr>
        <w:t>The consultation results contribute to the evaluation and review of the PSI Directive, as part of the data package to be adopted in April 2018. The evidence collected to support the impact ass</w:t>
      </w:r>
      <w:r>
        <w:rPr>
          <w:rFonts w:ascii="Times New Roman" w:hAnsi="Times New Roman" w:cs="Times New Roman"/>
          <w:noProof/>
          <w:sz w:val="24"/>
          <w:szCs w:val="24"/>
        </w:rPr>
        <w:t xml:space="preserve">essment was fed into an analysis of organisations’ expected positions on the policy options (lighter vs. heavier regulation), according to their role in the PSI context (Member States, PSI holders and re-users, public transport and utilities undertakings, </w:t>
      </w:r>
      <w:r>
        <w:rPr>
          <w:rFonts w:ascii="Times New Roman" w:hAnsi="Times New Roman" w:cs="Times New Roman"/>
          <w:noProof/>
          <w:sz w:val="24"/>
          <w:szCs w:val="24"/>
        </w:rPr>
        <w:t xml:space="preserve">educational and research establishments). It was concluded that stakeholders are most likely to support lighter regulation. </w:t>
      </w:r>
    </w:p>
    <w:p w:rsidR="00DF1A33" w:rsidRDefault="00456F01">
      <w:pPr>
        <w:pStyle w:val="Heading1"/>
        <w:pageBreakBefore/>
        <w:numPr>
          <w:ilvl w:val="0"/>
          <w:numId w:val="0"/>
        </w:numPr>
        <w:ind w:left="482"/>
        <w:jc w:val="center"/>
        <w:rPr>
          <w:noProof/>
          <w:sz w:val="32"/>
          <w:szCs w:val="32"/>
        </w:rPr>
      </w:pPr>
      <w:bookmarkStart w:id="1966" w:name="_Toc505182024"/>
      <w:bookmarkStart w:id="1967" w:name="_Toc505248681"/>
      <w:bookmarkStart w:id="1968" w:name="_Toc505266549"/>
      <w:bookmarkStart w:id="1969" w:name="_Toc505335401"/>
      <w:bookmarkStart w:id="1970" w:name="_Toc505345872"/>
      <w:bookmarkStart w:id="1971" w:name="_Toc505346460"/>
      <w:bookmarkStart w:id="1972" w:name="_Toc505696717"/>
      <w:bookmarkStart w:id="1973" w:name="_Toc505698203"/>
      <w:bookmarkStart w:id="1974" w:name="_Toc505701716"/>
      <w:bookmarkStart w:id="1975" w:name="_Toc505705203"/>
      <w:bookmarkStart w:id="1976" w:name="_Toc505773197"/>
      <w:bookmarkStart w:id="1977" w:name="_Toc505856891"/>
      <w:bookmarkStart w:id="1978" w:name="_Toc505862333"/>
      <w:bookmarkStart w:id="1979" w:name="_Toc505864898"/>
      <w:bookmarkStart w:id="1980" w:name="_Toc505868752"/>
      <w:bookmarkStart w:id="1981" w:name="_Toc505869219"/>
      <w:bookmarkStart w:id="1982" w:name="_Toc505881409"/>
      <w:bookmarkStart w:id="1983" w:name="_Toc509412642"/>
      <w:bookmarkStart w:id="1984" w:name="_Toc509414818"/>
      <w:bookmarkStart w:id="1985" w:name="_Toc509414874"/>
      <w:bookmarkStart w:id="1986" w:name="_Toc481484490"/>
      <w:bookmarkStart w:id="1987" w:name="_Toc504120247"/>
      <w:bookmarkStart w:id="1988" w:name="_Toc504142990"/>
      <w:bookmarkStart w:id="1989" w:name="_Toc504151690"/>
      <w:bookmarkStart w:id="1990" w:name="_Toc504382974"/>
      <w:bookmarkStart w:id="1991" w:name="_Toc504391120"/>
      <w:bookmarkStart w:id="1992" w:name="_Toc504403209"/>
      <w:bookmarkStart w:id="1993" w:name="_Toc504743678"/>
      <w:bookmarkStart w:id="1994" w:name="_Toc504751230"/>
      <w:bookmarkStart w:id="1995" w:name="_Toc504751404"/>
      <w:r>
        <w:rPr>
          <w:noProof/>
          <w:sz w:val="32"/>
          <w:szCs w:val="32"/>
        </w:rPr>
        <w:t>Annex 3: Visualisation of the views expressed by stakeholders in the Public Online Consultation on the Review of the PSI Directive</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p>
    <w:p w:rsidR="00DF1A33" w:rsidRDefault="00456F01">
      <w:pPr>
        <w:pStyle w:val="Text2"/>
        <w:keepNext/>
        <w:ind w:left="142"/>
        <w:jc w:val="left"/>
        <w:rPr>
          <w:b/>
          <w:noProof/>
          <w:color w:val="4F81BD" w:themeColor="accent1"/>
          <w:sz w:val="18"/>
          <w:lang w:eastAsia="nl-NL"/>
        </w:rPr>
      </w:pPr>
      <w:r>
        <w:rPr>
          <w:b/>
          <w:noProof/>
          <w:color w:val="4F81BD" w:themeColor="accent1"/>
          <w:sz w:val="18"/>
          <w:lang w:eastAsia="nl-NL"/>
        </w:rPr>
        <w:t xml:space="preserve">Figure </w:t>
      </w:r>
      <w:r>
        <w:rPr>
          <w:b/>
          <w:noProof/>
          <w:color w:val="4F81BD" w:themeColor="accent1"/>
          <w:sz w:val="18"/>
          <w:lang w:eastAsia="nl-NL"/>
        </w:rPr>
        <w:fldChar w:fldCharType="begin"/>
      </w:r>
      <w:r>
        <w:rPr>
          <w:b/>
          <w:noProof/>
          <w:color w:val="4F81BD" w:themeColor="accent1"/>
          <w:sz w:val="18"/>
          <w:lang w:eastAsia="nl-NL"/>
        </w:rPr>
        <w:instrText xml:space="preserve"> SEQ Figure \* ARABIC </w:instrText>
      </w:r>
      <w:r>
        <w:rPr>
          <w:b/>
          <w:noProof/>
          <w:color w:val="4F81BD" w:themeColor="accent1"/>
          <w:sz w:val="18"/>
          <w:lang w:eastAsia="nl-NL"/>
        </w:rPr>
        <w:fldChar w:fldCharType="separate"/>
      </w:r>
      <w:r>
        <w:rPr>
          <w:b/>
          <w:noProof/>
          <w:color w:val="4F81BD" w:themeColor="accent1"/>
          <w:sz w:val="18"/>
          <w:lang w:eastAsia="nl-NL"/>
        </w:rPr>
        <w:t>6</w:t>
      </w:r>
      <w:r>
        <w:rPr>
          <w:b/>
          <w:noProof/>
          <w:color w:val="4F81BD" w:themeColor="accent1"/>
          <w:sz w:val="18"/>
          <w:lang w:eastAsia="nl-NL"/>
        </w:rPr>
        <w:fldChar w:fldCharType="end"/>
      </w:r>
      <w:r>
        <w:rPr>
          <w:b/>
          <w:noProof/>
          <w:color w:val="4F81BD" w:themeColor="accent1"/>
          <w:sz w:val="18"/>
          <w:lang w:eastAsia="nl-NL"/>
        </w:rPr>
        <w:t xml:space="preserve"> - Coherence of the PSI Directive</w:t>
      </w:r>
    </w:p>
    <w:p w:rsidR="00DF1A33" w:rsidRDefault="00456F01">
      <w:pPr>
        <w:pStyle w:val="Caption"/>
        <w:jc w:val="center"/>
        <w:rPr>
          <w:noProof/>
        </w:rPr>
      </w:pPr>
      <w:r>
        <w:rPr>
          <w:noProof/>
          <w:lang w:eastAsia="en-GB"/>
        </w:rPr>
        <w:drawing>
          <wp:inline distT="0" distB="0" distL="0" distR="0" wp14:anchorId="2F94C078" wp14:editId="78A87C07">
            <wp:extent cx="4761781" cy="2552988"/>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89" cy="2553421"/>
                    </a:xfrm>
                    <a:prstGeom prst="rect">
                      <a:avLst/>
                    </a:prstGeom>
                    <a:noFill/>
                    <a:ln>
                      <a:noFill/>
                    </a:ln>
                  </pic:spPr>
                </pic:pic>
              </a:graphicData>
            </a:graphic>
          </wp:inline>
        </w:drawing>
      </w:r>
    </w:p>
    <w:p w:rsidR="00DF1A33" w:rsidRDefault="00456F01">
      <w:pPr>
        <w:pStyle w:val="Text2"/>
        <w:keepNext/>
        <w:ind w:left="142"/>
        <w:jc w:val="left"/>
        <w:rPr>
          <w:noProof/>
        </w:rPr>
      </w:pPr>
      <w:r>
        <w:rPr>
          <w:noProof/>
        </w:rPr>
        <w:br/>
      </w:r>
      <w:r>
        <w:rPr>
          <w:b/>
          <w:noProof/>
          <w:color w:val="4F81BD" w:themeColor="accent1"/>
          <w:sz w:val="18"/>
          <w:lang w:eastAsia="nl-NL"/>
        </w:rPr>
        <w:t xml:space="preserve">Figure </w:t>
      </w:r>
      <w:r>
        <w:rPr>
          <w:b/>
          <w:noProof/>
          <w:color w:val="4F81BD" w:themeColor="accent1"/>
          <w:sz w:val="18"/>
          <w:lang w:eastAsia="nl-NL"/>
        </w:rPr>
        <w:fldChar w:fldCharType="begin"/>
      </w:r>
      <w:r>
        <w:rPr>
          <w:b/>
          <w:noProof/>
          <w:color w:val="4F81BD" w:themeColor="accent1"/>
          <w:sz w:val="18"/>
          <w:lang w:eastAsia="nl-NL"/>
        </w:rPr>
        <w:instrText xml:space="preserve"> SEQ Figure \* ARABIC </w:instrText>
      </w:r>
      <w:r>
        <w:rPr>
          <w:b/>
          <w:noProof/>
          <w:color w:val="4F81BD" w:themeColor="accent1"/>
          <w:sz w:val="18"/>
          <w:lang w:eastAsia="nl-NL"/>
        </w:rPr>
        <w:fldChar w:fldCharType="separate"/>
      </w:r>
      <w:r>
        <w:rPr>
          <w:b/>
          <w:noProof/>
          <w:color w:val="4F81BD" w:themeColor="accent1"/>
          <w:sz w:val="18"/>
          <w:lang w:eastAsia="nl-NL"/>
        </w:rPr>
        <w:t>7</w:t>
      </w:r>
      <w:r>
        <w:rPr>
          <w:b/>
          <w:noProof/>
          <w:color w:val="4F81BD" w:themeColor="accent1"/>
          <w:sz w:val="18"/>
          <w:lang w:eastAsia="nl-NL"/>
        </w:rPr>
        <w:fldChar w:fldCharType="end"/>
      </w:r>
      <w:r>
        <w:rPr>
          <w:b/>
          <w:noProof/>
          <w:color w:val="4F81BD" w:themeColor="accent1"/>
          <w:sz w:val="18"/>
          <w:lang w:eastAsia="nl-NL"/>
        </w:rPr>
        <w:t xml:space="preserve"> - Effectiveness of the PSI Directive</w:t>
      </w:r>
    </w:p>
    <w:p w:rsidR="00DF1A33" w:rsidRDefault="00456F01">
      <w:pPr>
        <w:pStyle w:val="Caption"/>
        <w:jc w:val="center"/>
        <w:rPr>
          <w:noProof/>
        </w:rPr>
      </w:pPr>
      <w:r>
        <w:rPr>
          <w:noProof/>
          <w:lang w:eastAsia="en-GB"/>
        </w:rPr>
        <w:drawing>
          <wp:inline distT="0" distB="0" distL="0" distR="0" wp14:anchorId="72AB20D6" wp14:editId="2A179B2B">
            <wp:extent cx="4908434" cy="2622430"/>
            <wp:effectExtent l="0" t="0" r="698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05853" cy="2621051"/>
                    </a:xfrm>
                    <a:prstGeom prst="rect">
                      <a:avLst/>
                    </a:prstGeom>
                    <a:noFill/>
                    <a:ln>
                      <a:noFill/>
                    </a:ln>
                  </pic:spPr>
                </pic:pic>
              </a:graphicData>
            </a:graphic>
          </wp:inline>
        </w:drawing>
      </w:r>
    </w:p>
    <w:p w:rsidR="00DF1A33" w:rsidRDefault="00456F01">
      <w:pPr>
        <w:pStyle w:val="Caption"/>
        <w:rPr>
          <w:noProof/>
          <w:lang w:eastAsia="en-GB"/>
        </w:rPr>
      </w:pPr>
      <w:r>
        <w:rPr>
          <w:rFonts w:ascii="Times New Roman" w:hAnsi="Times New Roman"/>
          <w:noProof/>
        </w:rPr>
        <w:t xml:space="preserve">Figure </w:t>
      </w:r>
      <w:r>
        <w:rPr>
          <w:rFonts w:ascii="Times New Roman" w:hAnsi="Times New Roman"/>
          <w:noProof/>
        </w:rPr>
        <w:fldChar w:fldCharType="begin"/>
      </w:r>
      <w:r>
        <w:rPr>
          <w:rFonts w:ascii="Times New Roman" w:hAnsi="Times New Roman"/>
          <w:noProof/>
        </w:rPr>
        <w:instrText xml:space="preserve"> SEQ Figure \* ARABIC </w:instrText>
      </w:r>
      <w:r>
        <w:rPr>
          <w:rFonts w:ascii="Times New Roman" w:hAnsi="Times New Roman"/>
          <w:noProof/>
        </w:rPr>
        <w:fldChar w:fldCharType="separate"/>
      </w:r>
      <w:r>
        <w:rPr>
          <w:rFonts w:ascii="Times New Roman" w:hAnsi="Times New Roman"/>
          <w:noProof/>
        </w:rPr>
        <w:t>8</w:t>
      </w:r>
      <w:r>
        <w:rPr>
          <w:rFonts w:ascii="Times New Roman" w:hAnsi="Times New Roman"/>
          <w:noProof/>
        </w:rPr>
        <w:fldChar w:fldCharType="end"/>
      </w:r>
      <w:r>
        <w:rPr>
          <w:rFonts w:ascii="Times New Roman" w:hAnsi="Times New Roman"/>
          <w:noProof/>
        </w:rPr>
        <w:t xml:space="preserve"> - Efficiency of the PSI Directive</w:t>
      </w:r>
      <w:r>
        <w:rPr>
          <w:noProof/>
        </w:rPr>
        <w:br/>
      </w:r>
      <w:r>
        <w:rPr>
          <w:noProof/>
          <w:lang w:eastAsia="en-GB"/>
        </w:rPr>
        <w:drawing>
          <wp:inline distT="0" distB="0" distL="0" distR="0" wp14:anchorId="66A889F9" wp14:editId="6AC20EFD">
            <wp:extent cx="5090615" cy="1881186"/>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90756" cy="1881238"/>
                    </a:xfrm>
                    <a:prstGeom prst="rect">
                      <a:avLst/>
                    </a:prstGeom>
                    <a:noFill/>
                    <a:ln>
                      <a:noFill/>
                    </a:ln>
                  </pic:spPr>
                </pic:pic>
              </a:graphicData>
            </a:graphic>
          </wp:inline>
        </w:drawing>
      </w:r>
    </w:p>
    <w:p w:rsidR="00DF1A33" w:rsidRDefault="00DF1A33">
      <w:pPr>
        <w:pStyle w:val="Caption"/>
        <w:rPr>
          <w:noProof/>
          <w:lang w:eastAsia="en-GB"/>
        </w:rPr>
      </w:pPr>
    </w:p>
    <w:p w:rsidR="00DF1A33" w:rsidRDefault="00DF1A33">
      <w:pPr>
        <w:pStyle w:val="Caption"/>
        <w:rPr>
          <w:noProof/>
          <w:lang w:eastAsia="en-GB"/>
        </w:rPr>
      </w:pPr>
    </w:p>
    <w:p w:rsidR="00DF1A33" w:rsidRDefault="00456F01">
      <w:pPr>
        <w:pStyle w:val="Caption"/>
        <w:rPr>
          <w:rFonts w:ascii="Times New Roman" w:hAnsi="Times New Roman"/>
          <w:noProof/>
        </w:rPr>
      </w:pPr>
      <w:r>
        <w:rPr>
          <w:rFonts w:ascii="Times New Roman" w:hAnsi="Times New Roman"/>
          <w:noProof/>
        </w:rPr>
        <w:t xml:space="preserve">Figure </w:t>
      </w:r>
      <w:r>
        <w:rPr>
          <w:rFonts w:ascii="Times New Roman" w:hAnsi="Times New Roman"/>
          <w:noProof/>
        </w:rPr>
        <w:fldChar w:fldCharType="begin"/>
      </w:r>
      <w:r>
        <w:rPr>
          <w:rFonts w:ascii="Times New Roman" w:hAnsi="Times New Roman"/>
          <w:noProof/>
        </w:rPr>
        <w:instrText xml:space="preserve"> SEQ Figure \* ARABIC </w:instrText>
      </w:r>
      <w:r>
        <w:rPr>
          <w:rFonts w:ascii="Times New Roman" w:hAnsi="Times New Roman"/>
          <w:noProof/>
        </w:rPr>
        <w:fldChar w:fldCharType="separate"/>
      </w:r>
      <w:r>
        <w:rPr>
          <w:rFonts w:ascii="Times New Roman" w:hAnsi="Times New Roman"/>
          <w:noProof/>
        </w:rPr>
        <w:t>9</w:t>
      </w:r>
      <w:r>
        <w:rPr>
          <w:rFonts w:ascii="Times New Roman" w:hAnsi="Times New Roman"/>
          <w:noProof/>
        </w:rPr>
        <w:fldChar w:fldCharType="end"/>
      </w:r>
      <w:r>
        <w:rPr>
          <w:rFonts w:ascii="Times New Roman" w:hAnsi="Times New Roman"/>
          <w:noProof/>
        </w:rPr>
        <w:t xml:space="preserve"> – Relevance of the PSI Directive </w:t>
      </w:r>
    </w:p>
    <w:p w:rsidR="00DF1A33" w:rsidRDefault="00456F01">
      <w:pPr>
        <w:pStyle w:val="Caption"/>
        <w:jc w:val="center"/>
        <w:rPr>
          <w:noProof/>
        </w:rPr>
      </w:pPr>
      <w:r>
        <w:rPr>
          <w:noProof/>
          <w:lang w:eastAsia="en-GB"/>
        </w:rPr>
        <w:drawing>
          <wp:inline distT="0" distB="0" distL="0" distR="0" wp14:anchorId="31C5F194" wp14:editId="11D1834D">
            <wp:extent cx="4954137" cy="2279053"/>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4419" cy="2279183"/>
                    </a:xfrm>
                    <a:prstGeom prst="rect">
                      <a:avLst/>
                    </a:prstGeom>
                    <a:noFill/>
                    <a:ln>
                      <a:noFill/>
                    </a:ln>
                  </pic:spPr>
                </pic:pic>
              </a:graphicData>
            </a:graphic>
          </wp:inline>
        </w:drawing>
      </w:r>
    </w:p>
    <w:p w:rsidR="00DF1A33" w:rsidRDefault="00DF1A33">
      <w:pPr>
        <w:pStyle w:val="Caption"/>
        <w:rPr>
          <w:noProof/>
        </w:rPr>
      </w:pPr>
    </w:p>
    <w:p w:rsidR="00DF1A33" w:rsidRDefault="00456F01">
      <w:pPr>
        <w:pStyle w:val="Caption"/>
        <w:rPr>
          <w:rFonts w:ascii="Times New Roman" w:hAnsi="Times New Roman"/>
          <w:noProof/>
        </w:rPr>
      </w:pPr>
      <w:r>
        <w:rPr>
          <w:rFonts w:ascii="Times New Roman" w:hAnsi="Times New Roman"/>
          <w:noProof/>
        </w:rPr>
        <w:t xml:space="preserve">Figure </w:t>
      </w:r>
      <w:r>
        <w:rPr>
          <w:rFonts w:ascii="Times New Roman" w:hAnsi="Times New Roman"/>
          <w:noProof/>
        </w:rPr>
        <w:fldChar w:fldCharType="begin"/>
      </w:r>
      <w:r>
        <w:rPr>
          <w:rFonts w:ascii="Times New Roman" w:hAnsi="Times New Roman"/>
          <w:noProof/>
        </w:rPr>
        <w:instrText xml:space="preserve"> SEQ Figure \* ARABIC </w:instrText>
      </w:r>
      <w:r>
        <w:rPr>
          <w:rFonts w:ascii="Times New Roman" w:hAnsi="Times New Roman"/>
          <w:noProof/>
        </w:rPr>
        <w:fldChar w:fldCharType="separate"/>
      </w:r>
      <w:r>
        <w:rPr>
          <w:rFonts w:ascii="Times New Roman" w:hAnsi="Times New Roman"/>
          <w:noProof/>
        </w:rPr>
        <w:t>10</w:t>
      </w:r>
      <w:r>
        <w:rPr>
          <w:rFonts w:ascii="Times New Roman" w:hAnsi="Times New Roman"/>
          <w:noProof/>
        </w:rPr>
        <w:fldChar w:fldCharType="end"/>
      </w:r>
      <w:r>
        <w:rPr>
          <w:rFonts w:ascii="Times New Roman" w:hAnsi="Times New Roman"/>
          <w:noProof/>
        </w:rPr>
        <w:t xml:space="preserve"> – Potential simplification of the PSI Directive</w:t>
      </w:r>
    </w:p>
    <w:p w:rsidR="00DF1A33" w:rsidRDefault="00456F01">
      <w:pPr>
        <w:pStyle w:val="Caption"/>
        <w:jc w:val="center"/>
        <w:rPr>
          <w:noProof/>
        </w:rPr>
      </w:pPr>
      <w:r>
        <w:rPr>
          <w:noProof/>
          <w:lang w:eastAsia="en-GB"/>
        </w:rPr>
        <w:drawing>
          <wp:inline distT="0" distB="0" distL="0" distR="0" wp14:anchorId="2DA6CDDB" wp14:editId="73341CD4">
            <wp:extent cx="5247565" cy="989405"/>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47710" cy="989432"/>
                    </a:xfrm>
                    <a:prstGeom prst="rect">
                      <a:avLst/>
                    </a:prstGeom>
                    <a:noFill/>
                    <a:ln>
                      <a:noFill/>
                    </a:ln>
                  </pic:spPr>
                </pic:pic>
              </a:graphicData>
            </a:graphic>
          </wp:inline>
        </w:drawing>
      </w:r>
    </w:p>
    <w:p w:rsidR="00DF1A33" w:rsidRDefault="00456F01">
      <w:pPr>
        <w:pStyle w:val="Caption"/>
        <w:pageBreakBefore/>
        <w:rPr>
          <w:rFonts w:ascii="Times New Roman" w:hAnsi="Times New Roman"/>
          <w:noProof/>
        </w:rPr>
      </w:pPr>
      <w:r>
        <w:rPr>
          <w:rFonts w:ascii="Times New Roman" w:hAnsi="Times New Roman"/>
          <w:noProof/>
        </w:rPr>
        <w:t xml:space="preserve">Figure </w:t>
      </w:r>
      <w:r>
        <w:rPr>
          <w:rFonts w:ascii="Times New Roman" w:hAnsi="Times New Roman"/>
          <w:noProof/>
        </w:rPr>
        <w:fldChar w:fldCharType="begin"/>
      </w:r>
      <w:r>
        <w:rPr>
          <w:rFonts w:ascii="Times New Roman" w:hAnsi="Times New Roman"/>
          <w:noProof/>
        </w:rPr>
        <w:instrText xml:space="preserve"> SEQ Figure \* ARABIC </w:instrText>
      </w:r>
      <w:r>
        <w:rPr>
          <w:rFonts w:ascii="Times New Roman" w:hAnsi="Times New Roman"/>
          <w:noProof/>
        </w:rPr>
        <w:fldChar w:fldCharType="separate"/>
      </w:r>
      <w:r>
        <w:rPr>
          <w:rFonts w:ascii="Times New Roman" w:hAnsi="Times New Roman"/>
          <w:noProof/>
        </w:rPr>
        <w:t>11</w:t>
      </w:r>
      <w:r>
        <w:rPr>
          <w:rFonts w:ascii="Times New Roman" w:hAnsi="Times New Roman"/>
          <w:noProof/>
        </w:rPr>
        <w:fldChar w:fldCharType="end"/>
      </w:r>
      <w:r>
        <w:rPr>
          <w:rFonts w:ascii="Times New Roman" w:hAnsi="Times New Roman"/>
          <w:noProof/>
        </w:rPr>
        <w:t xml:space="preserve"> – Existing barriers to the re-use of data (more than one option could be chosen)</w:t>
      </w:r>
    </w:p>
    <w:p w:rsidR="00DF1A33" w:rsidRDefault="00456F01">
      <w:pPr>
        <w:pStyle w:val="Caption"/>
        <w:jc w:val="center"/>
        <w:rPr>
          <w:noProof/>
        </w:rPr>
      </w:pPr>
      <w:r>
        <w:rPr>
          <w:noProof/>
          <w:lang w:eastAsia="en-GB"/>
        </w:rPr>
        <w:drawing>
          <wp:inline distT="0" distB="0" distL="0" distR="0" wp14:anchorId="3142DBCA" wp14:editId="6CF6A813">
            <wp:extent cx="5198837" cy="3487003"/>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99133" cy="3487202"/>
                    </a:xfrm>
                    <a:prstGeom prst="rect">
                      <a:avLst/>
                    </a:prstGeom>
                    <a:noFill/>
                    <a:ln>
                      <a:noFill/>
                    </a:ln>
                  </pic:spPr>
                </pic:pic>
              </a:graphicData>
            </a:graphic>
          </wp:inline>
        </w:drawing>
      </w:r>
    </w:p>
    <w:p w:rsidR="00DF1A33" w:rsidRDefault="00456F01">
      <w:pPr>
        <w:pStyle w:val="Caption"/>
        <w:rPr>
          <w:rFonts w:ascii="Times New Roman" w:hAnsi="Times New Roman"/>
          <w:noProof/>
        </w:rPr>
      </w:pPr>
      <w:r>
        <w:rPr>
          <w:rFonts w:ascii="Times New Roman" w:hAnsi="Times New Roman"/>
          <w:noProof/>
        </w:rPr>
        <w:t xml:space="preserve">Figure </w:t>
      </w:r>
      <w:r>
        <w:rPr>
          <w:rFonts w:ascii="Times New Roman" w:hAnsi="Times New Roman"/>
          <w:noProof/>
        </w:rPr>
        <w:fldChar w:fldCharType="begin"/>
      </w:r>
      <w:r>
        <w:rPr>
          <w:rFonts w:ascii="Times New Roman" w:hAnsi="Times New Roman"/>
          <w:noProof/>
        </w:rPr>
        <w:instrText xml:space="preserve"> SEQ Fig</w:instrText>
      </w:r>
      <w:r>
        <w:rPr>
          <w:rFonts w:ascii="Times New Roman" w:hAnsi="Times New Roman"/>
          <w:noProof/>
        </w:rPr>
        <w:instrText xml:space="preserve">ure \* ARABIC </w:instrText>
      </w:r>
      <w:r>
        <w:rPr>
          <w:rFonts w:ascii="Times New Roman" w:hAnsi="Times New Roman"/>
          <w:noProof/>
        </w:rPr>
        <w:fldChar w:fldCharType="separate"/>
      </w:r>
      <w:r>
        <w:rPr>
          <w:rFonts w:ascii="Times New Roman" w:hAnsi="Times New Roman"/>
          <w:noProof/>
        </w:rPr>
        <w:t>12</w:t>
      </w:r>
      <w:r>
        <w:rPr>
          <w:rFonts w:ascii="Times New Roman" w:hAnsi="Times New Roman"/>
          <w:noProof/>
        </w:rPr>
        <w:fldChar w:fldCharType="end"/>
      </w:r>
      <w:r>
        <w:rPr>
          <w:rFonts w:ascii="Times New Roman" w:hAnsi="Times New Roman"/>
          <w:noProof/>
        </w:rPr>
        <w:t xml:space="preserve"> – Potential changes to the charging rules</w:t>
      </w:r>
    </w:p>
    <w:p w:rsidR="00DF1A33" w:rsidRDefault="00456F01">
      <w:pPr>
        <w:pStyle w:val="Caption"/>
        <w:jc w:val="center"/>
        <w:rPr>
          <w:noProof/>
        </w:rPr>
      </w:pPr>
      <w:r>
        <w:rPr>
          <w:noProof/>
          <w:lang w:eastAsia="en-GB"/>
        </w:rPr>
        <w:drawing>
          <wp:inline distT="0" distB="0" distL="0" distR="0" wp14:anchorId="4D9ADCFC" wp14:editId="491C8198">
            <wp:extent cx="5250937" cy="182880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67698" cy="1834637"/>
                    </a:xfrm>
                    <a:prstGeom prst="rect">
                      <a:avLst/>
                    </a:prstGeom>
                    <a:noFill/>
                    <a:ln>
                      <a:noFill/>
                    </a:ln>
                  </pic:spPr>
                </pic:pic>
              </a:graphicData>
            </a:graphic>
          </wp:inline>
        </w:drawing>
      </w:r>
    </w:p>
    <w:p w:rsidR="00DF1A33" w:rsidRDefault="00DF1A33">
      <w:pPr>
        <w:pStyle w:val="Caption"/>
        <w:rPr>
          <w:noProof/>
        </w:rPr>
      </w:pPr>
    </w:p>
    <w:p w:rsidR="00DF1A33" w:rsidRDefault="00DF1A33">
      <w:pPr>
        <w:pStyle w:val="Caption"/>
        <w:rPr>
          <w:noProof/>
        </w:rPr>
      </w:pPr>
    </w:p>
    <w:p w:rsidR="00DF1A33" w:rsidRDefault="00456F01">
      <w:pPr>
        <w:pStyle w:val="Caption"/>
        <w:pageBreakBefore/>
        <w:rPr>
          <w:rFonts w:ascii="Times New Roman" w:hAnsi="Times New Roman"/>
          <w:noProof/>
        </w:rPr>
      </w:pPr>
      <w:r>
        <w:rPr>
          <w:rFonts w:ascii="Times New Roman" w:hAnsi="Times New Roman"/>
          <w:noProof/>
        </w:rPr>
        <w:t xml:space="preserve">Figure </w:t>
      </w:r>
      <w:r>
        <w:rPr>
          <w:rFonts w:ascii="Times New Roman" w:hAnsi="Times New Roman"/>
          <w:noProof/>
        </w:rPr>
        <w:fldChar w:fldCharType="begin"/>
      </w:r>
      <w:r>
        <w:rPr>
          <w:rFonts w:ascii="Times New Roman" w:hAnsi="Times New Roman"/>
          <w:noProof/>
        </w:rPr>
        <w:instrText xml:space="preserve"> SEQ Figure \* ARABIC </w:instrText>
      </w:r>
      <w:r>
        <w:rPr>
          <w:rFonts w:ascii="Times New Roman" w:hAnsi="Times New Roman"/>
          <w:noProof/>
        </w:rPr>
        <w:fldChar w:fldCharType="separate"/>
      </w:r>
      <w:r>
        <w:rPr>
          <w:rFonts w:ascii="Times New Roman" w:hAnsi="Times New Roman"/>
          <w:noProof/>
        </w:rPr>
        <w:t>13</w:t>
      </w:r>
      <w:r>
        <w:rPr>
          <w:rFonts w:ascii="Times New Roman" w:hAnsi="Times New Roman"/>
          <w:noProof/>
        </w:rPr>
        <w:fldChar w:fldCharType="end"/>
      </w:r>
      <w:r>
        <w:rPr>
          <w:rFonts w:ascii="Times New Roman" w:hAnsi="Times New Roman"/>
          <w:noProof/>
        </w:rPr>
        <w:t xml:space="preserve"> – Conditions to be applied for access to data to be authorised</w:t>
      </w:r>
    </w:p>
    <w:p w:rsidR="00DF1A33" w:rsidRDefault="00456F01">
      <w:pPr>
        <w:keepNext/>
        <w:jc w:val="center"/>
        <w:rPr>
          <w:noProof/>
        </w:rPr>
      </w:pPr>
      <w:r>
        <w:rPr>
          <w:noProof/>
          <w:lang w:eastAsia="en-GB"/>
        </w:rPr>
        <w:drawing>
          <wp:inline distT="0" distB="0" distL="0" distR="0" wp14:anchorId="65A47A16" wp14:editId="71EC7DF9">
            <wp:extent cx="4848165" cy="6297283"/>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4040" cy="6304914"/>
                    </a:xfrm>
                    <a:prstGeom prst="rect">
                      <a:avLst/>
                    </a:prstGeom>
                    <a:noFill/>
                    <a:ln>
                      <a:noFill/>
                    </a:ln>
                  </pic:spPr>
                </pic:pic>
              </a:graphicData>
            </a:graphic>
          </wp:inline>
        </w:drawing>
      </w:r>
    </w:p>
    <w:p w:rsidR="00DF1A33" w:rsidRDefault="00456F01">
      <w:pPr>
        <w:pStyle w:val="Caption"/>
        <w:pageBreakBefore/>
        <w:jc w:val="center"/>
        <w:rPr>
          <w:noProof/>
        </w:rPr>
      </w:pPr>
      <w:r>
        <w:rPr>
          <w:rFonts w:ascii="Times New Roman" w:hAnsi="Times New Roman"/>
          <w:noProof/>
        </w:rPr>
        <w:t xml:space="preserve">Figure </w:t>
      </w:r>
      <w:r>
        <w:rPr>
          <w:rFonts w:ascii="Times New Roman" w:hAnsi="Times New Roman"/>
          <w:noProof/>
        </w:rPr>
        <w:fldChar w:fldCharType="begin"/>
      </w:r>
      <w:r>
        <w:rPr>
          <w:rFonts w:ascii="Times New Roman" w:hAnsi="Times New Roman"/>
          <w:noProof/>
        </w:rPr>
        <w:instrText xml:space="preserve"> SEQ Figure \* ARABIC </w:instrText>
      </w:r>
      <w:r>
        <w:rPr>
          <w:rFonts w:ascii="Times New Roman" w:hAnsi="Times New Roman"/>
          <w:noProof/>
        </w:rPr>
        <w:fldChar w:fldCharType="separate"/>
      </w:r>
      <w:r>
        <w:rPr>
          <w:rFonts w:ascii="Times New Roman" w:hAnsi="Times New Roman"/>
          <w:noProof/>
        </w:rPr>
        <w:t>14</w:t>
      </w:r>
      <w:r>
        <w:rPr>
          <w:rFonts w:ascii="Times New Roman" w:hAnsi="Times New Roman"/>
          <w:noProof/>
        </w:rPr>
        <w:fldChar w:fldCharType="end"/>
      </w:r>
      <w:r>
        <w:rPr>
          <w:rFonts w:ascii="Times New Roman" w:hAnsi="Times New Roman"/>
          <w:noProof/>
        </w:rPr>
        <w:t xml:space="preserve"> – Should access to data coming from private sector entities and its use by public authorities for reasons of public interest be allowed?</w:t>
      </w:r>
      <w:r>
        <w:rPr>
          <w:rFonts w:ascii="Times New Roman" w:hAnsi="Times New Roman"/>
          <w:noProof/>
        </w:rPr>
        <w:br/>
      </w:r>
      <w:r>
        <w:rPr>
          <w:noProof/>
        </w:rPr>
        <w:br/>
      </w:r>
      <w:r>
        <w:rPr>
          <w:noProof/>
        </w:rPr>
        <w:br/>
      </w:r>
      <w:r>
        <w:rPr>
          <w:noProof/>
          <w:lang w:eastAsia="en-GB"/>
        </w:rPr>
        <w:drawing>
          <wp:inline distT="0" distB="0" distL="0" distR="0" wp14:anchorId="18A9AD73" wp14:editId="406FCF26">
            <wp:extent cx="2219325" cy="2018272"/>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5490" cy="2023879"/>
                    </a:xfrm>
                    <a:prstGeom prst="rect">
                      <a:avLst/>
                    </a:prstGeom>
                    <a:noFill/>
                    <a:ln>
                      <a:noFill/>
                    </a:ln>
                  </pic:spPr>
                </pic:pic>
              </a:graphicData>
            </a:graphic>
          </wp:inline>
        </w:drawing>
      </w:r>
    </w:p>
    <w:p w:rsidR="00DF1A33" w:rsidRDefault="00DF1A33">
      <w:pPr>
        <w:rPr>
          <w:noProof/>
          <w:lang w:eastAsia="nl-NL"/>
        </w:rPr>
      </w:pPr>
    </w:p>
    <w:p w:rsidR="00DF1A33" w:rsidRDefault="00456F01">
      <w:pPr>
        <w:pStyle w:val="Caption"/>
        <w:rPr>
          <w:rFonts w:ascii="Times New Roman" w:hAnsi="Times New Roman"/>
          <w:noProof/>
        </w:rPr>
      </w:pPr>
      <w:r>
        <w:rPr>
          <w:rFonts w:ascii="Times New Roman" w:hAnsi="Times New Roman"/>
          <w:noProof/>
        </w:rPr>
        <w:t xml:space="preserve">Figure </w:t>
      </w:r>
      <w:r>
        <w:rPr>
          <w:rFonts w:ascii="Times New Roman" w:hAnsi="Times New Roman"/>
          <w:noProof/>
        </w:rPr>
        <w:fldChar w:fldCharType="begin"/>
      </w:r>
      <w:r>
        <w:rPr>
          <w:rFonts w:ascii="Times New Roman" w:hAnsi="Times New Roman"/>
          <w:noProof/>
        </w:rPr>
        <w:instrText xml:space="preserve"> SEQ Figure \* ARABIC </w:instrText>
      </w:r>
      <w:r>
        <w:rPr>
          <w:rFonts w:ascii="Times New Roman" w:hAnsi="Times New Roman"/>
          <w:noProof/>
        </w:rPr>
        <w:fldChar w:fldCharType="separate"/>
      </w:r>
      <w:r>
        <w:rPr>
          <w:rFonts w:ascii="Times New Roman" w:hAnsi="Times New Roman"/>
          <w:noProof/>
        </w:rPr>
        <w:t>15</w:t>
      </w:r>
      <w:r>
        <w:rPr>
          <w:rFonts w:ascii="Times New Roman" w:hAnsi="Times New Roman"/>
          <w:noProof/>
        </w:rPr>
        <w:fldChar w:fldCharType="end"/>
      </w:r>
      <w:r>
        <w:rPr>
          <w:rFonts w:ascii="Times New Roman" w:hAnsi="Times New Roman"/>
          <w:noProof/>
        </w:rPr>
        <w:t xml:space="preserve"> – What would be the possible motivation or incentives for data sharing of publ</w:t>
      </w:r>
      <w:r>
        <w:rPr>
          <w:rFonts w:ascii="Times New Roman" w:hAnsi="Times New Roman"/>
          <w:noProof/>
        </w:rPr>
        <w:t>ic interest with public authorities (more than one option could be chosen)</w:t>
      </w:r>
    </w:p>
    <w:p w:rsidR="00DF1A33" w:rsidRDefault="00456F01">
      <w:pPr>
        <w:keepNext/>
        <w:jc w:val="center"/>
        <w:rPr>
          <w:noProof/>
        </w:rPr>
      </w:pPr>
      <w:r>
        <w:rPr>
          <w:noProof/>
          <w:lang w:eastAsia="en-GB"/>
        </w:rPr>
        <w:drawing>
          <wp:inline distT="0" distB="0" distL="0" distR="0" wp14:anchorId="1C6AAB64" wp14:editId="433DD2DA">
            <wp:extent cx="4599576" cy="4742597"/>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9838" cy="4742867"/>
                    </a:xfrm>
                    <a:prstGeom prst="rect">
                      <a:avLst/>
                    </a:prstGeom>
                    <a:noFill/>
                    <a:ln>
                      <a:noFill/>
                    </a:ln>
                  </pic:spPr>
                </pic:pic>
              </a:graphicData>
            </a:graphic>
          </wp:inline>
        </w:drawing>
      </w:r>
    </w:p>
    <w:p w:rsidR="00DF1A33" w:rsidRDefault="00456F01">
      <w:pPr>
        <w:pStyle w:val="Heading1"/>
        <w:pageBreakBefore/>
        <w:numPr>
          <w:ilvl w:val="0"/>
          <w:numId w:val="0"/>
        </w:numPr>
        <w:ind w:left="482"/>
        <w:jc w:val="center"/>
        <w:rPr>
          <w:noProof/>
          <w:sz w:val="32"/>
          <w:szCs w:val="32"/>
        </w:rPr>
      </w:pPr>
      <w:bookmarkStart w:id="1996" w:name="_Toc509412643"/>
      <w:bookmarkStart w:id="1997" w:name="_Toc509414819"/>
      <w:bookmarkStart w:id="1998" w:name="_Toc509414875"/>
      <w:bookmarkEnd w:id="1986"/>
      <w:bookmarkEnd w:id="1987"/>
      <w:bookmarkEnd w:id="1988"/>
      <w:bookmarkEnd w:id="1989"/>
      <w:bookmarkEnd w:id="1990"/>
      <w:bookmarkEnd w:id="1991"/>
      <w:bookmarkEnd w:id="1992"/>
      <w:bookmarkEnd w:id="1993"/>
      <w:bookmarkEnd w:id="1994"/>
      <w:bookmarkEnd w:id="1995"/>
      <w:r>
        <w:rPr>
          <w:noProof/>
          <w:sz w:val="32"/>
          <w:szCs w:val="32"/>
        </w:rPr>
        <w:t>Annex 4: Who is affected and how?</w:t>
      </w:r>
      <w:bookmarkEnd w:id="1996"/>
      <w:bookmarkEnd w:id="1997"/>
      <w:bookmarkEnd w:id="1998"/>
    </w:p>
    <w:p w:rsidR="00DF1A33" w:rsidRDefault="00DF1A33">
      <w:pPr>
        <w:pStyle w:val="Text1"/>
        <w:rPr>
          <w:noProof/>
        </w:rPr>
      </w:pPr>
    </w:p>
    <w:p w:rsidR="00DF1A33" w:rsidRDefault="00456F01">
      <w:pPr>
        <w:rPr>
          <w:rFonts w:ascii="Times New Roman" w:hAnsi="Times New Roman" w:cs="Times New Roman"/>
          <w:b/>
          <w:smallCaps/>
          <w:noProof/>
        </w:rPr>
      </w:pPr>
      <w:bookmarkStart w:id="1999" w:name="_Toc481484491"/>
      <w:r>
        <w:rPr>
          <w:rFonts w:ascii="Times New Roman" w:hAnsi="Times New Roman" w:cs="Times New Roman"/>
          <w:b/>
          <w:smallCaps/>
          <w:noProof/>
        </w:rPr>
        <w:t>1. Practical implications of the initiative</w:t>
      </w:r>
      <w:bookmarkEnd w:id="1999"/>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proposed revision of the PSI Directive will have a range of practical implications for different</w:t>
      </w:r>
      <w:r>
        <w:rPr>
          <w:rFonts w:ascii="Times New Roman" w:hAnsi="Times New Roman" w:cs="Times New Roman"/>
          <w:noProof/>
          <w:sz w:val="24"/>
          <w:szCs w:val="24"/>
          <w:lang w:val="en-US"/>
        </w:rPr>
        <w:t xml:space="preserve"> groups of stakeholders.</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lang w:val="en-US"/>
        </w:rPr>
        <w:t>Companies in general, and SMEs and start-ups in particular, will gain easier access to a wider pool of public sector data, which would otherwise be difficult or impossible to obtain due to a number of obstacles addressed by the pro</w:t>
      </w:r>
      <w:r>
        <w:rPr>
          <w:rFonts w:ascii="Times New Roman" w:hAnsi="Times New Roman" w:cs="Times New Roman"/>
          <w:noProof/>
          <w:sz w:val="24"/>
          <w:szCs w:val="24"/>
          <w:lang w:val="en-US"/>
        </w:rPr>
        <w:t>posal. They will benefit from the initiative directly by being able to reuse and recombine these different types of data and use it as the basis for a wide range of innovative services. P</w:t>
      </w:r>
      <w:r>
        <w:rPr>
          <w:rFonts w:ascii="Times New Roman" w:hAnsi="Times New Roman" w:cs="Times New Roman"/>
          <w:noProof/>
          <w:sz w:val="24"/>
          <w:szCs w:val="24"/>
        </w:rPr>
        <w:t xml:space="preserve">ublic data is an asset particularly sought after by innovative </w:t>
      </w:r>
      <w:r>
        <w:rPr>
          <w:rFonts w:ascii="Times New Roman" w:hAnsi="Times New Roman" w:cs="Times New Roman"/>
          <w:noProof/>
          <w:sz w:val="24"/>
          <w:szCs w:val="24"/>
          <w:lang w:val="en-US"/>
        </w:rPr>
        <w:t>SMEs a</w:t>
      </w:r>
      <w:r>
        <w:rPr>
          <w:rFonts w:ascii="Times New Roman" w:hAnsi="Times New Roman" w:cs="Times New Roman"/>
          <w:noProof/>
          <w:sz w:val="24"/>
          <w:szCs w:val="24"/>
          <w:lang w:val="en-US"/>
        </w:rPr>
        <w:t>nd start-ups</w:t>
      </w:r>
      <w:r>
        <w:rPr>
          <w:rFonts w:ascii="Times New Roman" w:hAnsi="Times New Roman" w:cs="Times New Roman"/>
          <w:noProof/>
          <w:sz w:val="24"/>
          <w:szCs w:val="24"/>
        </w:rPr>
        <w:t xml:space="preserve"> due to the relatively modest initial capital investment necessary to launch a data-driven business. In 2017, around 727,000 companies are estimated to have benefitted from the PSI Directive (an increase of 56% since 2010). It is expected that </w:t>
      </w:r>
      <w:r>
        <w:rPr>
          <w:rFonts w:ascii="Times New Roman" w:hAnsi="Times New Roman" w:cs="Times New Roman"/>
          <w:noProof/>
          <w:sz w:val="24"/>
          <w:szCs w:val="24"/>
        </w:rPr>
        <w:t>by 2030 this number will increase by around 1.4 million to reach around 2.2 million.</w:t>
      </w:r>
      <w:r>
        <w:rPr>
          <w:rStyle w:val="FootnoteReference"/>
          <w:rFonts w:ascii="Times New Roman" w:hAnsi="Times New Roman" w:cs="Times New Roman"/>
          <w:noProof/>
          <w:sz w:val="24"/>
          <w:szCs w:val="24"/>
        </w:rPr>
        <w:footnoteReference w:id="192"/>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Consumers will benefit indirectly from the initiative, since they will have a wider choice of better and cheaper digital products developed on the basis of public sector </w:t>
      </w:r>
      <w:r>
        <w:rPr>
          <w:rFonts w:ascii="Times New Roman" w:hAnsi="Times New Roman" w:cs="Times New Roman"/>
          <w:noProof/>
          <w:sz w:val="24"/>
          <w:szCs w:val="24"/>
          <w:lang w:val="en-US"/>
        </w:rPr>
        <w:t xml:space="preserve">data. On a more global level, they also stand to gain from a whole range of societal and environmental benefits generated by products and services based on open data, for example in such areas as public transport, healthcare and energy. Citizens will also </w:t>
      </w:r>
      <w:r>
        <w:rPr>
          <w:rFonts w:ascii="Times New Roman" w:hAnsi="Times New Roman" w:cs="Times New Roman"/>
          <w:noProof/>
          <w:sz w:val="24"/>
          <w:szCs w:val="24"/>
          <w:lang w:val="en-US"/>
        </w:rPr>
        <w:t>see noticeable improvements as regards access to information, social inclusion and civic participation.</w:t>
      </w:r>
      <w:r>
        <w:rPr>
          <w:rFonts w:ascii="Times New Roman" w:hAnsi="Times New Roman" w:cs="Times New Roman"/>
          <w:noProof/>
          <w:sz w:val="24"/>
          <w:szCs w:val="24"/>
        </w:rPr>
        <w:t xml:space="preserve"> At present the provisions of the PSI Directive already affect the majority of citizens in the EU in some way, whether it is through services available o</w:t>
      </w:r>
      <w:r>
        <w:rPr>
          <w:rFonts w:ascii="Times New Roman" w:hAnsi="Times New Roman" w:cs="Times New Roman"/>
          <w:noProof/>
          <w:sz w:val="24"/>
          <w:szCs w:val="24"/>
        </w:rPr>
        <w:t>n their smartphones or through more accurate weather reports they get on the radio or TV. It is expected that by 2030 the impact of services based on PSI will be so pervasive that almost all citizens in the EU will be directly and indirectly impacted by th</w:t>
      </w:r>
      <w:r>
        <w:rPr>
          <w:rFonts w:ascii="Times New Roman" w:hAnsi="Times New Roman" w:cs="Times New Roman"/>
          <w:noProof/>
          <w:sz w:val="24"/>
          <w:szCs w:val="24"/>
        </w:rPr>
        <w:t>e provisions of the PSI Directive.</w:t>
      </w:r>
      <w:r>
        <w:rPr>
          <w:rStyle w:val="FootnoteReference"/>
          <w:rFonts w:ascii="Times New Roman" w:hAnsi="Times New Roman" w:cs="Times New Roman"/>
          <w:noProof/>
          <w:sz w:val="24"/>
          <w:szCs w:val="24"/>
        </w:rPr>
        <w:footnoteReference w:id="193"/>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Public sector bodies will be affected in two ways. On the one hand, some will be covered by new obligations, which will necessitate a certain compliance effort. On the other hand, by virtue of also being consumers of pub</w:t>
      </w:r>
      <w:r>
        <w:rPr>
          <w:rFonts w:ascii="Times New Roman" w:hAnsi="Times New Roman" w:cs="Times New Roman"/>
          <w:noProof/>
          <w:sz w:val="24"/>
          <w:szCs w:val="24"/>
          <w:lang w:val="en-US"/>
        </w:rPr>
        <w:t>lic sector data, they will be able to access and reuse the wider pool of available data to ensure a more cost-effective public service delivery and better-targeted policy making. It is important to bear in mind, however, that as far as the trade-off betwee</w:t>
      </w:r>
      <w:r>
        <w:rPr>
          <w:rFonts w:ascii="Times New Roman" w:hAnsi="Times New Roman" w:cs="Times New Roman"/>
          <w:noProof/>
          <w:sz w:val="24"/>
          <w:szCs w:val="24"/>
          <w:lang w:val="en-US"/>
        </w:rPr>
        <w:t>n the new obligations and benefits is concerned, the large majority of public sector bodies will experience only the positive effects of the initiative, and no negative impact. Mostly larger public sector data-holders (e.g. mapping agencies, meteorological</w:t>
      </w:r>
      <w:r>
        <w:rPr>
          <w:rFonts w:ascii="Times New Roman" w:hAnsi="Times New Roman" w:cs="Times New Roman"/>
          <w:noProof/>
          <w:sz w:val="24"/>
          <w:szCs w:val="24"/>
          <w:lang w:val="en-US"/>
        </w:rPr>
        <w:t xml:space="preserve"> institutes, and large cities) will be affected by the charging provisions, the API obligations and the non-exclusivity requirements.</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For public undertakings and research organisations, practical implications of the initiative will also be twofold. In cert</w:t>
      </w:r>
      <w:r>
        <w:rPr>
          <w:rFonts w:ascii="Times New Roman" w:hAnsi="Times New Roman" w:cs="Times New Roman"/>
          <w:noProof/>
          <w:sz w:val="24"/>
          <w:szCs w:val="24"/>
          <w:lang w:val="en-US"/>
        </w:rPr>
        <w:t>ain cases, these bodies will be expected to comply with some new requirements, but at the same time they will also benefit from the proposed changes.</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Public undertakings will be able to use more data that will become available, while the products created o</w:t>
      </w:r>
      <w:r>
        <w:rPr>
          <w:rFonts w:ascii="Times New Roman" w:hAnsi="Times New Roman" w:cs="Times New Roman"/>
          <w:noProof/>
          <w:sz w:val="24"/>
          <w:szCs w:val="24"/>
          <w:lang w:val="en-US"/>
        </w:rPr>
        <w:t>n the basis of their own open data by third parties will improve the quality of the services they provide to their customers. As for new obligations, only those public undertakings will be affected that are trading information that is generated as a side-p</w:t>
      </w:r>
      <w:r>
        <w:rPr>
          <w:rFonts w:ascii="Times New Roman" w:hAnsi="Times New Roman" w:cs="Times New Roman"/>
          <w:noProof/>
          <w:sz w:val="24"/>
          <w:szCs w:val="24"/>
          <w:lang w:val="en-US"/>
        </w:rPr>
        <w:t>roduct of their main activity. They will have to comply with obligations on transparency, non-exclusivity and non-discrimination, and will have to respect the maximum charges for the data, based on recovering full costs plus a reasonable return on investme</w:t>
      </w:r>
      <w:r>
        <w:rPr>
          <w:rFonts w:ascii="Times New Roman" w:hAnsi="Times New Roman" w:cs="Times New Roman"/>
          <w:noProof/>
          <w:sz w:val="24"/>
          <w:szCs w:val="24"/>
          <w:lang w:val="en-US"/>
        </w:rPr>
        <w:t xml:space="preserve">nt.  </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Research organisations will generally benefit from the wider reusability of research data, which is widely considered to be a positive driver for the development of science. As for obligations, the initiative will have some consequences for the opera</w:t>
      </w:r>
      <w:r>
        <w:rPr>
          <w:rFonts w:ascii="Times New Roman" w:hAnsi="Times New Roman" w:cs="Times New Roman"/>
          <w:noProof/>
          <w:sz w:val="24"/>
          <w:szCs w:val="24"/>
          <w:lang w:val="en-US"/>
        </w:rPr>
        <w:t>tion of open science repositories that may have to adapt their licencing conditions and to check whether there are third party rights on any of the datasets. The way in which individual research institutions will be affected will depend on the way in which</w:t>
      </w:r>
      <w:r>
        <w:rPr>
          <w:rFonts w:ascii="Times New Roman" w:hAnsi="Times New Roman" w:cs="Times New Roman"/>
          <w:noProof/>
          <w:sz w:val="24"/>
          <w:szCs w:val="24"/>
          <w:lang w:val="en-US"/>
        </w:rPr>
        <w:t xml:space="preserve"> Member States will shape their research data policies. </w:t>
      </w:r>
    </w:p>
    <w:p w:rsidR="00DF1A33" w:rsidRDefault="00456F01">
      <w:pPr>
        <w:rPr>
          <w:rFonts w:ascii="Times New Roman" w:hAnsi="Times New Roman" w:cs="Times New Roman"/>
          <w:b/>
          <w:smallCaps/>
          <w:noProof/>
        </w:rPr>
      </w:pPr>
      <w:bookmarkStart w:id="2000" w:name="_Toc481484492"/>
      <w:r>
        <w:rPr>
          <w:rFonts w:ascii="Times New Roman" w:hAnsi="Times New Roman" w:cs="Times New Roman"/>
          <w:b/>
          <w:smallCaps/>
          <w:noProof/>
        </w:rPr>
        <w:t>2. Summary of costs and benefits</w:t>
      </w:r>
      <w:bookmarkEnd w:id="2000"/>
    </w:p>
    <w:tbl>
      <w:tblPr>
        <w:tblStyle w:val="CV12"/>
        <w:tblW w:w="9639"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111"/>
        <w:gridCol w:w="2976"/>
      </w:tblGrid>
      <w:tr w:rsidR="00DF1A33">
        <w:tc>
          <w:tcPr>
            <w:tcW w:w="9639" w:type="dxa"/>
            <w:gridSpan w:val="3"/>
            <w:tcBorders>
              <w:top w:val="double" w:sz="4" w:space="0" w:color="auto"/>
              <w:bottom w:val="single" w:sz="4" w:space="0" w:color="auto"/>
            </w:tcBorders>
            <w:shd w:val="clear" w:color="auto" w:fill="C6D9F1" w:themeFill="text2" w:themeFillTint="33"/>
          </w:tcPr>
          <w:p w:rsidR="00DF1A33" w:rsidRDefault="00456F01">
            <w:pPr>
              <w:tabs>
                <w:tab w:val="num" w:pos="425"/>
              </w:tabs>
              <w:jc w:val="center"/>
              <w:rPr>
                <w:b/>
                <w:i/>
                <w:noProof/>
              </w:rPr>
            </w:pPr>
            <w:r>
              <w:rPr>
                <w:b/>
                <w:i/>
                <w:noProof/>
              </w:rPr>
              <w:t>I. Overview of Benefits (total for all provisions) – Preferred Option</w:t>
            </w:r>
          </w:p>
        </w:tc>
      </w:tr>
      <w:tr w:rsidR="00DF1A33">
        <w:tc>
          <w:tcPr>
            <w:tcW w:w="2552" w:type="dxa"/>
            <w:tcBorders>
              <w:top w:val="single" w:sz="4" w:space="0" w:color="auto"/>
            </w:tcBorders>
            <w:shd w:val="clear" w:color="auto" w:fill="C6D9F1" w:themeFill="text2" w:themeFillTint="33"/>
          </w:tcPr>
          <w:p w:rsidR="00DF1A33" w:rsidRDefault="00456F01">
            <w:pPr>
              <w:tabs>
                <w:tab w:val="num" w:pos="425"/>
              </w:tabs>
              <w:jc w:val="center"/>
              <w:rPr>
                <w:b/>
                <w:i/>
                <w:noProof/>
              </w:rPr>
            </w:pPr>
            <w:r>
              <w:rPr>
                <w:b/>
                <w:i/>
                <w:noProof/>
              </w:rPr>
              <w:t>Description</w:t>
            </w:r>
          </w:p>
        </w:tc>
        <w:tc>
          <w:tcPr>
            <w:tcW w:w="4111" w:type="dxa"/>
            <w:tcBorders>
              <w:top w:val="single" w:sz="4" w:space="0" w:color="auto"/>
            </w:tcBorders>
            <w:shd w:val="clear" w:color="auto" w:fill="C6D9F1" w:themeFill="text2" w:themeFillTint="33"/>
          </w:tcPr>
          <w:p w:rsidR="00DF1A33" w:rsidRDefault="00456F01">
            <w:pPr>
              <w:tabs>
                <w:tab w:val="num" w:pos="425"/>
              </w:tabs>
              <w:jc w:val="center"/>
              <w:rPr>
                <w:b/>
                <w:i/>
                <w:noProof/>
              </w:rPr>
            </w:pPr>
            <w:r>
              <w:rPr>
                <w:b/>
                <w:i/>
                <w:noProof/>
              </w:rPr>
              <w:t>Amount</w:t>
            </w:r>
          </w:p>
        </w:tc>
        <w:tc>
          <w:tcPr>
            <w:tcW w:w="2976" w:type="dxa"/>
            <w:tcBorders>
              <w:top w:val="single" w:sz="4" w:space="0" w:color="auto"/>
            </w:tcBorders>
            <w:shd w:val="clear" w:color="auto" w:fill="C6D9F1" w:themeFill="text2" w:themeFillTint="33"/>
            <w:tcMar>
              <w:top w:w="57" w:type="dxa"/>
              <w:left w:w="57" w:type="dxa"/>
              <w:bottom w:w="57" w:type="dxa"/>
              <w:right w:w="57" w:type="dxa"/>
            </w:tcMar>
          </w:tcPr>
          <w:p w:rsidR="00DF1A33" w:rsidRDefault="00456F01">
            <w:pPr>
              <w:tabs>
                <w:tab w:val="num" w:pos="425"/>
              </w:tabs>
              <w:jc w:val="center"/>
              <w:rPr>
                <w:b/>
                <w:i/>
                <w:noProof/>
              </w:rPr>
            </w:pPr>
            <w:r>
              <w:rPr>
                <w:b/>
                <w:i/>
                <w:noProof/>
              </w:rPr>
              <w:t>Comments</w:t>
            </w:r>
          </w:p>
        </w:tc>
      </w:tr>
      <w:tr w:rsidR="00DF1A33">
        <w:tc>
          <w:tcPr>
            <w:tcW w:w="9639" w:type="dxa"/>
            <w:gridSpan w:val="3"/>
            <w:tcBorders>
              <w:top w:val="double" w:sz="4" w:space="0" w:color="auto"/>
            </w:tcBorders>
            <w:shd w:val="clear" w:color="auto" w:fill="F2F2F2" w:themeFill="background1" w:themeFillShade="F2"/>
          </w:tcPr>
          <w:p w:rsidR="00DF1A33" w:rsidRDefault="00456F01">
            <w:pPr>
              <w:tabs>
                <w:tab w:val="num" w:pos="425"/>
              </w:tabs>
              <w:jc w:val="center"/>
              <w:rPr>
                <w:b/>
                <w:i/>
                <w:noProof/>
              </w:rPr>
            </w:pPr>
            <w:r>
              <w:rPr>
                <w:b/>
                <w:i/>
                <w:noProof/>
              </w:rPr>
              <w:t>Direct benefits in 2027/2028</w:t>
            </w:r>
          </w:p>
        </w:tc>
      </w:tr>
      <w:tr w:rsidR="00DF1A33">
        <w:tc>
          <w:tcPr>
            <w:tcW w:w="2552" w:type="dxa"/>
            <w:tcBorders>
              <w:top w:val="double" w:sz="4" w:space="0" w:color="auto"/>
            </w:tcBorders>
          </w:tcPr>
          <w:p w:rsidR="00DF1A33" w:rsidRDefault="00456F01">
            <w:pPr>
              <w:tabs>
                <w:tab w:val="num" w:pos="425"/>
              </w:tabs>
              <w:jc w:val="both"/>
              <w:rPr>
                <w:noProof/>
              </w:rPr>
            </w:pPr>
            <w:r>
              <w:rPr>
                <w:noProof/>
              </w:rPr>
              <w:t xml:space="preserve">Impact on the direct economic value of PSI </w:t>
            </w:r>
          </w:p>
        </w:tc>
        <w:tc>
          <w:tcPr>
            <w:tcW w:w="4111" w:type="dxa"/>
            <w:tcBorders>
              <w:top w:val="double" w:sz="4" w:space="0" w:color="auto"/>
            </w:tcBorders>
            <w:tcMar>
              <w:top w:w="57" w:type="dxa"/>
              <w:left w:w="57" w:type="dxa"/>
              <w:bottom w:w="57" w:type="dxa"/>
              <w:right w:w="57" w:type="dxa"/>
            </w:tcMar>
          </w:tcPr>
          <w:p w:rsidR="00DF1A33" w:rsidRDefault="00456F01">
            <w:pPr>
              <w:tabs>
                <w:tab w:val="num" w:pos="425"/>
              </w:tabs>
              <w:jc w:val="both"/>
              <w:rPr>
                <w:noProof/>
              </w:rPr>
            </w:pPr>
            <w:r>
              <w:rPr>
                <w:noProof/>
              </w:rPr>
              <w:t xml:space="preserve">44 billion EUR - 30% more than in the baseline scenario </w:t>
            </w:r>
            <w:r>
              <w:rPr>
                <w:i/>
                <w:noProof/>
              </w:rPr>
              <w:t>(Preferred option: 194 billion EUR, Baseline: 150 billion EUR)</w:t>
            </w:r>
          </w:p>
        </w:tc>
        <w:tc>
          <w:tcPr>
            <w:tcW w:w="2976" w:type="dxa"/>
            <w:tcBorders>
              <w:top w:val="double" w:sz="4" w:space="0" w:color="auto"/>
            </w:tcBorders>
            <w:tcMar>
              <w:top w:w="57" w:type="dxa"/>
              <w:left w:w="57" w:type="dxa"/>
              <w:bottom w:w="57" w:type="dxa"/>
              <w:right w:w="57" w:type="dxa"/>
            </w:tcMar>
          </w:tcPr>
          <w:p w:rsidR="00DF1A33" w:rsidRDefault="00DF1A33">
            <w:pPr>
              <w:jc w:val="both"/>
              <w:rPr>
                <w:noProof/>
              </w:rPr>
            </w:pPr>
          </w:p>
        </w:tc>
      </w:tr>
      <w:tr w:rsidR="00DF1A33">
        <w:tc>
          <w:tcPr>
            <w:tcW w:w="2552" w:type="dxa"/>
            <w:tcBorders>
              <w:bottom w:val="double" w:sz="4" w:space="0" w:color="auto"/>
            </w:tcBorders>
          </w:tcPr>
          <w:p w:rsidR="00DF1A33" w:rsidRDefault="00456F01">
            <w:pPr>
              <w:tabs>
                <w:tab w:val="num" w:pos="425"/>
              </w:tabs>
              <w:jc w:val="both"/>
              <w:rPr>
                <w:noProof/>
              </w:rPr>
            </w:pPr>
            <w:r>
              <w:rPr>
                <w:noProof/>
              </w:rPr>
              <w:t>Impact on the estimated number of persons employed in the area of PSI</w:t>
            </w:r>
          </w:p>
        </w:tc>
        <w:tc>
          <w:tcPr>
            <w:tcW w:w="4111" w:type="dxa"/>
            <w:tcBorders>
              <w:bottom w:val="double" w:sz="4" w:space="0" w:color="auto"/>
            </w:tcBorders>
            <w:tcMar>
              <w:top w:w="57" w:type="dxa"/>
              <w:left w:w="57" w:type="dxa"/>
              <w:bottom w:w="57" w:type="dxa"/>
              <w:right w:w="57" w:type="dxa"/>
            </w:tcMar>
          </w:tcPr>
          <w:p w:rsidR="00DF1A33" w:rsidRDefault="00456F01">
            <w:pPr>
              <w:tabs>
                <w:tab w:val="num" w:pos="425"/>
              </w:tabs>
              <w:jc w:val="both"/>
              <w:rPr>
                <w:noProof/>
              </w:rPr>
            </w:pPr>
            <w:r>
              <w:rPr>
                <w:noProof/>
              </w:rPr>
              <w:t xml:space="preserve">191,000 - 40% more than in the baseline scenario </w:t>
            </w:r>
            <w:r>
              <w:rPr>
                <w:i/>
                <w:noProof/>
              </w:rPr>
              <w:t>(Preferred option: 709,000, Baseline: 518,000)</w:t>
            </w:r>
          </w:p>
        </w:tc>
        <w:tc>
          <w:tcPr>
            <w:tcW w:w="2976" w:type="dxa"/>
            <w:tcBorders>
              <w:bottom w:val="double" w:sz="4" w:space="0" w:color="auto"/>
            </w:tcBorders>
            <w:tcMar>
              <w:top w:w="57" w:type="dxa"/>
              <w:left w:w="57" w:type="dxa"/>
              <w:bottom w:w="57" w:type="dxa"/>
              <w:right w:w="57" w:type="dxa"/>
            </w:tcMar>
          </w:tcPr>
          <w:p w:rsidR="00DF1A33" w:rsidRDefault="00DF1A33">
            <w:pPr>
              <w:tabs>
                <w:tab w:val="num" w:pos="425"/>
              </w:tabs>
              <w:jc w:val="both"/>
              <w:rPr>
                <w:noProof/>
              </w:rPr>
            </w:pPr>
          </w:p>
        </w:tc>
      </w:tr>
      <w:tr w:rsidR="00DF1A33">
        <w:tc>
          <w:tcPr>
            <w:tcW w:w="2552" w:type="dxa"/>
            <w:tcBorders>
              <w:bottom w:val="double" w:sz="4" w:space="0" w:color="auto"/>
            </w:tcBorders>
          </w:tcPr>
          <w:p w:rsidR="00DF1A33" w:rsidRDefault="00456F01">
            <w:pPr>
              <w:tabs>
                <w:tab w:val="num" w:pos="425"/>
              </w:tabs>
              <w:jc w:val="both"/>
              <w:rPr>
                <w:noProof/>
              </w:rPr>
            </w:pPr>
            <w:r>
              <w:rPr>
                <w:noProof/>
              </w:rPr>
              <w:t>Impact on the cost of opening up PSI</w:t>
            </w:r>
          </w:p>
        </w:tc>
        <w:tc>
          <w:tcPr>
            <w:tcW w:w="4111" w:type="dxa"/>
            <w:tcBorders>
              <w:bottom w:val="double" w:sz="4" w:space="0" w:color="auto"/>
            </w:tcBorders>
            <w:tcMar>
              <w:top w:w="57" w:type="dxa"/>
              <w:left w:w="57" w:type="dxa"/>
              <w:bottom w:w="57" w:type="dxa"/>
              <w:right w:w="57" w:type="dxa"/>
            </w:tcMar>
          </w:tcPr>
          <w:p w:rsidR="00DF1A33" w:rsidRDefault="00456F01">
            <w:pPr>
              <w:tabs>
                <w:tab w:val="num" w:pos="425"/>
              </w:tabs>
              <w:jc w:val="both"/>
              <w:rPr>
                <w:noProof/>
              </w:rPr>
            </w:pPr>
            <w:r>
              <w:rPr>
                <w:noProof/>
              </w:rPr>
              <w:t xml:space="preserve">Cost 1.4 billion EUR (33%) lower than in the baseline scenario </w:t>
            </w:r>
            <w:r>
              <w:rPr>
                <w:i/>
                <w:noProof/>
              </w:rPr>
              <w:t xml:space="preserve">(Preferred option: 2.7 billion EUR, Baseline: 4.1 billion </w:t>
            </w:r>
            <w:r>
              <w:rPr>
                <w:i/>
                <w:noProof/>
              </w:rPr>
              <w:t>EUR)</w:t>
            </w:r>
            <w:r>
              <w:rPr>
                <w:noProof/>
              </w:rPr>
              <w:t xml:space="preserve"> </w:t>
            </w:r>
          </w:p>
        </w:tc>
        <w:tc>
          <w:tcPr>
            <w:tcW w:w="2976" w:type="dxa"/>
            <w:tcBorders>
              <w:bottom w:val="double" w:sz="4" w:space="0" w:color="auto"/>
            </w:tcBorders>
            <w:tcMar>
              <w:top w:w="57" w:type="dxa"/>
              <w:left w:w="57" w:type="dxa"/>
              <w:bottom w:w="57" w:type="dxa"/>
              <w:right w:w="57" w:type="dxa"/>
            </w:tcMar>
          </w:tcPr>
          <w:p w:rsidR="00DF1A33" w:rsidRDefault="00456F01">
            <w:pPr>
              <w:tabs>
                <w:tab w:val="num" w:pos="425"/>
              </w:tabs>
              <w:jc w:val="both"/>
              <w:rPr>
                <w:noProof/>
              </w:rPr>
            </w:pPr>
            <w:r>
              <w:rPr>
                <w:noProof/>
              </w:rPr>
              <w:t>Costs reduction linked to increased efficiency gains achieved through greater proactivity and higher automation of opening up PSI</w:t>
            </w:r>
          </w:p>
        </w:tc>
      </w:tr>
      <w:tr w:rsidR="00DF1A33">
        <w:tc>
          <w:tcPr>
            <w:tcW w:w="9639" w:type="dxa"/>
            <w:gridSpan w:val="3"/>
            <w:shd w:val="clear" w:color="auto" w:fill="F2F2F2" w:themeFill="background1" w:themeFillShade="F2"/>
          </w:tcPr>
          <w:p w:rsidR="00DF1A33" w:rsidRDefault="00456F01">
            <w:pPr>
              <w:tabs>
                <w:tab w:val="num" w:pos="425"/>
              </w:tabs>
              <w:jc w:val="center"/>
              <w:rPr>
                <w:b/>
                <w:i/>
                <w:noProof/>
              </w:rPr>
            </w:pPr>
            <w:r>
              <w:rPr>
                <w:b/>
                <w:i/>
                <w:noProof/>
              </w:rPr>
              <w:t>Indirect benefits by 2030</w:t>
            </w:r>
          </w:p>
        </w:tc>
      </w:tr>
      <w:tr w:rsidR="00DF1A33">
        <w:tc>
          <w:tcPr>
            <w:tcW w:w="2552" w:type="dxa"/>
            <w:tcBorders>
              <w:top w:val="double" w:sz="4" w:space="0" w:color="auto"/>
              <w:bottom w:val="double" w:sz="4" w:space="0" w:color="auto"/>
            </w:tcBorders>
          </w:tcPr>
          <w:p w:rsidR="00DF1A33" w:rsidRDefault="00456F01">
            <w:pPr>
              <w:tabs>
                <w:tab w:val="num" w:pos="425"/>
              </w:tabs>
              <w:jc w:val="both"/>
              <w:rPr>
                <w:noProof/>
              </w:rPr>
            </w:pPr>
            <w:r>
              <w:rPr>
                <w:noProof/>
              </w:rPr>
              <w:t>Impact on the total economic value of PSI</w:t>
            </w:r>
          </w:p>
        </w:tc>
        <w:tc>
          <w:tcPr>
            <w:tcW w:w="4111" w:type="dxa"/>
            <w:tcBorders>
              <w:top w:val="double" w:sz="4" w:space="0" w:color="auto"/>
              <w:bottom w:val="double" w:sz="4" w:space="0" w:color="auto"/>
            </w:tcBorders>
            <w:tcMar>
              <w:top w:w="57" w:type="dxa"/>
              <w:left w:w="57" w:type="dxa"/>
              <w:bottom w:w="57" w:type="dxa"/>
              <w:right w:w="57" w:type="dxa"/>
            </w:tcMar>
          </w:tcPr>
          <w:p w:rsidR="00DF1A33" w:rsidRDefault="00456F01">
            <w:pPr>
              <w:tabs>
                <w:tab w:val="num" w:pos="425"/>
              </w:tabs>
              <w:jc w:val="both"/>
              <w:rPr>
                <w:noProof/>
              </w:rPr>
            </w:pPr>
            <w:r>
              <w:rPr>
                <w:noProof/>
              </w:rPr>
              <w:t xml:space="preserve">214 billion EUR - 32% more than in the baseline scenario </w:t>
            </w:r>
            <w:r>
              <w:rPr>
                <w:i/>
                <w:noProof/>
              </w:rPr>
              <w:t>(Preferred option: 871 billion EUR, Baseline: 657 billion EUR)</w:t>
            </w:r>
          </w:p>
        </w:tc>
        <w:tc>
          <w:tcPr>
            <w:tcW w:w="2976" w:type="dxa"/>
            <w:tcBorders>
              <w:top w:val="double" w:sz="4" w:space="0" w:color="auto"/>
              <w:bottom w:val="double" w:sz="4" w:space="0" w:color="auto"/>
            </w:tcBorders>
            <w:tcMar>
              <w:top w:w="57" w:type="dxa"/>
              <w:left w:w="57" w:type="dxa"/>
              <w:bottom w:w="57" w:type="dxa"/>
              <w:right w:w="57" w:type="dxa"/>
            </w:tcMar>
          </w:tcPr>
          <w:p w:rsidR="00DF1A33" w:rsidRDefault="00456F01">
            <w:pPr>
              <w:tabs>
                <w:tab w:val="num" w:pos="425"/>
              </w:tabs>
              <w:jc w:val="both"/>
              <w:rPr>
                <w:noProof/>
              </w:rPr>
            </w:pPr>
            <w:r>
              <w:rPr>
                <w:noProof/>
              </w:rPr>
              <w:t xml:space="preserve">The concept of total economic value of PSI includes both direct and indirect economic value </w:t>
            </w:r>
          </w:p>
        </w:tc>
      </w:tr>
      <w:tr w:rsidR="00DF1A33">
        <w:tc>
          <w:tcPr>
            <w:tcW w:w="2552" w:type="dxa"/>
            <w:tcBorders>
              <w:top w:val="double" w:sz="4" w:space="0" w:color="auto"/>
            </w:tcBorders>
          </w:tcPr>
          <w:p w:rsidR="00DF1A33" w:rsidRDefault="00456F01">
            <w:pPr>
              <w:tabs>
                <w:tab w:val="num" w:pos="425"/>
              </w:tabs>
              <w:jc w:val="both"/>
              <w:rPr>
                <w:noProof/>
              </w:rPr>
            </w:pPr>
            <w:r>
              <w:rPr>
                <w:noProof/>
              </w:rPr>
              <w:t xml:space="preserve">Impact on the indirect economic value of </w:t>
            </w:r>
            <w:r>
              <w:rPr>
                <w:noProof/>
              </w:rPr>
              <w:t>PSI</w:t>
            </w:r>
          </w:p>
        </w:tc>
        <w:tc>
          <w:tcPr>
            <w:tcW w:w="4111" w:type="dxa"/>
            <w:tcBorders>
              <w:top w:val="double" w:sz="4" w:space="0" w:color="auto"/>
            </w:tcBorders>
            <w:tcMar>
              <w:top w:w="57" w:type="dxa"/>
              <w:left w:w="57" w:type="dxa"/>
              <w:bottom w:w="57" w:type="dxa"/>
              <w:right w:w="57" w:type="dxa"/>
            </w:tcMar>
          </w:tcPr>
          <w:p w:rsidR="00DF1A33" w:rsidRDefault="00456F01">
            <w:pPr>
              <w:tabs>
                <w:tab w:val="num" w:pos="425"/>
              </w:tabs>
              <w:jc w:val="both"/>
              <w:rPr>
                <w:noProof/>
              </w:rPr>
            </w:pPr>
            <w:r>
              <w:rPr>
                <w:noProof/>
              </w:rPr>
              <w:t xml:space="preserve">170 billion EUR - 33% more than in the baseline scenario </w:t>
            </w:r>
            <w:r>
              <w:rPr>
                <w:i/>
                <w:noProof/>
              </w:rPr>
              <w:t>(Preferred option: 678 billion EUR, Baseline: 511 billion EUR)</w:t>
            </w:r>
          </w:p>
        </w:tc>
        <w:tc>
          <w:tcPr>
            <w:tcW w:w="2976" w:type="dxa"/>
            <w:tcBorders>
              <w:top w:val="double" w:sz="4" w:space="0" w:color="auto"/>
            </w:tcBorders>
            <w:tcMar>
              <w:top w:w="57" w:type="dxa"/>
              <w:left w:w="57" w:type="dxa"/>
              <w:bottom w:w="57" w:type="dxa"/>
              <w:right w:w="57" w:type="dxa"/>
            </w:tcMar>
          </w:tcPr>
          <w:p w:rsidR="00DF1A33" w:rsidRDefault="00DF1A33">
            <w:pPr>
              <w:tabs>
                <w:tab w:val="num" w:pos="425"/>
              </w:tabs>
              <w:jc w:val="both"/>
              <w:rPr>
                <w:noProof/>
              </w:rPr>
            </w:pPr>
          </w:p>
        </w:tc>
      </w:tr>
    </w:tbl>
    <w:p w:rsidR="00DF1A33" w:rsidRDefault="00DF1A33">
      <w:pPr>
        <w:rPr>
          <w:noProof/>
        </w:rPr>
      </w:pPr>
    </w:p>
    <w:tbl>
      <w:tblPr>
        <w:tblStyle w:val="CV11"/>
        <w:tblW w:w="9515"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276"/>
        <w:gridCol w:w="1256"/>
        <w:gridCol w:w="839"/>
        <w:gridCol w:w="978"/>
        <w:gridCol w:w="839"/>
        <w:gridCol w:w="927"/>
        <w:gridCol w:w="1586"/>
        <w:gridCol w:w="1814"/>
      </w:tblGrid>
      <w:tr w:rsidR="00DF1A33">
        <w:trPr>
          <w:tblHeader/>
        </w:trPr>
        <w:tc>
          <w:tcPr>
            <w:tcW w:w="9515" w:type="dxa"/>
            <w:gridSpan w:val="8"/>
            <w:shd w:val="clear" w:color="auto" w:fill="C6D9F1" w:themeFill="text2" w:themeFillTint="33"/>
            <w:tcMar>
              <w:top w:w="57" w:type="dxa"/>
              <w:left w:w="57" w:type="dxa"/>
              <w:bottom w:w="57" w:type="dxa"/>
              <w:right w:w="57" w:type="dxa"/>
            </w:tcMar>
          </w:tcPr>
          <w:p w:rsidR="00DF1A33" w:rsidRDefault="00456F01">
            <w:pPr>
              <w:tabs>
                <w:tab w:val="num" w:pos="425"/>
              </w:tabs>
              <w:jc w:val="center"/>
              <w:rPr>
                <w:b/>
                <w:i/>
                <w:noProof/>
              </w:rPr>
            </w:pPr>
            <w:r>
              <w:rPr>
                <w:b/>
                <w:i/>
                <w:noProof/>
              </w:rPr>
              <w:t>II. Overview of costs – Preferred option</w:t>
            </w:r>
          </w:p>
        </w:tc>
      </w:tr>
      <w:tr w:rsidR="00DF1A33">
        <w:trPr>
          <w:tblHeader/>
        </w:trPr>
        <w:tc>
          <w:tcPr>
            <w:tcW w:w="2532"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rsidR="00DF1A33" w:rsidRDefault="00DF1A33">
            <w:pPr>
              <w:tabs>
                <w:tab w:val="num" w:pos="425"/>
              </w:tabs>
              <w:rPr>
                <w:noProof/>
              </w:rPr>
            </w:pPr>
          </w:p>
        </w:tc>
        <w:tc>
          <w:tcPr>
            <w:tcW w:w="1817" w:type="dxa"/>
            <w:gridSpan w:val="2"/>
            <w:tcBorders>
              <w:left w:val="double" w:sz="4" w:space="0" w:color="auto"/>
            </w:tcBorders>
            <w:tcMar>
              <w:top w:w="57" w:type="dxa"/>
              <w:left w:w="57" w:type="dxa"/>
              <w:bottom w:w="57" w:type="dxa"/>
              <w:right w:w="57" w:type="dxa"/>
            </w:tcMar>
          </w:tcPr>
          <w:p w:rsidR="00DF1A33" w:rsidRDefault="00456F01">
            <w:pPr>
              <w:tabs>
                <w:tab w:val="num" w:pos="425"/>
              </w:tabs>
              <w:jc w:val="center"/>
              <w:rPr>
                <w:noProof/>
              </w:rPr>
            </w:pPr>
            <w:r>
              <w:rPr>
                <w:noProof/>
              </w:rPr>
              <w:t xml:space="preserve">Citizens/Consumers </w:t>
            </w:r>
          </w:p>
        </w:tc>
        <w:tc>
          <w:tcPr>
            <w:tcW w:w="1766" w:type="dxa"/>
            <w:gridSpan w:val="2"/>
            <w:tcMar>
              <w:top w:w="57" w:type="dxa"/>
              <w:left w:w="57" w:type="dxa"/>
              <w:bottom w:w="57" w:type="dxa"/>
              <w:right w:w="57" w:type="dxa"/>
            </w:tcMar>
          </w:tcPr>
          <w:p w:rsidR="00DF1A33" w:rsidRDefault="00456F01">
            <w:pPr>
              <w:tabs>
                <w:tab w:val="num" w:pos="425"/>
              </w:tabs>
              <w:jc w:val="center"/>
              <w:rPr>
                <w:noProof/>
              </w:rPr>
            </w:pPr>
            <w:r>
              <w:rPr>
                <w:noProof/>
              </w:rPr>
              <w:t>Businesses</w:t>
            </w:r>
          </w:p>
        </w:tc>
        <w:tc>
          <w:tcPr>
            <w:tcW w:w="3400" w:type="dxa"/>
            <w:gridSpan w:val="2"/>
            <w:tcMar>
              <w:top w:w="57" w:type="dxa"/>
              <w:left w:w="57" w:type="dxa"/>
              <w:bottom w:w="57" w:type="dxa"/>
              <w:right w:w="57" w:type="dxa"/>
            </w:tcMar>
          </w:tcPr>
          <w:p w:rsidR="00DF1A33" w:rsidRDefault="00456F01">
            <w:pPr>
              <w:tabs>
                <w:tab w:val="num" w:pos="425"/>
              </w:tabs>
              <w:jc w:val="center"/>
              <w:rPr>
                <w:noProof/>
              </w:rPr>
            </w:pPr>
            <w:r>
              <w:rPr>
                <w:noProof/>
              </w:rPr>
              <w:t>Administrations</w:t>
            </w:r>
          </w:p>
        </w:tc>
      </w:tr>
      <w:tr w:rsidR="00DF1A33">
        <w:trPr>
          <w:tblHeader/>
        </w:trPr>
        <w:tc>
          <w:tcPr>
            <w:tcW w:w="2532"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rsidR="00DF1A33" w:rsidRDefault="00DF1A33">
            <w:pPr>
              <w:tabs>
                <w:tab w:val="num" w:pos="425"/>
              </w:tabs>
              <w:jc w:val="center"/>
              <w:rPr>
                <w:noProof/>
              </w:rPr>
            </w:pPr>
          </w:p>
        </w:tc>
        <w:tc>
          <w:tcPr>
            <w:tcW w:w="839" w:type="dxa"/>
            <w:tcBorders>
              <w:left w:val="double" w:sz="4" w:space="0" w:color="auto"/>
              <w:bottom w:val="single" w:sz="4" w:space="0" w:color="auto"/>
            </w:tcBorders>
            <w:tcMar>
              <w:top w:w="57" w:type="dxa"/>
              <w:left w:w="57" w:type="dxa"/>
              <w:bottom w:w="57" w:type="dxa"/>
              <w:right w:w="57" w:type="dxa"/>
            </w:tcMar>
          </w:tcPr>
          <w:p w:rsidR="00DF1A33" w:rsidRDefault="00456F01">
            <w:pPr>
              <w:tabs>
                <w:tab w:val="num" w:pos="425"/>
              </w:tabs>
              <w:jc w:val="center"/>
              <w:rPr>
                <w:noProof/>
              </w:rPr>
            </w:pPr>
            <w:r>
              <w:rPr>
                <w:noProof/>
              </w:rPr>
              <w:t>One-off</w:t>
            </w:r>
          </w:p>
        </w:tc>
        <w:tc>
          <w:tcPr>
            <w:tcW w:w="978" w:type="dxa"/>
            <w:tcBorders>
              <w:bottom w:val="single" w:sz="4" w:space="0" w:color="auto"/>
            </w:tcBorders>
            <w:tcMar>
              <w:top w:w="57" w:type="dxa"/>
              <w:left w:w="57" w:type="dxa"/>
              <w:bottom w:w="57" w:type="dxa"/>
              <w:right w:w="57" w:type="dxa"/>
            </w:tcMar>
          </w:tcPr>
          <w:p w:rsidR="00DF1A33" w:rsidRDefault="00456F01">
            <w:pPr>
              <w:tabs>
                <w:tab w:val="num" w:pos="425"/>
              </w:tabs>
              <w:jc w:val="center"/>
              <w:rPr>
                <w:noProof/>
              </w:rPr>
            </w:pPr>
            <w:r>
              <w:rPr>
                <w:noProof/>
              </w:rPr>
              <w:t>Recurrent</w:t>
            </w:r>
          </w:p>
        </w:tc>
        <w:tc>
          <w:tcPr>
            <w:tcW w:w="839" w:type="dxa"/>
            <w:tcBorders>
              <w:bottom w:val="single" w:sz="4" w:space="0" w:color="auto"/>
            </w:tcBorders>
            <w:tcMar>
              <w:top w:w="57" w:type="dxa"/>
              <w:left w:w="57" w:type="dxa"/>
              <w:bottom w:w="57" w:type="dxa"/>
              <w:right w:w="57" w:type="dxa"/>
            </w:tcMar>
          </w:tcPr>
          <w:p w:rsidR="00DF1A33" w:rsidRDefault="00456F01">
            <w:pPr>
              <w:tabs>
                <w:tab w:val="num" w:pos="425"/>
              </w:tabs>
              <w:jc w:val="center"/>
              <w:rPr>
                <w:noProof/>
              </w:rPr>
            </w:pPr>
            <w:r>
              <w:rPr>
                <w:noProof/>
              </w:rPr>
              <w:t>One-off</w:t>
            </w:r>
          </w:p>
        </w:tc>
        <w:tc>
          <w:tcPr>
            <w:tcW w:w="927" w:type="dxa"/>
            <w:tcBorders>
              <w:bottom w:val="single" w:sz="4" w:space="0" w:color="auto"/>
            </w:tcBorders>
            <w:tcMar>
              <w:top w:w="57" w:type="dxa"/>
              <w:left w:w="57" w:type="dxa"/>
              <w:bottom w:w="57" w:type="dxa"/>
              <w:right w:w="57" w:type="dxa"/>
            </w:tcMar>
          </w:tcPr>
          <w:p w:rsidR="00DF1A33" w:rsidRDefault="00456F01">
            <w:pPr>
              <w:tabs>
                <w:tab w:val="num" w:pos="425"/>
              </w:tabs>
              <w:jc w:val="center"/>
              <w:rPr>
                <w:noProof/>
              </w:rPr>
            </w:pPr>
            <w:r>
              <w:rPr>
                <w:noProof/>
              </w:rPr>
              <w:t>Recurrent</w:t>
            </w:r>
          </w:p>
        </w:tc>
        <w:tc>
          <w:tcPr>
            <w:tcW w:w="1586" w:type="dxa"/>
            <w:tcBorders>
              <w:bottom w:val="double" w:sz="4" w:space="0" w:color="auto"/>
            </w:tcBorders>
            <w:tcMar>
              <w:top w:w="57" w:type="dxa"/>
              <w:left w:w="57" w:type="dxa"/>
              <w:bottom w:w="57" w:type="dxa"/>
              <w:right w:w="57" w:type="dxa"/>
            </w:tcMar>
          </w:tcPr>
          <w:p w:rsidR="00DF1A33" w:rsidRDefault="00456F01">
            <w:pPr>
              <w:tabs>
                <w:tab w:val="num" w:pos="425"/>
              </w:tabs>
              <w:jc w:val="center"/>
              <w:rPr>
                <w:noProof/>
              </w:rPr>
            </w:pPr>
            <w:r>
              <w:rPr>
                <w:noProof/>
              </w:rPr>
              <w:t>One-off</w:t>
            </w:r>
          </w:p>
        </w:tc>
        <w:tc>
          <w:tcPr>
            <w:tcW w:w="1814" w:type="dxa"/>
            <w:tcBorders>
              <w:bottom w:val="double" w:sz="4" w:space="0" w:color="auto"/>
            </w:tcBorders>
            <w:tcMar>
              <w:top w:w="57" w:type="dxa"/>
              <w:left w:w="57" w:type="dxa"/>
              <w:bottom w:w="57" w:type="dxa"/>
              <w:right w:w="57" w:type="dxa"/>
            </w:tcMar>
          </w:tcPr>
          <w:p w:rsidR="00DF1A33" w:rsidRDefault="00456F01">
            <w:pPr>
              <w:tabs>
                <w:tab w:val="num" w:pos="425"/>
              </w:tabs>
              <w:jc w:val="center"/>
              <w:rPr>
                <w:noProof/>
              </w:rPr>
            </w:pPr>
            <w:r>
              <w:rPr>
                <w:noProof/>
              </w:rPr>
              <w:t>Recurrent</w:t>
            </w:r>
          </w:p>
        </w:tc>
      </w:tr>
      <w:tr w:rsidR="00DF1A33">
        <w:trPr>
          <w:trHeight w:val="307"/>
        </w:trPr>
        <w:tc>
          <w:tcPr>
            <w:tcW w:w="1276" w:type="dxa"/>
            <w:vMerge w:val="restart"/>
            <w:tcMar>
              <w:top w:w="57" w:type="dxa"/>
              <w:left w:w="57" w:type="dxa"/>
              <w:bottom w:w="57" w:type="dxa"/>
              <w:right w:w="57" w:type="dxa"/>
            </w:tcMar>
            <w:vAlign w:val="center"/>
          </w:tcPr>
          <w:p w:rsidR="00DF1A33" w:rsidRDefault="00456F01">
            <w:pPr>
              <w:tabs>
                <w:tab w:val="num" w:pos="425"/>
              </w:tabs>
              <w:rPr>
                <w:noProof/>
              </w:rPr>
            </w:pPr>
            <w:r>
              <w:rPr>
                <w:b/>
                <w:noProof/>
              </w:rPr>
              <w:t>Dynamic data/APIs</w:t>
            </w:r>
          </w:p>
        </w:tc>
        <w:tc>
          <w:tcPr>
            <w:tcW w:w="1256" w:type="dxa"/>
            <w:tcBorders>
              <w:right w:val="double" w:sz="4" w:space="0" w:color="auto"/>
            </w:tcBorders>
            <w:tcMar>
              <w:top w:w="57" w:type="dxa"/>
              <w:left w:w="57" w:type="dxa"/>
              <w:bottom w:w="57" w:type="dxa"/>
              <w:right w:w="57" w:type="dxa"/>
            </w:tcMar>
            <w:vAlign w:val="center"/>
          </w:tcPr>
          <w:p w:rsidR="00DF1A33" w:rsidRDefault="00456F01">
            <w:pPr>
              <w:tabs>
                <w:tab w:val="num" w:pos="425"/>
              </w:tabs>
              <w:rPr>
                <w:noProof/>
              </w:rPr>
            </w:pPr>
            <w:r>
              <w:rPr>
                <w:noProof/>
              </w:rPr>
              <w:t>Direct costs</w:t>
            </w:r>
          </w:p>
        </w:tc>
        <w:tc>
          <w:tcPr>
            <w:tcW w:w="839" w:type="dxa"/>
            <w:tcBorders>
              <w:top w:val="single" w:sz="4" w:space="0" w:color="auto"/>
              <w:left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rPr>
            </w:pPr>
            <w:r>
              <w:rPr>
                <w:noProof/>
              </w:rPr>
              <w:t xml:space="preserve">No costs </w:t>
            </w:r>
          </w:p>
        </w:tc>
        <w:tc>
          <w:tcPr>
            <w:tcW w:w="978" w:type="dxa"/>
            <w:tcBorders>
              <w:top w:val="sing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rPr>
            </w:pPr>
            <w:r>
              <w:rPr>
                <w:noProof/>
              </w:rPr>
              <w:t>No costs</w:t>
            </w:r>
          </w:p>
        </w:tc>
        <w:tc>
          <w:tcPr>
            <w:tcW w:w="839" w:type="dxa"/>
            <w:tcBorders>
              <w:top w:val="sing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rPr>
            </w:pPr>
            <w:r>
              <w:rPr>
                <w:noProof/>
              </w:rPr>
              <w:t>No costs</w:t>
            </w:r>
          </w:p>
        </w:tc>
        <w:tc>
          <w:tcPr>
            <w:tcW w:w="927" w:type="dxa"/>
            <w:tcBorders>
              <w:top w:val="sing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rPr>
            </w:pPr>
            <w:r>
              <w:rPr>
                <w:noProof/>
              </w:rPr>
              <w:t>No costs</w:t>
            </w:r>
          </w:p>
        </w:tc>
        <w:tc>
          <w:tcPr>
            <w:tcW w:w="1586" w:type="dxa"/>
            <w:tcMar>
              <w:top w:w="57" w:type="dxa"/>
              <w:left w:w="57" w:type="dxa"/>
              <w:bottom w:w="57" w:type="dxa"/>
              <w:right w:w="57" w:type="dxa"/>
            </w:tcMar>
          </w:tcPr>
          <w:p w:rsidR="00DF1A33" w:rsidRDefault="00456F01">
            <w:pPr>
              <w:tabs>
                <w:tab w:val="num" w:pos="425"/>
              </w:tabs>
              <w:rPr>
                <w:noProof/>
                <w:lang w:val="fr-FR"/>
              </w:rPr>
            </w:pPr>
            <w:r>
              <w:rPr>
                <w:noProof/>
                <w:lang w:val="fr-FR"/>
              </w:rPr>
              <w:t>Approx. 50,000 EUR (per organisation / application)</w:t>
            </w:r>
            <w:r>
              <w:rPr>
                <w:rStyle w:val="FootnoteReference"/>
                <w:noProof/>
              </w:rPr>
              <w:footnoteReference w:id="194"/>
            </w:r>
          </w:p>
        </w:tc>
        <w:tc>
          <w:tcPr>
            <w:tcW w:w="1814" w:type="dxa"/>
            <w:tcMar>
              <w:top w:w="57" w:type="dxa"/>
              <w:left w:w="57" w:type="dxa"/>
              <w:bottom w:w="57" w:type="dxa"/>
              <w:right w:w="57" w:type="dxa"/>
            </w:tcMar>
          </w:tcPr>
          <w:p w:rsidR="00DF1A33" w:rsidRDefault="00456F01">
            <w:pPr>
              <w:tabs>
                <w:tab w:val="num" w:pos="425"/>
              </w:tabs>
              <w:rPr>
                <w:noProof/>
              </w:rPr>
            </w:pPr>
            <w:r>
              <w:rPr>
                <w:noProof/>
              </w:rPr>
              <w:t>Max. 56 million EUR (for all EU Member States per year) for the 14 key high-value datasets</w:t>
            </w:r>
            <w:r>
              <w:rPr>
                <w:rStyle w:val="FootnoteReference"/>
                <w:noProof/>
              </w:rPr>
              <w:footnoteReference w:id="195"/>
            </w:r>
            <w:r>
              <w:rPr>
                <w:noProof/>
              </w:rPr>
              <w:t xml:space="preserve"> </w:t>
            </w:r>
          </w:p>
        </w:tc>
      </w:tr>
      <w:tr w:rsidR="00DF1A33">
        <w:tc>
          <w:tcPr>
            <w:tcW w:w="1276" w:type="dxa"/>
            <w:vMerge/>
            <w:tcMar>
              <w:top w:w="57" w:type="dxa"/>
              <w:left w:w="57" w:type="dxa"/>
              <w:bottom w:w="57" w:type="dxa"/>
              <w:right w:w="57" w:type="dxa"/>
            </w:tcMar>
          </w:tcPr>
          <w:p w:rsidR="00DF1A33" w:rsidRDefault="00DF1A33">
            <w:pPr>
              <w:tabs>
                <w:tab w:val="num" w:pos="425"/>
              </w:tabs>
              <w:rPr>
                <w:noProof/>
              </w:rPr>
            </w:pPr>
          </w:p>
        </w:tc>
        <w:tc>
          <w:tcPr>
            <w:tcW w:w="1256" w:type="dxa"/>
            <w:tcBorders>
              <w:right w:val="double" w:sz="4" w:space="0" w:color="auto"/>
            </w:tcBorders>
            <w:tcMar>
              <w:top w:w="57" w:type="dxa"/>
              <w:left w:w="57" w:type="dxa"/>
              <w:bottom w:w="57" w:type="dxa"/>
              <w:right w:w="57" w:type="dxa"/>
            </w:tcMar>
          </w:tcPr>
          <w:p w:rsidR="00DF1A33" w:rsidRDefault="00456F01">
            <w:pPr>
              <w:tabs>
                <w:tab w:val="num" w:pos="425"/>
              </w:tabs>
              <w:rPr>
                <w:noProof/>
              </w:rPr>
            </w:pPr>
            <w:r>
              <w:rPr>
                <w:noProof/>
              </w:rPr>
              <w:t>Indirect costs</w:t>
            </w:r>
          </w:p>
        </w:tc>
        <w:tc>
          <w:tcPr>
            <w:tcW w:w="839" w:type="dxa"/>
            <w:tcBorders>
              <w:left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rPr>
            </w:pPr>
            <w:r>
              <w:rPr>
                <w:noProof/>
              </w:rPr>
              <w:t xml:space="preserve">No </w:t>
            </w:r>
            <w:r>
              <w:rPr>
                <w:noProof/>
              </w:rPr>
              <w:t>costs</w:t>
            </w:r>
          </w:p>
        </w:tc>
        <w:tc>
          <w:tcPr>
            <w:tcW w:w="978" w:type="dxa"/>
            <w:shd w:val="clear" w:color="auto" w:fill="D9D9D9" w:themeFill="background1" w:themeFillShade="D9"/>
            <w:tcMar>
              <w:top w:w="57" w:type="dxa"/>
              <w:left w:w="57" w:type="dxa"/>
              <w:bottom w:w="57" w:type="dxa"/>
              <w:right w:w="57" w:type="dxa"/>
            </w:tcMar>
          </w:tcPr>
          <w:p w:rsidR="00DF1A33" w:rsidRDefault="00456F01">
            <w:pPr>
              <w:tabs>
                <w:tab w:val="num" w:pos="425"/>
              </w:tabs>
              <w:rPr>
                <w:noProof/>
              </w:rPr>
            </w:pPr>
            <w:r>
              <w:rPr>
                <w:noProof/>
              </w:rPr>
              <w:t>No costs</w:t>
            </w:r>
          </w:p>
        </w:tc>
        <w:tc>
          <w:tcPr>
            <w:tcW w:w="839" w:type="dxa"/>
            <w:shd w:val="clear" w:color="auto" w:fill="D9D9D9" w:themeFill="background1" w:themeFillShade="D9"/>
            <w:tcMar>
              <w:top w:w="57" w:type="dxa"/>
              <w:left w:w="57" w:type="dxa"/>
              <w:bottom w:w="57" w:type="dxa"/>
              <w:right w:w="57" w:type="dxa"/>
            </w:tcMar>
          </w:tcPr>
          <w:p w:rsidR="00DF1A33" w:rsidRDefault="00456F01">
            <w:pPr>
              <w:tabs>
                <w:tab w:val="num" w:pos="425"/>
              </w:tabs>
              <w:rPr>
                <w:noProof/>
              </w:rPr>
            </w:pPr>
            <w:r>
              <w:rPr>
                <w:noProof/>
              </w:rPr>
              <w:t>No costs</w:t>
            </w:r>
          </w:p>
        </w:tc>
        <w:tc>
          <w:tcPr>
            <w:tcW w:w="927" w:type="dxa"/>
            <w:shd w:val="clear" w:color="auto" w:fill="D9D9D9" w:themeFill="background1" w:themeFillShade="D9"/>
            <w:tcMar>
              <w:top w:w="57" w:type="dxa"/>
              <w:left w:w="57" w:type="dxa"/>
              <w:bottom w:w="57" w:type="dxa"/>
              <w:right w:w="57" w:type="dxa"/>
            </w:tcMar>
          </w:tcPr>
          <w:p w:rsidR="00DF1A33" w:rsidRDefault="00456F01">
            <w:pPr>
              <w:tabs>
                <w:tab w:val="num" w:pos="425"/>
              </w:tabs>
              <w:rPr>
                <w:noProof/>
              </w:rPr>
            </w:pPr>
            <w:r>
              <w:rPr>
                <w:noProof/>
              </w:rPr>
              <w:t>No costs</w:t>
            </w:r>
          </w:p>
        </w:tc>
        <w:tc>
          <w:tcPr>
            <w:tcW w:w="1586" w:type="dxa"/>
            <w:tcMar>
              <w:top w:w="57" w:type="dxa"/>
              <w:left w:w="57" w:type="dxa"/>
              <w:bottom w:w="57" w:type="dxa"/>
              <w:right w:w="57" w:type="dxa"/>
            </w:tcMar>
          </w:tcPr>
          <w:p w:rsidR="00DF1A33" w:rsidRDefault="00456F01">
            <w:pPr>
              <w:tabs>
                <w:tab w:val="num" w:pos="425"/>
              </w:tabs>
              <w:rPr>
                <w:noProof/>
              </w:rPr>
            </w:pPr>
            <w:r>
              <w:rPr>
                <w:noProof/>
              </w:rPr>
              <w:t>Training costs for public sector officials: Up to 300,000 EUR per Member State</w:t>
            </w:r>
          </w:p>
        </w:tc>
        <w:tc>
          <w:tcPr>
            <w:tcW w:w="1814" w:type="dxa"/>
            <w:tcMar>
              <w:top w:w="57" w:type="dxa"/>
              <w:left w:w="57" w:type="dxa"/>
              <w:bottom w:w="57" w:type="dxa"/>
              <w:right w:w="57" w:type="dxa"/>
            </w:tcMar>
          </w:tcPr>
          <w:p w:rsidR="00DF1A33" w:rsidRDefault="00DF1A33">
            <w:pPr>
              <w:tabs>
                <w:tab w:val="num" w:pos="425"/>
              </w:tabs>
              <w:rPr>
                <w:noProof/>
              </w:rPr>
            </w:pPr>
          </w:p>
        </w:tc>
      </w:tr>
      <w:tr w:rsidR="00DF1A33">
        <w:tc>
          <w:tcPr>
            <w:tcW w:w="1276" w:type="dxa"/>
            <w:vMerge w:val="restart"/>
            <w:tcBorders>
              <w:top w:val="double" w:sz="4" w:space="0" w:color="auto"/>
            </w:tcBorders>
            <w:tcMar>
              <w:top w:w="57" w:type="dxa"/>
              <w:left w:w="57" w:type="dxa"/>
              <w:bottom w:w="57" w:type="dxa"/>
              <w:right w:w="57" w:type="dxa"/>
            </w:tcMar>
            <w:vAlign w:val="center"/>
          </w:tcPr>
          <w:p w:rsidR="00DF1A33" w:rsidRDefault="00456F01">
            <w:pPr>
              <w:tabs>
                <w:tab w:val="num" w:pos="425"/>
              </w:tabs>
              <w:jc w:val="center"/>
              <w:rPr>
                <w:b/>
                <w:noProof/>
              </w:rPr>
            </w:pPr>
            <w:r>
              <w:rPr>
                <w:b/>
                <w:noProof/>
              </w:rPr>
              <w:t>Charging</w:t>
            </w:r>
          </w:p>
        </w:tc>
        <w:tc>
          <w:tcPr>
            <w:tcW w:w="1256" w:type="dxa"/>
            <w:tcBorders>
              <w:top w:val="double" w:sz="4" w:space="0" w:color="auto"/>
              <w:right w:val="double" w:sz="4" w:space="0" w:color="auto"/>
            </w:tcBorders>
            <w:tcMar>
              <w:top w:w="57" w:type="dxa"/>
              <w:left w:w="57" w:type="dxa"/>
              <w:bottom w:w="57" w:type="dxa"/>
              <w:right w:w="57" w:type="dxa"/>
            </w:tcMar>
            <w:vAlign w:val="center"/>
          </w:tcPr>
          <w:p w:rsidR="00DF1A33" w:rsidRDefault="00456F01">
            <w:pPr>
              <w:tabs>
                <w:tab w:val="num" w:pos="425"/>
              </w:tabs>
              <w:rPr>
                <w:noProof/>
              </w:rPr>
            </w:pPr>
            <w:r>
              <w:rPr>
                <w:noProof/>
              </w:rPr>
              <w:t>Direct costs</w:t>
            </w:r>
          </w:p>
        </w:tc>
        <w:tc>
          <w:tcPr>
            <w:tcW w:w="839" w:type="dxa"/>
            <w:tcBorders>
              <w:top w:val="double" w:sz="4" w:space="0" w:color="auto"/>
              <w:left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978" w:type="dxa"/>
            <w:tcBorders>
              <w:top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839" w:type="dxa"/>
            <w:tcBorders>
              <w:top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927" w:type="dxa"/>
            <w:tcBorders>
              <w:top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1586" w:type="dxa"/>
            <w:tcBorders>
              <w:top w:val="double" w:sz="4" w:space="0" w:color="auto"/>
            </w:tcBorders>
            <w:tcMar>
              <w:top w:w="57" w:type="dxa"/>
              <w:left w:w="57" w:type="dxa"/>
              <w:bottom w:w="57" w:type="dxa"/>
              <w:right w:w="57" w:type="dxa"/>
            </w:tcMar>
          </w:tcPr>
          <w:p w:rsidR="00DF1A33" w:rsidRDefault="00DF1A33">
            <w:pPr>
              <w:tabs>
                <w:tab w:val="num" w:pos="425"/>
              </w:tabs>
              <w:rPr>
                <w:noProof/>
              </w:rPr>
            </w:pPr>
          </w:p>
        </w:tc>
        <w:tc>
          <w:tcPr>
            <w:tcW w:w="1814" w:type="dxa"/>
            <w:tcBorders>
              <w:top w:val="double" w:sz="4" w:space="0" w:color="auto"/>
            </w:tcBorders>
            <w:tcMar>
              <w:top w:w="57" w:type="dxa"/>
              <w:left w:w="57" w:type="dxa"/>
              <w:bottom w:w="57" w:type="dxa"/>
              <w:right w:w="57" w:type="dxa"/>
            </w:tcMar>
          </w:tcPr>
          <w:p w:rsidR="00DF1A33" w:rsidRDefault="00DF1A33">
            <w:pPr>
              <w:tabs>
                <w:tab w:val="num" w:pos="425"/>
              </w:tabs>
              <w:rPr>
                <w:noProof/>
              </w:rPr>
            </w:pPr>
          </w:p>
        </w:tc>
      </w:tr>
      <w:tr w:rsidR="00DF1A33">
        <w:tc>
          <w:tcPr>
            <w:tcW w:w="1276" w:type="dxa"/>
            <w:vMerge/>
            <w:tcMar>
              <w:top w:w="57" w:type="dxa"/>
              <w:left w:w="57" w:type="dxa"/>
              <w:bottom w:w="57" w:type="dxa"/>
              <w:right w:w="57" w:type="dxa"/>
            </w:tcMar>
          </w:tcPr>
          <w:p w:rsidR="00DF1A33" w:rsidRDefault="00DF1A33">
            <w:pPr>
              <w:tabs>
                <w:tab w:val="num" w:pos="425"/>
              </w:tabs>
              <w:rPr>
                <w:noProof/>
              </w:rPr>
            </w:pPr>
          </w:p>
        </w:tc>
        <w:tc>
          <w:tcPr>
            <w:tcW w:w="1256" w:type="dxa"/>
            <w:tcBorders>
              <w:right w:val="double" w:sz="4" w:space="0" w:color="auto"/>
            </w:tcBorders>
            <w:tcMar>
              <w:top w:w="57" w:type="dxa"/>
              <w:left w:w="57" w:type="dxa"/>
              <w:bottom w:w="57" w:type="dxa"/>
              <w:right w:w="57" w:type="dxa"/>
            </w:tcMar>
          </w:tcPr>
          <w:p w:rsidR="00DF1A33" w:rsidRDefault="00456F01">
            <w:pPr>
              <w:tabs>
                <w:tab w:val="num" w:pos="425"/>
              </w:tabs>
              <w:rPr>
                <w:noProof/>
              </w:rPr>
            </w:pPr>
            <w:r>
              <w:rPr>
                <w:noProof/>
              </w:rPr>
              <w:t>Indirect costs</w:t>
            </w:r>
          </w:p>
        </w:tc>
        <w:tc>
          <w:tcPr>
            <w:tcW w:w="839" w:type="dxa"/>
            <w:tcBorders>
              <w:left w:val="double" w:sz="4" w:space="0" w:color="auto"/>
              <w:bottom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978" w:type="dxa"/>
            <w:tcBorders>
              <w:bottom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839" w:type="dxa"/>
            <w:tcBorders>
              <w:bottom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927" w:type="dxa"/>
            <w:tcBorders>
              <w:bottom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1586" w:type="dxa"/>
            <w:tcMar>
              <w:top w:w="57" w:type="dxa"/>
              <w:left w:w="57" w:type="dxa"/>
              <w:bottom w:w="57" w:type="dxa"/>
              <w:right w:w="57" w:type="dxa"/>
            </w:tcMar>
          </w:tcPr>
          <w:p w:rsidR="00DF1A33" w:rsidRDefault="00DF1A33">
            <w:pPr>
              <w:tabs>
                <w:tab w:val="num" w:pos="425"/>
              </w:tabs>
              <w:rPr>
                <w:noProof/>
              </w:rPr>
            </w:pPr>
          </w:p>
        </w:tc>
        <w:tc>
          <w:tcPr>
            <w:tcW w:w="1814" w:type="dxa"/>
            <w:tcMar>
              <w:top w:w="57" w:type="dxa"/>
              <w:left w:w="57" w:type="dxa"/>
              <w:bottom w:w="57" w:type="dxa"/>
              <w:right w:w="57" w:type="dxa"/>
            </w:tcMar>
          </w:tcPr>
          <w:p w:rsidR="00DF1A33" w:rsidRDefault="00456F01">
            <w:pPr>
              <w:tabs>
                <w:tab w:val="num" w:pos="425"/>
              </w:tabs>
              <w:rPr>
                <w:noProof/>
              </w:rPr>
            </w:pPr>
            <w:r>
              <w:rPr>
                <w:noProof/>
              </w:rPr>
              <w:t>Approx. 150 million EUR (for</w:t>
            </w:r>
            <w:r>
              <w:rPr>
                <w:noProof/>
              </w:rPr>
              <w:t xml:space="preserve"> all EU Member States per year)</w:t>
            </w:r>
            <w:r>
              <w:rPr>
                <w:rStyle w:val="FootnoteReference"/>
                <w:noProof/>
              </w:rPr>
              <w:footnoteReference w:id="196"/>
            </w:r>
          </w:p>
        </w:tc>
      </w:tr>
      <w:tr w:rsidR="00DF1A33">
        <w:tc>
          <w:tcPr>
            <w:tcW w:w="1276" w:type="dxa"/>
            <w:vMerge w:val="restart"/>
            <w:tcBorders>
              <w:top w:val="double" w:sz="4" w:space="0" w:color="auto"/>
            </w:tcBorders>
            <w:tcMar>
              <w:top w:w="57" w:type="dxa"/>
              <w:left w:w="57" w:type="dxa"/>
              <w:bottom w:w="57" w:type="dxa"/>
              <w:right w:w="57" w:type="dxa"/>
            </w:tcMar>
          </w:tcPr>
          <w:p w:rsidR="00DF1A33" w:rsidRDefault="00456F01">
            <w:pPr>
              <w:tabs>
                <w:tab w:val="num" w:pos="425"/>
              </w:tabs>
              <w:rPr>
                <w:b/>
                <w:noProof/>
              </w:rPr>
            </w:pPr>
            <w:r>
              <w:rPr>
                <w:b/>
                <w:noProof/>
              </w:rPr>
              <w:t xml:space="preserve">Data from public undertakings in transport and utilities sector  </w:t>
            </w:r>
          </w:p>
        </w:tc>
        <w:tc>
          <w:tcPr>
            <w:tcW w:w="1256" w:type="dxa"/>
            <w:tcBorders>
              <w:top w:val="double" w:sz="4" w:space="0" w:color="auto"/>
              <w:right w:val="double" w:sz="4" w:space="0" w:color="auto"/>
            </w:tcBorders>
            <w:tcMar>
              <w:top w:w="57" w:type="dxa"/>
              <w:left w:w="57" w:type="dxa"/>
              <w:bottom w:w="57" w:type="dxa"/>
              <w:right w:w="57" w:type="dxa"/>
            </w:tcMar>
            <w:vAlign w:val="center"/>
          </w:tcPr>
          <w:p w:rsidR="00DF1A33" w:rsidRDefault="00456F01">
            <w:pPr>
              <w:tabs>
                <w:tab w:val="num" w:pos="425"/>
              </w:tabs>
              <w:rPr>
                <w:noProof/>
              </w:rPr>
            </w:pPr>
            <w:r>
              <w:rPr>
                <w:noProof/>
              </w:rPr>
              <w:t>Direct costs</w:t>
            </w:r>
          </w:p>
        </w:tc>
        <w:tc>
          <w:tcPr>
            <w:tcW w:w="839" w:type="dxa"/>
            <w:tcBorders>
              <w:top w:val="double" w:sz="4" w:space="0" w:color="auto"/>
              <w:left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978" w:type="dxa"/>
            <w:tcBorders>
              <w:top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839" w:type="dxa"/>
            <w:tcBorders>
              <w:top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927" w:type="dxa"/>
            <w:tcBorders>
              <w:top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1586" w:type="dxa"/>
            <w:tcBorders>
              <w:top w:val="double" w:sz="4" w:space="0" w:color="auto"/>
            </w:tcBorders>
            <w:tcMar>
              <w:top w:w="57" w:type="dxa"/>
              <w:left w:w="57" w:type="dxa"/>
              <w:bottom w:w="57" w:type="dxa"/>
              <w:right w:w="57" w:type="dxa"/>
            </w:tcMar>
          </w:tcPr>
          <w:p w:rsidR="00DF1A33" w:rsidRDefault="00DF1A33">
            <w:pPr>
              <w:tabs>
                <w:tab w:val="num" w:pos="425"/>
              </w:tabs>
              <w:rPr>
                <w:noProof/>
              </w:rPr>
            </w:pPr>
          </w:p>
        </w:tc>
        <w:tc>
          <w:tcPr>
            <w:tcW w:w="1814" w:type="dxa"/>
            <w:tcBorders>
              <w:top w:val="double" w:sz="4" w:space="0" w:color="auto"/>
            </w:tcBorders>
            <w:tcMar>
              <w:top w:w="57" w:type="dxa"/>
              <w:left w:w="57" w:type="dxa"/>
              <w:bottom w:w="57" w:type="dxa"/>
              <w:right w:w="57" w:type="dxa"/>
            </w:tcMar>
          </w:tcPr>
          <w:p w:rsidR="00DF1A33" w:rsidRDefault="00456F01">
            <w:pPr>
              <w:tabs>
                <w:tab w:val="num" w:pos="425"/>
              </w:tabs>
              <w:rPr>
                <w:noProof/>
              </w:rPr>
            </w:pPr>
            <w:r>
              <w:rPr>
                <w:noProof/>
              </w:rPr>
              <w:t>Approx. 20,000 EUR per public undertaking per year</w:t>
            </w:r>
            <w:r>
              <w:rPr>
                <w:rStyle w:val="FootnoteReference"/>
                <w:noProof/>
              </w:rPr>
              <w:footnoteReference w:id="197"/>
            </w:r>
          </w:p>
        </w:tc>
      </w:tr>
      <w:tr w:rsidR="00DF1A33">
        <w:tc>
          <w:tcPr>
            <w:tcW w:w="1276" w:type="dxa"/>
            <w:vMerge/>
            <w:tcMar>
              <w:top w:w="57" w:type="dxa"/>
              <w:left w:w="57" w:type="dxa"/>
              <w:bottom w:w="57" w:type="dxa"/>
              <w:right w:w="57" w:type="dxa"/>
            </w:tcMar>
          </w:tcPr>
          <w:p w:rsidR="00DF1A33" w:rsidRDefault="00DF1A33">
            <w:pPr>
              <w:tabs>
                <w:tab w:val="num" w:pos="425"/>
              </w:tabs>
              <w:rPr>
                <w:noProof/>
              </w:rPr>
            </w:pPr>
          </w:p>
        </w:tc>
        <w:tc>
          <w:tcPr>
            <w:tcW w:w="1256" w:type="dxa"/>
            <w:tcBorders>
              <w:right w:val="double" w:sz="4" w:space="0" w:color="auto"/>
            </w:tcBorders>
            <w:tcMar>
              <w:top w:w="57" w:type="dxa"/>
              <w:left w:w="57" w:type="dxa"/>
              <w:bottom w:w="57" w:type="dxa"/>
              <w:right w:w="57" w:type="dxa"/>
            </w:tcMar>
          </w:tcPr>
          <w:p w:rsidR="00DF1A33" w:rsidRDefault="00456F01">
            <w:pPr>
              <w:tabs>
                <w:tab w:val="num" w:pos="425"/>
              </w:tabs>
              <w:rPr>
                <w:noProof/>
              </w:rPr>
            </w:pPr>
            <w:r>
              <w:rPr>
                <w:noProof/>
              </w:rPr>
              <w:t>Indirect costs</w:t>
            </w:r>
          </w:p>
        </w:tc>
        <w:tc>
          <w:tcPr>
            <w:tcW w:w="839" w:type="dxa"/>
            <w:tcBorders>
              <w:left w:val="double" w:sz="4" w:space="0" w:color="auto"/>
              <w:bottom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978" w:type="dxa"/>
            <w:tcBorders>
              <w:bottom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839" w:type="dxa"/>
            <w:tcBorders>
              <w:bottom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927" w:type="dxa"/>
            <w:tcBorders>
              <w:bottom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1586" w:type="dxa"/>
            <w:tcMar>
              <w:top w:w="57" w:type="dxa"/>
              <w:left w:w="57" w:type="dxa"/>
              <w:bottom w:w="57" w:type="dxa"/>
              <w:right w:w="57" w:type="dxa"/>
            </w:tcMar>
          </w:tcPr>
          <w:p w:rsidR="00DF1A33" w:rsidRDefault="00DF1A33">
            <w:pPr>
              <w:tabs>
                <w:tab w:val="num" w:pos="425"/>
              </w:tabs>
              <w:rPr>
                <w:noProof/>
              </w:rPr>
            </w:pPr>
          </w:p>
        </w:tc>
        <w:tc>
          <w:tcPr>
            <w:tcW w:w="1814" w:type="dxa"/>
            <w:tcMar>
              <w:top w:w="57" w:type="dxa"/>
              <w:left w:w="57" w:type="dxa"/>
              <w:bottom w:w="57" w:type="dxa"/>
              <w:right w:w="57" w:type="dxa"/>
            </w:tcMar>
          </w:tcPr>
          <w:p w:rsidR="00DF1A33" w:rsidRDefault="00DF1A33">
            <w:pPr>
              <w:tabs>
                <w:tab w:val="num" w:pos="425"/>
              </w:tabs>
              <w:rPr>
                <w:noProof/>
              </w:rPr>
            </w:pPr>
          </w:p>
        </w:tc>
      </w:tr>
      <w:tr w:rsidR="00DF1A33">
        <w:tc>
          <w:tcPr>
            <w:tcW w:w="1276" w:type="dxa"/>
            <w:vMerge w:val="restart"/>
            <w:tcBorders>
              <w:top w:val="double" w:sz="4" w:space="0" w:color="auto"/>
            </w:tcBorders>
            <w:tcMar>
              <w:top w:w="57" w:type="dxa"/>
              <w:left w:w="57" w:type="dxa"/>
              <w:bottom w:w="57" w:type="dxa"/>
              <w:right w:w="57" w:type="dxa"/>
            </w:tcMar>
            <w:vAlign w:val="center"/>
          </w:tcPr>
          <w:p w:rsidR="00DF1A33" w:rsidRDefault="00456F01">
            <w:pPr>
              <w:tabs>
                <w:tab w:val="num" w:pos="425"/>
              </w:tabs>
              <w:jc w:val="center"/>
              <w:rPr>
                <w:b/>
                <w:noProof/>
              </w:rPr>
            </w:pPr>
            <w:r>
              <w:rPr>
                <w:b/>
                <w:noProof/>
              </w:rPr>
              <w:t>Research data</w:t>
            </w:r>
          </w:p>
        </w:tc>
        <w:tc>
          <w:tcPr>
            <w:tcW w:w="1256" w:type="dxa"/>
            <w:tcBorders>
              <w:top w:val="double" w:sz="4" w:space="0" w:color="auto"/>
              <w:right w:val="double" w:sz="4" w:space="0" w:color="auto"/>
            </w:tcBorders>
            <w:tcMar>
              <w:top w:w="57" w:type="dxa"/>
              <w:left w:w="57" w:type="dxa"/>
              <w:bottom w:w="57" w:type="dxa"/>
              <w:right w:w="57" w:type="dxa"/>
            </w:tcMar>
            <w:vAlign w:val="center"/>
          </w:tcPr>
          <w:p w:rsidR="00DF1A33" w:rsidRDefault="00456F01">
            <w:pPr>
              <w:tabs>
                <w:tab w:val="num" w:pos="425"/>
              </w:tabs>
              <w:rPr>
                <w:noProof/>
              </w:rPr>
            </w:pPr>
            <w:r>
              <w:rPr>
                <w:noProof/>
              </w:rPr>
              <w:t>Direct costs</w:t>
            </w:r>
          </w:p>
        </w:tc>
        <w:tc>
          <w:tcPr>
            <w:tcW w:w="839" w:type="dxa"/>
            <w:tcBorders>
              <w:top w:val="double" w:sz="4" w:space="0" w:color="auto"/>
              <w:left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978" w:type="dxa"/>
            <w:tcBorders>
              <w:top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839" w:type="dxa"/>
            <w:tcBorders>
              <w:top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927" w:type="dxa"/>
            <w:tcBorders>
              <w:top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1586" w:type="dxa"/>
            <w:tcBorders>
              <w:top w:val="double" w:sz="4" w:space="0" w:color="auto"/>
            </w:tcBorders>
            <w:tcMar>
              <w:top w:w="57" w:type="dxa"/>
              <w:left w:w="57" w:type="dxa"/>
              <w:bottom w:w="57" w:type="dxa"/>
              <w:right w:w="57" w:type="dxa"/>
            </w:tcMar>
          </w:tcPr>
          <w:p w:rsidR="00DF1A33" w:rsidRDefault="00DF1A33">
            <w:pPr>
              <w:tabs>
                <w:tab w:val="num" w:pos="425"/>
              </w:tabs>
              <w:rPr>
                <w:noProof/>
              </w:rPr>
            </w:pPr>
          </w:p>
        </w:tc>
        <w:tc>
          <w:tcPr>
            <w:tcW w:w="1814" w:type="dxa"/>
            <w:tcBorders>
              <w:top w:val="double" w:sz="4" w:space="0" w:color="auto"/>
            </w:tcBorders>
            <w:tcMar>
              <w:top w:w="57" w:type="dxa"/>
              <w:left w:w="57" w:type="dxa"/>
              <w:bottom w:w="57" w:type="dxa"/>
              <w:right w:w="57" w:type="dxa"/>
            </w:tcMar>
          </w:tcPr>
          <w:p w:rsidR="00DF1A33" w:rsidRDefault="00456F01">
            <w:pPr>
              <w:tabs>
                <w:tab w:val="num" w:pos="425"/>
              </w:tabs>
              <w:rPr>
                <w:noProof/>
              </w:rPr>
            </w:pPr>
            <w:r>
              <w:rPr>
                <w:noProof/>
              </w:rPr>
              <w:t xml:space="preserve">Approx. 10,000 EUR administrative and legal cost (licencing issues, checking third party rights etc.) per open science repository, i.e. 15 million EUR for all Member States per year </w:t>
            </w:r>
            <w:r>
              <w:rPr>
                <w:rStyle w:val="FootnoteReference"/>
                <w:noProof/>
              </w:rPr>
              <w:footnoteReference w:id="198"/>
            </w:r>
          </w:p>
        </w:tc>
      </w:tr>
      <w:tr w:rsidR="00DF1A33">
        <w:tc>
          <w:tcPr>
            <w:tcW w:w="1276" w:type="dxa"/>
            <w:vMerge/>
            <w:tcMar>
              <w:top w:w="57" w:type="dxa"/>
              <w:left w:w="57" w:type="dxa"/>
              <w:bottom w:w="57" w:type="dxa"/>
              <w:right w:w="57" w:type="dxa"/>
            </w:tcMar>
          </w:tcPr>
          <w:p w:rsidR="00DF1A33" w:rsidRDefault="00DF1A33">
            <w:pPr>
              <w:tabs>
                <w:tab w:val="num" w:pos="425"/>
              </w:tabs>
              <w:rPr>
                <w:noProof/>
              </w:rPr>
            </w:pPr>
          </w:p>
        </w:tc>
        <w:tc>
          <w:tcPr>
            <w:tcW w:w="1256" w:type="dxa"/>
            <w:tcBorders>
              <w:right w:val="double" w:sz="4" w:space="0" w:color="auto"/>
            </w:tcBorders>
            <w:tcMar>
              <w:top w:w="57" w:type="dxa"/>
              <w:left w:w="57" w:type="dxa"/>
              <w:bottom w:w="57" w:type="dxa"/>
              <w:right w:w="57" w:type="dxa"/>
            </w:tcMar>
          </w:tcPr>
          <w:p w:rsidR="00DF1A33" w:rsidRDefault="00456F01">
            <w:pPr>
              <w:tabs>
                <w:tab w:val="num" w:pos="425"/>
              </w:tabs>
              <w:rPr>
                <w:noProof/>
              </w:rPr>
            </w:pPr>
            <w:r>
              <w:rPr>
                <w:noProof/>
              </w:rPr>
              <w:t>Indirect costs</w:t>
            </w:r>
          </w:p>
        </w:tc>
        <w:tc>
          <w:tcPr>
            <w:tcW w:w="839" w:type="dxa"/>
            <w:tcBorders>
              <w:left w:val="double" w:sz="4" w:space="0" w:color="auto"/>
              <w:bottom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978" w:type="dxa"/>
            <w:tcBorders>
              <w:bottom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839" w:type="dxa"/>
            <w:tcBorders>
              <w:bottom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927" w:type="dxa"/>
            <w:tcBorders>
              <w:bottom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1586" w:type="dxa"/>
            <w:tcMar>
              <w:top w:w="57" w:type="dxa"/>
              <w:left w:w="57" w:type="dxa"/>
              <w:bottom w:w="57" w:type="dxa"/>
              <w:right w:w="57" w:type="dxa"/>
            </w:tcMar>
          </w:tcPr>
          <w:p w:rsidR="00DF1A33" w:rsidRDefault="00DF1A33">
            <w:pPr>
              <w:tabs>
                <w:tab w:val="num" w:pos="425"/>
              </w:tabs>
              <w:rPr>
                <w:noProof/>
              </w:rPr>
            </w:pPr>
          </w:p>
        </w:tc>
        <w:tc>
          <w:tcPr>
            <w:tcW w:w="1814" w:type="dxa"/>
            <w:tcMar>
              <w:top w:w="57" w:type="dxa"/>
              <w:left w:w="57" w:type="dxa"/>
              <w:bottom w:w="57" w:type="dxa"/>
              <w:right w:w="57" w:type="dxa"/>
            </w:tcMar>
          </w:tcPr>
          <w:p w:rsidR="00DF1A33" w:rsidRDefault="00DF1A33">
            <w:pPr>
              <w:tabs>
                <w:tab w:val="num" w:pos="425"/>
              </w:tabs>
              <w:rPr>
                <w:noProof/>
              </w:rPr>
            </w:pPr>
          </w:p>
        </w:tc>
      </w:tr>
      <w:tr w:rsidR="00DF1A33">
        <w:tc>
          <w:tcPr>
            <w:tcW w:w="1276" w:type="dxa"/>
            <w:vMerge w:val="restart"/>
            <w:tcBorders>
              <w:top w:val="double" w:sz="4" w:space="0" w:color="auto"/>
            </w:tcBorders>
            <w:tcMar>
              <w:top w:w="57" w:type="dxa"/>
              <w:left w:w="57" w:type="dxa"/>
              <w:bottom w:w="57" w:type="dxa"/>
              <w:right w:w="57" w:type="dxa"/>
            </w:tcMar>
            <w:vAlign w:val="center"/>
          </w:tcPr>
          <w:p w:rsidR="00DF1A33" w:rsidRDefault="00456F01">
            <w:pPr>
              <w:tabs>
                <w:tab w:val="num" w:pos="425"/>
              </w:tabs>
              <w:jc w:val="center"/>
              <w:rPr>
                <w:b/>
                <w:noProof/>
              </w:rPr>
            </w:pPr>
            <w:r>
              <w:rPr>
                <w:b/>
                <w:noProof/>
              </w:rPr>
              <w:t>Non-exclusivity</w:t>
            </w:r>
          </w:p>
        </w:tc>
        <w:tc>
          <w:tcPr>
            <w:tcW w:w="1256" w:type="dxa"/>
            <w:tcBorders>
              <w:top w:val="double" w:sz="4" w:space="0" w:color="auto"/>
              <w:right w:val="double" w:sz="4" w:space="0" w:color="auto"/>
            </w:tcBorders>
            <w:tcMar>
              <w:top w:w="57" w:type="dxa"/>
              <w:left w:w="57" w:type="dxa"/>
              <w:bottom w:w="57" w:type="dxa"/>
              <w:right w:w="57" w:type="dxa"/>
            </w:tcMar>
            <w:vAlign w:val="center"/>
          </w:tcPr>
          <w:p w:rsidR="00DF1A33" w:rsidRDefault="00456F01">
            <w:pPr>
              <w:tabs>
                <w:tab w:val="num" w:pos="425"/>
              </w:tabs>
              <w:rPr>
                <w:noProof/>
              </w:rPr>
            </w:pPr>
            <w:r>
              <w:rPr>
                <w:noProof/>
              </w:rPr>
              <w:t>Direct costs</w:t>
            </w:r>
          </w:p>
        </w:tc>
        <w:tc>
          <w:tcPr>
            <w:tcW w:w="839" w:type="dxa"/>
            <w:tcBorders>
              <w:top w:val="double" w:sz="4" w:space="0" w:color="auto"/>
              <w:left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978" w:type="dxa"/>
            <w:tcBorders>
              <w:top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839" w:type="dxa"/>
            <w:tcBorders>
              <w:top w:val="double" w:sz="4" w:space="0" w:color="auto"/>
              <w:bottom w:val="sing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927" w:type="dxa"/>
            <w:tcBorders>
              <w:top w:val="double" w:sz="4" w:space="0" w:color="auto"/>
              <w:bottom w:val="sing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1586" w:type="dxa"/>
            <w:tcBorders>
              <w:top w:val="double" w:sz="4" w:space="0" w:color="auto"/>
            </w:tcBorders>
            <w:tcMar>
              <w:top w:w="57" w:type="dxa"/>
              <w:left w:w="57" w:type="dxa"/>
              <w:bottom w:w="57" w:type="dxa"/>
              <w:right w:w="57" w:type="dxa"/>
            </w:tcMar>
          </w:tcPr>
          <w:p w:rsidR="00DF1A33" w:rsidRDefault="00DF1A33">
            <w:pPr>
              <w:tabs>
                <w:tab w:val="num" w:pos="425"/>
              </w:tabs>
              <w:rPr>
                <w:noProof/>
              </w:rPr>
            </w:pPr>
          </w:p>
        </w:tc>
        <w:tc>
          <w:tcPr>
            <w:tcW w:w="1814" w:type="dxa"/>
            <w:tcBorders>
              <w:top w:val="double" w:sz="4" w:space="0" w:color="auto"/>
            </w:tcBorders>
            <w:tcMar>
              <w:top w:w="57" w:type="dxa"/>
              <w:left w:w="57" w:type="dxa"/>
              <w:bottom w:w="57" w:type="dxa"/>
              <w:right w:w="57" w:type="dxa"/>
            </w:tcMar>
          </w:tcPr>
          <w:p w:rsidR="00DF1A33" w:rsidRDefault="00456F01">
            <w:pPr>
              <w:tabs>
                <w:tab w:val="num" w:pos="425"/>
              </w:tabs>
              <w:rPr>
                <w:noProof/>
              </w:rPr>
            </w:pPr>
            <w:r>
              <w:rPr>
                <w:noProof/>
              </w:rPr>
              <w:t>Max 4.5 million EUR (for all Member States per year)</w:t>
            </w:r>
            <w:r>
              <w:rPr>
                <w:rStyle w:val="FootnoteReference"/>
                <w:noProof/>
              </w:rPr>
              <w:footnoteReference w:id="199"/>
            </w:r>
            <w:r>
              <w:rPr>
                <w:noProof/>
              </w:rPr>
              <w:t xml:space="preserve"> </w:t>
            </w:r>
          </w:p>
        </w:tc>
      </w:tr>
      <w:tr w:rsidR="00DF1A33">
        <w:tc>
          <w:tcPr>
            <w:tcW w:w="1276" w:type="dxa"/>
            <w:vMerge/>
            <w:tcMar>
              <w:top w:w="57" w:type="dxa"/>
              <w:left w:w="57" w:type="dxa"/>
              <w:bottom w:w="57" w:type="dxa"/>
              <w:right w:w="57" w:type="dxa"/>
            </w:tcMar>
          </w:tcPr>
          <w:p w:rsidR="00DF1A33" w:rsidRDefault="00DF1A33">
            <w:pPr>
              <w:tabs>
                <w:tab w:val="num" w:pos="425"/>
              </w:tabs>
              <w:rPr>
                <w:noProof/>
              </w:rPr>
            </w:pPr>
          </w:p>
        </w:tc>
        <w:tc>
          <w:tcPr>
            <w:tcW w:w="1256" w:type="dxa"/>
            <w:tcBorders>
              <w:right w:val="double" w:sz="4" w:space="0" w:color="auto"/>
            </w:tcBorders>
            <w:tcMar>
              <w:top w:w="57" w:type="dxa"/>
              <w:left w:w="57" w:type="dxa"/>
              <w:bottom w:w="57" w:type="dxa"/>
              <w:right w:w="57" w:type="dxa"/>
            </w:tcMar>
          </w:tcPr>
          <w:p w:rsidR="00DF1A33" w:rsidRDefault="00456F01">
            <w:pPr>
              <w:tabs>
                <w:tab w:val="num" w:pos="425"/>
              </w:tabs>
              <w:rPr>
                <w:noProof/>
              </w:rPr>
            </w:pPr>
            <w:r>
              <w:rPr>
                <w:noProof/>
              </w:rPr>
              <w:t>Indirect costs</w:t>
            </w:r>
          </w:p>
        </w:tc>
        <w:tc>
          <w:tcPr>
            <w:tcW w:w="839" w:type="dxa"/>
            <w:tcBorders>
              <w:left w:val="double" w:sz="4" w:space="0" w:color="auto"/>
              <w:bottom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978" w:type="dxa"/>
            <w:tcBorders>
              <w:bottom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839" w:type="dxa"/>
            <w:tcBorders>
              <w:top w:val="single" w:sz="4" w:space="0" w:color="auto"/>
              <w:bottom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927" w:type="dxa"/>
            <w:tcBorders>
              <w:top w:val="single" w:sz="4" w:space="0" w:color="auto"/>
              <w:bottom w:val="double" w:sz="4" w:space="0" w:color="auto"/>
            </w:tcBorders>
            <w:shd w:val="clear" w:color="auto" w:fill="D9D9D9" w:themeFill="background1" w:themeFillShade="D9"/>
            <w:tcMar>
              <w:top w:w="57" w:type="dxa"/>
              <w:left w:w="57" w:type="dxa"/>
              <w:bottom w:w="57" w:type="dxa"/>
              <w:right w:w="57" w:type="dxa"/>
            </w:tcMar>
          </w:tcPr>
          <w:p w:rsidR="00DF1A33" w:rsidRDefault="00456F01">
            <w:pPr>
              <w:tabs>
                <w:tab w:val="num" w:pos="425"/>
              </w:tabs>
              <w:rPr>
                <w:noProof/>
                <w:highlight w:val="lightGray"/>
              </w:rPr>
            </w:pPr>
            <w:r>
              <w:rPr>
                <w:noProof/>
              </w:rPr>
              <w:t>No costs</w:t>
            </w:r>
          </w:p>
        </w:tc>
        <w:tc>
          <w:tcPr>
            <w:tcW w:w="1586" w:type="dxa"/>
            <w:tcMar>
              <w:top w:w="57" w:type="dxa"/>
              <w:left w:w="57" w:type="dxa"/>
              <w:bottom w:w="57" w:type="dxa"/>
              <w:right w:w="57" w:type="dxa"/>
            </w:tcMar>
          </w:tcPr>
          <w:p w:rsidR="00DF1A33" w:rsidRDefault="00DF1A33">
            <w:pPr>
              <w:tabs>
                <w:tab w:val="num" w:pos="425"/>
              </w:tabs>
              <w:rPr>
                <w:noProof/>
              </w:rPr>
            </w:pPr>
          </w:p>
        </w:tc>
        <w:tc>
          <w:tcPr>
            <w:tcW w:w="1814" w:type="dxa"/>
            <w:tcMar>
              <w:top w:w="57" w:type="dxa"/>
              <w:left w:w="57" w:type="dxa"/>
              <w:bottom w:w="57" w:type="dxa"/>
              <w:right w:w="57" w:type="dxa"/>
            </w:tcMar>
          </w:tcPr>
          <w:p w:rsidR="00DF1A33" w:rsidRDefault="00DF1A33">
            <w:pPr>
              <w:tabs>
                <w:tab w:val="num" w:pos="425"/>
              </w:tabs>
              <w:rPr>
                <w:noProof/>
              </w:rPr>
            </w:pPr>
          </w:p>
        </w:tc>
      </w:tr>
    </w:tbl>
    <w:p w:rsidR="00DF1A33" w:rsidRDefault="00DF1A33">
      <w:pPr>
        <w:keepNext/>
        <w:spacing w:line="240" w:lineRule="auto"/>
        <w:rPr>
          <w:rFonts w:ascii="Times New Roman" w:hAnsi="Times New Roman" w:cs="Times New Roman"/>
          <w:b/>
          <w:iCs/>
          <w:noProof/>
          <w:color w:val="4F81BD" w:themeColor="accent1"/>
          <w:sz w:val="18"/>
          <w:szCs w:val="18"/>
        </w:rPr>
      </w:pP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figures cited in the</w:t>
      </w:r>
      <w:r>
        <w:rPr>
          <w:rFonts w:ascii="Times New Roman" w:hAnsi="Times New Roman" w:cs="Times New Roman"/>
          <w:noProof/>
          <w:sz w:val="24"/>
          <w:szCs w:val="24"/>
          <w:lang w:val="en-US"/>
        </w:rPr>
        <w:t xml:space="preserve"> table illustrate the costs under the preferred option in relation to its specific elements for different types of stakeholders. They are, however, not based on the quantitative model developed as part of the Support study by Deloitte but rather exemplify </w:t>
      </w:r>
      <w:r>
        <w:rPr>
          <w:rFonts w:ascii="Times New Roman" w:hAnsi="Times New Roman" w:cs="Times New Roman"/>
          <w:noProof/>
          <w:sz w:val="24"/>
          <w:szCs w:val="24"/>
          <w:lang w:val="en-US"/>
        </w:rPr>
        <w:t>the overall costs estimated with the model and break them down into more specific aspects.</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overall methodology used by the study to estimate the baseline scenario, as well as the impacts of the policy options are provided in Annex 8.</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The underlying model is based on </w:t>
      </w:r>
      <w:r>
        <w:rPr>
          <w:rFonts w:ascii="Times New Roman" w:hAnsi="Times New Roman" w:cs="Times New Roman"/>
          <w:noProof/>
          <w:sz w:val="24"/>
          <w:szCs w:val="24"/>
        </w:rPr>
        <w:t>comprehensive data from public sources multiplied with assumptions based on data from primary and secondary sources in order to provide an obverall EU28 estimate (e.g. the economic value). Based on the Compound Annual Growt</w:t>
      </w:r>
      <w:r>
        <w:rPr>
          <w:rFonts w:ascii="Times New Roman" w:hAnsi="Times New Roman" w:cs="Times New Roman"/>
          <w:noProof/>
          <w:sz w:val="24"/>
          <w:szCs w:val="24"/>
        </w:rPr>
        <w:t>h Rate of the Eurostat data, as well as a specific S-curve growth model (i.e. either linear growth or curve modelling depending on theory and data), the data was the extrapolated until 2030. Specific assumptions have been used to break down the data by spe</w:t>
      </w:r>
      <w:r>
        <w:rPr>
          <w:rFonts w:ascii="Times New Roman" w:hAnsi="Times New Roman" w:cs="Times New Roman"/>
          <w:noProof/>
          <w:sz w:val="24"/>
          <w:szCs w:val="24"/>
        </w:rPr>
        <w:t>cific metrics, such as economic value by sector, or government revenue from PSI by level of government.</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The following graph depicts the individual contributions of the measures under the preferred policy option to the overall direct economic value. The dir</w:t>
      </w:r>
      <w:r>
        <w:rPr>
          <w:rFonts w:ascii="Times New Roman" w:hAnsi="Times New Roman" w:cs="Times New Roman"/>
          <w:noProof/>
          <w:sz w:val="24"/>
          <w:szCs w:val="24"/>
        </w:rPr>
        <w:t>ect economic value should be seen as illustrative representation of the individual estimates made in the support study. The dotted lines represent the individual economic value that each element of the Policy Package adds to the baseline scenario to achiev</w:t>
      </w:r>
      <w:r>
        <w:rPr>
          <w:rFonts w:ascii="Times New Roman" w:hAnsi="Times New Roman" w:cs="Times New Roman"/>
          <w:noProof/>
          <w:sz w:val="24"/>
          <w:szCs w:val="24"/>
        </w:rPr>
        <w:t>e the overall impact.</w:t>
      </w:r>
    </w:p>
    <w:p w:rsidR="00DF1A33" w:rsidRDefault="00456F01">
      <w:pPr>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35CEBF86" wp14:editId="579658B6">
            <wp:extent cx="5106799" cy="33039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10621" cy="3306390"/>
                    </a:xfrm>
                    <a:prstGeom prst="rect">
                      <a:avLst/>
                    </a:prstGeom>
                    <a:noFill/>
                  </pic:spPr>
                </pic:pic>
              </a:graphicData>
            </a:graphic>
          </wp:inline>
        </w:drawing>
      </w:r>
    </w:p>
    <w:p w:rsidR="00DF1A33" w:rsidRDefault="00456F01">
      <w:pPr>
        <w:rPr>
          <w:rFonts w:ascii="Times New Roman" w:hAnsi="Times New Roman" w:cs="Times New Roman"/>
          <w:b/>
          <w:noProof/>
          <w:sz w:val="18"/>
          <w:szCs w:val="18"/>
        </w:rPr>
      </w:pPr>
      <w:r>
        <w:rPr>
          <w:rFonts w:ascii="Times New Roman" w:hAnsi="Times New Roman" w:cs="Times New Roman"/>
          <w:b/>
          <w:noProof/>
          <w:sz w:val="18"/>
          <w:szCs w:val="18"/>
        </w:rPr>
        <w:t>Source: Impact Assessment Support Study, Deloitte, 2018</w:t>
      </w:r>
    </w:p>
    <w:p w:rsidR="00DF1A33" w:rsidRDefault="00456F01">
      <w:pPr>
        <w:rPr>
          <w:rFonts w:ascii="Times New Roman" w:hAnsi="Times New Roman" w:cs="Times New Roman"/>
          <w:noProof/>
          <w:sz w:val="24"/>
          <w:szCs w:val="24"/>
          <w:lang w:val="en-US"/>
        </w:rPr>
      </w:pPr>
      <w:r>
        <w:rPr>
          <w:rFonts w:ascii="Times New Roman" w:hAnsi="Times New Roman" w:cs="Times New Roman"/>
          <w:noProof/>
          <w:sz w:val="24"/>
          <w:szCs w:val="24"/>
          <w:lang w:val="en-US"/>
        </w:rPr>
        <w:t>The shares of contributions of the individual elements can be derived from the following table.</w:t>
      </w:r>
    </w:p>
    <w:tbl>
      <w:tblPr>
        <w:tblW w:w="85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0"/>
        <w:gridCol w:w="1948"/>
        <w:gridCol w:w="1984"/>
        <w:gridCol w:w="2749"/>
      </w:tblGrid>
      <w:tr w:rsidR="00DF1A33">
        <w:trPr>
          <w:trHeight w:val="285"/>
        </w:trPr>
        <w:tc>
          <w:tcPr>
            <w:tcW w:w="1880" w:type="dxa"/>
            <w:vMerge w:val="restart"/>
            <w:shd w:val="clear" w:color="auto" w:fill="auto"/>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i/>
                <w:iCs/>
                <w:noProof/>
                <w:color w:val="000000"/>
                <w:u w:val="single"/>
                <w:lang w:eastAsia="de-DE"/>
              </w:rPr>
              <w:t>Benefits:</w:t>
            </w:r>
            <w:r>
              <w:rPr>
                <w:rFonts w:ascii="Times New Roman" w:eastAsia="Times New Roman" w:hAnsi="Times New Roman" w:cs="Times New Roman"/>
                <w:i/>
                <w:iCs/>
                <w:noProof/>
                <w:color w:val="000000"/>
                <w:u w:val="single"/>
                <w:lang w:eastAsia="de-DE"/>
              </w:rPr>
              <w:br/>
            </w:r>
            <w:r>
              <w:rPr>
                <w:rFonts w:ascii="Times New Roman" w:eastAsia="Times New Roman" w:hAnsi="Times New Roman" w:cs="Times New Roman"/>
                <w:noProof/>
                <w:color w:val="000000"/>
                <w:lang w:eastAsia="de-DE"/>
              </w:rPr>
              <w:t>Share of contributions to benefits of intermediate policy option</w:t>
            </w:r>
          </w:p>
        </w:tc>
        <w:tc>
          <w:tcPr>
            <w:tcW w:w="1948" w:type="dxa"/>
            <w:shd w:val="clear" w:color="000000" w:fill="808080"/>
            <w:noWrap/>
            <w:vAlign w:val="center"/>
            <w:hideMark/>
          </w:tcPr>
          <w:p w:rsidR="00DF1A33" w:rsidRDefault="00456F01">
            <w:pPr>
              <w:spacing w:before="60" w:after="60" w:line="240" w:lineRule="auto"/>
              <w:rPr>
                <w:rFonts w:ascii="Times New Roman" w:eastAsia="Times New Roman" w:hAnsi="Times New Roman" w:cs="Times New Roman"/>
                <w:noProof/>
                <w:color w:val="FFFFFF"/>
                <w:lang w:eastAsia="de-DE"/>
              </w:rPr>
            </w:pPr>
            <w:r>
              <w:rPr>
                <w:rFonts w:ascii="Times New Roman" w:eastAsia="Times New Roman" w:hAnsi="Times New Roman" w:cs="Times New Roman"/>
                <w:noProof/>
                <w:color w:val="FFFFFF"/>
                <w:lang w:eastAsia="de-DE"/>
              </w:rPr>
              <w:t>Policy Options</w:t>
            </w:r>
          </w:p>
        </w:tc>
        <w:tc>
          <w:tcPr>
            <w:tcW w:w="1984" w:type="dxa"/>
            <w:shd w:val="clear" w:color="000000" w:fill="808080"/>
            <w:noWrap/>
            <w:vAlign w:val="bottom"/>
            <w:hideMark/>
          </w:tcPr>
          <w:p w:rsidR="00DF1A33" w:rsidRDefault="00456F01">
            <w:pPr>
              <w:spacing w:before="60" w:after="60" w:line="240" w:lineRule="auto"/>
              <w:rPr>
                <w:rFonts w:ascii="Times New Roman" w:eastAsia="Times New Roman" w:hAnsi="Times New Roman" w:cs="Times New Roman"/>
                <w:noProof/>
                <w:color w:val="FFFFFF"/>
                <w:lang w:eastAsia="de-DE"/>
              </w:rPr>
            </w:pPr>
            <w:r>
              <w:rPr>
                <w:rFonts w:ascii="Times New Roman" w:eastAsia="Times New Roman" w:hAnsi="Times New Roman" w:cs="Times New Roman"/>
                <w:noProof/>
                <w:color w:val="FFFFFF"/>
                <w:lang w:eastAsia="de-DE"/>
              </w:rPr>
              <w:t>PO1</w:t>
            </w:r>
          </w:p>
        </w:tc>
        <w:tc>
          <w:tcPr>
            <w:tcW w:w="2749" w:type="dxa"/>
            <w:shd w:val="clear" w:color="000000" w:fill="808080"/>
            <w:noWrap/>
            <w:vAlign w:val="bottom"/>
            <w:hideMark/>
          </w:tcPr>
          <w:p w:rsidR="00DF1A33" w:rsidRDefault="00456F01">
            <w:pPr>
              <w:spacing w:before="60" w:after="60" w:line="240" w:lineRule="auto"/>
              <w:rPr>
                <w:rFonts w:ascii="Times New Roman" w:eastAsia="Times New Roman" w:hAnsi="Times New Roman" w:cs="Times New Roman"/>
                <w:noProof/>
                <w:color w:val="FFFFFF"/>
                <w:lang w:eastAsia="de-DE"/>
              </w:rPr>
            </w:pPr>
            <w:r>
              <w:rPr>
                <w:rFonts w:ascii="Times New Roman" w:eastAsia="Times New Roman" w:hAnsi="Times New Roman" w:cs="Times New Roman"/>
                <w:noProof/>
                <w:color w:val="FFFFFF"/>
                <w:lang w:eastAsia="de-DE"/>
              </w:rPr>
              <w:t>PO2</w:t>
            </w:r>
          </w:p>
        </w:tc>
      </w:tr>
      <w:tr w:rsidR="00DF1A33">
        <w:trPr>
          <w:trHeight w:val="285"/>
        </w:trPr>
        <w:tc>
          <w:tcPr>
            <w:tcW w:w="1880" w:type="dxa"/>
            <w:vMerge/>
            <w:vAlign w:val="center"/>
            <w:hideMark/>
          </w:tcPr>
          <w:p w:rsidR="00DF1A33" w:rsidRDefault="00DF1A33">
            <w:pPr>
              <w:spacing w:before="60" w:after="60" w:line="240" w:lineRule="auto"/>
              <w:rPr>
                <w:rFonts w:ascii="Times New Roman" w:eastAsia="Times New Roman" w:hAnsi="Times New Roman" w:cs="Times New Roman"/>
                <w:noProof/>
                <w:color w:val="000000"/>
                <w:lang w:eastAsia="de-DE"/>
              </w:rPr>
            </w:pPr>
          </w:p>
        </w:tc>
        <w:tc>
          <w:tcPr>
            <w:tcW w:w="1948" w:type="dxa"/>
            <w:shd w:val="clear" w:color="auto" w:fill="auto"/>
            <w:noWrap/>
            <w:vAlign w:val="center"/>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Charging</w:t>
            </w:r>
          </w:p>
        </w:tc>
        <w:tc>
          <w:tcPr>
            <w:tcW w:w="1984" w:type="dxa"/>
            <w:shd w:val="clear" w:color="auto" w:fill="auto"/>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23%</w:t>
            </w:r>
          </w:p>
        </w:tc>
        <w:tc>
          <w:tcPr>
            <w:tcW w:w="2749" w:type="dxa"/>
            <w:shd w:val="clear" w:color="auto" w:fill="auto"/>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18%</w:t>
            </w:r>
          </w:p>
        </w:tc>
      </w:tr>
      <w:tr w:rsidR="00DF1A33">
        <w:trPr>
          <w:trHeight w:val="285"/>
        </w:trPr>
        <w:tc>
          <w:tcPr>
            <w:tcW w:w="1880" w:type="dxa"/>
            <w:vMerge/>
            <w:vAlign w:val="center"/>
            <w:hideMark/>
          </w:tcPr>
          <w:p w:rsidR="00DF1A33" w:rsidRDefault="00DF1A33">
            <w:pPr>
              <w:spacing w:before="60" w:after="60" w:line="240" w:lineRule="auto"/>
              <w:rPr>
                <w:rFonts w:ascii="Times New Roman" w:eastAsia="Times New Roman" w:hAnsi="Times New Roman" w:cs="Times New Roman"/>
                <w:noProof/>
                <w:color w:val="000000"/>
                <w:lang w:eastAsia="de-DE"/>
              </w:rPr>
            </w:pPr>
          </w:p>
        </w:tc>
        <w:tc>
          <w:tcPr>
            <w:tcW w:w="1948" w:type="dxa"/>
            <w:shd w:val="clear" w:color="auto" w:fill="auto"/>
            <w:noWrap/>
            <w:vAlign w:val="center"/>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Research institutions</w:t>
            </w:r>
          </w:p>
        </w:tc>
        <w:tc>
          <w:tcPr>
            <w:tcW w:w="1984" w:type="dxa"/>
            <w:shd w:val="clear" w:color="auto" w:fill="auto"/>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20%</w:t>
            </w:r>
          </w:p>
        </w:tc>
        <w:tc>
          <w:tcPr>
            <w:tcW w:w="2749" w:type="dxa"/>
            <w:shd w:val="clear" w:color="auto" w:fill="auto"/>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20%</w:t>
            </w:r>
          </w:p>
        </w:tc>
      </w:tr>
      <w:tr w:rsidR="00DF1A33">
        <w:trPr>
          <w:trHeight w:val="285"/>
        </w:trPr>
        <w:tc>
          <w:tcPr>
            <w:tcW w:w="1880" w:type="dxa"/>
            <w:vMerge/>
            <w:vAlign w:val="center"/>
            <w:hideMark/>
          </w:tcPr>
          <w:p w:rsidR="00DF1A33" w:rsidRDefault="00DF1A33">
            <w:pPr>
              <w:spacing w:before="60" w:after="60" w:line="240" w:lineRule="auto"/>
              <w:rPr>
                <w:rFonts w:ascii="Times New Roman" w:eastAsia="Times New Roman" w:hAnsi="Times New Roman" w:cs="Times New Roman"/>
                <w:noProof/>
                <w:color w:val="000000"/>
                <w:lang w:eastAsia="de-DE"/>
              </w:rPr>
            </w:pPr>
          </w:p>
        </w:tc>
        <w:tc>
          <w:tcPr>
            <w:tcW w:w="1948" w:type="dxa"/>
            <w:shd w:val="clear" w:color="auto" w:fill="auto"/>
            <w:noWrap/>
            <w:vAlign w:val="center"/>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Para-public bodies</w:t>
            </w:r>
          </w:p>
        </w:tc>
        <w:tc>
          <w:tcPr>
            <w:tcW w:w="1984" w:type="dxa"/>
            <w:shd w:val="clear" w:color="auto" w:fill="auto"/>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29%</w:t>
            </w:r>
          </w:p>
        </w:tc>
        <w:tc>
          <w:tcPr>
            <w:tcW w:w="2749" w:type="dxa"/>
            <w:shd w:val="clear" w:color="auto" w:fill="auto"/>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36%</w:t>
            </w:r>
          </w:p>
        </w:tc>
      </w:tr>
      <w:tr w:rsidR="00DF1A33">
        <w:trPr>
          <w:trHeight w:val="285"/>
        </w:trPr>
        <w:tc>
          <w:tcPr>
            <w:tcW w:w="1880" w:type="dxa"/>
            <w:vMerge/>
            <w:vAlign w:val="center"/>
            <w:hideMark/>
          </w:tcPr>
          <w:p w:rsidR="00DF1A33" w:rsidRDefault="00DF1A33">
            <w:pPr>
              <w:spacing w:before="60" w:after="60" w:line="240" w:lineRule="auto"/>
              <w:rPr>
                <w:rFonts w:ascii="Times New Roman" w:eastAsia="Times New Roman" w:hAnsi="Times New Roman" w:cs="Times New Roman"/>
                <w:noProof/>
                <w:color w:val="000000"/>
                <w:lang w:eastAsia="de-DE"/>
              </w:rPr>
            </w:pPr>
          </w:p>
        </w:tc>
        <w:tc>
          <w:tcPr>
            <w:tcW w:w="1948" w:type="dxa"/>
            <w:shd w:val="clear" w:color="auto" w:fill="auto"/>
            <w:noWrap/>
            <w:vAlign w:val="center"/>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APIs</w:t>
            </w:r>
          </w:p>
        </w:tc>
        <w:tc>
          <w:tcPr>
            <w:tcW w:w="1984" w:type="dxa"/>
            <w:shd w:val="clear" w:color="auto" w:fill="auto"/>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20%</w:t>
            </w:r>
          </w:p>
        </w:tc>
        <w:tc>
          <w:tcPr>
            <w:tcW w:w="2749" w:type="dxa"/>
            <w:shd w:val="clear" w:color="auto" w:fill="auto"/>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19%</w:t>
            </w:r>
          </w:p>
        </w:tc>
      </w:tr>
      <w:tr w:rsidR="00DF1A33">
        <w:trPr>
          <w:trHeight w:val="285"/>
        </w:trPr>
        <w:tc>
          <w:tcPr>
            <w:tcW w:w="1880" w:type="dxa"/>
            <w:vMerge/>
            <w:vAlign w:val="center"/>
            <w:hideMark/>
          </w:tcPr>
          <w:p w:rsidR="00DF1A33" w:rsidRDefault="00DF1A33">
            <w:pPr>
              <w:spacing w:before="60" w:after="60" w:line="240" w:lineRule="auto"/>
              <w:rPr>
                <w:rFonts w:ascii="Times New Roman" w:eastAsia="Times New Roman" w:hAnsi="Times New Roman" w:cs="Times New Roman"/>
                <w:noProof/>
                <w:color w:val="000000"/>
                <w:lang w:eastAsia="de-DE"/>
              </w:rPr>
            </w:pPr>
          </w:p>
        </w:tc>
        <w:tc>
          <w:tcPr>
            <w:tcW w:w="1948" w:type="dxa"/>
            <w:shd w:val="clear" w:color="auto" w:fill="auto"/>
            <w:noWrap/>
            <w:vAlign w:val="center"/>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Exclusive agreements</w:t>
            </w:r>
          </w:p>
        </w:tc>
        <w:tc>
          <w:tcPr>
            <w:tcW w:w="1984" w:type="dxa"/>
            <w:shd w:val="clear" w:color="auto" w:fill="auto"/>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10%</w:t>
            </w:r>
          </w:p>
        </w:tc>
        <w:tc>
          <w:tcPr>
            <w:tcW w:w="2749" w:type="dxa"/>
            <w:shd w:val="clear" w:color="auto" w:fill="auto"/>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9%</w:t>
            </w:r>
          </w:p>
        </w:tc>
      </w:tr>
      <w:tr w:rsidR="00DF1A33">
        <w:trPr>
          <w:trHeight w:val="285"/>
        </w:trPr>
        <w:tc>
          <w:tcPr>
            <w:tcW w:w="1880" w:type="dxa"/>
            <w:vMerge w:val="restart"/>
            <w:shd w:val="clear" w:color="auto" w:fill="auto"/>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i/>
                <w:iCs/>
                <w:noProof/>
                <w:color w:val="000000"/>
                <w:u w:val="single"/>
                <w:lang w:eastAsia="de-DE"/>
              </w:rPr>
              <w:t>Costs:</w:t>
            </w:r>
            <w:r>
              <w:rPr>
                <w:rFonts w:ascii="Times New Roman" w:eastAsia="Times New Roman" w:hAnsi="Times New Roman" w:cs="Times New Roman"/>
                <w:i/>
                <w:iCs/>
                <w:noProof/>
                <w:color w:val="000000"/>
                <w:u w:val="single"/>
                <w:lang w:eastAsia="de-DE"/>
              </w:rPr>
              <w:br/>
            </w:r>
            <w:r>
              <w:rPr>
                <w:rFonts w:ascii="Times New Roman" w:eastAsia="Times New Roman" w:hAnsi="Times New Roman" w:cs="Times New Roman"/>
                <w:noProof/>
                <w:color w:val="000000"/>
                <w:lang w:eastAsia="de-DE"/>
              </w:rPr>
              <w:t>Share of contributions to costs of intermediate policy option</w:t>
            </w:r>
          </w:p>
        </w:tc>
        <w:tc>
          <w:tcPr>
            <w:tcW w:w="1948" w:type="dxa"/>
            <w:shd w:val="clear" w:color="000000" w:fill="808080"/>
            <w:noWrap/>
            <w:vAlign w:val="center"/>
            <w:hideMark/>
          </w:tcPr>
          <w:p w:rsidR="00DF1A33" w:rsidRDefault="00456F01">
            <w:pPr>
              <w:spacing w:before="60" w:after="60" w:line="240" w:lineRule="auto"/>
              <w:rPr>
                <w:rFonts w:ascii="Times New Roman" w:eastAsia="Times New Roman" w:hAnsi="Times New Roman" w:cs="Times New Roman"/>
                <w:noProof/>
                <w:color w:val="FFFFFF"/>
                <w:lang w:eastAsia="de-DE"/>
              </w:rPr>
            </w:pPr>
            <w:r>
              <w:rPr>
                <w:rFonts w:ascii="Times New Roman" w:eastAsia="Times New Roman" w:hAnsi="Times New Roman" w:cs="Times New Roman"/>
                <w:noProof/>
                <w:color w:val="FFFFFF"/>
                <w:lang w:eastAsia="de-DE"/>
              </w:rPr>
              <w:t>Policy Options</w:t>
            </w:r>
          </w:p>
        </w:tc>
        <w:tc>
          <w:tcPr>
            <w:tcW w:w="1984" w:type="dxa"/>
            <w:shd w:val="clear" w:color="000000" w:fill="808080"/>
            <w:noWrap/>
            <w:vAlign w:val="bottom"/>
            <w:hideMark/>
          </w:tcPr>
          <w:p w:rsidR="00DF1A33" w:rsidRDefault="00456F01">
            <w:pPr>
              <w:spacing w:before="60" w:after="60" w:line="240" w:lineRule="auto"/>
              <w:rPr>
                <w:rFonts w:ascii="Times New Roman" w:eastAsia="Times New Roman" w:hAnsi="Times New Roman" w:cs="Times New Roman"/>
                <w:noProof/>
                <w:color w:val="FFFFFF"/>
                <w:lang w:eastAsia="de-DE"/>
              </w:rPr>
            </w:pPr>
            <w:r>
              <w:rPr>
                <w:rFonts w:ascii="Times New Roman" w:eastAsia="Times New Roman" w:hAnsi="Times New Roman" w:cs="Times New Roman"/>
                <w:noProof/>
                <w:color w:val="FFFFFF"/>
                <w:lang w:eastAsia="de-DE"/>
              </w:rPr>
              <w:t>PO1</w:t>
            </w:r>
          </w:p>
        </w:tc>
        <w:tc>
          <w:tcPr>
            <w:tcW w:w="2749" w:type="dxa"/>
            <w:shd w:val="clear" w:color="000000" w:fill="808080"/>
            <w:noWrap/>
            <w:vAlign w:val="bottom"/>
            <w:hideMark/>
          </w:tcPr>
          <w:p w:rsidR="00DF1A33" w:rsidRDefault="00456F01">
            <w:pPr>
              <w:spacing w:before="60" w:after="60" w:line="240" w:lineRule="auto"/>
              <w:rPr>
                <w:rFonts w:ascii="Times New Roman" w:eastAsia="Times New Roman" w:hAnsi="Times New Roman" w:cs="Times New Roman"/>
                <w:noProof/>
                <w:color w:val="FFFFFF"/>
                <w:lang w:eastAsia="de-DE"/>
              </w:rPr>
            </w:pPr>
            <w:r>
              <w:rPr>
                <w:rFonts w:ascii="Times New Roman" w:eastAsia="Times New Roman" w:hAnsi="Times New Roman" w:cs="Times New Roman"/>
                <w:noProof/>
                <w:color w:val="FFFFFF"/>
                <w:lang w:eastAsia="de-DE"/>
              </w:rPr>
              <w:t>PO2</w:t>
            </w:r>
          </w:p>
        </w:tc>
      </w:tr>
      <w:tr w:rsidR="00DF1A33">
        <w:trPr>
          <w:trHeight w:val="285"/>
        </w:trPr>
        <w:tc>
          <w:tcPr>
            <w:tcW w:w="1880" w:type="dxa"/>
            <w:vMerge/>
            <w:vAlign w:val="center"/>
            <w:hideMark/>
          </w:tcPr>
          <w:p w:rsidR="00DF1A33" w:rsidRDefault="00DF1A33">
            <w:pPr>
              <w:spacing w:before="60" w:after="60" w:line="240" w:lineRule="auto"/>
              <w:rPr>
                <w:rFonts w:ascii="Times New Roman" w:eastAsia="Times New Roman" w:hAnsi="Times New Roman" w:cs="Times New Roman"/>
                <w:noProof/>
                <w:color w:val="000000"/>
                <w:lang w:eastAsia="de-DE"/>
              </w:rPr>
            </w:pPr>
          </w:p>
        </w:tc>
        <w:tc>
          <w:tcPr>
            <w:tcW w:w="1948" w:type="dxa"/>
            <w:shd w:val="clear" w:color="auto" w:fill="auto"/>
            <w:noWrap/>
            <w:vAlign w:val="center"/>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Charging</w:t>
            </w:r>
          </w:p>
        </w:tc>
        <w:tc>
          <w:tcPr>
            <w:tcW w:w="1984" w:type="dxa"/>
            <w:shd w:val="clear" w:color="auto" w:fill="auto"/>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23%</w:t>
            </w:r>
          </w:p>
        </w:tc>
        <w:tc>
          <w:tcPr>
            <w:tcW w:w="2749" w:type="dxa"/>
            <w:shd w:val="clear" w:color="auto" w:fill="auto"/>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18%</w:t>
            </w:r>
          </w:p>
        </w:tc>
      </w:tr>
      <w:tr w:rsidR="00DF1A33">
        <w:trPr>
          <w:trHeight w:val="285"/>
        </w:trPr>
        <w:tc>
          <w:tcPr>
            <w:tcW w:w="1880" w:type="dxa"/>
            <w:vMerge/>
            <w:vAlign w:val="center"/>
            <w:hideMark/>
          </w:tcPr>
          <w:p w:rsidR="00DF1A33" w:rsidRDefault="00DF1A33">
            <w:pPr>
              <w:spacing w:before="60" w:after="60" w:line="240" w:lineRule="auto"/>
              <w:rPr>
                <w:rFonts w:ascii="Times New Roman" w:eastAsia="Times New Roman" w:hAnsi="Times New Roman" w:cs="Times New Roman"/>
                <w:noProof/>
                <w:color w:val="000000"/>
                <w:lang w:eastAsia="de-DE"/>
              </w:rPr>
            </w:pPr>
          </w:p>
        </w:tc>
        <w:tc>
          <w:tcPr>
            <w:tcW w:w="1948" w:type="dxa"/>
            <w:shd w:val="clear" w:color="auto" w:fill="auto"/>
            <w:noWrap/>
            <w:vAlign w:val="center"/>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Research institutions</w:t>
            </w:r>
          </w:p>
        </w:tc>
        <w:tc>
          <w:tcPr>
            <w:tcW w:w="1984" w:type="dxa"/>
            <w:shd w:val="clear" w:color="auto" w:fill="auto"/>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20%</w:t>
            </w:r>
          </w:p>
        </w:tc>
        <w:tc>
          <w:tcPr>
            <w:tcW w:w="2749" w:type="dxa"/>
            <w:shd w:val="clear" w:color="auto" w:fill="auto"/>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20%</w:t>
            </w:r>
          </w:p>
        </w:tc>
      </w:tr>
      <w:tr w:rsidR="00DF1A33">
        <w:trPr>
          <w:trHeight w:val="285"/>
        </w:trPr>
        <w:tc>
          <w:tcPr>
            <w:tcW w:w="1880" w:type="dxa"/>
            <w:vMerge/>
            <w:vAlign w:val="center"/>
            <w:hideMark/>
          </w:tcPr>
          <w:p w:rsidR="00DF1A33" w:rsidRDefault="00DF1A33">
            <w:pPr>
              <w:spacing w:before="60" w:after="60" w:line="240" w:lineRule="auto"/>
              <w:rPr>
                <w:rFonts w:ascii="Times New Roman" w:eastAsia="Times New Roman" w:hAnsi="Times New Roman" w:cs="Times New Roman"/>
                <w:noProof/>
                <w:color w:val="000000"/>
                <w:lang w:eastAsia="de-DE"/>
              </w:rPr>
            </w:pPr>
          </w:p>
        </w:tc>
        <w:tc>
          <w:tcPr>
            <w:tcW w:w="1948" w:type="dxa"/>
            <w:shd w:val="clear" w:color="auto" w:fill="auto"/>
            <w:noWrap/>
            <w:vAlign w:val="center"/>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Para-public bodies</w:t>
            </w:r>
          </w:p>
        </w:tc>
        <w:tc>
          <w:tcPr>
            <w:tcW w:w="1984" w:type="dxa"/>
            <w:shd w:val="clear" w:color="auto" w:fill="auto"/>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29%</w:t>
            </w:r>
          </w:p>
        </w:tc>
        <w:tc>
          <w:tcPr>
            <w:tcW w:w="2749" w:type="dxa"/>
            <w:shd w:val="clear" w:color="auto" w:fill="auto"/>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36%</w:t>
            </w:r>
          </w:p>
        </w:tc>
      </w:tr>
      <w:tr w:rsidR="00DF1A33">
        <w:trPr>
          <w:trHeight w:val="285"/>
        </w:trPr>
        <w:tc>
          <w:tcPr>
            <w:tcW w:w="1880" w:type="dxa"/>
            <w:vMerge/>
            <w:vAlign w:val="center"/>
            <w:hideMark/>
          </w:tcPr>
          <w:p w:rsidR="00DF1A33" w:rsidRDefault="00DF1A33">
            <w:pPr>
              <w:spacing w:before="60" w:after="60" w:line="240" w:lineRule="auto"/>
              <w:rPr>
                <w:rFonts w:ascii="Times New Roman" w:eastAsia="Times New Roman" w:hAnsi="Times New Roman" w:cs="Times New Roman"/>
                <w:noProof/>
                <w:color w:val="000000"/>
                <w:lang w:eastAsia="de-DE"/>
              </w:rPr>
            </w:pPr>
          </w:p>
        </w:tc>
        <w:tc>
          <w:tcPr>
            <w:tcW w:w="1948" w:type="dxa"/>
            <w:shd w:val="clear" w:color="auto" w:fill="auto"/>
            <w:noWrap/>
            <w:vAlign w:val="center"/>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APIs</w:t>
            </w:r>
          </w:p>
        </w:tc>
        <w:tc>
          <w:tcPr>
            <w:tcW w:w="1984" w:type="dxa"/>
            <w:shd w:val="clear" w:color="auto" w:fill="auto"/>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20%</w:t>
            </w:r>
          </w:p>
        </w:tc>
        <w:tc>
          <w:tcPr>
            <w:tcW w:w="2749" w:type="dxa"/>
            <w:shd w:val="clear" w:color="auto" w:fill="auto"/>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19%</w:t>
            </w:r>
          </w:p>
        </w:tc>
      </w:tr>
      <w:tr w:rsidR="00DF1A33">
        <w:trPr>
          <w:trHeight w:val="285"/>
        </w:trPr>
        <w:tc>
          <w:tcPr>
            <w:tcW w:w="1880" w:type="dxa"/>
            <w:vMerge/>
            <w:vAlign w:val="center"/>
            <w:hideMark/>
          </w:tcPr>
          <w:p w:rsidR="00DF1A33" w:rsidRDefault="00DF1A33">
            <w:pPr>
              <w:spacing w:before="60" w:after="60" w:line="240" w:lineRule="auto"/>
              <w:rPr>
                <w:rFonts w:ascii="Times New Roman" w:eastAsia="Times New Roman" w:hAnsi="Times New Roman" w:cs="Times New Roman"/>
                <w:noProof/>
                <w:color w:val="000000"/>
                <w:lang w:eastAsia="de-DE"/>
              </w:rPr>
            </w:pPr>
          </w:p>
        </w:tc>
        <w:tc>
          <w:tcPr>
            <w:tcW w:w="1948" w:type="dxa"/>
            <w:shd w:val="clear" w:color="auto" w:fill="auto"/>
            <w:noWrap/>
            <w:vAlign w:val="center"/>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Exclusive agreements</w:t>
            </w:r>
          </w:p>
        </w:tc>
        <w:tc>
          <w:tcPr>
            <w:tcW w:w="1984" w:type="dxa"/>
            <w:shd w:val="clear" w:color="auto" w:fill="auto"/>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10%</w:t>
            </w:r>
          </w:p>
        </w:tc>
        <w:tc>
          <w:tcPr>
            <w:tcW w:w="2749" w:type="dxa"/>
            <w:shd w:val="clear" w:color="auto" w:fill="auto"/>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9%</w:t>
            </w:r>
          </w:p>
        </w:tc>
      </w:tr>
    </w:tbl>
    <w:p w:rsidR="00DF1A33" w:rsidRDefault="00456F01">
      <w:pPr>
        <w:rPr>
          <w:rFonts w:ascii="Times New Roman" w:hAnsi="Times New Roman" w:cs="Times New Roman"/>
          <w:b/>
          <w:noProof/>
          <w:sz w:val="18"/>
          <w:szCs w:val="18"/>
        </w:rPr>
      </w:pPr>
      <w:r>
        <w:rPr>
          <w:rFonts w:ascii="Times New Roman" w:hAnsi="Times New Roman" w:cs="Times New Roman"/>
          <w:b/>
          <w:noProof/>
          <w:sz w:val="18"/>
          <w:szCs w:val="18"/>
        </w:rPr>
        <w:t>Source: Impact Assessment Support Study, Deloitte, 2018</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It was not part of the model to estimate how costs and revenues are distributed among </w:t>
      </w:r>
      <w:r>
        <w:rPr>
          <w:rFonts w:ascii="Times New Roman" w:hAnsi="Times New Roman" w:cs="Times New Roman"/>
          <w:noProof/>
          <w:sz w:val="24"/>
          <w:szCs w:val="24"/>
          <w:lang w:val="en-US"/>
        </w:rPr>
        <w:t>actors across the data value chain</w:t>
      </w:r>
      <w:r>
        <w:rPr>
          <w:rFonts w:ascii="Times New Roman" w:hAnsi="Times New Roman" w:cs="Times New Roman"/>
          <w:noProof/>
          <w:sz w:val="24"/>
          <w:szCs w:val="24"/>
        </w:rPr>
        <w:t xml:space="preserve">. From a qualitative perspective, in general, no single type of stakeholders, however, is affected by costs or benefits </w:t>
      </w:r>
      <w:r>
        <w:rPr>
          <w:rFonts w:ascii="Times New Roman" w:hAnsi="Times New Roman" w:cs="Times New Roman"/>
          <w:i/>
          <w:noProof/>
          <w:sz w:val="24"/>
          <w:szCs w:val="24"/>
        </w:rPr>
        <w:t>only</w:t>
      </w:r>
      <w:r>
        <w:rPr>
          <w:rFonts w:ascii="Times New Roman" w:hAnsi="Times New Roman" w:cs="Times New Roman"/>
          <w:noProof/>
          <w:sz w:val="24"/>
          <w:szCs w:val="24"/>
        </w:rPr>
        <w:t>. Public sector bodies, businesses, researchers, as well as citizens all face costs and benefits a</w:t>
      </w:r>
      <w:r>
        <w:rPr>
          <w:rFonts w:ascii="Times New Roman" w:hAnsi="Times New Roman" w:cs="Times New Roman"/>
          <w:noProof/>
          <w:sz w:val="24"/>
          <w:szCs w:val="24"/>
        </w:rPr>
        <w:t>like – either monetary or with respect to more qualitative aspects such as transparency, opportunity, or freedom of choice. SMEs are of particular concern as they tend to be affected disproportionately by costs. The support study has shown the types of sta</w:t>
      </w:r>
      <w:r>
        <w:rPr>
          <w:rFonts w:ascii="Times New Roman" w:hAnsi="Times New Roman" w:cs="Times New Roman"/>
          <w:noProof/>
          <w:sz w:val="24"/>
          <w:szCs w:val="24"/>
        </w:rPr>
        <w:t xml:space="preserve">keholders profiting strongest from PSI are public authorities, as well as industry businesses and companies active in trade and transport. At the same time, however, these are also affected strongest by the costs related to PSI. </w:t>
      </w:r>
    </w:p>
    <w:p w:rsidR="00DF1A33" w:rsidRDefault="00456F01">
      <w:pPr>
        <w:jc w:val="both"/>
        <w:rPr>
          <w:rFonts w:ascii="Times New Roman" w:eastAsia="Times New Roman" w:hAnsi="Times New Roman" w:cs="Times New Roman"/>
          <w:noProof/>
          <w:sz w:val="24"/>
          <w:szCs w:val="20"/>
        </w:rPr>
      </w:pPr>
      <w:r>
        <w:rPr>
          <w:rFonts w:ascii="Times New Roman" w:hAnsi="Times New Roman" w:cs="Times New Roman"/>
          <w:noProof/>
          <w:sz w:val="24"/>
          <w:szCs w:val="24"/>
        </w:rPr>
        <w:t>As part of the support stu</w:t>
      </w:r>
      <w:r>
        <w:rPr>
          <w:rFonts w:ascii="Times New Roman" w:hAnsi="Times New Roman" w:cs="Times New Roman"/>
          <w:noProof/>
          <w:sz w:val="24"/>
          <w:szCs w:val="24"/>
        </w:rPr>
        <w:t>dy, estimates have not been differentiated across administrative, technical, and opportunity costs, as well as redress and litigation costs. Although the underlying data (gathered from interviews in several Member States, feedback received during the works</w:t>
      </w:r>
      <w:r>
        <w:rPr>
          <w:rFonts w:ascii="Times New Roman" w:hAnsi="Times New Roman" w:cs="Times New Roman"/>
          <w:noProof/>
          <w:sz w:val="24"/>
          <w:szCs w:val="24"/>
        </w:rPr>
        <w:t>hops, as well as expert assumptions based on the available material), provided insights into how costs are structured, the overall data based was not found to be sufficiently robust enough to provide detailed estimates per type of cost in a quantitative wa</w:t>
      </w:r>
      <w:r>
        <w:rPr>
          <w:rFonts w:ascii="Times New Roman" w:hAnsi="Times New Roman" w:cs="Times New Roman"/>
          <w:noProof/>
          <w:sz w:val="24"/>
          <w:szCs w:val="24"/>
        </w:rPr>
        <w:t xml:space="preserve">y. </w:t>
      </w:r>
    </w:p>
    <w:p w:rsidR="00DF1A33" w:rsidRDefault="00456F01">
      <w:pPr>
        <w:pStyle w:val="Heading1"/>
        <w:pageBreakBefore/>
        <w:numPr>
          <w:ilvl w:val="0"/>
          <w:numId w:val="0"/>
        </w:numPr>
        <w:ind w:left="482"/>
        <w:jc w:val="center"/>
        <w:rPr>
          <w:noProof/>
          <w:sz w:val="32"/>
          <w:szCs w:val="32"/>
        </w:rPr>
      </w:pPr>
      <w:bookmarkStart w:id="2001" w:name="_Toc509412644"/>
      <w:bookmarkStart w:id="2002" w:name="_Toc509414820"/>
      <w:bookmarkStart w:id="2003" w:name="_Toc509414876"/>
      <w:r>
        <w:rPr>
          <w:noProof/>
          <w:sz w:val="32"/>
          <w:szCs w:val="32"/>
        </w:rPr>
        <w:t>Annex 5: Evaluation Report</w:t>
      </w:r>
      <w:bookmarkEnd w:id="2001"/>
      <w:bookmarkEnd w:id="2002"/>
      <w:bookmarkEnd w:id="2003"/>
    </w:p>
    <w:p w:rsidR="00DF1A33" w:rsidRDefault="00456F01">
      <w:pPr>
        <w:pStyle w:val="Text1"/>
        <w:rPr>
          <w:noProof/>
        </w:rPr>
      </w:pPr>
      <w:r>
        <w:rPr>
          <w:noProof/>
        </w:rPr>
        <w:t>(see Staff Working Document SWD(2018) 145)</w:t>
      </w:r>
    </w:p>
    <w:p w:rsidR="00DF1A33" w:rsidRDefault="00456F01">
      <w:pPr>
        <w:pStyle w:val="Heading1"/>
        <w:pageBreakBefore/>
        <w:numPr>
          <w:ilvl w:val="0"/>
          <w:numId w:val="0"/>
        </w:numPr>
        <w:ind w:left="482"/>
        <w:jc w:val="center"/>
        <w:rPr>
          <w:noProof/>
          <w:sz w:val="32"/>
          <w:szCs w:val="32"/>
        </w:rPr>
      </w:pPr>
      <w:bookmarkStart w:id="2004" w:name="_Toc505182028"/>
      <w:bookmarkStart w:id="2005" w:name="_Toc505248685"/>
      <w:bookmarkStart w:id="2006" w:name="_Toc505266551"/>
      <w:bookmarkStart w:id="2007" w:name="_Toc505335403"/>
      <w:bookmarkStart w:id="2008" w:name="_Toc505345874"/>
      <w:bookmarkStart w:id="2009" w:name="_Toc505346462"/>
      <w:bookmarkStart w:id="2010" w:name="_Toc505696719"/>
      <w:bookmarkStart w:id="2011" w:name="_Toc505698205"/>
      <w:bookmarkStart w:id="2012" w:name="_Toc505701718"/>
      <w:bookmarkStart w:id="2013" w:name="_Toc505705205"/>
      <w:bookmarkStart w:id="2014" w:name="_Toc505773199"/>
      <w:bookmarkStart w:id="2015" w:name="_Toc505856893"/>
      <w:bookmarkStart w:id="2016" w:name="_Toc505862335"/>
      <w:bookmarkStart w:id="2017" w:name="_Toc505864900"/>
      <w:bookmarkStart w:id="2018" w:name="_Toc505868754"/>
      <w:bookmarkStart w:id="2019" w:name="_Toc505869221"/>
      <w:bookmarkStart w:id="2020" w:name="_Toc505881411"/>
      <w:bookmarkStart w:id="2021" w:name="_Toc509412645"/>
      <w:bookmarkStart w:id="2022" w:name="_Toc509414821"/>
      <w:bookmarkStart w:id="2023" w:name="_Toc509414877"/>
      <w:bookmarkStart w:id="2024" w:name="_Toc481484493"/>
      <w:bookmarkStart w:id="2025" w:name="_Toc504120250"/>
      <w:bookmarkStart w:id="2026" w:name="_Toc504142993"/>
      <w:bookmarkStart w:id="2027" w:name="_Toc504151693"/>
      <w:bookmarkStart w:id="2028" w:name="_Toc504382977"/>
      <w:bookmarkStart w:id="2029" w:name="_Toc504391123"/>
      <w:bookmarkStart w:id="2030" w:name="_Toc504403212"/>
      <w:bookmarkStart w:id="2031" w:name="_Toc504743681"/>
      <w:bookmarkStart w:id="2032" w:name="_Toc504751233"/>
      <w:bookmarkStart w:id="2033" w:name="_Toc504751407"/>
      <w:r>
        <w:rPr>
          <w:noProof/>
          <w:sz w:val="32"/>
          <w:szCs w:val="32"/>
        </w:rPr>
        <w:t xml:space="preserve">Annex 6: The Evolution of the Directive on the </w:t>
      </w:r>
      <w:r>
        <w:rPr>
          <w:noProof/>
          <w:sz w:val="32"/>
          <w:szCs w:val="32"/>
        </w:rPr>
        <w:br/>
        <w:t>Re-Use of Public Sector Information</w:t>
      </w:r>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p>
    <w:p w:rsidR="00DF1A33" w:rsidRDefault="00456F01">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1. Key elements of the original PSI Directive</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The 2003 Directive was built around two main </w:t>
      </w:r>
      <w:r>
        <w:rPr>
          <w:rFonts w:ascii="Times New Roman" w:hAnsi="Times New Roman" w:cs="Times New Roman"/>
          <w:noProof/>
          <w:sz w:val="24"/>
          <w:szCs w:val="24"/>
        </w:rPr>
        <w:t>pillars: ensuring the cheap availability of public sector data to third parties whilst setting a level playing field between public bodies and private competitors in the information market.  It also included a set of principles on which the PSI re-use in E</w:t>
      </w:r>
      <w:r>
        <w:rPr>
          <w:rFonts w:ascii="Times New Roman" w:hAnsi="Times New Roman" w:cs="Times New Roman"/>
          <w:noProof/>
          <w:sz w:val="24"/>
          <w:szCs w:val="24"/>
        </w:rPr>
        <w:t>urope has since been based:</w:t>
      </w:r>
    </w:p>
    <w:p w:rsidR="00DF1A33" w:rsidRDefault="00456F01">
      <w:pPr>
        <w:numPr>
          <w:ilvl w:val="0"/>
          <w:numId w:val="10"/>
        </w:numPr>
        <w:jc w:val="both"/>
        <w:rPr>
          <w:rFonts w:ascii="Times New Roman" w:hAnsi="Times New Roman" w:cs="Times New Roman"/>
          <w:noProof/>
          <w:sz w:val="24"/>
          <w:szCs w:val="24"/>
        </w:rPr>
      </w:pPr>
      <w:r>
        <w:rPr>
          <w:rFonts w:ascii="Times New Roman" w:hAnsi="Times New Roman" w:cs="Times New Roman"/>
          <w:i/>
          <w:noProof/>
          <w:sz w:val="24"/>
          <w:szCs w:val="24"/>
        </w:rPr>
        <w:t>Non-discrimination:</w:t>
      </w:r>
      <w:r>
        <w:rPr>
          <w:rFonts w:ascii="Times New Roman" w:hAnsi="Times New Roman" w:cs="Times New Roman"/>
          <w:noProof/>
          <w:sz w:val="24"/>
          <w:szCs w:val="24"/>
        </w:rPr>
        <w:t xml:space="preserve"> any conditions for the re-use of public sector documents have to be non-discriminatory for comparable categories of re-use</w:t>
      </w:r>
    </w:p>
    <w:p w:rsidR="00DF1A33" w:rsidRDefault="00456F01">
      <w:pPr>
        <w:numPr>
          <w:ilvl w:val="0"/>
          <w:numId w:val="10"/>
        </w:numPr>
        <w:jc w:val="both"/>
        <w:rPr>
          <w:rFonts w:ascii="Times New Roman" w:hAnsi="Times New Roman" w:cs="Times New Roman"/>
          <w:noProof/>
          <w:sz w:val="24"/>
          <w:szCs w:val="24"/>
        </w:rPr>
      </w:pPr>
      <w:r>
        <w:rPr>
          <w:rFonts w:ascii="Times New Roman" w:hAnsi="Times New Roman" w:cs="Times New Roman"/>
          <w:i/>
          <w:noProof/>
          <w:sz w:val="24"/>
          <w:szCs w:val="24"/>
        </w:rPr>
        <w:t>No cross-subsidies</w:t>
      </w:r>
      <w:r>
        <w:rPr>
          <w:rFonts w:ascii="Times New Roman" w:hAnsi="Times New Roman" w:cs="Times New Roman"/>
          <w:noProof/>
          <w:sz w:val="24"/>
          <w:szCs w:val="24"/>
        </w:rPr>
        <w:t>: when public institutions commercialise added-value information pr</w:t>
      </w:r>
      <w:r>
        <w:rPr>
          <w:rFonts w:ascii="Times New Roman" w:hAnsi="Times New Roman" w:cs="Times New Roman"/>
          <w:noProof/>
          <w:sz w:val="24"/>
          <w:szCs w:val="24"/>
        </w:rPr>
        <w:t>oducts based on their own data, they have to apply the same conditions and charges to their own re-use as to their private sector competitors.</w:t>
      </w:r>
    </w:p>
    <w:p w:rsidR="00DF1A33" w:rsidRDefault="00456F01">
      <w:pPr>
        <w:numPr>
          <w:ilvl w:val="0"/>
          <w:numId w:val="10"/>
        </w:numPr>
        <w:jc w:val="both"/>
        <w:rPr>
          <w:rFonts w:ascii="Times New Roman" w:hAnsi="Times New Roman" w:cs="Times New Roman"/>
          <w:noProof/>
          <w:sz w:val="24"/>
          <w:szCs w:val="24"/>
        </w:rPr>
      </w:pPr>
      <w:r>
        <w:rPr>
          <w:rFonts w:ascii="Times New Roman" w:hAnsi="Times New Roman" w:cs="Times New Roman"/>
          <w:i/>
          <w:noProof/>
          <w:sz w:val="24"/>
          <w:szCs w:val="24"/>
        </w:rPr>
        <w:t>Prohibition of exclusive arrangements</w:t>
      </w:r>
      <w:r>
        <w:rPr>
          <w:rFonts w:ascii="Times New Roman" w:hAnsi="Times New Roman" w:cs="Times New Roman"/>
          <w:noProof/>
          <w:sz w:val="24"/>
          <w:szCs w:val="24"/>
        </w:rPr>
        <w:t>: Save for tightly-defined exceptions, re-use of public sector documents has</w:t>
      </w:r>
      <w:r>
        <w:rPr>
          <w:rFonts w:ascii="Times New Roman" w:hAnsi="Times New Roman" w:cs="Times New Roman"/>
          <w:noProof/>
          <w:sz w:val="24"/>
          <w:szCs w:val="24"/>
        </w:rPr>
        <w:t xml:space="preserve"> to be open to all potential actors in the market.</w:t>
      </w:r>
    </w:p>
    <w:p w:rsidR="00DF1A33" w:rsidRDefault="00456F01">
      <w:pPr>
        <w:numPr>
          <w:ilvl w:val="0"/>
          <w:numId w:val="10"/>
        </w:numPr>
        <w:jc w:val="both"/>
        <w:rPr>
          <w:rFonts w:ascii="Times New Roman" w:hAnsi="Times New Roman" w:cs="Times New Roman"/>
          <w:noProof/>
          <w:sz w:val="24"/>
          <w:szCs w:val="24"/>
        </w:rPr>
      </w:pPr>
      <w:r>
        <w:rPr>
          <w:rFonts w:ascii="Times New Roman" w:hAnsi="Times New Roman" w:cs="Times New Roman"/>
          <w:i/>
          <w:noProof/>
          <w:sz w:val="24"/>
          <w:szCs w:val="24"/>
        </w:rPr>
        <w:t>Upper limit for charging</w:t>
      </w:r>
      <w:r>
        <w:rPr>
          <w:rFonts w:ascii="Times New Roman" w:hAnsi="Times New Roman" w:cs="Times New Roman"/>
          <w:noProof/>
          <w:sz w:val="24"/>
          <w:szCs w:val="24"/>
        </w:rPr>
        <w:t>: to avoid the danger of public sector bodies abusing their monopoly power as the only producer of specific data, all charges for re-use of such data should not exceed the costs inc</w:t>
      </w:r>
      <w:r>
        <w:rPr>
          <w:rFonts w:ascii="Times New Roman" w:hAnsi="Times New Roman" w:cs="Times New Roman"/>
          <w:noProof/>
          <w:sz w:val="24"/>
          <w:szCs w:val="24"/>
        </w:rPr>
        <w:t>urred, whilst allowing the recovery of a 'reasonable return on investment'.</w:t>
      </w:r>
    </w:p>
    <w:p w:rsidR="00DF1A33" w:rsidRDefault="00456F01">
      <w:pPr>
        <w:numPr>
          <w:ilvl w:val="0"/>
          <w:numId w:val="10"/>
        </w:numPr>
        <w:jc w:val="both"/>
        <w:rPr>
          <w:rFonts w:ascii="Times New Roman" w:hAnsi="Times New Roman" w:cs="Times New Roman"/>
          <w:noProof/>
          <w:sz w:val="24"/>
          <w:szCs w:val="24"/>
        </w:rPr>
      </w:pPr>
      <w:r>
        <w:rPr>
          <w:rFonts w:ascii="Times New Roman" w:hAnsi="Times New Roman" w:cs="Times New Roman"/>
          <w:i/>
          <w:noProof/>
          <w:sz w:val="24"/>
          <w:szCs w:val="24"/>
        </w:rPr>
        <w:t>Transparency</w:t>
      </w:r>
      <w:r>
        <w:rPr>
          <w:rFonts w:ascii="Times New Roman" w:hAnsi="Times New Roman" w:cs="Times New Roman"/>
          <w:noProof/>
          <w:sz w:val="24"/>
          <w:szCs w:val="24"/>
        </w:rPr>
        <w:t>: conditions and standard charges for re-use should be pre-established and published. The re-user should also be informed of any available redress procedures.</w:t>
      </w:r>
    </w:p>
    <w:p w:rsidR="00DF1A33" w:rsidRDefault="00456F01">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2. Key el</w:t>
      </w:r>
      <w:r>
        <w:rPr>
          <w:rFonts w:ascii="Times New Roman" w:hAnsi="Times New Roman" w:cs="Times New Roman"/>
          <w:noProof/>
          <w:sz w:val="24"/>
          <w:szCs w:val="24"/>
          <w:u w:val="single"/>
        </w:rPr>
        <w:t xml:space="preserve">ements introduced by Directive 2013/37/EU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The revision of the Directive was preceded by a consultation and an impact assessment which indicated the persistence of obstacles to wide re-use of data and the diverging practices with regard to the availabilit</w:t>
      </w:r>
      <w:r>
        <w:rPr>
          <w:rFonts w:ascii="Times New Roman" w:hAnsi="Times New Roman" w:cs="Times New Roman"/>
          <w:noProof/>
          <w:sz w:val="24"/>
          <w:szCs w:val="24"/>
        </w:rPr>
        <w:t>y of data for re-use, the licensing conditions and the charges applied. An update of the legal framework proved therefore necessary. Its main elements are the following:</w:t>
      </w:r>
    </w:p>
    <w:p w:rsidR="00DF1A33" w:rsidRDefault="00456F01">
      <w:pPr>
        <w:numPr>
          <w:ilvl w:val="0"/>
          <w:numId w:val="9"/>
        </w:numPr>
        <w:jc w:val="both"/>
        <w:rPr>
          <w:rFonts w:ascii="Times New Roman" w:hAnsi="Times New Roman" w:cs="Times New Roman"/>
          <w:noProof/>
          <w:sz w:val="24"/>
          <w:szCs w:val="24"/>
        </w:rPr>
      </w:pPr>
      <w:r>
        <w:rPr>
          <w:rFonts w:ascii="Times New Roman" w:hAnsi="Times New Roman" w:cs="Times New Roman"/>
          <w:noProof/>
          <w:sz w:val="24"/>
          <w:szCs w:val="24"/>
        </w:rPr>
        <w:t>A default rule of charging for re-use of documents based on the marginal costs of thei</w:t>
      </w:r>
      <w:r>
        <w:rPr>
          <w:rFonts w:ascii="Times New Roman" w:hAnsi="Times New Roman" w:cs="Times New Roman"/>
          <w:noProof/>
          <w:sz w:val="24"/>
          <w:szCs w:val="24"/>
        </w:rPr>
        <w:t>r reproduction and dissemination and subject to limited exceptions only;</w:t>
      </w:r>
    </w:p>
    <w:p w:rsidR="00DF1A33" w:rsidRDefault="00456F01">
      <w:pPr>
        <w:numPr>
          <w:ilvl w:val="0"/>
          <w:numId w:val="9"/>
        </w:numPr>
        <w:jc w:val="both"/>
        <w:rPr>
          <w:rFonts w:ascii="Times New Roman" w:hAnsi="Times New Roman" w:cs="Times New Roman"/>
          <w:noProof/>
          <w:sz w:val="24"/>
          <w:szCs w:val="24"/>
        </w:rPr>
      </w:pPr>
      <w:r>
        <w:rPr>
          <w:rFonts w:ascii="Times New Roman" w:hAnsi="Times New Roman" w:cs="Times New Roman"/>
          <w:noProof/>
          <w:sz w:val="24"/>
          <w:szCs w:val="24"/>
        </w:rPr>
        <w:t>A general rule that all accessible documents are by default re-usable for any purpose, commercial or non-commercial, unless protected by third-party copyright and without prejudice to</w:t>
      </w:r>
      <w:r>
        <w:rPr>
          <w:rFonts w:ascii="Times New Roman" w:hAnsi="Times New Roman" w:cs="Times New Roman"/>
          <w:noProof/>
          <w:sz w:val="24"/>
          <w:szCs w:val="24"/>
        </w:rPr>
        <w:t xml:space="preserve"> data protection legislation;</w:t>
      </w:r>
    </w:p>
    <w:p w:rsidR="00DF1A33" w:rsidRDefault="00456F01">
      <w:pPr>
        <w:numPr>
          <w:ilvl w:val="0"/>
          <w:numId w:val="9"/>
        </w:numPr>
        <w:jc w:val="both"/>
        <w:rPr>
          <w:rFonts w:ascii="Times New Roman" w:hAnsi="Times New Roman" w:cs="Times New Roman"/>
          <w:noProof/>
          <w:sz w:val="24"/>
          <w:szCs w:val="24"/>
        </w:rPr>
      </w:pPr>
      <w:r>
        <w:rPr>
          <w:rFonts w:ascii="Times New Roman" w:hAnsi="Times New Roman" w:cs="Times New Roman"/>
          <w:noProof/>
          <w:sz w:val="24"/>
          <w:szCs w:val="24"/>
        </w:rPr>
        <w:t>Exclusive arrangements are generally prohibited. Exceptions can be accepted in a specific case of digitisation agreements but those should be limited in time and safeguard the public domain character of the cultural items.</w:t>
      </w:r>
    </w:p>
    <w:p w:rsidR="00DF1A33" w:rsidRDefault="00456F01">
      <w:pPr>
        <w:numPr>
          <w:ilvl w:val="0"/>
          <w:numId w:val="9"/>
        </w:numPr>
        <w:jc w:val="both"/>
        <w:rPr>
          <w:rFonts w:ascii="Times New Roman" w:hAnsi="Times New Roman" w:cs="Times New Roman"/>
          <w:noProof/>
          <w:sz w:val="24"/>
          <w:szCs w:val="24"/>
        </w:rPr>
      </w:pPr>
      <w:r>
        <w:rPr>
          <w:rFonts w:ascii="Times New Roman" w:hAnsi="Times New Roman" w:cs="Times New Roman"/>
          <w:noProof/>
          <w:sz w:val="24"/>
          <w:szCs w:val="24"/>
        </w:rPr>
        <w:t>Sco</w:t>
      </w:r>
      <w:r>
        <w:rPr>
          <w:rFonts w:ascii="Times New Roman" w:hAnsi="Times New Roman" w:cs="Times New Roman"/>
          <w:noProof/>
          <w:sz w:val="24"/>
          <w:szCs w:val="24"/>
        </w:rPr>
        <w:t>pe of the Directive is widened so as to cover content held by museums, libraries and archives but is only re-useable if the institutions allow its re-use.</w:t>
      </w:r>
    </w:p>
    <w:p w:rsidR="00DF1A33" w:rsidRDefault="00456F01">
      <w:pPr>
        <w:numPr>
          <w:ilvl w:val="0"/>
          <w:numId w:val="9"/>
        </w:numPr>
        <w:jc w:val="both"/>
        <w:rPr>
          <w:rFonts w:ascii="Times New Roman" w:hAnsi="Times New Roman" w:cs="Times New Roman"/>
          <w:noProof/>
          <w:sz w:val="24"/>
          <w:szCs w:val="24"/>
        </w:rPr>
      </w:pPr>
      <w:r>
        <w:rPr>
          <w:rFonts w:ascii="Times New Roman" w:hAnsi="Times New Roman" w:cs="Times New Roman"/>
          <w:noProof/>
          <w:sz w:val="24"/>
          <w:szCs w:val="24"/>
        </w:rPr>
        <w:t>Public sector bodies must be transparent about the licensing conditions and charges they apply and ab</w:t>
      </w:r>
      <w:r>
        <w:rPr>
          <w:rFonts w:ascii="Times New Roman" w:hAnsi="Times New Roman" w:cs="Times New Roman"/>
          <w:noProof/>
          <w:sz w:val="24"/>
          <w:szCs w:val="24"/>
        </w:rPr>
        <w:t>out the factors taken into account when calculating charges.</w:t>
      </w:r>
    </w:p>
    <w:p w:rsidR="00DF1A33" w:rsidRDefault="00456F01">
      <w:pPr>
        <w:pStyle w:val="Heading1"/>
        <w:pageBreakBefore/>
        <w:numPr>
          <w:ilvl w:val="0"/>
          <w:numId w:val="0"/>
        </w:numPr>
        <w:ind w:left="482"/>
        <w:jc w:val="center"/>
        <w:rPr>
          <w:noProof/>
          <w:sz w:val="32"/>
          <w:szCs w:val="32"/>
        </w:rPr>
      </w:pPr>
      <w:bookmarkStart w:id="2034" w:name="_Toc505881412"/>
      <w:bookmarkStart w:id="2035" w:name="_Toc505869222"/>
      <w:bookmarkStart w:id="2036" w:name="_Toc505868755"/>
      <w:bookmarkStart w:id="2037" w:name="_Toc505864901"/>
      <w:bookmarkStart w:id="2038" w:name="_Toc505862336"/>
      <w:bookmarkStart w:id="2039" w:name="_Toc505856894"/>
      <w:bookmarkStart w:id="2040" w:name="_Toc505773200"/>
      <w:bookmarkStart w:id="2041" w:name="_Toc505705206"/>
      <w:bookmarkStart w:id="2042" w:name="_Toc505701719"/>
      <w:bookmarkStart w:id="2043" w:name="_Toc505698206"/>
      <w:bookmarkStart w:id="2044" w:name="_Toc505696720"/>
      <w:bookmarkStart w:id="2045" w:name="_Toc505346463"/>
      <w:bookmarkStart w:id="2046" w:name="_Toc505345875"/>
      <w:bookmarkStart w:id="2047" w:name="_Toc505335404"/>
      <w:bookmarkStart w:id="2048" w:name="_Toc505266552"/>
      <w:bookmarkStart w:id="2049" w:name="_Toc505248686"/>
      <w:bookmarkStart w:id="2050" w:name="_Toc505182029"/>
      <w:bookmarkStart w:id="2051" w:name="_Toc509412646"/>
      <w:bookmarkStart w:id="2052" w:name="_Toc509414822"/>
      <w:bookmarkStart w:id="2053" w:name="_Toc509414878"/>
      <w:r>
        <w:rPr>
          <w:noProof/>
          <w:sz w:val="32"/>
          <w:szCs w:val="32"/>
        </w:rPr>
        <w:t>Annex 7: Open Data in an International Context</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Over the last few decades, a range of countries have put in place their specific open government data policies all over the world. Some of these nat</w:t>
      </w:r>
      <w:r>
        <w:rPr>
          <w:rFonts w:ascii="Times New Roman" w:hAnsi="Times New Roman" w:cs="Times New Roman"/>
          <w:noProof/>
          <w:sz w:val="24"/>
          <w:szCs w:val="24"/>
          <w:lang w:val="en-US"/>
        </w:rPr>
        <w:t>ional or cross-border open data policies have already borne their fruits in the form of measurable socio-economic benefits.</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a global context, nearly eight in 10 citizens (78%) say that open government data can help improve lives of citizens. The largest</w:t>
      </w:r>
      <w:r>
        <w:rPr>
          <w:rFonts w:ascii="Times New Roman" w:hAnsi="Times New Roman" w:cs="Times New Roman"/>
          <w:noProof/>
          <w:sz w:val="24"/>
          <w:szCs w:val="24"/>
          <w:lang w:val="en-US"/>
        </w:rPr>
        <w:t xml:space="preserve"> number of people who consider open government data to have an important role in improving their lives are from India (93%), followed by Taiwan (84%), Singapore (83%) and Mexico (80%). 37% of respondents think that open government data makes governments mo</w:t>
      </w:r>
      <w:r>
        <w:rPr>
          <w:rFonts w:ascii="Times New Roman" w:hAnsi="Times New Roman" w:cs="Times New Roman"/>
          <w:noProof/>
          <w:sz w:val="24"/>
          <w:szCs w:val="24"/>
          <w:lang w:val="en-US"/>
        </w:rPr>
        <w:t>re transparent. This sentiment is particularly strong in Mexico (52%), Taiwan (51%) and Finland (47%).</w:t>
      </w:r>
      <w:r>
        <w:rPr>
          <w:rFonts w:ascii="Times New Roman" w:hAnsi="Times New Roman" w:cs="Times New Roman"/>
          <w:noProof/>
          <w:sz w:val="24"/>
          <w:szCs w:val="24"/>
          <w:vertAlign w:val="superscript"/>
          <w:lang w:val="en-US"/>
        </w:rPr>
        <w:footnoteReference w:id="200"/>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A 2013 study</w:t>
      </w:r>
      <w:r>
        <w:rPr>
          <w:rFonts w:ascii="Times New Roman" w:hAnsi="Times New Roman" w:cs="Times New Roman"/>
          <w:noProof/>
          <w:sz w:val="24"/>
          <w:szCs w:val="24"/>
          <w:vertAlign w:val="superscript"/>
        </w:rPr>
        <w:footnoteReference w:id="201"/>
      </w:r>
      <w:r>
        <w:rPr>
          <w:rFonts w:ascii="Times New Roman" w:hAnsi="Times New Roman" w:cs="Times New Roman"/>
          <w:noProof/>
          <w:sz w:val="24"/>
          <w:szCs w:val="24"/>
        </w:rPr>
        <w:t xml:space="preserve"> made an attempt to estimate the annual economic potential linked to open data and calculated USD 3 trillion globally.</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The benefits taken </w:t>
      </w:r>
      <w:r>
        <w:rPr>
          <w:rFonts w:ascii="Times New Roman" w:hAnsi="Times New Roman" w:cs="Times New Roman"/>
          <w:noProof/>
          <w:sz w:val="24"/>
          <w:szCs w:val="24"/>
        </w:rPr>
        <w:t>into account during the calculation included increased efficiency, development of new products and services, and consumer surplus (cost savings, convenience, better-quality products) as well. The same study estimated that the potential economic benefits co</w:t>
      </w:r>
      <w:r>
        <w:rPr>
          <w:rFonts w:ascii="Times New Roman" w:hAnsi="Times New Roman" w:cs="Times New Roman"/>
          <w:noProof/>
          <w:sz w:val="24"/>
          <w:szCs w:val="24"/>
        </w:rPr>
        <w:t>uld be divided mainly between the United States (USD 1.1 trillion), Europe (USD 900 billion) and the rest of the world (USD 1.7 trillion).</w:t>
      </w:r>
    </w:p>
    <w:p w:rsidR="00DF1A33" w:rsidRDefault="00456F01">
      <w:pPr>
        <w:jc w:val="both"/>
        <w:rPr>
          <w:rFonts w:ascii="Times New Roman" w:hAnsi="Times New Roman" w:cs="Times New Roman"/>
          <w:i/>
          <w:noProof/>
          <w:sz w:val="24"/>
          <w:szCs w:val="24"/>
        </w:rPr>
      </w:pPr>
      <w:r>
        <w:rPr>
          <w:rFonts w:ascii="Times New Roman" w:hAnsi="Times New Roman" w:cs="Times New Roman"/>
          <w:i/>
          <w:noProof/>
          <w:sz w:val="24"/>
          <w:szCs w:val="24"/>
        </w:rPr>
        <w:t>G8 Open Data Charter and International Open Data Charter</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June 2013, G8 leaders signed an Open Data Charter</w:t>
      </w:r>
      <w:r>
        <w:rPr>
          <w:rFonts w:ascii="Times New Roman" w:hAnsi="Times New Roman" w:cs="Times New Roman"/>
          <w:noProof/>
          <w:sz w:val="24"/>
          <w:szCs w:val="24"/>
          <w:vertAlign w:val="superscript"/>
          <w:lang w:val="en-US"/>
        </w:rPr>
        <w:footnoteReference w:id="202"/>
      </w:r>
      <w:r>
        <w:rPr>
          <w:rFonts w:ascii="Times New Roman" w:hAnsi="Times New Roman" w:cs="Times New Roman"/>
          <w:noProof/>
          <w:sz w:val="24"/>
          <w:szCs w:val="24"/>
          <w:lang w:val="en-US"/>
        </w:rPr>
        <w:t xml:space="preserve"> which </w:t>
      </w:r>
      <w:r>
        <w:rPr>
          <w:rFonts w:ascii="Times New Roman" w:hAnsi="Times New Roman" w:cs="Times New Roman"/>
          <w:noProof/>
          <w:sz w:val="24"/>
          <w:szCs w:val="24"/>
          <w:lang w:val="en-US"/>
        </w:rPr>
        <w:t xml:space="preserve">set out five strategic principles that all G8 members are to act on. These include an expectation that all government data will be published openly by default, alongside principles to increase the quality, quantity and re-use of the data that is released. </w:t>
      </w:r>
      <w:r>
        <w:rPr>
          <w:rFonts w:ascii="Times New Roman" w:hAnsi="Times New Roman" w:cs="Times New Roman"/>
          <w:noProof/>
          <w:sz w:val="24"/>
          <w:szCs w:val="24"/>
          <w:lang w:val="en-US"/>
        </w:rPr>
        <w:t xml:space="preserve">G8 members have also identified fourteen high-value areas – from education to transport, and from health to crime and justice – from which they will release data. </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On the basis of the G8 Open Data Charter, an International Open Data Charter</w:t>
      </w:r>
      <w:r>
        <w:rPr>
          <w:rFonts w:ascii="Times New Roman" w:hAnsi="Times New Roman" w:cs="Times New Roman"/>
          <w:noProof/>
          <w:sz w:val="24"/>
          <w:szCs w:val="24"/>
          <w:vertAlign w:val="superscript"/>
          <w:lang w:val="en-US"/>
        </w:rPr>
        <w:footnoteReference w:id="203"/>
      </w:r>
      <w:r>
        <w:rPr>
          <w:rFonts w:ascii="Times New Roman" w:hAnsi="Times New Roman" w:cs="Times New Roman"/>
          <w:noProof/>
          <w:sz w:val="24"/>
          <w:szCs w:val="24"/>
          <w:lang w:val="en-US"/>
        </w:rPr>
        <w:t xml:space="preserve"> has been devel</w:t>
      </w:r>
      <w:r>
        <w:rPr>
          <w:rFonts w:ascii="Times New Roman" w:hAnsi="Times New Roman" w:cs="Times New Roman"/>
          <w:noProof/>
          <w:sz w:val="24"/>
          <w:szCs w:val="24"/>
          <w:lang w:val="en-US"/>
        </w:rPr>
        <w:t xml:space="preserve">oped, with the support of a number of international organizations including the World Bank Group, United Nations, Organization of American States (OAS), Organization for Economic Co-operation and Development (OECD), Inter-American Development Bank (IADB), </w:t>
      </w:r>
      <w:r>
        <w:rPr>
          <w:rFonts w:ascii="Times New Roman" w:hAnsi="Times New Roman" w:cs="Times New Roman"/>
          <w:noProof/>
          <w:sz w:val="24"/>
          <w:szCs w:val="24"/>
          <w:lang w:val="en-US"/>
        </w:rPr>
        <w:t>African Development Bank Group, Economic Commission for Latin America and the Caribbean (ECLAC/CEPAL). The Charter has so far been adopted by 17 national and 35 local or subnational governments across the world.</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All G8 members have started implementing the</w:t>
      </w:r>
      <w:r>
        <w:rPr>
          <w:rFonts w:ascii="Times New Roman" w:hAnsi="Times New Roman" w:cs="Times New Roman"/>
          <w:noProof/>
          <w:sz w:val="24"/>
          <w:szCs w:val="24"/>
          <w:lang w:val="en-US"/>
        </w:rPr>
        <w:t xml:space="preserve"> commitment to work towards the progressive publication of datasets in accordance with the principles of “open by default” and “quality and quantity”. Other countries have made similar pledges all over the world. </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Such benefits could also be realised at EU</w:t>
      </w:r>
      <w:r>
        <w:rPr>
          <w:rFonts w:ascii="Times New Roman" w:hAnsi="Times New Roman" w:cs="Times New Roman"/>
          <w:noProof/>
          <w:sz w:val="24"/>
          <w:szCs w:val="24"/>
          <w:lang w:val="en-US"/>
        </w:rPr>
        <w:t xml:space="preserve"> level. In its commitments to implement the G8 Open Data Charter</w:t>
      </w:r>
      <w:r>
        <w:rPr>
          <w:rFonts w:ascii="Times New Roman" w:hAnsi="Times New Roman" w:cs="Times New Roman"/>
          <w:noProof/>
          <w:sz w:val="24"/>
          <w:szCs w:val="24"/>
          <w:vertAlign w:val="superscript"/>
          <w:lang w:val="en-US"/>
        </w:rPr>
        <w:footnoteReference w:id="204"/>
      </w:r>
      <w:r>
        <w:rPr>
          <w:rFonts w:ascii="Times New Roman" w:hAnsi="Times New Roman" w:cs="Times New Roman"/>
          <w:noProof/>
          <w:sz w:val="24"/>
          <w:szCs w:val="24"/>
          <w:lang w:val="en-US"/>
        </w:rPr>
        <w:t>, the EU also committed to the publication by the EU Member States of core and high-value datasets in line with the G8 principles. Creating a list of such datasets, which would be open and fr</w:t>
      </w:r>
      <w:r>
        <w:rPr>
          <w:rFonts w:ascii="Times New Roman" w:hAnsi="Times New Roman" w:cs="Times New Roman"/>
          <w:noProof/>
          <w:sz w:val="24"/>
          <w:szCs w:val="24"/>
          <w:lang w:val="en-US"/>
        </w:rPr>
        <w:t xml:space="preserve">ee by default, has the potential to facilitate the emergence of a new range of pan-European data products and services developed on the basis of mutually complementary cross-border datasets. </w:t>
      </w:r>
    </w:p>
    <w:p w:rsidR="00DF1A33" w:rsidRDefault="00456F01">
      <w:pPr>
        <w:jc w:val="both"/>
        <w:rPr>
          <w:rFonts w:ascii="Times New Roman" w:hAnsi="Times New Roman" w:cs="Times New Roman"/>
          <w:i/>
          <w:noProof/>
          <w:sz w:val="24"/>
          <w:szCs w:val="24"/>
        </w:rPr>
      </w:pPr>
      <w:r>
        <w:rPr>
          <w:rFonts w:ascii="Times New Roman" w:hAnsi="Times New Roman" w:cs="Times New Roman"/>
          <w:i/>
          <w:noProof/>
          <w:sz w:val="24"/>
          <w:szCs w:val="24"/>
        </w:rPr>
        <w:t>OECD</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2018, the OECD expects to submit for approval a draft Co</w:t>
      </w:r>
      <w:r>
        <w:rPr>
          <w:rFonts w:ascii="Times New Roman" w:hAnsi="Times New Roman" w:cs="Times New Roman"/>
          <w:noProof/>
          <w:sz w:val="24"/>
          <w:szCs w:val="24"/>
          <w:lang w:val="en-US"/>
        </w:rPr>
        <w:t>uncil Recommendation on the General Principles for Enhanced Access to Data. In the run-up to the draft Council Recommendation, an ad-hoc Joint Steering Group will deepen the understanding of issues such as data openness, trade-offs in data utilisation, pol</w:t>
      </w:r>
      <w:r>
        <w:rPr>
          <w:rFonts w:ascii="Times New Roman" w:hAnsi="Times New Roman" w:cs="Times New Roman"/>
          <w:noProof/>
          <w:sz w:val="24"/>
          <w:szCs w:val="24"/>
          <w:lang w:val="en-US"/>
        </w:rPr>
        <w:t>icies to address market failures via enhanced access to data (e.g. interoperability, standards and regulations on privacy and IP). This new OECD Recommendation will combine, amongst others, the OECD Recommendation on Access to Research Data and the OECD PS</w:t>
      </w:r>
      <w:r>
        <w:rPr>
          <w:rFonts w:ascii="Times New Roman" w:hAnsi="Times New Roman" w:cs="Times New Roman"/>
          <w:noProof/>
          <w:sz w:val="24"/>
          <w:szCs w:val="24"/>
          <w:lang w:val="en-US"/>
        </w:rPr>
        <w:t>I Recommendation.</w:t>
      </w:r>
    </w:p>
    <w:p w:rsidR="00DF1A33" w:rsidRDefault="00456F01">
      <w:pPr>
        <w:jc w:val="both"/>
        <w:rPr>
          <w:rFonts w:ascii="Times New Roman" w:hAnsi="Times New Roman" w:cs="Times New Roman"/>
          <w:i/>
          <w:noProof/>
          <w:sz w:val="24"/>
          <w:szCs w:val="24"/>
          <w:lang w:val="en-US"/>
        </w:rPr>
      </w:pPr>
      <w:r>
        <w:rPr>
          <w:rFonts w:ascii="Times New Roman" w:hAnsi="Times New Roman" w:cs="Times New Roman"/>
          <w:i/>
          <w:noProof/>
          <w:sz w:val="24"/>
          <w:szCs w:val="24"/>
          <w:lang w:val="en-US"/>
        </w:rPr>
        <w:t>Open Government Partnership (OGP)</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Open data is an important component of the Open Government Partnership (OGP) initiative</w:t>
      </w:r>
      <w:r>
        <w:rPr>
          <w:rFonts w:ascii="Times New Roman" w:hAnsi="Times New Roman" w:cs="Times New Roman"/>
          <w:noProof/>
          <w:sz w:val="24"/>
          <w:szCs w:val="24"/>
          <w:vertAlign w:val="superscript"/>
        </w:rPr>
        <w:footnoteReference w:id="205"/>
      </w:r>
      <w:r>
        <w:rPr>
          <w:rFonts w:ascii="Times New Roman" w:hAnsi="Times New Roman" w:cs="Times New Roman"/>
          <w:noProof/>
          <w:sz w:val="24"/>
          <w:szCs w:val="24"/>
        </w:rPr>
        <w:t xml:space="preserve"> whose primary goal is to "increase transparency about what governments are doing – which promotes accountability and good governance, enhances public debate, helps to combat corruption, and supports the design and delivery of better public services". OGP </w:t>
      </w:r>
      <w:r>
        <w:rPr>
          <w:rFonts w:ascii="Times New Roman" w:hAnsi="Times New Roman" w:cs="Times New Roman"/>
          <w:noProof/>
          <w:sz w:val="24"/>
          <w:szCs w:val="24"/>
        </w:rPr>
        <w:t>membership increased from 8 members in 2011 to over 70 countries, including the majority of EU member states.</w:t>
      </w:r>
    </w:p>
    <w:p w:rsidR="00DF1A33" w:rsidRDefault="00456F01">
      <w:pPr>
        <w:jc w:val="both"/>
        <w:rPr>
          <w:rFonts w:ascii="Times New Roman" w:hAnsi="Times New Roman" w:cs="Times New Roman"/>
          <w:i/>
          <w:noProof/>
          <w:sz w:val="24"/>
          <w:szCs w:val="24"/>
        </w:rPr>
      </w:pPr>
      <w:r>
        <w:rPr>
          <w:rFonts w:ascii="Times New Roman" w:hAnsi="Times New Roman" w:cs="Times New Roman"/>
          <w:i/>
          <w:noProof/>
          <w:sz w:val="24"/>
          <w:szCs w:val="24"/>
        </w:rPr>
        <w:t xml:space="preserve">United States of America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In the United States, the Federal Government has been pioneering Open Data policies already under the Clinton administra</w:t>
      </w:r>
      <w:r>
        <w:rPr>
          <w:rFonts w:ascii="Times New Roman" w:hAnsi="Times New Roman" w:cs="Times New Roman"/>
          <w:noProof/>
          <w:sz w:val="24"/>
          <w:szCs w:val="24"/>
        </w:rPr>
        <w:t>tion placing federal information in the public domain. In 2013, President Barack Obama issued a Memorandum on "Open Data Policy – Managing Information as an Asset"</w:t>
      </w:r>
      <w:r>
        <w:rPr>
          <w:rFonts w:ascii="Times New Roman" w:hAnsi="Times New Roman" w:cs="Times New Roman"/>
          <w:noProof/>
          <w:sz w:val="24"/>
          <w:szCs w:val="24"/>
          <w:vertAlign w:val="superscript"/>
        </w:rPr>
        <w:footnoteReference w:id="206"/>
      </w:r>
      <w:r>
        <w:rPr>
          <w:rFonts w:ascii="Times New Roman" w:hAnsi="Times New Roman" w:cs="Times New Roman"/>
          <w:noProof/>
          <w:sz w:val="24"/>
          <w:szCs w:val="24"/>
        </w:rPr>
        <w:t xml:space="preserve"> and an executive order</w:t>
      </w:r>
      <w:r>
        <w:rPr>
          <w:rFonts w:ascii="Times New Roman" w:hAnsi="Times New Roman" w:cs="Times New Roman"/>
          <w:noProof/>
          <w:sz w:val="24"/>
          <w:szCs w:val="24"/>
          <w:vertAlign w:val="superscript"/>
        </w:rPr>
        <w:footnoteReference w:id="207"/>
      </w:r>
      <w:r>
        <w:rPr>
          <w:rFonts w:ascii="Times New Roman" w:hAnsi="Times New Roman" w:cs="Times New Roman"/>
          <w:noProof/>
          <w:sz w:val="24"/>
          <w:szCs w:val="24"/>
        </w:rPr>
        <w:t xml:space="preserve"> to all federal ministries and agencies to make their information ea</w:t>
      </w:r>
      <w:r>
        <w:rPr>
          <w:rFonts w:ascii="Times New Roman" w:hAnsi="Times New Roman" w:cs="Times New Roman"/>
          <w:noProof/>
          <w:sz w:val="24"/>
          <w:szCs w:val="24"/>
        </w:rPr>
        <w:t>sily and readily available on machine readable form. This memorandum has been followed by concrete plans of actions</w:t>
      </w:r>
      <w:r>
        <w:rPr>
          <w:rFonts w:ascii="Times New Roman" w:hAnsi="Times New Roman" w:cs="Times New Roman"/>
          <w:noProof/>
          <w:sz w:val="24"/>
          <w:szCs w:val="24"/>
          <w:vertAlign w:val="superscript"/>
        </w:rPr>
        <w:footnoteReference w:id="208"/>
      </w:r>
      <w:r>
        <w:rPr>
          <w:rFonts w:ascii="Times New Roman" w:hAnsi="Times New Roman" w:cs="Times New Roman"/>
          <w:noProof/>
          <w:sz w:val="24"/>
          <w:szCs w:val="24"/>
        </w:rPr>
        <w:t xml:space="preserve"> and a strong political backing by "a data-driven president"</w:t>
      </w:r>
      <w:r>
        <w:rPr>
          <w:rFonts w:ascii="Times New Roman" w:hAnsi="Times New Roman" w:cs="Times New Roman"/>
          <w:noProof/>
          <w:sz w:val="24"/>
          <w:szCs w:val="24"/>
          <w:vertAlign w:val="superscript"/>
        </w:rPr>
        <w:footnoteReference w:id="209"/>
      </w:r>
      <w:r>
        <w:rPr>
          <w:rFonts w:ascii="Times New Roman" w:hAnsi="Times New Roman" w:cs="Times New Roman"/>
          <w:noProof/>
          <w:sz w:val="24"/>
          <w:szCs w:val="24"/>
        </w:rPr>
        <w:t>.</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Digital Accountability and Transparency Act of 2014 (DATA Act) advocates an opening of some governmental data. It focuses on making </w:t>
      </w:r>
      <w:hyperlink r:id="rId59" w:tooltip="Expenditures in the United States federal budget" w:history="1">
        <w:r>
          <w:rPr>
            <w:rStyle w:val="Hyperlink"/>
            <w:noProof/>
            <w:szCs w:val="24"/>
            <w:lang w:val="en-US"/>
          </w:rPr>
          <w:t>federal expenditures</w:t>
        </w:r>
      </w:hyperlink>
      <w:r>
        <w:rPr>
          <w:rFonts w:ascii="Times New Roman" w:hAnsi="Times New Roman" w:cs="Times New Roman"/>
          <w:noProof/>
          <w:sz w:val="24"/>
          <w:szCs w:val="24"/>
          <w:lang w:val="en-US"/>
        </w:rPr>
        <w:t xml:space="preserve"> more easily accessible and transparent by, for example, establishing common standards for financial data. A related policy document</w:t>
      </w:r>
      <w:r>
        <w:rPr>
          <w:rFonts w:ascii="Times New Roman" w:hAnsi="Times New Roman" w:cs="Times New Roman"/>
          <w:noProof/>
          <w:sz w:val="24"/>
          <w:szCs w:val="24"/>
          <w:vertAlign w:val="superscript"/>
          <w:lang w:val="en-US"/>
        </w:rPr>
        <w:footnoteReference w:id="210"/>
      </w:r>
      <w:r>
        <w:rPr>
          <w:rFonts w:ascii="Times New Roman" w:hAnsi="Times New Roman" w:cs="Times New Roman"/>
          <w:noProof/>
          <w:sz w:val="24"/>
          <w:szCs w:val="24"/>
          <w:lang w:val="en-US"/>
        </w:rPr>
        <w:t xml:space="preserve"> instructs agencies to manage their data as an asset and, wherever possibl</w:t>
      </w:r>
      <w:r>
        <w:rPr>
          <w:rFonts w:ascii="Times New Roman" w:hAnsi="Times New Roman" w:cs="Times New Roman"/>
          <w:noProof/>
          <w:sz w:val="24"/>
          <w:szCs w:val="24"/>
          <w:lang w:val="en-US"/>
        </w:rPr>
        <w:t xml:space="preserve">e, release it to the public in an open, discoverable and usable way. The US administration has recently started an IT modernisation effort which shifts their policy to a service-based model (i.e. rethinking how government delivers services). </w:t>
      </w:r>
    </w:p>
    <w:p w:rsidR="00DF1A33" w:rsidRDefault="00456F01">
      <w:pPr>
        <w:jc w:val="both"/>
        <w:rPr>
          <w:rFonts w:ascii="Times New Roman" w:hAnsi="Times New Roman" w:cs="Times New Roman"/>
          <w:i/>
          <w:noProof/>
          <w:sz w:val="24"/>
          <w:szCs w:val="24"/>
        </w:rPr>
      </w:pPr>
      <w:r>
        <w:rPr>
          <w:rFonts w:ascii="Times New Roman" w:hAnsi="Times New Roman" w:cs="Times New Roman"/>
          <w:i/>
          <w:noProof/>
          <w:sz w:val="24"/>
          <w:szCs w:val="24"/>
        </w:rPr>
        <w:t>Japan</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Japa</w:t>
      </w:r>
      <w:r>
        <w:rPr>
          <w:rFonts w:ascii="Times New Roman" w:hAnsi="Times New Roman" w:cs="Times New Roman"/>
          <w:noProof/>
          <w:sz w:val="24"/>
          <w:szCs w:val="24"/>
          <w:lang w:val="en-US"/>
        </w:rPr>
        <w:t xml:space="preserve">n, under the Basic Act on the Advancement of Utilising Public and Private Sector Data of December 2016, </w:t>
      </w:r>
      <w:r>
        <w:rPr>
          <w:rFonts w:ascii="Times New Roman" w:hAnsi="Times New Roman" w:cs="Times New Roman"/>
          <w:i/>
          <w:noProof/>
          <w:sz w:val="24"/>
          <w:szCs w:val="24"/>
          <w:lang w:val="en-US"/>
        </w:rPr>
        <w:t>"The State and local public entities are to implement necessary measures to enable citizens to easily use Public and Private Sector Data held by themsel</w:t>
      </w:r>
      <w:r>
        <w:rPr>
          <w:rFonts w:ascii="Times New Roman" w:hAnsi="Times New Roman" w:cs="Times New Roman"/>
          <w:i/>
          <w:noProof/>
          <w:sz w:val="24"/>
          <w:szCs w:val="24"/>
          <w:lang w:val="en-US"/>
        </w:rPr>
        <w:t>ves via the Internet or any other advanced information and telecommunications network while ensuring that the rights and interests of individuals and corporations, national security, etc. are not damaged"</w:t>
      </w:r>
      <w:r>
        <w:rPr>
          <w:rFonts w:ascii="Times New Roman" w:hAnsi="Times New Roman" w:cs="Times New Roman"/>
          <w:noProof/>
          <w:sz w:val="24"/>
          <w:szCs w:val="24"/>
          <w:lang w:val="en-US"/>
        </w:rPr>
        <w:t>. In some sectors such as electric power and gas, ce</w:t>
      </w:r>
      <w:r>
        <w:rPr>
          <w:rFonts w:ascii="Times New Roman" w:hAnsi="Times New Roman" w:cs="Times New Roman"/>
          <w:noProof/>
          <w:sz w:val="24"/>
          <w:szCs w:val="24"/>
          <w:lang w:val="en-US"/>
        </w:rPr>
        <w:t>rtain measures are taken to allow access to the information they collect in their legal monopoly. The Japanese open data portal publishes data sets considered of high value such as transport timetables, education information, energy and government accounta</w:t>
      </w:r>
      <w:r>
        <w:rPr>
          <w:rFonts w:ascii="Times New Roman" w:hAnsi="Times New Roman" w:cs="Times New Roman"/>
          <w:noProof/>
          <w:sz w:val="24"/>
          <w:szCs w:val="24"/>
          <w:lang w:val="en-US"/>
        </w:rPr>
        <w:t xml:space="preserve">bility and democracy. </w:t>
      </w:r>
    </w:p>
    <w:p w:rsidR="00DF1A33" w:rsidRDefault="00456F01">
      <w:pPr>
        <w:jc w:val="both"/>
        <w:rPr>
          <w:rFonts w:ascii="Times New Roman" w:hAnsi="Times New Roman" w:cs="Times New Roman"/>
          <w:i/>
          <w:noProof/>
          <w:sz w:val="24"/>
          <w:szCs w:val="24"/>
        </w:rPr>
      </w:pPr>
      <w:r>
        <w:rPr>
          <w:rFonts w:ascii="Times New Roman" w:hAnsi="Times New Roman" w:cs="Times New Roman"/>
          <w:i/>
          <w:noProof/>
          <w:sz w:val="24"/>
          <w:szCs w:val="24"/>
        </w:rPr>
        <w:t>Australia</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principles on open public sector information form part of a core vision for government information management in Australia.</w:t>
      </w:r>
      <w:r>
        <w:rPr>
          <w:rFonts w:ascii="Times New Roman" w:hAnsi="Times New Roman" w:cs="Times New Roman"/>
          <w:noProof/>
          <w:sz w:val="24"/>
          <w:szCs w:val="24"/>
          <w:vertAlign w:val="superscript"/>
          <w:lang w:val="en-US"/>
        </w:rPr>
        <w:footnoteReference w:id="211"/>
      </w:r>
      <w:r>
        <w:rPr>
          <w:rFonts w:ascii="Times New Roman" w:hAnsi="Times New Roman" w:cs="Times New Roman"/>
          <w:noProof/>
          <w:sz w:val="24"/>
          <w:szCs w:val="24"/>
          <w:lang w:val="en-US"/>
        </w:rPr>
        <w:t xml:space="preserve"> These principles rest on the premise that public sector information is a national resource and a free flow of information between government, business and the community can stimulate innovation in the economy. The principles will be applied with objective</w:t>
      </w:r>
      <w:r>
        <w:rPr>
          <w:rFonts w:ascii="Times New Roman" w:hAnsi="Times New Roman" w:cs="Times New Roman"/>
          <w:noProof/>
          <w:sz w:val="24"/>
          <w:szCs w:val="24"/>
          <w:lang w:val="en-US"/>
        </w:rPr>
        <w:t>s of the Freedom of Information Act 1982 (FOI Act)</w:t>
      </w:r>
      <w:r>
        <w:rPr>
          <w:rFonts w:ascii="Times New Roman" w:hAnsi="Times New Roman" w:cs="Times New Roman"/>
          <w:noProof/>
          <w:sz w:val="24"/>
          <w:szCs w:val="24"/>
          <w:vertAlign w:val="superscript"/>
          <w:lang w:val="en-US"/>
        </w:rPr>
        <w:footnoteReference w:id="212"/>
      </w:r>
      <w:r>
        <w:rPr>
          <w:rFonts w:ascii="Times New Roman" w:hAnsi="Times New Roman" w:cs="Times New Roman"/>
          <w:noProof/>
          <w:sz w:val="24"/>
          <w:szCs w:val="24"/>
          <w:lang w:val="en-US"/>
        </w:rPr>
        <w:t xml:space="preserve">. </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Australian open data portal provides data sets such as public transport timetables, international trade data, company register and government spending (in machine readable format). It also provides </w:t>
      </w:r>
      <w:r>
        <w:rPr>
          <w:rFonts w:ascii="Times New Roman" w:hAnsi="Times New Roman" w:cs="Times New Roman"/>
          <w:noProof/>
          <w:sz w:val="24"/>
          <w:szCs w:val="24"/>
          <w:lang w:val="en-US"/>
        </w:rPr>
        <w:t xml:space="preserve">hosting for tabular, spatial and relational data with hosted APIs and the option for agencies to link data and services hosted by other government sources. </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government in Australia has committed to identifying National Interest Datasets (NIDs). Accordi</w:t>
      </w:r>
      <w:r>
        <w:rPr>
          <w:rFonts w:ascii="Times New Roman" w:hAnsi="Times New Roman" w:cs="Times New Roman"/>
          <w:noProof/>
          <w:sz w:val="24"/>
          <w:szCs w:val="24"/>
          <w:lang w:val="en-US"/>
        </w:rPr>
        <w:t>ng to the report "Building a reformed data system"</w:t>
      </w:r>
      <w:r>
        <w:rPr>
          <w:rFonts w:ascii="Times New Roman" w:hAnsi="Times New Roman" w:cs="Times New Roman"/>
          <w:noProof/>
          <w:sz w:val="24"/>
          <w:szCs w:val="24"/>
          <w:vertAlign w:val="superscript"/>
          <w:lang w:val="en-US"/>
        </w:rPr>
        <w:footnoteReference w:id="213"/>
      </w:r>
      <w:r>
        <w:rPr>
          <w:rFonts w:ascii="Times New Roman" w:hAnsi="Times New Roman" w:cs="Times New Roman"/>
          <w:noProof/>
          <w:sz w:val="24"/>
          <w:szCs w:val="24"/>
          <w:lang w:val="en-US"/>
        </w:rPr>
        <w:t>, significant improvements could come from aggregating data across the States and Territories in different domains: health, education, social welfare, child support, aged care, and linking them with datase</w:t>
      </w:r>
      <w:r>
        <w:rPr>
          <w:rFonts w:ascii="Times New Roman" w:hAnsi="Times New Roman" w:cs="Times New Roman"/>
          <w:noProof/>
          <w:sz w:val="24"/>
          <w:szCs w:val="24"/>
          <w:lang w:val="en-US"/>
        </w:rPr>
        <w:t xml:space="preserve">ts from other fields, such as the population census, taxation, employment, business ownership, telecommunications, private health insurance or housing. In principle, all non-sensitive datasets in fields where there are growing opportunities and capability </w:t>
      </w:r>
      <w:r>
        <w:rPr>
          <w:rFonts w:ascii="Times New Roman" w:hAnsi="Times New Roman" w:cs="Times New Roman"/>
          <w:noProof/>
          <w:sz w:val="24"/>
          <w:szCs w:val="24"/>
          <w:lang w:val="en-US"/>
        </w:rPr>
        <w:t xml:space="preserve">would be opened up and released, depending on resources and sectoral demand. </w:t>
      </w:r>
    </w:p>
    <w:p w:rsidR="00DF1A33" w:rsidRDefault="00456F01">
      <w:pPr>
        <w:jc w:val="both"/>
        <w:rPr>
          <w:rFonts w:ascii="Times New Roman" w:hAnsi="Times New Roman" w:cs="Times New Roman"/>
          <w:i/>
          <w:noProof/>
          <w:sz w:val="24"/>
          <w:szCs w:val="24"/>
        </w:rPr>
      </w:pPr>
      <w:r>
        <w:rPr>
          <w:rFonts w:ascii="Times New Roman" w:hAnsi="Times New Roman" w:cs="Times New Roman"/>
          <w:i/>
          <w:noProof/>
          <w:sz w:val="24"/>
          <w:szCs w:val="24"/>
        </w:rPr>
        <w:t xml:space="preserve">Canada </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government of Canada issued the Directive on Open Government in October 2014, where it establishes an "open by default" directive for government publications and data</w:t>
      </w:r>
      <w:r>
        <w:rPr>
          <w:rFonts w:ascii="Times New Roman" w:hAnsi="Times New Roman" w:cs="Times New Roman"/>
          <w:noProof/>
          <w:sz w:val="24"/>
          <w:szCs w:val="24"/>
          <w:lang w:val="en-US"/>
        </w:rPr>
        <w:t>. In 2016, the Third Biennial Plan to the Open Government Partnership was released with commitments on open data, i.e. to enhance access to information, streamline requests for personal information, expand and improve open data, provide and preserve open i</w:t>
      </w:r>
      <w:r>
        <w:rPr>
          <w:rFonts w:ascii="Times New Roman" w:hAnsi="Times New Roman" w:cs="Times New Roman"/>
          <w:noProof/>
          <w:sz w:val="24"/>
          <w:szCs w:val="24"/>
          <w:lang w:val="en-US"/>
        </w:rPr>
        <w:t xml:space="preserve">nformation, definition of an approach for measuring open government performance, development of open government skills and enhance access to culture and heritage collections. </w:t>
      </w:r>
    </w:p>
    <w:p w:rsidR="00DF1A33" w:rsidRDefault="00456F01">
      <w:pPr>
        <w:pStyle w:val="Heading1"/>
        <w:pageBreakBefore/>
        <w:numPr>
          <w:ilvl w:val="0"/>
          <w:numId w:val="0"/>
        </w:numPr>
        <w:tabs>
          <w:tab w:val="left" w:pos="720"/>
        </w:tabs>
        <w:ind w:left="482"/>
        <w:jc w:val="center"/>
        <w:rPr>
          <w:noProof/>
          <w:sz w:val="32"/>
          <w:szCs w:val="32"/>
        </w:rPr>
      </w:pPr>
      <w:bookmarkStart w:id="2054" w:name="_Toc505881413"/>
      <w:bookmarkStart w:id="2055" w:name="_Toc505869223"/>
      <w:bookmarkStart w:id="2056" w:name="_Toc505868756"/>
      <w:bookmarkStart w:id="2057" w:name="_Toc505864902"/>
      <w:bookmarkStart w:id="2058" w:name="_Toc505862337"/>
      <w:bookmarkStart w:id="2059" w:name="_Toc505856895"/>
      <w:bookmarkStart w:id="2060" w:name="_Toc505773201"/>
      <w:bookmarkStart w:id="2061" w:name="_Toc505705207"/>
      <w:bookmarkStart w:id="2062" w:name="_Toc505701720"/>
      <w:bookmarkStart w:id="2063" w:name="_Toc505698207"/>
      <w:bookmarkStart w:id="2064" w:name="_Toc505696721"/>
      <w:bookmarkStart w:id="2065" w:name="_Toc505346464"/>
      <w:bookmarkStart w:id="2066" w:name="_Toc505345876"/>
      <w:bookmarkStart w:id="2067" w:name="_Toc505335405"/>
      <w:bookmarkStart w:id="2068" w:name="_Toc505266553"/>
      <w:bookmarkStart w:id="2069" w:name="_Toc505248687"/>
      <w:bookmarkStart w:id="2070" w:name="_Toc505182030"/>
      <w:bookmarkStart w:id="2071" w:name="_Toc509412647"/>
      <w:bookmarkStart w:id="2072" w:name="_Toc509414823"/>
      <w:bookmarkStart w:id="2073" w:name="_Toc509414879"/>
      <w:r>
        <w:rPr>
          <w:noProof/>
          <w:sz w:val="32"/>
          <w:szCs w:val="32"/>
        </w:rPr>
        <w:t>Annex 8: Analytical methods</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p>
    <w:p w:rsidR="00DF1A33" w:rsidRDefault="00456F01">
      <w:pPr>
        <w:rPr>
          <w:rFonts w:ascii="Times New Roman Bold" w:hAnsi="Times New Roman Bold"/>
          <w:b/>
          <w:smallCaps/>
          <w:noProof/>
        </w:rPr>
      </w:pPr>
      <w:r>
        <w:rPr>
          <w:rFonts w:ascii="Times New Roman Bold" w:hAnsi="Times New Roman Bold"/>
          <w:b/>
          <w:smallCaps/>
          <w:noProof/>
        </w:rPr>
        <w:t>1. Overall methodology of the study</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The study to sup</w:t>
      </w:r>
      <w:r>
        <w:rPr>
          <w:rFonts w:ascii="Times New Roman" w:hAnsi="Times New Roman" w:cs="Times New Roman"/>
          <w:noProof/>
          <w:sz w:val="24"/>
          <w:szCs w:val="24"/>
        </w:rPr>
        <w:t>port the review of Directive 2003/98/EC on the re-use of public sector information (SMART 2017/0061) was carried out in three Phases (inception, data collection, and analysis). With regard to the collection of data, the following key methodological and ana</w:t>
      </w:r>
      <w:r>
        <w:rPr>
          <w:rFonts w:ascii="Times New Roman" w:hAnsi="Times New Roman" w:cs="Times New Roman"/>
          <w:noProof/>
          <w:sz w:val="24"/>
          <w:szCs w:val="24"/>
        </w:rPr>
        <w:t>lysis tool were implemented:</w:t>
      </w:r>
      <w:r>
        <w:rPr>
          <w:rFonts w:ascii="Times New Roman" w:hAnsi="Times New Roman" w:cs="Times New Roman"/>
          <w:noProof/>
          <w:sz w:val="24"/>
          <w:szCs w:val="24"/>
          <w:vertAlign w:val="superscript"/>
        </w:rPr>
        <w:footnoteReference w:id="214"/>
      </w:r>
    </w:p>
    <w:p w:rsidR="00DF1A33" w:rsidRDefault="00456F01">
      <w:pPr>
        <w:pStyle w:val="ListParagraph"/>
        <w:numPr>
          <w:ilvl w:val="0"/>
          <w:numId w:val="8"/>
        </w:numPr>
        <w:spacing w:before="120" w:after="160" w:line="256" w:lineRule="auto"/>
        <w:jc w:val="both"/>
        <w:rPr>
          <w:rFonts w:ascii="Times New Roman" w:hAnsi="Times New Roman" w:cs="Times New Roman"/>
          <w:noProof/>
          <w:sz w:val="24"/>
          <w:szCs w:val="24"/>
        </w:rPr>
      </w:pPr>
      <w:r>
        <w:rPr>
          <w:rFonts w:ascii="Times New Roman" w:hAnsi="Times New Roman" w:cs="Times New Roman"/>
          <w:noProof/>
          <w:sz w:val="24"/>
          <w:szCs w:val="24"/>
        </w:rPr>
        <w:t>Strategic interviews;</w:t>
      </w:r>
    </w:p>
    <w:p w:rsidR="00DF1A33" w:rsidRDefault="00456F01">
      <w:pPr>
        <w:pStyle w:val="ListParagraph"/>
        <w:numPr>
          <w:ilvl w:val="0"/>
          <w:numId w:val="8"/>
        </w:numPr>
        <w:spacing w:before="120" w:after="160" w:line="256" w:lineRule="auto"/>
        <w:jc w:val="both"/>
        <w:rPr>
          <w:rFonts w:ascii="Times New Roman" w:hAnsi="Times New Roman" w:cs="Times New Roman"/>
          <w:noProof/>
          <w:sz w:val="24"/>
          <w:szCs w:val="24"/>
        </w:rPr>
      </w:pPr>
      <w:r>
        <w:rPr>
          <w:rFonts w:ascii="Times New Roman" w:hAnsi="Times New Roman" w:cs="Times New Roman"/>
          <w:noProof/>
          <w:sz w:val="24"/>
          <w:szCs w:val="24"/>
        </w:rPr>
        <w:t>Desk research;</w:t>
      </w:r>
    </w:p>
    <w:p w:rsidR="00DF1A33" w:rsidRDefault="00456F01">
      <w:pPr>
        <w:pStyle w:val="ListParagraph"/>
        <w:numPr>
          <w:ilvl w:val="0"/>
          <w:numId w:val="8"/>
        </w:numPr>
        <w:spacing w:before="120" w:after="160" w:line="256" w:lineRule="auto"/>
        <w:jc w:val="both"/>
        <w:rPr>
          <w:rFonts w:ascii="Times New Roman" w:hAnsi="Times New Roman" w:cs="Times New Roman"/>
          <w:noProof/>
          <w:sz w:val="24"/>
          <w:szCs w:val="24"/>
        </w:rPr>
      </w:pPr>
      <w:r>
        <w:rPr>
          <w:rFonts w:ascii="Times New Roman" w:hAnsi="Times New Roman" w:cs="Times New Roman"/>
          <w:noProof/>
          <w:sz w:val="24"/>
          <w:szCs w:val="24"/>
        </w:rPr>
        <w:t>Interviews with stakeholders at the EU and national levels;</w:t>
      </w:r>
    </w:p>
    <w:p w:rsidR="00DF1A33" w:rsidRDefault="00456F01">
      <w:pPr>
        <w:pStyle w:val="ListParagraph"/>
        <w:numPr>
          <w:ilvl w:val="0"/>
          <w:numId w:val="8"/>
        </w:numPr>
        <w:spacing w:before="120" w:after="160" w:line="256" w:lineRule="auto"/>
        <w:jc w:val="both"/>
        <w:rPr>
          <w:rFonts w:ascii="Times New Roman" w:hAnsi="Times New Roman" w:cs="Times New Roman"/>
          <w:noProof/>
          <w:sz w:val="24"/>
          <w:szCs w:val="24"/>
        </w:rPr>
      </w:pPr>
      <w:r>
        <w:rPr>
          <w:rFonts w:ascii="Times New Roman" w:hAnsi="Times New Roman" w:cs="Times New Roman"/>
          <w:noProof/>
          <w:sz w:val="24"/>
          <w:szCs w:val="24"/>
        </w:rPr>
        <w:t>Legal data collection;</w:t>
      </w:r>
    </w:p>
    <w:p w:rsidR="00DF1A33" w:rsidRDefault="00456F01">
      <w:pPr>
        <w:pStyle w:val="ListParagraph"/>
        <w:numPr>
          <w:ilvl w:val="0"/>
          <w:numId w:val="8"/>
        </w:numPr>
        <w:spacing w:before="120" w:after="160" w:line="256" w:lineRule="auto"/>
        <w:jc w:val="both"/>
        <w:rPr>
          <w:rFonts w:ascii="Times New Roman" w:hAnsi="Times New Roman" w:cs="Times New Roman"/>
          <w:noProof/>
          <w:sz w:val="24"/>
          <w:szCs w:val="24"/>
        </w:rPr>
      </w:pPr>
      <w:r>
        <w:rPr>
          <w:rFonts w:ascii="Times New Roman" w:hAnsi="Times New Roman" w:cs="Times New Roman"/>
          <w:noProof/>
          <w:sz w:val="24"/>
          <w:szCs w:val="24"/>
        </w:rPr>
        <w:t>Workshops with public sector practitioners and academics, as well as with PSI re-users and data economy pl</w:t>
      </w:r>
      <w:r>
        <w:rPr>
          <w:rFonts w:ascii="Times New Roman" w:hAnsi="Times New Roman" w:cs="Times New Roman"/>
          <w:noProof/>
          <w:sz w:val="24"/>
          <w:szCs w:val="24"/>
        </w:rPr>
        <w:t>ayers;</w:t>
      </w:r>
    </w:p>
    <w:p w:rsidR="00DF1A33" w:rsidRDefault="00456F01">
      <w:pPr>
        <w:pStyle w:val="ListParagraph"/>
        <w:numPr>
          <w:ilvl w:val="0"/>
          <w:numId w:val="8"/>
        </w:numPr>
        <w:spacing w:before="120" w:after="160" w:line="256" w:lineRule="auto"/>
        <w:jc w:val="both"/>
        <w:rPr>
          <w:rFonts w:ascii="Times New Roman" w:hAnsi="Times New Roman" w:cs="Times New Roman"/>
          <w:noProof/>
          <w:sz w:val="24"/>
          <w:szCs w:val="24"/>
        </w:rPr>
      </w:pPr>
      <w:r>
        <w:rPr>
          <w:rFonts w:ascii="Times New Roman" w:hAnsi="Times New Roman" w:cs="Times New Roman"/>
          <w:noProof/>
          <w:sz w:val="24"/>
          <w:szCs w:val="24"/>
        </w:rPr>
        <w:t>Online surveys with public authorities, incl. public cultural institutions, education and research bodies, as well as the re-user community; and</w:t>
      </w:r>
    </w:p>
    <w:p w:rsidR="00DF1A33" w:rsidRDefault="00456F01">
      <w:pPr>
        <w:pStyle w:val="ListParagraph"/>
        <w:numPr>
          <w:ilvl w:val="0"/>
          <w:numId w:val="8"/>
        </w:numPr>
        <w:spacing w:before="120" w:after="160" w:line="256" w:lineRule="auto"/>
        <w:jc w:val="both"/>
        <w:rPr>
          <w:rFonts w:ascii="Times New Roman" w:hAnsi="Times New Roman" w:cs="Times New Roman"/>
          <w:noProof/>
          <w:sz w:val="24"/>
          <w:szCs w:val="24"/>
        </w:rPr>
      </w:pPr>
      <w:r>
        <w:rPr>
          <w:rFonts w:ascii="Times New Roman" w:hAnsi="Times New Roman" w:cs="Times New Roman"/>
          <w:noProof/>
          <w:sz w:val="24"/>
          <w:szCs w:val="24"/>
        </w:rPr>
        <w:t>Analysis of the public consultation</w:t>
      </w:r>
      <w:r>
        <w:rPr>
          <w:rFonts w:ascii="Times New Roman" w:hAnsi="Times New Roman" w:cs="Times New Roman"/>
          <w:noProof/>
          <w:vertAlign w:val="superscript"/>
        </w:rPr>
        <w:footnoteReference w:id="215"/>
      </w:r>
      <w:r>
        <w:rPr>
          <w:rFonts w:ascii="Times New Roman" w:hAnsi="Times New Roman" w:cs="Times New Roman"/>
          <w:noProof/>
          <w:sz w:val="24"/>
          <w:szCs w:val="24"/>
        </w:rPr>
        <w:t xml:space="preserve"> carried out by the European Commission.</w:t>
      </w:r>
    </w:p>
    <w:p w:rsidR="00DF1A33" w:rsidRDefault="00456F01">
      <w:pPr>
        <w:rPr>
          <w:rFonts w:ascii="Times New Roman" w:hAnsi="Times New Roman" w:cs="Times New Roman"/>
          <w:noProof/>
          <w:sz w:val="24"/>
          <w:szCs w:val="24"/>
        </w:rPr>
      </w:pPr>
      <w:r>
        <w:rPr>
          <w:rFonts w:ascii="Times New Roman" w:hAnsi="Times New Roman" w:cs="Times New Roman"/>
          <w:noProof/>
          <w:sz w:val="24"/>
          <w:szCs w:val="24"/>
        </w:rPr>
        <w:t xml:space="preserve">An overview of the all these data collection tools is provided below.  </w:t>
      </w:r>
    </w:p>
    <w:tbl>
      <w:tblPr>
        <w:tblStyle w:val="Deloitte6"/>
        <w:tblW w:w="0" w:type="auto"/>
        <w:tblLook w:val="04A0" w:firstRow="1" w:lastRow="0" w:firstColumn="1" w:lastColumn="0" w:noHBand="0" w:noVBand="1"/>
      </w:tblPr>
      <w:tblGrid>
        <w:gridCol w:w="1414"/>
        <w:gridCol w:w="7420"/>
      </w:tblGrid>
      <w:tr w:rsidR="00DF1A33">
        <w:trPr>
          <w:tblHeader/>
        </w:trPr>
        <w:tc>
          <w:tcPr>
            <w:tcW w:w="1414"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DF1A33" w:rsidRDefault="00456F01">
            <w:pPr>
              <w:spacing w:before="60" w:after="60"/>
              <w:rPr>
                <w:rFonts w:ascii="Times New Roman" w:hAnsi="Times New Roman" w:cs="Times New Roman"/>
                <w:b/>
                <w:noProof/>
                <w:color w:val="FFFFFF" w:themeColor="background1"/>
                <w:sz w:val="24"/>
                <w:szCs w:val="24"/>
              </w:rPr>
            </w:pPr>
            <w:r>
              <w:rPr>
                <w:rFonts w:ascii="Times New Roman" w:hAnsi="Times New Roman" w:cs="Times New Roman"/>
                <w:b/>
                <w:noProof/>
                <w:color w:val="FFFFFF" w:themeColor="background1"/>
                <w:sz w:val="24"/>
                <w:szCs w:val="24"/>
              </w:rPr>
              <w:t>Tool</w:t>
            </w:r>
          </w:p>
        </w:tc>
        <w:tc>
          <w:tcPr>
            <w:tcW w:w="742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DF1A33" w:rsidRDefault="00456F01">
            <w:pPr>
              <w:spacing w:before="60" w:after="60"/>
              <w:rPr>
                <w:rFonts w:ascii="Times New Roman" w:hAnsi="Times New Roman" w:cs="Times New Roman"/>
                <w:b/>
                <w:noProof/>
                <w:color w:val="FFFFFF" w:themeColor="background1"/>
                <w:sz w:val="24"/>
                <w:szCs w:val="24"/>
              </w:rPr>
            </w:pPr>
            <w:r>
              <w:rPr>
                <w:rFonts w:ascii="Times New Roman" w:hAnsi="Times New Roman" w:cs="Times New Roman"/>
                <w:b/>
                <w:noProof/>
                <w:color w:val="FFFFFF" w:themeColor="background1"/>
                <w:sz w:val="24"/>
                <w:szCs w:val="24"/>
              </w:rPr>
              <w:t>Details</w:t>
            </w:r>
          </w:p>
        </w:tc>
      </w:tr>
      <w:tr w:rsidR="00DF1A33">
        <w:tc>
          <w:tcPr>
            <w:tcW w:w="1414" w:type="dxa"/>
            <w:tcBorders>
              <w:top w:val="single" w:sz="4" w:space="0" w:color="auto"/>
              <w:left w:val="single" w:sz="4" w:space="0" w:color="auto"/>
              <w:bottom w:val="single" w:sz="4" w:space="0" w:color="auto"/>
              <w:right w:val="single" w:sz="4" w:space="0" w:color="auto"/>
            </w:tcBorders>
            <w:hideMark/>
          </w:tcPr>
          <w:p w:rsidR="00DF1A33" w:rsidRDefault="00456F01">
            <w:pPr>
              <w:spacing w:before="60" w:after="60"/>
              <w:rPr>
                <w:rFonts w:ascii="Times New Roman" w:hAnsi="Times New Roman" w:cs="Times New Roman"/>
                <w:noProof/>
                <w:sz w:val="24"/>
                <w:szCs w:val="24"/>
              </w:rPr>
            </w:pPr>
            <w:r>
              <w:rPr>
                <w:rFonts w:ascii="Times New Roman" w:hAnsi="Times New Roman" w:cs="Times New Roman"/>
                <w:noProof/>
                <w:color w:val="000000"/>
                <w:sz w:val="24"/>
                <w:szCs w:val="24"/>
              </w:rPr>
              <w:t>Strategic interviews</w:t>
            </w:r>
          </w:p>
        </w:tc>
        <w:tc>
          <w:tcPr>
            <w:tcW w:w="7420" w:type="dxa"/>
            <w:tcBorders>
              <w:top w:val="single" w:sz="4" w:space="0" w:color="auto"/>
              <w:left w:val="single" w:sz="4" w:space="0" w:color="auto"/>
              <w:bottom w:val="single" w:sz="4" w:space="0" w:color="auto"/>
              <w:right w:val="single" w:sz="4" w:space="0" w:color="auto"/>
            </w:tcBorders>
            <w:hideMark/>
          </w:tcPr>
          <w:p w:rsidR="00DF1A33" w:rsidRDefault="00456F01">
            <w:pPr>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Strategic interviews have been carried out with:</w:t>
            </w:r>
          </w:p>
          <w:p w:rsidR="00DF1A33" w:rsidRDefault="00456F01">
            <w:pPr>
              <w:numPr>
                <w:ilvl w:val="0"/>
                <w:numId w:val="7"/>
              </w:numPr>
              <w:tabs>
                <w:tab w:val="num" w:pos="72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European Parliament;</w:t>
            </w:r>
          </w:p>
          <w:p w:rsidR="00DF1A33" w:rsidRDefault="00456F01">
            <w:pPr>
              <w:numPr>
                <w:ilvl w:val="0"/>
                <w:numId w:val="7"/>
              </w:numPr>
              <w:tabs>
                <w:tab w:val="num" w:pos="72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DG JUST;</w:t>
            </w:r>
          </w:p>
          <w:p w:rsidR="00DF1A33" w:rsidRDefault="00456F01">
            <w:pPr>
              <w:numPr>
                <w:ilvl w:val="0"/>
                <w:numId w:val="7"/>
              </w:numPr>
              <w:tabs>
                <w:tab w:val="num" w:pos="72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DG CNECT;</w:t>
            </w:r>
          </w:p>
          <w:p w:rsidR="00DF1A33" w:rsidRDefault="00456F01">
            <w:pPr>
              <w:numPr>
                <w:ilvl w:val="0"/>
                <w:numId w:val="7"/>
              </w:numPr>
              <w:tabs>
                <w:tab w:val="num" w:pos="72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DG GROW;</w:t>
            </w:r>
          </w:p>
          <w:p w:rsidR="00DF1A33" w:rsidRDefault="00456F01">
            <w:pPr>
              <w:numPr>
                <w:ilvl w:val="0"/>
                <w:numId w:val="7"/>
              </w:numPr>
              <w:tabs>
                <w:tab w:val="num" w:pos="72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DG COMP;</w:t>
            </w:r>
          </w:p>
          <w:p w:rsidR="00DF1A33" w:rsidRDefault="00456F01">
            <w:pPr>
              <w:numPr>
                <w:ilvl w:val="0"/>
                <w:numId w:val="7"/>
              </w:numPr>
              <w:tabs>
                <w:tab w:val="num" w:pos="72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DG SANTE</w:t>
            </w:r>
          </w:p>
          <w:p w:rsidR="00DF1A33" w:rsidRDefault="00456F01">
            <w:pPr>
              <w:numPr>
                <w:ilvl w:val="0"/>
                <w:numId w:val="7"/>
              </w:numPr>
              <w:tabs>
                <w:tab w:val="num" w:pos="72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Publication Office;</w:t>
            </w:r>
          </w:p>
          <w:p w:rsidR="00DF1A33" w:rsidRDefault="00456F01">
            <w:pPr>
              <w:numPr>
                <w:ilvl w:val="0"/>
                <w:numId w:val="7"/>
              </w:numPr>
              <w:tabs>
                <w:tab w:val="num" w:pos="72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DG ENER;</w:t>
            </w:r>
          </w:p>
          <w:p w:rsidR="00DF1A33" w:rsidRDefault="00456F01">
            <w:pPr>
              <w:numPr>
                <w:ilvl w:val="0"/>
                <w:numId w:val="7"/>
              </w:numPr>
              <w:tabs>
                <w:tab w:val="num" w:pos="72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DG </w:t>
            </w:r>
            <w:r>
              <w:rPr>
                <w:rFonts w:ascii="Times New Roman" w:hAnsi="Times New Roman" w:cs="Times New Roman"/>
                <w:noProof/>
                <w:sz w:val="24"/>
                <w:szCs w:val="24"/>
                <w:lang w:val="en-US"/>
              </w:rPr>
              <w:t>MOVE;</w:t>
            </w:r>
          </w:p>
          <w:p w:rsidR="00DF1A33" w:rsidRDefault="00456F01">
            <w:pPr>
              <w:numPr>
                <w:ilvl w:val="0"/>
                <w:numId w:val="7"/>
              </w:numPr>
              <w:tabs>
                <w:tab w:val="num" w:pos="72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DG RTD;</w:t>
            </w:r>
          </w:p>
          <w:p w:rsidR="00DF1A33" w:rsidRDefault="00456F01">
            <w:pPr>
              <w:numPr>
                <w:ilvl w:val="0"/>
                <w:numId w:val="7"/>
              </w:numPr>
              <w:tabs>
                <w:tab w:val="num" w:pos="72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JRC;</w:t>
            </w:r>
          </w:p>
          <w:p w:rsidR="00DF1A33" w:rsidRDefault="00456F01">
            <w:pPr>
              <w:numPr>
                <w:ilvl w:val="0"/>
                <w:numId w:val="7"/>
              </w:numPr>
              <w:tabs>
                <w:tab w:val="num" w:pos="72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EDPS;</w:t>
            </w:r>
          </w:p>
          <w:p w:rsidR="00DF1A33" w:rsidRDefault="00456F01">
            <w:pPr>
              <w:numPr>
                <w:ilvl w:val="0"/>
                <w:numId w:val="7"/>
              </w:numPr>
              <w:tabs>
                <w:tab w:val="num" w:pos="72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EuDECo</w:t>
            </w:r>
            <w:r>
              <w:rPr>
                <w:rStyle w:val="FootnoteReference"/>
                <w:rFonts w:ascii="Times New Roman" w:hAnsi="Times New Roman" w:cs="Times New Roman"/>
                <w:noProof/>
                <w:sz w:val="24"/>
                <w:szCs w:val="24"/>
                <w:lang w:val="en-US"/>
              </w:rPr>
              <w:footnoteReference w:id="216"/>
            </w:r>
            <w:r>
              <w:rPr>
                <w:rFonts w:ascii="Times New Roman" w:hAnsi="Times New Roman" w:cs="Times New Roman"/>
                <w:noProof/>
                <w:sz w:val="24"/>
                <w:szCs w:val="24"/>
                <w:lang w:val="en-US"/>
              </w:rPr>
              <w:t>;</w:t>
            </w:r>
          </w:p>
          <w:p w:rsidR="00DF1A33" w:rsidRDefault="00456F01">
            <w:pPr>
              <w:numPr>
                <w:ilvl w:val="0"/>
                <w:numId w:val="7"/>
              </w:numPr>
              <w:tabs>
                <w:tab w:val="num" w:pos="72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Europeana; </w:t>
            </w:r>
          </w:p>
          <w:p w:rsidR="00DF1A33" w:rsidRDefault="00456F01">
            <w:pPr>
              <w:numPr>
                <w:ilvl w:val="0"/>
                <w:numId w:val="7"/>
              </w:numPr>
              <w:tabs>
                <w:tab w:val="num" w:pos="72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Kennisland</w:t>
            </w:r>
            <w:r>
              <w:rPr>
                <w:rStyle w:val="FootnoteReference"/>
                <w:rFonts w:ascii="Times New Roman" w:hAnsi="Times New Roman" w:cs="Times New Roman"/>
                <w:noProof/>
                <w:sz w:val="24"/>
                <w:szCs w:val="24"/>
                <w:lang w:val="en-US"/>
              </w:rPr>
              <w:footnoteReference w:id="217"/>
            </w:r>
            <w:r>
              <w:rPr>
                <w:rFonts w:ascii="Times New Roman" w:hAnsi="Times New Roman" w:cs="Times New Roman"/>
                <w:noProof/>
                <w:sz w:val="24"/>
                <w:szCs w:val="24"/>
                <w:lang w:val="en-US"/>
              </w:rPr>
              <w:t>; and</w:t>
            </w:r>
          </w:p>
          <w:p w:rsidR="00DF1A33" w:rsidRDefault="00456F01">
            <w:pPr>
              <w:numPr>
                <w:ilvl w:val="0"/>
                <w:numId w:val="7"/>
              </w:numPr>
              <w:tabs>
                <w:tab w:val="num" w:pos="72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European University Association.</w:t>
            </w:r>
          </w:p>
        </w:tc>
      </w:tr>
      <w:tr w:rsidR="00DF1A33">
        <w:tc>
          <w:tcPr>
            <w:tcW w:w="1414" w:type="dxa"/>
            <w:tcBorders>
              <w:top w:val="single" w:sz="4" w:space="0" w:color="auto"/>
              <w:left w:val="single" w:sz="4" w:space="0" w:color="auto"/>
              <w:bottom w:val="single" w:sz="4" w:space="0" w:color="auto"/>
              <w:right w:val="single" w:sz="4" w:space="0" w:color="auto"/>
            </w:tcBorders>
            <w:hideMark/>
          </w:tcPr>
          <w:p w:rsidR="00DF1A33" w:rsidRDefault="00456F01">
            <w:pPr>
              <w:spacing w:before="60" w:after="60"/>
              <w:rPr>
                <w:rFonts w:ascii="Times New Roman" w:hAnsi="Times New Roman" w:cs="Times New Roman"/>
                <w:noProof/>
                <w:sz w:val="24"/>
                <w:szCs w:val="24"/>
              </w:rPr>
            </w:pPr>
            <w:r>
              <w:rPr>
                <w:rFonts w:ascii="Times New Roman" w:hAnsi="Times New Roman" w:cs="Times New Roman"/>
                <w:noProof/>
                <w:color w:val="000000"/>
                <w:sz w:val="24"/>
                <w:szCs w:val="24"/>
              </w:rPr>
              <w:t>Desk research</w:t>
            </w:r>
          </w:p>
        </w:tc>
        <w:tc>
          <w:tcPr>
            <w:tcW w:w="7420" w:type="dxa"/>
            <w:tcBorders>
              <w:top w:val="single" w:sz="4" w:space="0" w:color="auto"/>
              <w:left w:val="single" w:sz="4" w:space="0" w:color="auto"/>
              <w:bottom w:val="single" w:sz="4" w:space="0" w:color="auto"/>
              <w:right w:val="single" w:sz="4" w:space="0" w:color="auto"/>
            </w:tcBorders>
            <w:hideMark/>
          </w:tcPr>
          <w:p w:rsidR="00DF1A33" w:rsidRDefault="00456F01">
            <w:pPr>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Desk research was a continuous exercise throughout the study and informed the drafting of e.g. surveys and questionnaires, as well as the draft reporting on findings. The desk research is structured around the indicators that are included in the Analytical</w:t>
            </w:r>
            <w:r>
              <w:rPr>
                <w:rFonts w:ascii="Times New Roman" w:hAnsi="Times New Roman" w:cs="Times New Roman"/>
                <w:noProof/>
                <w:sz w:val="24"/>
                <w:szCs w:val="24"/>
                <w:lang w:val="en-US"/>
              </w:rPr>
              <w:t xml:space="preserve"> Framework. </w:t>
            </w:r>
          </w:p>
          <w:p w:rsidR="00DF1A33" w:rsidRDefault="00456F01">
            <w:pPr>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For the purpose of the legal analysis of the PSI Directive in the Member States, a research questionnaire was used.</w:t>
            </w:r>
          </w:p>
        </w:tc>
      </w:tr>
      <w:tr w:rsidR="00DF1A33">
        <w:tc>
          <w:tcPr>
            <w:tcW w:w="1414" w:type="dxa"/>
            <w:tcBorders>
              <w:top w:val="single" w:sz="4" w:space="0" w:color="auto"/>
              <w:left w:val="single" w:sz="4" w:space="0" w:color="auto"/>
              <w:bottom w:val="single" w:sz="4" w:space="0" w:color="auto"/>
              <w:right w:val="single" w:sz="4" w:space="0" w:color="auto"/>
            </w:tcBorders>
            <w:hideMark/>
          </w:tcPr>
          <w:p w:rsidR="00DF1A33" w:rsidRDefault="00456F01">
            <w:pPr>
              <w:spacing w:before="60" w:after="60"/>
              <w:rPr>
                <w:rFonts w:ascii="Times New Roman" w:hAnsi="Times New Roman" w:cs="Times New Roman"/>
                <w:noProof/>
                <w:sz w:val="24"/>
                <w:szCs w:val="24"/>
              </w:rPr>
            </w:pPr>
            <w:r>
              <w:rPr>
                <w:rFonts w:ascii="Times New Roman" w:hAnsi="Times New Roman" w:cs="Times New Roman"/>
                <w:noProof/>
                <w:color w:val="000000"/>
                <w:sz w:val="24"/>
                <w:szCs w:val="24"/>
              </w:rPr>
              <w:t xml:space="preserve">Interviews </w:t>
            </w:r>
          </w:p>
        </w:tc>
        <w:tc>
          <w:tcPr>
            <w:tcW w:w="7420" w:type="dxa"/>
            <w:tcBorders>
              <w:top w:val="single" w:sz="4" w:space="0" w:color="auto"/>
              <w:left w:val="single" w:sz="4" w:space="0" w:color="auto"/>
              <w:bottom w:val="single" w:sz="4" w:space="0" w:color="auto"/>
              <w:right w:val="single" w:sz="4" w:space="0" w:color="auto"/>
            </w:tcBorders>
            <w:hideMark/>
          </w:tcPr>
          <w:p w:rsidR="00DF1A33" w:rsidRDefault="00456F01">
            <w:pPr>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study team completed the interviews with stakeholders at the national level. Interviews were conducted with th</w:t>
            </w:r>
            <w:r>
              <w:rPr>
                <w:rFonts w:ascii="Times New Roman" w:hAnsi="Times New Roman" w:cs="Times New Roman"/>
                <w:noProof/>
                <w:sz w:val="24"/>
                <w:szCs w:val="24"/>
                <w:lang w:val="en-US"/>
              </w:rPr>
              <w:t xml:space="preserve">e following types of stakeholders: </w:t>
            </w:r>
          </w:p>
          <w:p w:rsidR="00DF1A33" w:rsidRDefault="00456F01">
            <w:pPr>
              <w:numPr>
                <w:ilvl w:val="0"/>
                <w:numId w:val="7"/>
              </w:numPr>
              <w:tabs>
                <w:tab w:val="num" w:pos="72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Ministries and public bodies in charge of public sector data regulation and monitoring of implementation;</w:t>
            </w:r>
          </w:p>
          <w:p w:rsidR="00DF1A33" w:rsidRDefault="00456F01">
            <w:pPr>
              <w:numPr>
                <w:ilvl w:val="0"/>
                <w:numId w:val="7"/>
              </w:numPr>
              <w:tabs>
                <w:tab w:val="num" w:pos="72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Public bodies falling into the scope of the Directive;</w:t>
            </w:r>
          </w:p>
          <w:p w:rsidR="00DF1A33" w:rsidRDefault="00456F01">
            <w:pPr>
              <w:numPr>
                <w:ilvl w:val="0"/>
                <w:numId w:val="7"/>
              </w:numPr>
              <w:tabs>
                <w:tab w:val="num" w:pos="72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Museums, libraries and archives;</w:t>
            </w:r>
          </w:p>
          <w:p w:rsidR="00DF1A33" w:rsidRDefault="00456F01">
            <w:pPr>
              <w:numPr>
                <w:ilvl w:val="0"/>
                <w:numId w:val="7"/>
              </w:numPr>
              <w:tabs>
                <w:tab w:val="num" w:pos="72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Public undertakings in the</w:t>
            </w:r>
            <w:r>
              <w:rPr>
                <w:rFonts w:ascii="Times New Roman" w:hAnsi="Times New Roman" w:cs="Times New Roman"/>
                <w:noProof/>
                <w:sz w:val="24"/>
                <w:szCs w:val="24"/>
                <w:lang w:val="en-US"/>
              </w:rPr>
              <w:t xml:space="preserve"> transport and utility domains;</w:t>
            </w:r>
          </w:p>
          <w:p w:rsidR="00DF1A33" w:rsidRDefault="00456F01">
            <w:pPr>
              <w:numPr>
                <w:ilvl w:val="0"/>
                <w:numId w:val="7"/>
              </w:numPr>
              <w:tabs>
                <w:tab w:val="num" w:pos="72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Universities and research centers; and</w:t>
            </w:r>
          </w:p>
          <w:p w:rsidR="00DF1A33" w:rsidRDefault="00456F01">
            <w:pPr>
              <w:numPr>
                <w:ilvl w:val="0"/>
                <w:numId w:val="7"/>
              </w:numPr>
              <w:tabs>
                <w:tab w:val="num" w:pos="720"/>
              </w:tabs>
              <w:spacing w:before="60" w:after="60"/>
              <w:jc w:val="both"/>
              <w:rPr>
                <w:rFonts w:ascii="Times New Roman" w:hAnsi="Times New Roman" w:cs="Times New Roman"/>
                <w:noProof/>
                <w:sz w:val="24"/>
                <w:szCs w:val="24"/>
              </w:rPr>
            </w:pPr>
            <w:r>
              <w:rPr>
                <w:rFonts w:ascii="Times New Roman" w:hAnsi="Times New Roman" w:cs="Times New Roman"/>
                <w:noProof/>
                <w:sz w:val="24"/>
                <w:szCs w:val="24"/>
                <w:lang w:val="en-US"/>
              </w:rPr>
              <w:t>Re-users associations.</w:t>
            </w:r>
          </w:p>
        </w:tc>
      </w:tr>
      <w:tr w:rsidR="00DF1A33">
        <w:tc>
          <w:tcPr>
            <w:tcW w:w="1414" w:type="dxa"/>
            <w:tcBorders>
              <w:top w:val="single" w:sz="4" w:space="0" w:color="auto"/>
              <w:left w:val="single" w:sz="4" w:space="0" w:color="auto"/>
              <w:bottom w:val="single" w:sz="4" w:space="0" w:color="auto"/>
              <w:right w:val="single" w:sz="4" w:space="0" w:color="auto"/>
            </w:tcBorders>
            <w:hideMark/>
          </w:tcPr>
          <w:p w:rsidR="00DF1A33" w:rsidRDefault="00456F01">
            <w:pPr>
              <w:spacing w:before="60" w:after="60"/>
              <w:rPr>
                <w:rFonts w:ascii="Times New Roman" w:hAnsi="Times New Roman" w:cs="Times New Roman"/>
                <w:noProof/>
                <w:sz w:val="24"/>
                <w:szCs w:val="24"/>
              </w:rPr>
            </w:pPr>
            <w:r>
              <w:rPr>
                <w:rFonts w:ascii="Times New Roman" w:hAnsi="Times New Roman" w:cs="Times New Roman"/>
                <w:noProof/>
                <w:color w:val="000000"/>
                <w:sz w:val="24"/>
                <w:szCs w:val="24"/>
              </w:rPr>
              <w:t>Workshop</w:t>
            </w:r>
            <w:r>
              <w:rPr>
                <w:rFonts w:ascii="Times New Roman" w:hAnsi="Times New Roman" w:cs="Times New Roman"/>
                <w:noProof/>
                <w:sz w:val="24"/>
                <w:szCs w:val="24"/>
              </w:rPr>
              <w:t>s</w:t>
            </w:r>
          </w:p>
        </w:tc>
        <w:tc>
          <w:tcPr>
            <w:tcW w:w="7420" w:type="dxa"/>
            <w:tcBorders>
              <w:top w:val="single" w:sz="4" w:space="0" w:color="auto"/>
              <w:left w:val="single" w:sz="4" w:space="0" w:color="auto"/>
              <w:bottom w:val="single" w:sz="4" w:space="0" w:color="auto"/>
              <w:right w:val="single" w:sz="4" w:space="0" w:color="auto"/>
            </w:tcBorders>
            <w:hideMark/>
          </w:tcPr>
          <w:p w:rsidR="00DF1A33" w:rsidRDefault="00456F01">
            <w:pPr>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Representatives of the study team attended the PSI group meeting that was held on 15 November 2017. The team members provided a short presentation, </w:t>
            </w:r>
            <w:r>
              <w:rPr>
                <w:rFonts w:ascii="Times New Roman" w:hAnsi="Times New Roman" w:cs="Times New Roman"/>
                <w:noProof/>
                <w:sz w:val="24"/>
                <w:szCs w:val="24"/>
                <w:lang w:val="en-US"/>
              </w:rPr>
              <w:t>took detailed minutes of the discussion, as well as of its key results and conclusions.</w:t>
            </w:r>
          </w:p>
          <w:p w:rsidR="00DF1A33" w:rsidRDefault="00456F01">
            <w:pPr>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first workshop with research bodies was held on 14 December 2017 with more than 30 stakeholders from the area of research, publishing, open data advocacy and the pr</w:t>
            </w:r>
            <w:r>
              <w:rPr>
                <w:rFonts w:ascii="Times New Roman" w:hAnsi="Times New Roman" w:cs="Times New Roman"/>
                <w:noProof/>
                <w:sz w:val="24"/>
                <w:szCs w:val="24"/>
                <w:lang w:val="en-US"/>
              </w:rPr>
              <w:t>ivate sector. As part of two panel sessions, the attendees engaged in a lively, open and fruitful discussion about the potential and challenges related to opening up research data. Members of the study team contributed with short presentations, and provide</w:t>
            </w:r>
            <w:r>
              <w:rPr>
                <w:rFonts w:ascii="Times New Roman" w:hAnsi="Times New Roman" w:cs="Times New Roman"/>
                <w:noProof/>
                <w:sz w:val="24"/>
                <w:szCs w:val="24"/>
                <w:lang w:val="en-US"/>
              </w:rPr>
              <w:t>d the Commission with detailed minutes of the discussion, as well as of its key results and conclusions.</w:t>
            </w:r>
          </w:p>
          <w:p w:rsidR="00DF1A33" w:rsidRDefault="00456F01">
            <w:pPr>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 second workshop involving data providers and re-users was held on 18 January 2018. The purpose of the workshop was to discuss the technical and non-t</w:t>
            </w:r>
            <w:r>
              <w:rPr>
                <w:rFonts w:ascii="Times New Roman" w:hAnsi="Times New Roman" w:cs="Times New Roman"/>
                <w:noProof/>
                <w:sz w:val="24"/>
                <w:szCs w:val="24"/>
                <w:lang w:val="en-US"/>
              </w:rPr>
              <w:t xml:space="preserve">echnical barriers for opening up and reusing the public sector data and the possible ways to improve the situation. Members of the study team moderated the event and took minutes of the discussions. </w:t>
            </w:r>
          </w:p>
        </w:tc>
      </w:tr>
      <w:tr w:rsidR="00DF1A33">
        <w:tc>
          <w:tcPr>
            <w:tcW w:w="1414" w:type="dxa"/>
            <w:tcBorders>
              <w:top w:val="single" w:sz="4" w:space="0" w:color="auto"/>
              <w:left w:val="single" w:sz="4" w:space="0" w:color="auto"/>
              <w:bottom w:val="single" w:sz="4" w:space="0" w:color="auto"/>
              <w:right w:val="single" w:sz="4" w:space="0" w:color="auto"/>
            </w:tcBorders>
            <w:hideMark/>
          </w:tcPr>
          <w:p w:rsidR="00DF1A33" w:rsidRDefault="00456F01">
            <w:pPr>
              <w:spacing w:before="60" w:after="60"/>
              <w:rPr>
                <w:rFonts w:ascii="Times New Roman" w:hAnsi="Times New Roman" w:cs="Times New Roman"/>
                <w:noProof/>
                <w:sz w:val="24"/>
                <w:szCs w:val="24"/>
              </w:rPr>
            </w:pPr>
            <w:r>
              <w:rPr>
                <w:rFonts w:ascii="Times New Roman" w:hAnsi="Times New Roman" w:cs="Times New Roman"/>
                <w:noProof/>
                <w:color w:val="000000"/>
                <w:sz w:val="24"/>
                <w:szCs w:val="24"/>
              </w:rPr>
              <w:t>Online surveys</w:t>
            </w:r>
          </w:p>
        </w:tc>
        <w:tc>
          <w:tcPr>
            <w:tcW w:w="7420" w:type="dxa"/>
            <w:tcBorders>
              <w:top w:val="single" w:sz="4" w:space="0" w:color="auto"/>
              <w:left w:val="single" w:sz="4" w:space="0" w:color="auto"/>
              <w:bottom w:val="single" w:sz="4" w:space="0" w:color="auto"/>
              <w:right w:val="single" w:sz="4" w:space="0" w:color="auto"/>
            </w:tcBorders>
            <w:hideMark/>
          </w:tcPr>
          <w:p w:rsidR="00DF1A33" w:rsidRDefault="00456F01">
            <w:pPr>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study team prepared and disseminated</w:t>
            </w:r>
            <w:r>
              <w:rPr>
                <w:rFonts w:ascii="Times New Roman" w:hAnsi="Times New Roman" w:cs="Times New Roman"/>
                <w:noProof/>
                <w:sz w:val="24"/>
                <w:szCs w:val="24"/>
                <w:lang w:val="en-US"/>
              </w:rPr>
              <w:t xml:space="preserve"> three online surveys. The stakeholders contacted are listed in the First Interim Report of the study.</w:t>
            </w:r>
          </w:p>
          <w:p w:rsidR="00DF1A33" w:rsidRDefault="00456F01">
            <w:pPr>
              <w:spacing w:before="60" w:after="60"/>
              <w:jc w:val="both"/>
              <w:rPr>
                <w:rFonts w:ascii="Times New Roman" w:hAnsi="Times New Roman" w:cs="Times New Roman"/>
                <w:b/>
                <w:i/>
                <w:noProof/>
                <w:sz w:val="24"/>
                <w:szCs w:val="24"/>
                <w:lang w:val="en-US"/>
              </w:rPr>
            </w:pPr>
            <w:r>
              <w:rPr>
                <w:rFonts w:ascii="Times New Roman" w:hAnsi="Times New Roman" w:cs="Times New Roman"/>
                <w:b/>
                <w:i/>
                <w:noProof/>
                <w:sz w:val="24"/>
                <w:szCs w:val="24"/>
                <w:lang w:val="en-US"/>
              </w:rPr>
              <w:t>Survey on cultural data</w:t>
            </w:r>
            <w:r>
              <w:rPr>
                <w:rFonts w:ascii="Times New Roman" w:hAnsi="Times New Roman" w:cs="Times New Roman"/>
                <w:b/>
                <w:i/>
                <w:noProof/>
                <w:sz w:val="24"/>
                <w:szCs w:val="24"/>
                <w:vertAlign w:val="superscript"/>
              </w:rPr>
              <w:footnoteReference w:id="218"/>
            </w:r>
          </w:p>
          <w:p w:rsidR="00DF1A33" w:rsidRDefault="00456F01">
            <w:pPr>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This survey was focused on gathering information for the evaluation and the analysis of the effects of the new provisions that were added to the Directive in 2013 with respect to data held by museums etc. </w:t>
            </w:r>
          </w:p>
          <w:p w:rsidR="00DF1A33" w:rsidRDefault="00456F01">
            <w:pPr>
              <w:spacing w:before="60" w:after="60"/>
              <w:jc w:val="both"/>
              <w:rPr>
                <w:rFonts w:ascii="Times New Roman" w:hAnsi="Times New Roman" w:cs="Times New Roman"/>
                <w:b/>
                <w:i/>
                <w:noProof/>
                <w:sz w:val="24"/>
                <w:szCs w:val="24"/>
                <w:lang w:val="en-US"/>
              </w:rPr>
            </w:pPr>
            <w:r>
              <w:rPr>
                <w:rFonts w:ascii="Times New Roman" w:hAnsi="Times New Roman" w:cs="Times New Roman"/>
                <w:b/>
                <w:i/>
                <w:noProof/>
                <w:sz w:val="24"/>
                <w:szCs w:val="24"/>
                <w:lang w:val="en-US"/>
              </w:rPr>
              <w:t>Survey on research data</w:t>
            </w:r>
            <w:r>
              <w:rPr>
                <w:rFonts w:ascii="Times New Roman" w:hAnsi="Times New Roman" w:cs="Times New Roman"/>
                <w:b/>
                <w:i/>
                <w:noProof/>
                <w:sz w:val="24"/>
                <w:szCs w:val="24"/>
                <w:vertAlign w:val="superscript"/>
              </w:rPr>
              <w:footnoteReference w:id="219"/>
            </w:r>
          </w:p>
          <w:p w:rsidR="00DF1A33" w:rsidRDefault="00456F01">
            <w:pPr>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This survey investigated </w:t>
            </w:r>
            <w:r>
              <w:rPr>
                <w:rFonts w:ascii="Times New Roman" w:hAnsi="Times New Roman" w:cs="Times New Roman"/>
                <w:noProof/>
                <w:sz w:val="24"/>
                <w:szCs w:val="24"/>
                <w:lang w:val="en-US"/>
              </w:rPr>
              <w:t xml:space="preserve">the effects and opportunities linked to the opening up of research data in the framework of publicly funded research. It targeted universities and research centres. </w:t>
            </w:r>
          </w:p>
          <w:p w:rsidR="00DF1A33" w:rsidRDefault="00456F01">
            <w:pPr>
              <w:spacing w:before="60" w:after="60"/>
              <w:jc w:val="both"/>
              <w:rPr>
                <w:rFonts w:ascii="Times New Roman" w:hAnsi="Times New Roman" w:cs="Times New Roman"/>
                <w:b/>
                <w:i/>
                <w:noProof/>
                <w:sz w:val="24"/>
                <w:szCs w:val="24"/>
                <w:lang w:val="en-US"/>
              </w:rPr>
            </w:pPr>
            <w:r>
              <w:rPr>
                <w:rFonts w:ascii="Times New Roman" w:hAnsi="Times New Roman" w:cs="Times New Roman"/>
                <w:b/>
                <w:i/>
                <w:noProof/>
                <w:sz w:val="24"/>
                <w:szCs w:val="24"/>
                <w:lang w:val="en-US"/>
              </w:rPr>
              <w:t>Survey for the re-user community</w:t>
            </w:r>
            <w:r>
              <w:rPr>
                <w:rFonts w:ascii="Times New Roman" w:hAnsi="Times New Roman" w:cs="Times New Roman"/>
                <w:b/>
                <w:i/>
                <w:noProof/>
                <w:sz w:val="24"/>
                <w:szCs w:val="24"/>
                <w:vertAlign w:val="superscript"/>
              </w:rPr>
              <w:footnoteReference w:id="220"/>
            </w:r>
          </w:p>
          <w:p w:rsidR="00DF1A33" w:rsidRDefault="00456F01">
            <w:pPr>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This survey focused on the beneficiaries of the PSI Dire</w:t>
            </w:r>
            <w:r>
              <w:rPr>
                <w:rFonts w:ascii="Times New Roman" w:hAnsi="Times New Roman" w:cs="Times New Roman"/>
                <w:noProof/>
                <w:sz w:val="24"/>
                <w:szCs w:val="24"/>
                <w:lang w:val="en-US"/>
              </w:rPr>
              <w:t>ctive and mainly concerned:</w:t>
            </w:r>
          </w:p>
          <w:p w:rsidR="00DF1A33" w:rsidRDefault="00456F01">
            <w:pPr>
              <w:numPr>
                <w:ilvl w:val="0"/>
                <w:numId w:val="7"/>
              </w:numPr>
              <w:tabs>
                <w:tab w:val="num" w:pos="216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provisions on charging (limited to marginal costs) and the effects of possible modifications to this provision;</w:t>
            </w:r>
          </w:p>
          <w:p w:rsidR="00DF1A33" w:rsidRDefault="00456F01">
            <w:pPr>
              <w:numPr>
                <w:ilvl w:val="0"/>
                <w:numId w:val="7"/>
              </w:numPr>
              <w:tabs>
                <w:tab w:val="num" w:pos="216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possibility of opening up data held by public undertakings in the transport and utility domains or produced </w:t>
            </w:r>
            <w:r>
              <w:rPr>
                <w:rFonts w:ascii="Times New Roman" w:hAnsi="Times New Roman" w:cs="Times New Roman"/>
                <w:noProof/>
                <w:sz w:val="24"/>
                <w:szCs w:val="24"/>
                <w:lang w:val="en-US"/>
              </w:rPr>
              <w:t>in relation with public contracts;</w:t>
            </w:r>
          </w:p>
          <w:p w:rsidR="00DF1A33" w:rsidRDefault="00456F01">
            <w:pPr>
              <w:numPr>
                <w:ilvl w:val="0"/>
                <w:numId w:val="7"/>
              </w:numPr>
              <w:tabs>
                <w:tab w:val="num" w:pos="216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possibility of opening up research data;</w:t>
            </w:r>
          </w:p>
          <w:p w:rsidR="00DF1A33" w:rsidRDefault="00456F01">
            <w:pPr>
              <w:numPr>
                <w:ilvl w:val="0"/>
                <w:numId w:val="7"/>
              </w:numPr>
              <w:tabs>
                <w:tab w:val="num" w:pos="2160"/>
              </w:tabs>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question of APIs and dynamic data.</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Despite significant efforts in dissemination, the response to the survey was limited mainly due to the public consultation on the PSI Directive review going on in parallel. As a consequence, the survey results could be used as indicative evidence and witho</w:t>
            </w:r>
            <w:r>
              <w:rPr>
                <w:rFonts w:ascii="Times New Roman" w:hAnsi="Times New Roman" w:cs="Times New Roman"/>
                <w:noProof/>
                <w:sz w:val="24"/>
                <w:szCs w:val="24"/>
                <w:lang w:val="en-US"/>
              </w:rPr>
              <w:t xml:space="preserve">ut the possibility to broadly generalise their insights. </w:t>
            </w:r>
          </w:p>
        </w:tc>
      </w:tr>
      <w:tr w:rsidR="00DF1A33">
        <w:tc>
          <w:tcPr>
            <w:tcW w:w="1414" w:type="dxa"/>
            <w:tcBorders>
              <w:top w:val="single" w:sz="4" w:space="0" w:color="auto"/>
              <w:left w:val="single" w:sz="4" w:space="0" w:color="auto"/>
              <w:bottom w:val="single" w:sz="4" w:space="0" w:color="auto"/>
              <w:right w:val="single" w:sz="4" w:space="0" w:color="auto"/>
            </w:tcBorders>
            <w:hideMark/>
          </w:tcPr>
          <w:p w:rsidR="00DF1A33" w:rsidRDefault="00456F01">
            <w:pPr>
              <w:spacing w:before="60" w:after="60"/>
              <w:rPr>
                <w:rFonts w:ascii="Times New Roman" w:hAnsi="Times New Roman" w:cs="Times New Roman"/>
                <w:noProof/>
                <w:sz w:val="24"/>
                <w:szCs w:val="24"/>
              </w:rPr>
            </w:pPr>
            <w:r>
              <w:rPr>
                <w:rFonts w:ascii="Times New Roman" w:hAnsi="Times New Roman" w:cs="Times New Roman"/>
                <w:noProof/>
                <w:color w:val="000000"/>
                <w:sz w:val="24"/>
                <w:szCs w:val="24"/>
              </w:rPr>
              <w:t>Public consultation analysis</w:t>
            </w:r>
          </w:p>
        </w:tc>
        <w:tc>
          <w:tcPr>
            <w:tcW w:w="7420" w:type="dxa"/>
            <w:tcBorders>
              <w:top w:val="single" w:sz="4" w:space="0" w:color="auto"/>
              <w:left w:val="single" w:sz="4" w:space="0" w:color="auto"/>
              <w:bottom w:val="single" w:sz="4" w:space="0" w:color="auto"/>
              <w:right w:val="single" w:sz="4" w:space="0" w:color="auto"/>
            </w:tcBorders>
            <w:hideMark/>
          </w:tcPr>
          <w:p w:rsidR="00DF1A33" w:rsidRDefault="00456F01">
            <w:pPr>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 public consultation on the review of the Directive on the re-use of Public Sector Information (PSI Directive)</w:t>
            </w:r>
            <w:r>
              <w:rPr>
                <w:rFonts w:ascii="Times New Roman" w:hAnsi="Times New Roman" w:cs="Times New Roman"/>
                <w:noProof/>
                <w:sz w:val="24"/>
                <w:szCs w:val="24"/>
                <w:vertAlign w:val="superscript"/>
              </w:rPr>
              <w:footnoteReference w:id="221"/>
            </w:r>
            <w:r>
              <w:rPr>
                <w:rFonts w:ascii="Times New Roman" w:hAnsi="Times New Roman" w:cs="Times New Roman"/>
                <w:noProof/>
                <w:sz w:val="24"/>
                <w:szCs w:val="24"/>
                <w:lang w:val="en-US"/>
              </w:rPr>
              <w:t xml:space="preserve"> was carried out from 19 September 2017 to mid-December </w:t>
            </w:r>
            <w:r>
              <w:rPr>
                <w:rFonts w:ascii="Times New Roman" w:hAnsi="Times New Roman" w:cs="Times New Roman"/>
                <w:noProof/>
                <w:sz w:val="24"/>
                <w:szCs w:val="24"/>
                <w:lang w:val="en-US"/>
              </w:rPr>
              <w:t xml:space="preserve">2017. </w:t>
            </w:r>
          </w:p>
          <w:p w:rsidR="00DF1A33" w:rsidRDefault="00456F01">
            <w:pPr>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study team analysed the qualitative answers to the public consultation under the instructions from the European Commission and provided a preliminary report on this analysis. </w:t>
            </w:r>
          </w:p>
          <w:p w:rsidR="00DF1A33" w:rsidRDefault="00456F01">
            <w:pPr>
              <w:spacing w:before="60" w:after="6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questions included in the public consultation were taken into acc</w:t>
            </w:r>
            <w:r>
              <w:rPr>
                <w:rFonts w:ascii="Times New Roman" w:hAnsi="Times New Roman" w:cs="Times New Roman"/>
                <w:noProof/>
                <w:sz w:val="24"/>
                <w:szCs w:val="24"/>
                <w:lang w:val="en-US"/>
              </w:rPr>
              <w:t xml:space="preserve">ount when the interview guides and online surveys were prepared in order to avoid duplication. The results of the public consultation were also used to support the analysis all through the deliverables of the study. </w:t>
            </w:r>
          </w:p>
        </w:tc>
      </w:tr>
      <w:tr w:rsidR="00DF1A33">
        <w:tc>
          <w:tcPr>
            <w:tcW w:w="1414" w:type="dxa"/>
            <w:tcBorders>
              <w:top w:val="single" w:sz="4" w:space="0" w:color="auto"/>
              <w:left w:val="single" w:sz="4" w:space="0" w:color="auto"/>
              <w:bottom w:val="single" w:sz="4" w:space="0" w:color="auto"/>
              <w:right w:val="single" w:sz="4" w:space="0" w:color="auto"/>
            </w:tcBorders>
            <w:hideMark/>
          </w:tcPr>
          <w:p w:rsidR="00DF1A33" w:rsidRDefault="00456F01">
            <w:pPr>
              <w:spacing w:before="60" w:after="60"/>
              <w:rPr>
                <w:rFonts w:ascii="Times New Roman" w:hAnsi="Times New Roman" w:cs="Times New Roman"/>
                <w:noProof/>
                <w:color w:val="000000"/>
                <w:sz w:val="24"/>
                <w:szCs w:val="24"/>
              </w:rPr>
            </w:pPr>
            <w:r>
              <w:rPr>
                <w:rFonts w:ascii="Times New Roman" w:hAnsi="Times New Roman" w:cs="Times New Roman"/>
                <w:noProof/>
                <w:color w:val="000000"/>
                <w:sz w:val="24"/>
                <w:szCs w:val="24"/>
              </w:rPr>
              <w:t>Legal data collection</w:t>
            </w:r>
          </w:p>
        </w:tc>
        <w:tc>
          <w:tcPr>
            <w:tcW w:w="7420" w:type="dxa"/>
            <w:tcBorders>
              <w:top w:val="single" w:sz="4" w:space="0" w:color="auto"/>
              <w:left w:val="single" w:sz="4" w:space="0" w:color="auto"/>
              <w:bottom w:val="single" w:sz="4" w:space="0" w:color="auto"/>
              <w:right w:val="single" w:sz="4" w:space="0" w:color="auto"/>
            </w:tcBorders>
          </w:tcPr>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legal assessment of the implementation of the PSI Directive was performed in two steps: 1) data collection at national level by a network of legal experts and 2) legal analysis by the legal team of time.lex and Spark Legal Network. </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Firstly, data was c</w:t>
            </w:r>
            <w:r>
              <w:rPr>
                <w:rFonts w:ascii="Times New Roman" w:hAnsi="Times New Roman" w:cs="Times New Roman"/>
                <w:noProof/>
                <w:sz w:val="24"/>
                <w:szCs w:val="24"/>
                <w:lang w:val="en-US"/>
              </w:rPr>
              <w:t>ollected through desk research, by a team of national legal experts covering the ten selected EU Member States (DE, EE, EL, FR, IE, IT, NL, PL, SE, SI). This work was executed on the basis of a detailed research protocol, including a research questionnaire</w:t>
            </w:r>
            <w:r>
              <w:rPr>
                <w:rFonts w:ascii="Times New Roman" w:hAnsi="Times New Roman" w:cs="Times New Roman"/>
                <w:noProof/>
                <w:sz w:val="24"/>
                <w:szCs w:val="24"/>
                <w:lang w:val="en-US"/>
              </w:rPr>
              <w:t>. The legal experts were asked to complete the research questionnaire collecting data on 1) the national transposition strategies, 2) potential legal issues arising from the implementation of the latest changes to the PSI Directive and, 3) the interplay an</w:t>
            </w:r>
            <w:r>
              <w:rPr>
                <w:rFonts w:ascii="Times New Roman" w:hAnsi="Times New Roman" w:cs="Times New Roman"/>
                <w:noProof/>
                <w:sz w:val="24"/>
                <w:szCs w:val="24"/>
                <w:lang w:val="en-US"/>
              </w:rPr>
              <w:t xml:space="preserve">d overlap between the PSI Directive with other relevant EU legal instruments. </w:t>
            </w:r>
          </w:p>
          <w:p w:rsidR="00DF1A33" w:rsidRDefault="00DF1A33">
            <w:pPr>
              <w:jc w:val="both"/>
              <w:rPr>
                <w:rFonts w:ascii="Times New Roman" w:hAnsi="Times New Roman" w:cs="Times New Roman"/>
                <w:noProof/>
                <w:sz w:val="24"/>
                <w:szCs w:val="24"/>
                <w:lang w:val="en-US"/>
              </w:rPr>
            </w:pP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Having carried out the legal data collection exercise, the national experts submitted their reports to the legal team, which reviewed them to ensure completeness and consistent</w:t>
            </w:r>
            <w:r>
              <w:rPr>
                <w:rFonts w:ascii="Times New Roman" w:hAnsi="Times New Roman" w:cs="Times New Roman"/>
                <w:noProof/>
                <w:sz w:val="24"/>
                <w:szCs w:val="24"/>
                <w:lang w:val="en-US"/>
              </w:rPr>
              <w:t xml:space="preserve"> quality of the national legal reports.  </w:t>
            </w:r>
          </w:p>
          <w:p w:rsidR="00DF1A33" w:rsidRDefault="00DF1A33">
            <w:pPr>
              <w:jc w:val="both"/>
              <w:rPr>
                <w:rFonts w:ascii="Times New Roman" w:eastAsia="MS Mincho" w:hAnsi="Times New Roman" w:cs="Times New Roman"/>
                <w:noProof/>
                <w:sz w:val="24"/>
                <w:szCs w:val="24"/>
                <w:lang w:val="en-US"/>
              </w:rPr>
            </w:pPr>
          </w:p>
          <w:p w:rsidR="00DF1A33" w:rsidRDefault="00456F01">
            <w:pPr>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 xml:space="preserve">As the national legal reports were completed and </w:t>
            </w:r>
            <w:r>
              <w:rPr>
                <w:rFonts w:ascii="Times New Roman" w:hAnsi="Times New Roman" w:cs="Times New Roman"/>
                <w:noProof/>
                <w:sz w:val="24"/>
                <w:szCs w:val="24"/>
                <w:lang w:val="en-US"/>
              </w:rPr>
              <w:t xml:space="preserve">quality checked, </w:t>
            </w:r>
            <w:r>
              <w:rPr>
                <w:rFonts w:ascii="Times New Roman" w:eastAsia="MS Mincho" w:hAnsi="Times New Roman" w:cs="Times New Roman"/>
                <w:noProof/>
                <w:sz w:val="24"/>
                <w:szCs w:val="24"/>
                <w:lang w:val="en-US"/>
              </w:rPr>
              <w:t>the legal team fed the results into a comparative document summarising the key issues identified during the legal data collection. This internal do</w:t>
            </w:r>
            <w:r>
              <w:rPr>
                <w:rFonts w:ascii="Times New Roman" w:eastAsia="MS Mincho" w:hAnsi="Times New Roman" w:cs="Times New Roman"/>
                <w:noProof/>
                <w:sz w:val="24"/>
                <w:szCs w:val="24"/>
                <w:lang w:val="en-US"/>
              </w:rPr>
              <w:t>cument facilitated the comparison between the ten Member States and the identification of similarities, problems, gaps, overlaps and diverging implementations. Thus, it allowed all results to be bundled into one document, and prepared the ground for the fi</w:t>
            </w:r>
            <w:r>
              <w:rPr>
                <w:rFonts w:ascii="Times New Roman" w:eastAsia="MS Mincho" w:hAnsi="Times New Roman" w:cs="Times New Roman"/>
                <w:noProof/>
                <w:sz w:val="24"/>
                <w:szCs w:val="24"/>
                <w:lang w:val="en-US"/>
              </w:rPr>
              <w:t>rst comparisons to be made, which in turn fed into the legal analysis.</w:t>
            </w:r>
          </w:p>
          <w:p w:rsidR="00DF1A33" w:rsidRDefault="00DF1A33">
            <w:pPr>
              <w:jc w:val="both"/>
              <w:rPr>
                <w:rFonts w:ascii="Times New Roman" w:eastAsia="MS Mincho" w:hAnsi="Times New Roman" w:cs="Times New Roman"/>
                <w:noProof/>
                <w:sz w:val="24"/>
                <w:szCs w:val="24"/>
                <w:lang w:val="en-US"/>
              </w:rPr>
            </w:pPr>
          </w:p>
          <w:p w:rsidR="00DF1A33" w:rsidRDefault="00456F01">
            <w:pPr>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After having drafted a preliminary version of the legal analysis, the legal team held a two-day internal brainstorming meeting in Brussels. The meeting focused on discussing the outcomes of the data collection at national level, identifying problems/barrie</w:t>
            </w:r>
            <w:r>
              <w:rPr>
                <w:rFonts w:ascii="Times New Roman" w:eastAsia="MS Mincho" w:hAnsi="Times New Roman" w:cs="Times New Roman"/>
                <w:noProof/>
                <w:sz w:val="24"/>
                <w:szCs w:val="24"/>
                <w:lang w:val="en-US"/>
              </w:rPr>
              <w:t>rs and best practices. Subsequently, and linking with the abovementioned issues, barriers and best practices, the legal team assessed the potential policy options to be considered from both a legal and practical point of view. The results of the meeting we</w:t>
            </w:r>
            <w:r>
              <w:rPr>
                <w:rFonts w:ascii="Times New Roman" w:eastAsia="MS Mincho" w:hAnsi="Times New Roman" w:cs="Times New Roman"/>
                <w:noProof/>
                <w:sz w:val="24"/>
                <w:szCs w:val="24"/>
                <w:lang w:val="en-US"/>
              </w:rPr>
              <w:t xml:space="preserve">re incorporated into the legal analysis. </w:t>
            </w:r>
          </w:p>
        </w:tc>
      </w:tr>
    </w:tbl>
    <w:p w:rsidR="00DF1A33" w:rsidRDefault="00456F01">
      <w:pPr>
        <w:rPr>
          <w:rFonts w:ascii="Times New Roman" w:hAnsi="Times New Roman" w:cs="Times New Roman"/>
          <w:b/>
          <w:noProof/>
          <w:sz w:val="18"/>
          <w:szCs w:val="18"/>
        </w:rPr>
      </w:pPr>
      <w:r>
        <w:rPr>
          <w:rFonts w:ascii="Times New Roman" w:hAnsi="Times New Roman" w:cs="Times New Roman"/>
          <w:b/>
          <w:noProof/>
          <w:sz w:val="18"/>
          <w:szCs w:val="18"/>
        </w:rPr>
        <w:t>Source: Impact Assessment Support Study, Deloitte, 2018</w:t>
      </w:r>
    </w:p>
    <w:p w:rsidR="00DF1A33" w:rsidRDefault="00456F01">
      <w:pPr>
        <w:rPr>
          <w:rFonts w:ascii="Times New Roman" w:hAnsi="Times New Roman" w:cs="Times New Roman"/>
          <w:b/>
          <w:noProof/>
          <w:sz w:val="18"/>
          <w:szCs w:val="18"/>
        </w:rPr>
      </w:pPr>
      <w:r>
        <w:rPr>
          <w:rFonts w:ascii="Times New Roman" w:hAnsi="Times New Roman" w:cs="Times New Roman"/>
          <w:b/>
          <w:noProof/>
          <w:sz w:val="18"/>
          <w:szCs w:val="18"/>
        </w:rPr>
        <w:br w:type="page"/>
      </w:r>
    </w:p>
    <w:p w:rsidR="00DF1A33" w:rsidRDefault="00456F01">
      <w:pPr>
        <w:rPr>
          <w:rFonts w:ascii="Times New Roman Bold" w:hAnsi="Times New Roman Bold"/>
          <w:b/>
          <w:smallCaps/>
          <w:noProof/>
        </w:rPr>
      </w:pPr>
      <w:r>
        <w:rPr>
          <w:rFonts w:ascii="Times New Roman Bold" w:hAnsi="Times New Roman Bold"/>
          <w:b/>
          <w:smallCaps/>
          <w:noProof/>
        </w:rPr>
        <w:t>2. The model used in the study</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The overall approach used to develop the estimates provided in the support study, e.g. concerning the economic value and cos</w:t>
      </w:r>
      <w:r>
        <w:rPr>
          <w:rFonts w:ascii="Times New Roman" w:hAnsi="Times New Roman" w:cs="Times New Roman"/>
          <w:noProof/>
          <w:sz w:val="24"/>
          <w:szCs w:val="24"/>
        </w:rPr>
        <w:t>ts related to PSI, are is based on the logic visualised in the figure below.</w:t>
      </w:r>
    </w:p>
    <w:p w:rsidR="00DF1A33" w:rsidRDefault="00456F01">
      <w:pPr>
        <w:ind w:left="-709"/>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3DD62093" wp14:editId="5AAC74CD">
            <wp:extent cx="5953125" cy="428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53125" cy="4286250"/>
                    </a:xfrm>
                    <a:prstGeom prst="rect">
                      <a:avLst/>
                    </a:prstGeom>
                    <a:noFill/>
                    <a:ln>
                      <a:noFill/>
                    </a:ln>
                  </pic:spPr>
                </pic:pic>
              </a:graphicData>
            </a:graphic>
          </wp:inline>
        </w:drawing>
      </w:r>
    </w:p>
    <w:p w:rsidR="00DF1A33" w:rsidRDefault="00456F01">
      <w:pPr>
        <w:rPr>
          <w:rFonts w:ascii="Times New Roman" w:hAnsi="Times New Roman" w:cs="Times New Roman"/>
          <w:b/>
          <w:noProof/>
          <w:sz w:val="18"/>
          <w:szCs w:val="18"/>
        </w:rPr>
      </w:pPr>
      <w:r>
        <w:rPr>
          <w:rFonts w:ascii="Times New Roman" w:hAnsi="Times New Roman" w:cs="Times New Roman"/>
          <w:b/>
          <w:noProof/>
          <w:sz w:val="18"/>
          <w:szCs w:val="18"/>
        </w:rPr>
        <w:t>Source: Impact Assessment Support Study, Deloitte, 2018</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As can be seen above, comprehensive data from public sources, e.g. the number of businesses available for multiple years </w:t>
      </w:r>
      <w:r>
        <w:rPr>
          <w:rFonts w:ascii="Times New Roman" w:hAnsi="Times New Roman" w:cs="Times New Roman"/>
          <w:noProof/>
          <w:sz w:val="24"/>
          <w:szCs w:val="24"/>
        </w:rPr>
        <w:t>via Eurostat, was multiplied with assumptions based on data from primary and secondary sources, e.g. in relation to the market size of PSI in different Member States or third countries in order to estimate the overall (direct and indirect) EU28 economic va</w:t>
      </w:r>
      <w:r>
        <w:rPr>
          <w:rFonts w:ascii="Times New Roman" w:hAnsi="Times New Roman" w:cs="Times New Roman"/>
          <w:noProof/>
          <w:sz w:val="24"/>
          <w:szCs w:val="24"/>
        </w:rPr>
        <w:t>lue. Based on the Compound Annual Growth Rate of the Eurostat data, as well as a specific S-curve growth model (i.e. either linear growth or curve modelling depending on theory and data, see further below), the data was the extrapolated until 2030. Finally</w:t>
      </w:r>
      <w:r>
        <w:rPr>
          <w:rFonts w:ascii="Times New Roman" w:hAnsi="Times New Roman" w:cs="Times New Roman"/>
          <w:noProof/>
          <w:sz w:val="24"/>
          <w:szCs w:val="24"/>
        </w:rPr>
        <w:t>, specific assumptions have been used to break down the data by specific metrics, such as economic value by sector, or government revenue from PSI by level of government.</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The growth model has been developed to project the development of the estimates in th</w:t>
      </w:r>
      <w:r>
        <w:rPr>
          <w:rFonts w:ascii="Times New Roman" w:hAnsi="Times New Roman" w:cs="Times New Roman"/>
          <w:noProof/>
          <w:sz w:val="24"/>
          <w:szCs w:val="24"/>
        </w:rPr>
        <w:t>e future, especially the expected growth in the PSI market under different option packages. The growth model used in this study is based on the S-curve concept which is widely applied in macro-economic modelling. The concept is visualised below.</w:t>
      </w:r>
    </w:p>
    <w:p w:rsidR="00DF1A33" w:rsidRDefault="00456F01">
      <w:pPr>
        <w:spacing w:after="0" w:line="240" w:lineRule="auto"/>
        <w:ind w:left="-851"/>
        <w:jc w:val="center"/>
        <w:rPr>
          <w:noProof/>
        </w:rPr>
      </w:pPr>
      <w:r>
        <w:rPr>
          <w:noProof/>
          <w:lang w:eastAsia="en-GB"/>
        </w:rPr>
        <w:drawing>
          <wp:inline distT="0" distB="0" distL="0" distR="0" wp14:anchorId="2509CEAA" wp14:editId="044A22B5">
            <wp:extent cx="6438900" cy="3819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38900" cy="3819525"/>
                    </a:xfrm>
                    <a:prstGeom prst="rect">
                      <a:avLst/>
                    </a:prstGeom>
                    <a:noFill/>
                    <a:ln>
                      <a:noFill/>
                    </a:ln>
                  </pic:spPr>
                </pic:pic>
              </a:graphicData>
            </a:graphic>
          </wp:inline>
        </w:drawing>
      </w:r>
    </w:p>
    <w:p w:rsidR="00DF1A33" w:rsidRDefault="00456F01">
      <w:pPr>
        <w:rPr>
          <w:rFonts w:ascii="Times New Roman" w:hAnsi="Times New Roman" w:cs="Times New Roman"/>
          <w:b/>
          <w:noProof/>
          <w:sz w:val="18"/>
          <w:szCs w:val="18"/>
        </w:rPr>
      </w:pPr>
      <w:r>
        <w:rPr>
          <w:rFonts w:ascii="Times New Roman" w:hAnsi="Times New Roman" w:cs="Times New Roman"/>
          <w:b/>
          <w:noProof/>
          <w:sz w:val="18"/>
          <w:szCs w:val="18"/>
        </w:rPr>
        <w:t xml:space="preserve">Source: </w:t>
      </w:r>
      <w:r>
        <w:rPr>
          <w:rFonts w:ascii="Times New Roman" w:hAnsi="Times New Roman" w:cs="Times New Roman"/>
          <w:b/>
          <w:noProof/>
          <w:sz w:val="18"/>
          <w:szCs w:val="18"/>
        </w:rPr>
        <w:t>Impact Assessment Support Study, Deloitte, 2018</w:t>
      </w:r>
    </w:p>
    <w:p w:rsidR="00DF1A33" w:rsidRDefault="00456F01">
      <w:pPr>
        <w:rPr>
          <w:rFonts w:ascii="Times New Roman" w:hAnsi="Times New Roman" w:cs="Times New Roman"/>
          <w:noProof/>
          <w:sz w:val="24"/>
          <w:szCs w:val="24"/>
        </w:rPr>
      </w:pPr>
      <w:r>
        <w:rPr>
          <w:rFonts w:ascii="Times New Roman" w:hAnsi="Times New Roman" w:cs="Times New Roman"/>
          <w:noProof/>
          <w:sz w:val="24"/>
          <w:szCs w:val="24"/>
        </w:rPr>
        <w:t>Within this concept, the growth of a certain set of data over time, e.g. the economic value of PSI, increases over time up to a point at which the growth rate eventually declines and the data only grows margi</w:t>
      </w:r>
      <w:r>
        <w:rPr>
          <w:rFonts w:ascii="Times New Roman" w:hAnsi="Times New Roman" w:cs="Times New Roman"/>
          <w:noProof/>
          <w:sz w:val="24"/>
          <w:szCs w:val="24"/>
        </w:rPr>
        <w:t>nally (the curve “flattens out”).</w:t>
      </w:r>
    </w:p>
    <w:p w:rsidR="00DF1A33" w:rsidRDefault="00456F01">
      <w:pPr>
        <w:rPr>
          <w:rFonts w:ascii="Times New Roman" w:hAnsi="Times New Roman" w:cs="Times New Roman"/>
          <w:noProof/>
          <w:sz w:val="24"/>
          <w:szCs w:val="24"/>
        </w:rPr>
      </w:pPr>
      <w:r>
        <w:rPr>
          <w:rFonts w:ascii="Times New Roman" w:hAnsi="Times New Roman" w:cs="Times New Roman"/>
          <w:noProof/>
          <w:sz w:val="24"/>
          <w:szCs w:val="24"/>
        </w:rPr>
        <w:t>Such a curve can be modelled with a logistic function. The general formula used for the logistic function is the following.</w:t>
      </w:r>
    </w:p>
    <w:p w:rsidR="00DF1A33" w:rsidRDefault="00456F01">
      <w:pPr>
        <w:rPr>
          <w:noProof/>
        </w:rPr>
      </w:pPr>
      <m:oMathPara>
        <m:oMath>
          <m:r>
            <w:rPr>
              <w:rFonts w:ascii="Cambria Math" w:hAnsi="Cambria Math" w:cs="Arial"/>
              <w:noProof/>
              <w:sz w:val="28"/>
            </w:rPr>
            <m:t>P</m:t>
          </m:r>
          <m:d>
            <m:dPr>
              <m:ctrlPr>
                <w:rPr>
                  <w:rFonts w:ascii="Cambria Math" w:hAnsi="Cambria Math" w:cs="Arial"/>
                  <w:i/>
                  <w:noProof/>
                  <w:sz w:val="28"/>
                  <w:szCs w:val="28"/>
                </w:rPr>
              </m:ctrlPr>
            </m:dPr>
            <m:e>
              <m:r>
                <w:rPr>
                  <w:rFonts w:ascii="Cambria Math" w:hAnsi="Cambria Math" w:cs="Arial"/>
                  <w:noProof/>
                  <w:sz w:val="28"/>
                </w:rPr>
                <m:t>t</m:t>
              </m:r>
            </m:e>
          </m:d>
          <m:r>
            <w:rPr>
              <w:rFonts w:ascii="Cambria Math" w:hAnsi="Cambria Math" w:cs="Arial"/>
              <w:noProof/>
              <w:sz w:val="28"/>
            </w:rPr>
            <m:t xml:space="preserve">= </m:t>
          </m:r>
          <m:f>
            <m:fPr>
              <m:ctrlPr>
                <w:rPr>
                  <w:rFonts w:ascii="Cambria Math" w:hAnsi="Cambria Math" w:cs="Arial"/>
                  <w:i/>
                  <w:noProof/>
                  <w:sz w:val="28"/>
                  <w:szCs w:val="28"/>
                </w:rPr>
              </m:ctrlPr>
            </m:fPr>
            <m:num>
              <m:sSub>
                <m:sSubPr>
                  <m:ctrlPr>
                    <w:rPr>
                      <w:rFonts w:ascii="Cambria Math" w:hAnsi="Cambria Math" w:cs="Arial"/>
                      <w:i/>
                      <w:noProof/>
                      <w:sz w:val="28"/>
                      <w:szCs w:val="28"/>
                    </w:rPr>
                  </m:ctrlPr>
                </m:sSubPr>
                <m:e>
                  <m:r>
                    <w:rPr>
                      <w:rFonts w:ascii="Cambria Math" w:hAnsi="Cambria Math" w:cs="Arial"/>
                      <w:noProof/>
                      <w:sz w:val="28"/>
                    </w:rPr>
                    <m:t>P</m:t>
                  </m:r>
                </m:e>
                <m:sub>
                  <m:r>
                    <w:rPr>
                      <w:rFonts w:ascii="Cambria Math" w:hAnsi="Cambria Math" w:cs="Arial"/>
                      <w:noProof/>
                      <w:sz w:val="28"/>
                    </w:rPr>
                    <m:t>0</m:t>
                  </m:r>
                </m:sub>
              </m:sSub>
              <m:r>
                <w:rPr>
                  <w:rFonts w:ascii="Cambria Math" w:hAnsi="Cambria Math" w:cs="Arial"/>
                  <w:noProof/>
                  <w:sz w:val="28"/>
                </w:rPr>
                <m:t>*</m:t>
              </m:r>
              <m:r>
                <w:rPr>
                  <w:rFonts w:ascii="Cambria Math" w:hAnsi="Cambria Math" w:cs="Arial"/>
                  <w:noProof/>
                  <w:sz w:val="28"/>
                </w:rPr>
                <m:t xml:space="preserve"> </m:t>
              </m:r>
              <m:sSup>
                <m:sSupPr>
                  <m:ctrlPr>
                    <w:rPr>
                      <w:rFonts w:ascii="Cambria Math" w:hAnsi="Cambria Math" w:cs="Arial"/>
                      <w:i/>
                      <w:noProof/>
                      <w:sz w:val="28"/>
                      <w:szCs w:val="28"/>
                    </w:rPr>
                  </m:ctrlPr>
                </m:sSupPr>
                <m:e>
                  <m:r>
                    <w:rPr>
                      <w:rFonts w:ascii="Cambria Math" w:hAnsi="Cambria Math" w:cs="Arial"/>
                      <w:noProof/>
                      <w:sz w:val="28"/>
                    </w:rPr>
                    <m:t>e</m:t>
                  </m:r>
                </m:e>
                <m:sup>
                  <m:r>
                    <w:rPr>
                      <w:rFonts w:ascii="Cambria Math" w:hAnsi="Cambria Math" w:cs="Arial"/>
                      <w:noProof/>
                      <w:sz w:val="28"/>
                    </w:rPr>
                    <m:t>r</m:t>
                  </m:r>
                  <m:r>
                    <w:rPr>
                      <w:rFonts w:ascii="Cambria Math" w:hAnsi="Cambria Math" w:cs="Arial"/>
                      <w:noProof/>
                      <w:sz w:val="28"/>
                    </w:rPr>
                    <m:t>-</m:t>
                  </m:r>
                  <m:r>
                    <w:rPr>
                      <w:rFonts w:ascii="Cambria Math" w:hAnsi="Cambria Math" w:cs="Arial"/>
                      <w:noProof/>
                      <w:sz w:val="28"/>
                    </w:rPr>
                    <m:t>t</m:t>
                  </m:r>
                </m:sup>
              </m:sSup>
              <m:r>
                <w:rPr>
                  <w:rFonts w:ascii="Cambria Math" w:hAnsi="Cambria Math" w:cs="Arial"/>
                  <w:noProof/>
                  <w:sz w:val="28"/>
                </w:rPr>
                <m:t xml:space="preserve"> </m:t>
              </m:r>
            </m:num>
            <m:den>
              <m:r>
                <w:rPr>
                  <w:rFonts w:ascii="Cambria Math" w:hAnsi="Cambria Math" w:cs="Arial"/>
                  <w:noProof/>
                  <w:sz w:val="28"/>
                </w:rPr>
                <m:t xml:space="preserve">1+ </m:t>
              </m:r>
              <m:sSub>
                <m:sSubPr>
                  <m:ctrlPr>
                    <w:rPr>
                      <w:rFonts w:ascii="Cambria Math" w:hAnsi="Cambria Math" w:cs="Arial"/>
                      <w:i/>
                      <w:noProof/>
                      <w:sz w:val="28"/>
                      <w:szCs w:val="28"/>
                    </w:rPr>
                  </m:ctrlPr>
                </m:sSubPr>
                <m:e>
                  <m:r>
                    <w:rPr>
                      <w:rFonts w:ascii="Cambria Math" w:hAnsi="Cambria Math" w:cs="Arial"/>
                      <w:noProof/>
                      <w:sz w:val="28"/>
                    </w:rPr>
                    <m:t>P</m:t>
                  </m:r>
                </m:e>
                <m:sub>
                  <m:r>
                    <w:rPr>
                      <w:rFonts w:ascii="Cambria Math" w:hAnsi="Cambria Math" w:cs="Arial"/>
                      <w:noProof/>
                      <w:sz w:val="28"/>
                    </w:rPr>
                    <m:t>0</m:t>
                  </m:r>
                </m:sub>
              </m:sSub>
              <m:r>
                <w:rPr>
                  <w:rFonts w:ascii="Cambria Math" w:hAnsi="Cambria Math" w:cs="Arial"/>
                  <w:noProof/>
                  <w:sz w:val="28"/>
                </w:rPr>
                <m:t>(</m:t>
              </m:r>
              <m:sSup>
                <m:sSupPr>
                  <m:ctrlPr>
                    <w:rPr>
                      <w:rFonts w:ascii="Cambria Math" w:hAnsi="Cambria Math" w:cs="Arial"/>
                      <w:i/>
                      <w:noProof/>
                      <w:sz w:val="28"/>
                      <w:szCs w:val="28"/>
                    </w:rPr>
                  </m:ctrlPr>
                </m:sSupPr>
                <m:e>
                  <m:r>
                    <w:rPr>
                      <w:rFonts w:ascii="Cambria Math" w:hAnsi="Cambria Math" w:cs="Arial"/>
                      <w:noProof/>
                      <w:sz w:val="28"/>
                    </w:rPr>
                    <m:t>e</m:t>
                  </m:r>
                </m:e>
                <m:sup>
                  <m:r>
                    <w:rPr>
                      <w:rFonts w:ascii="Cambria Math" w:hAnsi="Cambria Math" w:cs="Arial"/>
                      <w:noProof/>
                      <w:sz w:val="28"/>
                    </w:rPr>
                    <m:t>r</m:t>
                  </m:r>
                  <m:r>
                    <w:rPr>
                      <w:rFonts w:ascii="Cambria Math" w:hAnsi="Cambria Math" w:cs="Arial"/>
                      <w:noProof/>
                      <w:sz w:val="28"/>
                    </w:rPr>
                    <m:t>-</m:t>
                  </m:r>
                  <m:r>
                    <w:rPr>
                      <w:rFonts w:ascii="Cambria Math" w:hAnsi="Cambria Math" w:cs="Arial"/>
                      <w:noProof/>
                      <w:sz w:val="28"/>
                    </w:rPr>
                    <m:t>t</m:t>
                  </m:r>
                </m:sup>
              </m:sSup>
              <m:r>
                <w:rPr>
                  <w:rFonts w:ascii="Cambria Math" w:hAnsi="Cambria Math" w:cs="Arial"/>
                  <w:noProof/>
                  <w:sz w:val="28"/>
                </w:rPr>
                <m:t>-</m:t>
              </m:r>
              <m:r>
                <w:rPr>
                  <w:rFonts w:ascii="Cambria Math" w:hAnsi="Cambria Math" w:cs="Arial"/>
                  <w:noProof/>
                  <w:sz w:val="28"/>
                </w:rPr>
                <m:t>1)/</m:t>
              </m:r>
              <m:sSub>
                <m:sSubPr>
                  <m:ctrlPr>
                    <w:rPr>
                      <w:rFonts w:ascii="Cambria Math" w:hAnsi="Cambria Math" w:cs="Arial"/>
                      <w:i/>
                      <w:noProof/>
                      <w:sz w:val="28"/>
                      <w:szCs w:val="28"/>
                    </w:rPr>
                  </m:ctrlPr>
                </m:sSubPr>
                <m:e>
                  <m:r>
                    <w:rPr>
                      <w:rFonts w:ascii="Cambria Math" w:hAnsi="Cambria Math" w:cs="Arial"/>
                      <w:noProof/>
                      <w:sz w:val="28"/>
                    </w:rPr>
                    <m:t>P</m:t>
                  </m:r>
                </m:e>
                <m:sub>
                  <m:r>
                    <w:rPr>
                      <w:rFonts w:ascii="Cambria Math" w:hAnsi="Cambria Math" w:cs="Arial"/>
                      <w:noProof/>
                      <w:sz w:val="28"/>
                    </w:rPr>
                    <m:t>MAX</m:t>
                  </m:r>
                </m:sub>
              </m:sSub>
            </m:den>
          </m:f>
        </m:oMath>
      </m:oMathPara>
    </w:p>
    <w:p w:rsidR="00DF1A33" w:rsidRDefault="00456F01">
      <w:pPr>
        <w:rPr>
          <w:rFonts w:ascii="Times New Roman" w:hAnsi="Times New Roman" w:cs="Times New Roman"/>
          <w:noProof/>
          <w:sz w:val="24"/>
          <w:szCs w:val="24"/>
        </w:rPr>
      </w:pPr>
      <w:r>
        <w:rPr>
          <w:rFonts w:ascii="Times New Roman" w:hAnsi="Times New Roman" w:cs="Times New Roman"/>
          <w:noProof/>
          <w:sz w:val="24"/>
          <w:szCs w:val="24"/>
        </w:rPr>
        <w:t>The formula contains the following elements:</w:t>
      </w:r>
    </w:p>
    <w:p w:rsidR="00DF1A33" w:rsidRDefault="00456F01">
      <w:pPr>
        <w:pStyle w:val="BulletPSP"/>
        <w:rPr>
          <w:rFonts w:ascii="Times New Roman" w:hAnsi="Times New Roman" w:cs="Times New Roman"/>
          <w:i/>
          <w:noProof/>
          <w:szCs w:val="24"/>
          <w:lang w:val="en-US"/>
        </w:rPr>
      </w:pPr>
      <w:r>
        <w:rPr>
          <w:rFonts w:cs="Arial"/>
          <w:i/>
          <w:noProof/>
          <w:szCs w:val="24"/>
          <w:lang w:val="en-US"/>
        </w:rPr>
        <w:t xml:space="preserve">P </w:t>
      </w:r>
      <w:r>
        <w:rPr>
          <w:rFonts w:ascii="Times New Roman" w:hAnsi="Times New Roman" w:cs="Times New Roman"/>
          <w:noProof/>
          <w:szCs w:val="24"/>
          <w:lang w:val="en-US"/>
        </w:rPr>
        <w:t>repre</w:t>
      </w:r>
      <w:r>
        <w:rPr>
          <w:rFonts w:ascii="Times New Roman" w:hAnsi="Times New Roman" w:cs="Times New Roman"/>
          <w:noProof/>
          <w:szCs w:val="24"/>
          <w:lang w:val="en-US"/>
        </w:rPr>
        <w:t>sents the data point at a given time</w:t>
      </w:r>
      <w:r>
        <w:rPr>
          <w:rFonts w:ascii="Times New Roman" w:hAnsi="Times New Roman" w:cs="Times New Roman"/>
          <w:i/>
          <w:noProof/>
          <w:szCs w:val="24"/>
          <w:lang w:val="en-US"/>
        </w:rPr>
        <w:t xml:space="preserve"> t;</w:t>
      </w:r>
    </w:p>
    <w:p w:rsidR="00DF1A33" w:rsidRDefault="00456F01">
      <w:pPr>
        <w:pStyle w:val="BulletPSP"/>
        <w:rPr>
          <w:rFonts w:ascii="Times New Roman" w:hAnsi="Times New Roman" w:cs="Times New Roman"/>
          <w:noProof/>
          <w:szCs w:val="24"/>
          <w:lang w:val="en-US"/>
        </w:rPr>
      </w:pPr>
      <w:r>
        <w:rPr>
          <w:rFonts w:ascii="Times New Roman" w:hAnsi="Times New Roman" w:cs="Times New Roman"/>
          <w:i/>
          <w:noProof/>
          <w:szCs w:val="24"/>
          <w:lang w:val="en-US"/>
        </w:rPr>
        <w:t>P</w:t>
      </w:r>
      <w:r>
        <w:rPr>
          <w:rFonts w:ascii="Times New Roman" w:hAnsi="Times New Roman" w:cs="Times New Roman"/>
          <w:i/>
          <w:noProof/>
          <w:szCs w:val="24"/>
          <w:vertAlign w:val="subscript"/>
          <w:lang w:val="en-US"/>
        </w:rPr>
        <w:t>0</w:t>
      </w:r>
      <w:r>
        <w:rPr>
          <w:rFonts w:ascii="Times New Roman" w:hAnsi="Times New Roman" w:cs="Times New Roman"/>
          <w:noProof/>
          <w:szCs w:val="24"/>
          <w:lang w:val="en-US"/>
        </w:rPr>
        <w:t xml:space="preserve"> represents the data point today;</w:t>
      </w:r>
    </w:p>
    <w:p w:rsidR="00DF1A33" w:rsidRDefault="00456F01">
      <w:pPr>
        <w:pStyle w:val="BulletPSP"/>
        <w:rPr>
          <w:rFonts w:ascii="Times New Roman" w:hAnsi="Times New Roman" w:cs="Times New Roman"/>
          <w:noProof/>
          <w:szCs w:val="24"/>
          <w:lang w:val="en-US"/>
        </w:rPr>
      </w:pPr>
      <w:r>
        <w:rPr>
          <w:rFonts w:ascii="Times New Roman" w:hAnsi="Times New Roman" w:cs="Times New Roman"/>
          <w:i/>
          <w:noProof/>
          <w:szCs w:val="24"/>
          <w:lang w:val="en-US"/>
        </w:rPr>
        <w:t>P</w:t>
      </w:r>
      <w:r>
        <w:rPr>
          <w:rFonts w:ascii="Times New Roman" w:hAnsi="Times New Roman" w:cs="Times New Roman"/>
          <w:i/>
          <w:noProof/>
          <w:szCs w:val="24"/>
          <w:vertAlign w:val="subscript"/>
          <w:lang w:val="en-US"/>
        </w:rPr>
        <w:t>MAX</w:t>
      </w:r>
      <w:r>
        <w:rPr>
          <w:rFonts w:ascii="Times New Roman" w:hAnsi="Times New Roman" w:cs="Times New Roman"/>
          <w:i/>
          <w:noProof/>
          <w:szCs w:val="24"/>
          <w:lang w:val="en-US"/>
        </w:rPr>
        <w:t xml:space="preserve"> </w:t>
      </w:r>
      <w:r>
        <w:rPr>
          <w:rFonts w:ascii="Times New Roman" w:hAnsi="Times New Roman" w:cs="Times New Roman"/>
          <w:noProof/>
          <w:szCs w:val="24"/>
          <w:lang w:val="en-US"/>
        </w:rPr>
        <w:t>represents the data point that can reasonably be achieved until 2030; and</w:t>
      </w:r>
    </w:p>
    <w:p w:rsidR="00DF1A33" w:rsidRDefault="00456F01">
      <w:pPr>
        <w:pStyle w:val="BulletPSP"/>
        <w:rPr>
          <w:rFonts w:ascii="Times New Roman" w:hAnsi="Times New Roman" w:cs="Times New Roman"/>
          <w:noProof/>
          <w:szCs w:val="24"/>
          <w:lang w:val="en-US"/>
        </w:rPr>
      </w:pPr>
      <w:r>
        <w:rPr>
          <w:rFonts w:ascii="Times New Roman" w:hAnsi="Times New Roman" w:cs="Times New Roman"/>
          <w:i/>
          <w:noProof/>
          <w:szCs w:val="24"/>
          <w:lang w:val="en-US"/>
        </w:rPr>
        <w:t xml:space="preserve">r </w:t>
      </w:r>
      <w:r>
        <w:rPr>
          <w:rFonts w:ascii="Times New Roman" w:hAnsi="Times New Roman" w:cs="Times New Roman"/>
          <w:noProof/>
          <w:szCs w:val="24"/>
          <w:lang w:val="en-US"/>
        </w:rPr>
        <w:t>represents the parameter by means of which the data point is expected to increase annually; and</w:t>
      </w:r>
    </w:p>
    <w:p w:rsidR="00DF1A33" w:rsidRDefault="00456F01">
      <w:pPr>
        <w:pStyle w:val="BulletPSP"/>
        <w:rPr>
          <w:rFonts w:ascii="Times New Roman" w:hAnsi="Times New Roman" w:cs="Times New Roman"/>
          <w:noProof/>
          <w:szCs w:val="24"/>
          <w:lang w:val="en-US"/>
        </w:rPr>
      </w:pPr>
      <w:r>
        <w:rPr>
          <w:rFonts w:ascii="Times New Roman" w:hAnsi="Times New Roman" w:cs="Times New Roman"/>
          <w:i/>
          <w:noProof/>
          <w:szCs w:val="24"/>
          <w:lang w:val="en-US"/>
        </w:rPr>
        <w:t xml:space="preserve">e </w:t>
      </w:r>
      <w:r>
        <w:rPr>
          <w:rFonts w:ascii="Times New Roman" w:hAnsi="Times New Roman" w:cs="Times New Roman"/>
          <w:noProof/>
          <w:szCs w:val="24"/>
          <w:lang w:val="en-US"/>
        </w:rPr>
        <w:t>is the mathematical that is the base for the natural logarithm (‘Euler’s number’).</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The curve can be modelled in such a way that it does, however, not necessraily resemble the S-curve in a given period of time, e.g. by mathematically stretching its developm</w:t>
      </w:r>
      <w:r>
        <w:rPr>
          <w:rFonts w:ascii="Times New Roman" w:hAnsi="Times New Roman" w:cs="Times New Roman"/>
          <w:noProof/>
          <w:sz w:val="24"/>
          <w:szCs w:val="24"/>
        </w:rPr>
        <w:t>ent over a timeframe that exceeds the scope of this study (i.e. the flat part of the curve will not be reached by 2030).</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Towards the end of its lifecycle, each market, industry, product, or service ultimately reaches a saturation phase. This means that mar</w:t>
      </w:r>
      <w:r>
        <w:rPr>
          <w:rFonts w:ascii="Times New Roman" w:hAnsi="Times New Roman" w:cs="Times New Roman"/>
          <w:noProof/>
          <w:sz w:val="24"/>
          <w:szCs w:val="24"/>
        </w:rPr>
        <w:t xml:space="preserve">ginal investments are becoming increasingly inefficient (i.e. every additional euro of investment does not increase the return on investment) with increasingly less consumers purchasing the respective products or services.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With specific regard to PSI, thi</w:t>
      </w:r>
      <w:r>
        <w:rPr>
          <w:rFonts w:ascii="Times New Roman" w:hAnsi="Times New Roman" w:cs="Times New Roman"/>
          <w:noProof/>
          <w:sz w:val="24"/>
          <w:szCs w:val="24"/>
        </w:rPr>
        <w:t>s means that at some point in the future the economic value of PSI is expected to grow at a shrinking margin. Reasons for this can e.g. be that the most important data sources have been opened up and provided in a re-usable format. Moreover, in the saturat</w:t>
      </w:r>
      <w:r>
        <w:rPr>
          <w:rFonts w:ascii="Times New Roman" w:hAnsi="Times New Roman" w:cs="Times New Roman"/>
          <w:noProof/>
          <w:sz w:val="24"/>
          <w:szCs w:val="24"/>
        </w:rPr>
        <w:t>ion phase of the market, most consumers are expected to have purchased PSI-based goods and services, meaning that innovation can reasonably be expected to become more and more difficult. Thus, consumers may look for products and services based on alternati</w:t>
      </w:r>
      <w:r>
        <w:rPr>
          <w:rFonts w:ascii="Times New Roman" w:hAnsi="Times New Roman" w:cs="Times New Roman"/>
          <w:noProof/>
          <w:sz w:val="24"/>
          <w:szCs w:val="24"/>
        </w:rPr>
        <w:t>ve types of data or data sources outside the EU context. Therefore, the growth curve typically “flattens out” in the saturation phase of the market.</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Given the complexity of and differences between each type of industry and business, granular information on</w:t>
      </w:r>
      <w:r>
        <w:rPr>
          <w:rFonts w:ascii="Times New Roman" w:hAnsi="Times New Roman" w:cs="Times New Roman"/>
          <w:noProof/>
          <w:sz w:val="24"/>
          <w:szCs w:val="24"/>
        </w:rPr>
        <w:t xml:space="preserve"> costs and benefits is usually very scarce. This is a frequent issue in Impact Assessment studies as a crucial constraint for the assessment of existing problems and the impacts of the Policy Packages. Important constraints were:</w:t>
      </w:r>
    </w:p>
    <w:p w:rsidR="00DF1A33" w:rsidRDefault="00456F01">
      <w:pPr>
        <w:pStyle w:val="BulletPSP"/>
        <w:rPr>
          <w:rFonts w:ascii="Times New Roman" w:hAnsi="Times New Roman" w:cs="Times New Roman"/>
          <w:noProof/>
          <w:szCs w:val="24"/>
          <w:lang w:val="en-US"/>
        </w:rPr>
      </w:pPr>
      <w:r>
        <w:rPr>
          <w:rFonts w:ascii="Times New Roman" w:hAnsi="Times New Roman" w:cs="Times New Roman"/>
          <w:noProof/>
          <w:szCs w:val="24"/>
          <w:lang w:val="en-US"/>
        </w:rPr>
        <w:t>Only few stakeholders were</w:t>
      </w:r>
      <w:r>
        <w:rPr>
          <w:rFonts w:ascii="Times New Roman" w:hAnsi="Times New Roman" w:cs="Times New Roman"/>
          <w:noProof/>
          <w:szCs w:val="24"/>
          <w:lang w:val="en-US"/>
        </w:rPr>
        <w:t xml:space="preserve"> able to provide the information in relation to the types of evidence necessary for the Commission; and</w:t>
      </w:r>
    </w:p>
    <w:p w:rsidR="00DF1A33" w:rsidRDefault="00456F01">
      <w:pPr>
        <w:pStyle w:val="BulletPSP"/>
        <w:rPr>
          <w:rFonts w:ascii="Times New Roman" w:hAnsi="Times New Roman" w:cs="Times New Roman"/>
          <w:noProof/>
          <w:szCs w:val="24"/>
          <w:lang w:val="en-US"/>
        </w:rPr>
      </w:pPr>
      <w:r>
        <w:rPr>
          <w:rFonts w:ascii="Times New Roman" w:hAnsi="Times New Roman" w:cs="Times New Roman"/>
          <w:noProof/>
          <w:szCs w:val="24"/>
          <w:lang w:val="en-US"/>
        </w:rPr>
        <w:t>The specific timing of this study was a challenge for the collection and analysis of (quantitative) evidence, as the 2013 changes to the Directive did n</w:t>
      </w:r>
      <w:r>
        <w:rPr>
          <w:rFonts w:ascii="Times New Roman" w:hAnsi="Times New Roman" w:cs="Times New Roman"/>
          <w:noProof/>
          <w:szCs w:val="24"/>
          <w:lang w:val="en-US"/>
        </w:rPr>
        <w:t>ot yet have full practical impact according to numerous stakeholders.</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rPr>
        <w:t>Thus, the model is based on a pragmatic</w:t>
      </w:r>
      <w:r>
        <w:rPr>
          <w:rFonts w:ascii="Times New Roman" w:hAnsi="Times New Roman" w:cs="Times New Roman"/>
          <w:noProof/>
          <w:sz w:val="24"/>
          <w:szCs w:val="24"/>
          <w:lang w:val="en-US"/>
        </w:rPr>
        <w:t>, reasonable methodology, as well as proxies and the best data available. Moreover, expert assumptions / estimates concerning the expected level of</w:t>
      </w:r>
      <w:r>
        <w:rPr>
          <w:rFonts w:ascii="Times New Roman" w:hAnsi="Times New Roman" w:cs="Times New Roman"/>
          <w:noProof/>
          <w:sz w:val="24"/>
          <w:szCs w:val="24"/>
          <w:lang w:val="en-US"/>
        </w:rPr>
        <w:t xml:space="preserve"> e.g. costs and benefits (based on estimates and the use of ranges) were used after a peer-review process the included the Commission.</w:t>
      </w:r>
    </w:p>
    <w:p w:rsidR="00DF1A33" w:rsidRDefault="00456F01">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Hence, the analyses and estimates contained in the study should rather be seen as a contribution to the general debate ar</w:t>
      </w:r>
      <w:r>
        <w:rPr>
          <w:rFonts w:ascii="Times New Roman" w:hAnsi="Times New Roman" w:cs="Times New Roman"/>
          <w:noProof/>
          <w:sz w:val="24"/>
          <w:szCs w:val="24"/>
          <w:lang w:val="en-US"/>
        </w:rPr>
        <w:t>ound PSI than exact science. Thus, the estimates should be treated with caution.</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The following table provides the key assumptions used in the model. They are based on the best data available from the interviews carried out as part of this study, as well as</w:t>
      </w:r>
      <w:r>
        <w:rPr>
          <w:rFonts w:ascii="Times New Roman" w:hAnsi="Times New Roman" w:cs="Times New Roman"/>
          <w:noProof/>
          <w:sz w:val="24"/>
          <w:szCs w:val="24"/>
        </w:rPr>
        <w:t xml:space="preserve"> the available secondary literature and expert opinions.</w:t>
      </w:r>
    </w:p>
    <w:tbl>
      <w:tblPr>
        <w:tblStyle w:val="TableGrid"/>
        <w:tblW w:w="0" w:type="auto"/>
        <w:tblLook w:val="04A0" w:firstRow="1" w:lastRow="0" w:firstColumn="1" w:lastColumn="0" w:noHBand="0" w:noVBand="1"/>
      </w:tblPr>
      <w:tblGrid>
        <w:gridCol w:w="8608"/>
      </w:tblGrid>
      <w:tr w:rsidR="00DF1A33">
        <w:tc>
          <w:tcPr>
            <w:tcW w:w="8608" w:type="dxa"/>
            <w:tcBorders>
              <w:top w:val="single" w:sz="4" w:space="0" w:color="auto"/>
              <w:left w:val="single" w:sz="4" w:space="0" w:color="auto"/>
              <w:bottom w:val="single" w:sz="4" w:space="0" w:color="auto"/>
              <w:right w:val="single" w:sz="4" w:space="0" w:color="auto"/>
            </w:tcBorders>
            <w:hideMark/>
          </w:tcPr>
          <w:p w:rsidR="00DF1A33" w:rsidRDefault="00456F01">
            <w:pPr>
              <w:rPr>
                <w:rFonts w:eastAsiaTheme="minorHAnsi"/>
                <w:b/>
                <w:i/>
                <w:noProof/>
                <w:sz w:val="24"/>
                <w:szCs w:val="24"/>
                <w:u w:val="single"/>
                <w:lang w:eastAsia="en-US"/>
              </w:rPr>
            </w:pPr>
            <w:r>
              <w:rPr>
                <w:rFonts w:eastAsiaTheme="minorHAnsi"/>
                <w:b/>
                <w:i/>
                <w:noProof/>
                <w:sz w:val="24"/>
                <w:szCs w:val="24"/>
                <w:u w:val="single"/>
              </w:rPr>
              <w:t>Peer review of the assumptions used</w:t>
            </w:r>
          </w:p>
          <w:p w:rsidR="00DF1A33" w:rsidRDefault="00456F01">
            <w:pPr>
              <w:jc w:val="both"/>
              <w:rPr>
                <w:rFonts w:eastAsiaTheme="minorHAnsi"/>
                <w:noProof/>
                <w:sz w:val="24"/>
                <w:szCs w:val="24"/>
              </w:rPr>
            </w:pPr>
            <w:r>
              <w:rPr>
                <w:rFonts w:eastAsiaTheme="minorHAnsi"/>
                <w:noProof/>
                <w:sz w:val="24"/>
                <w:szCs w:val="24"/>
              </w:rPr>
              <w:t>A number of assumptions used for the quantitative model are based on expert judgment. This means that the data used in the underlying formulas is based on the best</w:t>
            </w:r>
            <w:r>
              <w:rPr>
                <w:rFonts w:eastAsiaTheme="minorHAnsi"/>
                <w:noProof/>
                <w:sz w:val="24"/>
                <w:szCs w:val="24"/>
              </w:rPr>
              <w:t xml:space="preserve"> data available, challenged and refined (where necessary) by the experts of the consortium for this assignment.</w:t>
            </w:r>
          </w:p>
          <w:p w:rsidR="00DF1A33" w:rsidRDefault="00456F01">
            <w:pPr>
              <w:spacing w:after="120"/>
              <w:jc w:val="both"/>
              <w:rPr>
                <w:rFonts w:eastAsiaTheme="minorHAnsi"/>
                <w:noProof/>
                <w:sz w:val="24"/>
                <w:szCs w:val="24"/>
                <w:lang w:eastAsia="en-US"/>
              </w:rPr>
            </w:pPr>
            <w:r>
              <w:rPr>
                <w:rFonts w:eastAsiaTheme="minorHAnsi"/>
                <w:noProof/>
                <w:sz w:val="24"/>
                <w:szCs w:val="24"/>
              </w:rPr>
              <w:t xml:space="preserve">The assumptions used for the estimate of the impact of the Policy Options were subject to an internal, in-depth peer review process. As part of </w:t>
            </w:r>
            <w:r>
              <w:rPr>
                <w:rFonts w:eastAsiaTheme="minorHAnsi"/>
                <w:noProof/>
                <w:sz w:val="24"/>
                <w:szCs w:val="24"/>
              </w:rPr>
              <w:t>this process, different assumptions were introduced in the model to compare the different outcomes. The result of this sensitivity analysis was that the assumptions provided in the table above seem to be, at this stage, the most reasonable and pragmatic ba</w:t>
            </w:r>
            <w:r>
              <w:rPr>
                <w:rFonts w:eastAsiaTheme="minorHAnsi"/>
                <w:noProof/>
                <w:sz w:val="24"/>
                <w:szCs w:val="24"/>
              </w:rPr>
              <w:t>sed on the best data available in relation to this specific subject.</w:t>
            </w:r>
          </w:p>
        </w:tc>
      </w:tr>
    </w:tbl>
    <w:p w:rsidR="00DF1A33" w:rsidRDefault="00DF1A33">
      <w:pPr>
        <w:rPr>
          <w:rFonts w:ascii="Times New Roman" w:hAnsi="Times New Roman" w:cs="Times New Roman"/>
          <w:noProof/>
          <w:sz w:val="24"/>
          <w:szCs w:val="24"/>
        </w:rPr>
      </w:pPr>
    </w:p>
    <w:p w:rsidR="00DF1A33" w:rsidRDefault="00DF1A33">
      <w:pPr>
        <w:rPr>
          <w:rFonts w:ascii="Times New Roman" w:hAnsi="Times New Roman" w:cs="Times New Roman"/>
          <w:noProof/>
          <w:sz w:val="24"/>
          <w:szCs w:val="24"/>
        </w:rPr>
      </w:pPr>
    </w:p>
    <w:tbl>
      <w:tblPr>
        <w:tblW w:w="8647" w:type="dxa"/>
        <w:tblInd w:w="-5" w:type="dxa"/>
        <w:tblCellMar>
          <w:left w:w="70" w:type="dxa"/>
          <w:right w:w="70" w:type="dxa"/>
        </w:tblCellMar>
        <w:tblLook w:val="04A0" w:firstRow="1" w:lastRow="0" w:firstColumn="1" w:lastColumn="0" w:noHBand="0" w:noVBand="1"/>
      </w:tblPr>
      <w:tblGrid>
        <w:gridCol w:w="1560"/>
        <w:gridCol w:w="2268"/>
        <w:gridCol w:w="2404"/>
        <w:gridCol w:w="2415"/>
      </w:tblGrid>
      <w:tr w:rsidR="00DF1A33">
        <w:trPr>
          <w:trHeight w:val="285"/>
          <w:tblHeader/>
        </w:trPr>
        <w:tc>
          <w:tcPr>
            <w:tcW w:w="1560" w:type="dxa"/>
            <w:tcBorders>
              <w:top w:val="single" w:sz="4" w:space="0" w:color="auto"/>
              <w:left w:val="single" w:sz="4" w:space="0" w:color="auto"/>
              <w:bottom w:val="single" w:sz="4" w:space="0" w:color="auto"/>
              <w:right w:val="single" w:sz="4" w:space="0" w:color="auto"/>
            </w:tcBorders>
            <w:shd w:val="clear" w:color="auto" w:fill="4F81BD" w:themeFill="accent1"/>
            <w:noWrap/>
            <w:hideMark/>
          </w:tcPr>
          <w:p w:rsidR="00DF1A33" w:rsidRDefault="00456F01">
            <w:pPr>
              <w:spacing w:before="60" w:after="60" w:line="240" w:lineRule="auto"/>
              <w:rPr>
                <w:rFonts w:ascii="Times New Roman" w:eastAsia="Times New Roman" w:hAnsi="Times New Roman" w:cs="Times New Roman"/>
                <w:b/>
                <w:bCs/>
                <w:noProof/>
                <w:color w:val="FFFFFF"/>
                <w:lang w:eastAsia="de-DE"/>
              </w:rPr>
            </w:pPr>
            <w:r>
              <w:rPr>
                <w:rFonts w:ascii="Times New Roman" w:eastAsia="Times New Roman" w:hAnsi="Times New Roman" w:cs="Times New Roman"/>
                <w:b/>
                <w:bCs/>
                <w:noProof/>
                <w:color w:val="FFFFFF"/>
                <w:lang w:eastAsia="de-DE"/>
              </w:rPr>
              <w:t>Area of estimates</w:t>
            </w:r>
          </w:p>
        </w:tc>
        <w:tc>
          <w:tcPr>
            <w:tcW w:w="7087" w:type="dxa"/>
            <w:gridSpan w:val="3"/>
            <w:tcBorders>
              <w:top w:val="single" w:sz="4" w:space="0" w:color="auto"/>
              <w:left w:val="nil"/>
              <w:bottom w:val="single" w:sz="4" w:space="0" w:color="auto"/>
              <w:right w:val="single" w:sz="4" w:space="0" w:color="auto"/>
            </w:tcBorders>
            <w:shd w:val="clear" w:color="auto" w:fill="4F81BD" w:themeFill="accent1"/>
            <w:noWrap/>
            <w:hideMark/>
          </w:tcPr>
          <w:p w:rsidR="00DF1A33" w:rsidRDefault="00456F01">
            <w:pPr>
              <w:spacing w:before="60" w:after="60" w:line="240" w:lineRule="auto"/>
              <w:rPr>
                <w:rFonts w:ascii="Times New Roman" w:eastAsia="Times New Roman" w:hAnsi="Times New Roman" w:cs="Times New Roman"/>
                <w:b/>
                <w:bCs/>
                <w:noProof/>
                <w:color w:val="FFFFFF"/>
                <w:lang w:eastAsia="de-DE"/>
              </w:rPr>
            </w:pPr>
            <w:r>
              <w:rPr>
                <w:rFonts w:ascii="Times New Roman" w:eastAsia="Times New Roman" w:hAnsi="Times New Roman" w:cs="Times New Roman"/>
                <w:b/>
                <w:bCs/>
                <w:noProof/>
                <w:color w:val="FFFFFF"/>
                <w:lang w:eastAsia="de-DE"/>
              </w:rPr>
              <w:t>Specific assumption / Indicator</w:t>
            </w:r>
          </w:p>
        </w:tc>
      </w:tr>
      <w:tr w:rsidR="00DF1A33">
        <w:trPr>
          <w:trHeight w:val="285"/>
        </w:trPr>
        <w:tc>
          <w:tcPr>
            <w:tcW w:w="8647" w:type="dxa"/>
            <w:gridSpan w:val="4"/>
            <w:tcBorders>
              <w:top w:val="single" w:sz="4" w:space="0" w:color="auto"/>
              <w:left w:val="single" w:sz="4" w:space="0" w:color="auto"/>
              <w:bottom w:val="single" w:sz="4" w:space="0" w:color="auto"/>
              <w:right w:val="single" w:sz="4" w:space="0" w:color="auto"/>
            </w:tcBorders>
            <w:shd w:val="clear" w:color="auto" w:fill="1F497D" w:themeFill="text2"/>
            <w:noWrap/>
            <w:hideMark/>
          </w:tcPr>
          <w:p w:rsidR="00DF1A33" w:rsidRDefault="00456F01">
            <w:pPr>
              <w:spacing w:before="60" w:after="60" w:line="240" w:lineRule="auto"/>
              <w:rPr>
                <w:rFonts w:ascii="Times New Roman" w:eastAsia="Times New Roman" w:hAnsi="Times New Roman" w:cs="Times New Roman"/>
                <w:b/>
                <w:bCs/>
                <w:noProof/>
                <w:color w:val="FFFFFF"/>
                <w:lang w:eastAsia="de-DE"/>
              </w:rPr>
            </w:pPr>
            <w:r>
              <w:rPr>
                <w:rFonts w:ascii="Times New Roman" w:eastAsia="Times New Roman" w:hAnsi="Times New Roman" w:cs="Times New Roman"/>
                <w:b/>
                <w:bCs/>
                <w:noProof/>
                <w:color w:val="FFFFFF"/>
                <w:lang w:eastAsia="de-DE"/>
              </w:rPr>
              <w:t>Number of stakeholders affected</w:t>
            </w:r>
          </w:p>
        </w:tc>
      </w:tr>
      <w:tr w:rsidR="00DF1A33">
        <w:trPr>
          <w:trHeight w:val="285"/>
        </w:trPr>
        <w:tc>
          <w:tcPr>
            <w:tcW w:w="1560" w:type="dxa"/>
            <w:vMerge w:val="restart"/>
            <w:tcBorders>
              <w:top w:val="nil"/>
              <w:left w:val="single" w:sz="4" w:space="0" w:color="auto"/>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CAGR</w:t>
            </w: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Contracting authorities</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0.5%</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Cultural institutions</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0.5%</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Para-public bodies</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-1.0%</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Research</w:t>
            </w:r>
            <w:r>
              <w:rPr>
                <w:rFonts w:ascii="Times New Roman" w:eastAsia="Times New Roman" w:hAnsi="Times New Roman" w:cs="Times New Roman"/>
                <w:noProof/>
                <w:color w:val="000000"/>
                <w:lang w:eastAsia="de-DE"/>
              </w:rPr>
              <w:t xml:space="preserve"> institutes</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0.5%</w:t>
            </w:r>
          </w:p>
        </w:tc>
      </w:tr>
      <w:tr w:rsidR="00DF1A33">
        <w:trPr>
          <w:trHeight w:val="285"/>
        </w:trPr>
        <w:tc>
          <w:tcPr>
            <w:tcW w:w="8647" w:type="dxa"/>
            <w:gridSpan w:val="4"/>
            <w:tcBorders>
              <w:top w:val="single" w:sz="4" w:space="0" w:color="auto"/>
              <w:left w:val="single" w:sz="4" w:space="0" w:color="auto"/>
              <w:bottom w:val="single" w:sz="4" w:space="0" w:color="auto"/>
              <w:right w:val="single" w:sz="4" w:space="0" w:color="auto"/>
            </w:tcBorders>
            <w:shd w:val="clear" w:color="auto" w:fill="1F497D" w:themeFill="text2"/>
            <w:noWrap/>
            <w:hideMark/>
          </w:tcPr>
          <w:p w:rsidR="00DF1A33" w:rsidRDefault="00456F01">
            <w:pPr>
              <w:spacing w:before="60" w:after="60" w:line="240" w:lineRule="auto"/>
              <w:rPr>
                <w:rFonts w:ascii="Times New Roman" w:eastAsia="Times New Roman" w:hAnsi="Times New Roman" w:cs="Times New Roman"/>
                <w:b/>
                <w:bCs/>
                <w:noProof/>
                <w:color w:val="FFFFFF"/>
                <w:lang w:eastAsia="de-DE"/>
              </w:rPr>
            </w:pPr>
            <w:r>
              <w:rPr>
                <w:rFonts w:ascii="Times New Roman" w:eastAsia="Times New Roman" w:hAnsi="Times New Roman" w:cs="Times New Roman"/>
                <w:b/>
                <w:bCs/>
                <w:noProof/>
                <w:color w:val="FFFFFF"/>
                <w:lang w:eastAsia="de-DE"/>
              </w:rPr>
              <w:t>Economic value</w:t>
            </w:r>
          </w:p>
        </w:tc>
      </w:tr>
      <w:tr w:rsidR="00DF1A33">
        <w:trPr>
          <w:trHeight w:val="285"/>
        </w:trPr>
        <w:tc>
          <w:tcPr>
            <w:tcW w:w="1560" w:type="dxa"/>
            <w:vMerge w:val="restart"/>
            <w:tcBorders>
              <w:top w:val="nil"/>
              <w:left w:val="single" w:sz="4" w:space="0" w:color="auto"/>
              <w:bottom w:val="single" w:sz="4" w:space="0" w:color="auto"/>
              <w:right w:val="single" w:sz="4" w:space="0" w:color="auto"/>
            </w:tcBorders>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Direct economic value</w:t>
            </w: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2010</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 xml:space="preserve">32,000,000,000 € </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2015</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 xml:space="preserve">44,463,765,786 € </w:t>
            </w:r>
          </w:p>
        </w:tc>
      </w:tr>
      <w:tr w:rsidR="00DF1A33">
        <w:trPr>
          <w:trHeight w:val="285"/>
        </w:trPr>
        <w:tc>
          <w:tcPr>
            <w:tcW w:w="1560" w:type="dxa"/>
            <w:vMerge w:val="restart"/>
            <w:tcBorders>
              <w:top w:val="nil"/>
              <w:left w:val="single" w:sz="4" w:space="0" w:color="auto"/>
              <w:bottom w:val="single" w:sz="4" w:space="0" w:color="auto"/>
              <w:right w:val="single" w:sz="4" w:space="0" w:color="auto"/>
            </w:tcBorders>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Share of economic value per sector</w:t>
            </w: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Agriculture</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0.5%</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Industry</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13.3%</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Construction</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3.6%</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Trades &amp; Transport</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13.2%</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ICT</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8.9%</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Finance and Insurance</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8.1%</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Real estate</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11.9%</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Professional services</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11.0%</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Public administration</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29.2%</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Arts, entertainment, recreation</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0.5%</w:t>
            </w:r>
          </w:p>
        </w:tc>
      </w:tr>
      <w:tr w:rsidR="00DF1A33">
        <w:trPr>
          <w:trHeight w:val="285"/>
        </w:trPr>
        <w:tc>
          <w:tcPr>
            <w:tcW w:w="1560" w:type="dxa"/>
            <w:tcBorders>
              <w:top w:val="nil"/>
              <w:left w:val="single" w:sz="4" w:space="0" w:color="auto"/>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CAGR</w:t>
            </w: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PSI</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6.8%</w:t>
            </w:r>
          </w:p>
        </w:tc>
      </w:tr>
      <w:tr w:rsidR="00DF1A33">
        <w:trPr>
          <w:trHeight w:val="285"/>
        </w:trPr>
        <w:tc>
          <w:tcPr>
            <w:tcW w:w="1560" w:type="dxa"/>
            <w:vMerge w:val="restart"/>
            <w:tcBorders>
              <w:top w:val="nil"/>
              <w:left w:val="single" w:sz="4" w:space="0" w:color="auto"/>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Ration Direct / Indirect Market Size</w:t>
            </w: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Lower bound</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3.5</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Upper bound</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3.78</w:t>
            </w:r>
          </w:p>
        </w:tc>
      </w:tr>
      <w:tr w:rsidR="00DF1A33">
        <w:trPr>
          <w:trHeight w:val="285"/>
        </w:trPr>
        <w:tc>
          <w:tcPr>
            <w:tcW w:w="8647" w:type="dxa"/>
            <w:gridSpan w:val="4"/>
            <w:tcBorders>
              <w:top w:val="single" w:sz="4" w:space="0" w:color="auto"/>
              <w:left w:val="single" w:sz="4" w:space="0" w:color="auto"/>
              <w:bottom w:val="single" w:sz="4" w:space="0" w:color="auto"/>
              <w:right w:val="single" w:sz="4" w:space="0" w:color="auto"/>
            </w:tcBorders>
            <w:shd w:val="clear" w:color="auto" w:fill="1F497D" w:themeFill="text2"/>
            <w:noWrap/>
            <w:hideMark/>
          </w:tcPr>
          <w:p w:rsidR="00DF1A33" w:rsidRDefault="00456F01">
            <w:pPr>
              <w:spacing w:before="60" w:after="60" w:line="240" w:lineRule="auto"/>
              <w:rPr>
                <w:rFonts w:ascii="Times New Roman" w:eastAsia="Times New Roman" w:hAnsi="Times New Roman" w:cs="Times New Roman"/>
                <w:b/>
                <w:bCs/>
                <w:noProof/>
                <w:color w:val="FFFFFF"/>
                <w:lang w:eastAsia="de-DE"/>
              </w:rPr>
            </w:pPr>
            <w:r>
              <w:rPr>
                <w:rFonts w:ascii="Times New Roman" w:eastAsia="Times New Roman" w:hAnsi="Times New Roman" w:cs="Times New Roman"/>
                <w:b/>
                <w:bCs/>
                <w:noProof/>
                <w:color w:val="FFFFFF"/>
                <w:lang w:eastAsia="de-DE"/>
              </w:rPr>
              <w:t>Employment</w:t>
            </w:r>
          </w:p>
        </w:tc>
      </w:tr>
      <w:tr w:rsidR="00DF1A33">
        <w:trPr>
          <w:trHeight w:val="285"/>
        </w:trPr>
        <w:tc>
          <w:tcPr>
            <w:tcW w:w="1560" w:type="dxa"/>
            <w:vMerge w:val="restart"/>
            <w:tcBorders>
              <w:top w:val="nil"/>
              <w:left w:val="single" w:sz="4" w:space="0" w:color="auto"/>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Shares of jobs</w:t>
            </w: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 xml:space="preserve">Share of Open </w:t>
            </w:r>
            <w:r>
              <w:rPr>
                <w:rFonts w:ascii="Times New Roman" w:eastAsia="Times New Roman" w:hAnsi="Times New Roman" w:cs="Times New Roman"/>
                <w:noProof/>
                <w:color w:val="000000"/>
                <w:lang w:eastAsia="de-DE"/>
              </w:rPr>
              <w:t>Data jobs in Knowledge Intensive Activities</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0.078%</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Share of PSI-related jobs of all Open Data jobs in Knowledge Intensive Activities</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80%</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Share of PSI jobs in Knowledge Intensive Activities</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0.062%</w:t>
            </w:r>
          </w:p>
        </w:tc>
      </w:tr>
      <w:tr w:rsidR="00DF1A33">
        <w:trPr>
          <w:trHeight w:val="285"/>
        </w:trPr>
        <w:tc>
          <w:tcPr>
            <w:tcW w:w="8647" w:type="dxa"/>
            <w:gridSpan w:val="4"/>
            <w:tcBorders>
              <w:top w:val="single" w:sz="4" w:space="0" w:color="auto"/>
              <w:left w:val="single" w:sz="4" w:space="0" w:color="auto"/>
              <w:bottom w:val="single" w:sz="4" w:space="0" w:color="auto"/>
              <w:right w:val="single" w:sz="4" w:space="0" w:color="auto"/>
            </w:tcBorders>
            <w:shd w:val="clear" w:color="auto" w:fill="1F497D" w:themeFill="text2"/>
            <w:noWrap/>
            <w:hideMark/>
          </w:tcPr>
          <w:p w:rsidR="00DF1A33" w:rsidRDefault="00456F01">
            <w:pPr>
              <w:spacing w:before="60" w:after="60" w:line="240" w:lineRule="auto"/>
              <w:rPr>
                <w:rFonts w:ascii="Times New Roman" w:eastAsia="Times New Roman" w:hAnsi="Times New Roman" w:cs="Times New Roman"/>
                <w:b/>
                <w:bCs/>
                <w:noProof/>
                <w:color w:val="FFFFFF"/>
                <w:lang w:eastAsia="de-DE"/>
              </w:rPr>
            </w:pPr>
            <w:r>
              <w:rPr>
                <w:rFonts w:ascii="Times New Roman" w:eastAsia="Times New Roman" w:hAnsi="Times New Roman" w:cs="Times New Roman"/>
                <w:b/>
                <w:bCs/>
                <w:noProof/>
                <w:color w:val="FFFFFF"/>
                <w:lang w:eastAsia="de-DE"/>
              </w:rPr>
              <w:t>Cost savings + revenue</w:t>
            </w:r>
          </w:p>
        </w:tc>
      </w:tr>
      <w:tr w:rsidR="00DF1A33">
        <w:trPr>
          <w:trHeight w:val="285"/>
        </w:trPr>
        <w:tc>
          <w:tcPr>
            <w:tcW w:w="1560" w:type="dxa"/>
            <w:vMerge w:val="restart"/>
            <w:tcBorders>
              <w:top w:val="nil"/>
              <w:left w:val="single" w:sz="4" w:space="0" w:color="auto"/>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Shares</w:t>
            </w: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 xml:space="preserve">Share of spending that </w:t>
            </w:r>
            <w:r>
              <w:rPr>
                <w:rFonts w:ascii="Times New Roman" w:eastAsia="Times New Roman" w:hAnsi="Times New Roman" w:cs="Times New Roman"/>
                <w:noProof/>
                <w:color w:val="000000"/>
                <w:lang w:eastAsia="de-DE"/>
              </w:rPr>
              <w:t>could be saved</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0.022%</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Share of additional revenue</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0.010%</w:t>
            </w:r>
          </w:p>
        </w:tc>
      </w:tr>
      <w:tr w:rsidR="00DF1A33">
        <w:trPr>
          <w:trHeight w:val="285"/>
        </w:trPr>
        <w:tc>
          <w:tcPr>
            <w:tcW w:w="8647" w:type="dxa"/>
            <w:gridSpan w:val="4"/>
            <w:tcBorders>
              <w:top w:val="single" w:sz="4" w:space="0" w:color="auto"/>
              <w:left w:val="single" w:sz="4" w:space="0" w:color="auto"/>
              <w:bottom w:val="single" w:sz="4" w:space="0" w:color="auto"/>
              <w:right w:val="single" w:sz="4" w:space="0" w:color="auto"/>
            </w:tcBorders>
            <w:shd w:val="clear" w:color="auto" w:fill="1F497D" w:themeFill="text2"/>
            <w:noWrap/>
            <w:hideMark/>
          </w:tcPr>
          <w:p w:rsidR="00DF1A33" w:rsidRDefault="00456F01">
            <w:pPr>
              <w:spacing w:before="60" w:after="60" w:line="240" w:lineRule="auto"/>
              <w:rPr>
                <w:rFonts w:ascii="Times New Roman" w:eastAsia="Times New Roman" w:hAnsi="Times New Roman" w:cs="Times New Roman"/>
                <w:b/>
                <w:bCs/>
                <w:noProof/>
                <w:color w:val="FFFFFF"/>
                <w:lang w:eastAsia="de-DE"/>
              </w:rPr>
            </w:pPr>
            <w:r>
              <w:rPr>
                <w:rFonts w:ascii="Times New Roman" w:eastAsia="Times New Roman" w:hAnsi="Times New Roman" w:cs="Times New Roman"/>
                <w:b/>
                <w:bCs/>
                <w:noProof/>
                <w:color w:val="FFFFFF"/>
                <w:lang w:eastAsia="de-DE"/>
              </w:rPr>
              <w:t>Costs</w:t>
            </w:r>
          </w:p>
        </w:tc>
      </w:tr>
      <w:tr w:rsidR="00DF1A33">
        <w:trPr>
          <w:trHeight w:val="285"/>
        </w:trPr>
        <w:tc>
          <w:tcPr>
            <w:tcW w:w="1560" w:type="dxa"/>
            <w:vMerge w:val="restart"/>
            <w:tcBorders>
              <w:top w:val="nil"/>
              <w:left w:val="single" w:sz="4" w:space="0" w:color="auto"/>
              <w:bottom w:val="single" w:sz="4" w:space="0" w:color="auto"/>
              <w:right w:val="single" w:sz="4" w:space="0" w:color="auto"/>
            </w:tcBorders>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Data from Polish stakeholders</w:t>
            </w: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IT equipment, programs and licences, computers and servers</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 xml:space="preserve">1,173,245 € </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 xml:space="preserve">Preparation of project, feasibility study </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 xml:space="preserve">205,000 € </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 xml:space="preserve">IT services, audits and </w:t>
            </w:r>
            <w:r>
              <w:rPr>
                <w:rFonts w:ascii="Times New Roman" w:eastAsia="Times New Roman" w:hAnsi="Times New Roman" w:cs="Times New Roman"/>
                <w:noProof/>
                <w:color w:val="000000"/>
                <w:lang w:eastAsia="de-DE"/>
              </w:rPr>
              <w:t>tests, APIs</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 xml:space="preserve">2,069,048 € </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 xml:space="preserve">Legal services, translations, consulting </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 xml:space="preserve">140,645 € </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Salaries (experts working on open standards, trainers, coordinating portal design, partners´ costs</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 xml:space="preserve">2,195,714 € </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 xml:space="preserve">Other salary related costs </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 xml:space="preserve">52,724 € </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Training</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 xml:space="preserve">268,095 € </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Training material</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 xml:space="preserve">25,789 € </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Information and promotion</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 xml:space="preserve">150,864 € </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Total</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 xml:space="preserve">6,281,123 € </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Number of registers to which these costs relate</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7</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Life time of hard- and software (i.e. number of years over which costs are split)</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7</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Share of EU funding</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84.67%</w:t>
            </w:r>
          </w:p>
        </w:tc>
      </w:tr>
      <w:tr w:rsidR="00DF1A33">
        <w:trPr>
          <w:trHeight w:val="285"/>
        </w:trPr>
        <w:tc>
          <w:tcPr>
            <w:tcW w:w="0" w:type="auto"/>
            <w:vMerge/>
            <w:tcBorders>
              <w:top w:val="nil"/>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4672" w:type="dxa"/>
            <w:gridSpan w:val="2"/>
            <w:tcBorders>
              <w:top w:val="nil"/>
              <w:left w:val="nil"/>
              <w:bottom w:val="single" w:sz="4" w:space="0" w:color="auto"/>
              <w:right w:val="single" w:sz="4" w:space="0" w:color="auto"/>
            </w:tcBorders>
            <w:noWrap/>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Average cost per year per register</w:t>
            </w:r>
          </w:p>
        </w:tc>
        <w:tc>
          <w:tcPr>
            <w:tcW w:w="2415" w:type="dxa"/>
            <w:tcBorders>
              <w:top w:val="nil"/>
              <w:left w:val="nil"/>
              <w:bottom w:val="single" w:sz="4" w:space="0" w:color="auto"/>
              <w:right w:val="single" w:sz="4" w:space="0" w:color="auto"/>
            </w:tcBorders>
            <w:noWrap/>
            <w:vAlign w:val="center"/>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 xml:space="preserve">19,651 € </w:t>
            </w:r>
          </w:p>
        </w:tc>
      </w:tr>
      <w:tr w:rsidR="00DF1A33">
        <w:trPr>
          <w:trHeight w:val="285"/>
        </w:trPr>
        <w:tc>
          <w:tcPr>
            <w:tcW w:w="8647" w:type="dxa"/>
            <w:gridSpan w:val="4"/>
            <w:tcBorders>
              <w:top w:val="single" w:sz="4" w:space="0" w:color="auto"/>
              <w:left w:val="single" w:sz="4" w:space="0" w:color="auto"/>
              <w:bottom w:val="single" w:sz="4" w:space="0" w:color="auto"/>
              <w:right w:val="single" w:sz="4" w:space="0" w:color="auto"/>
            </w:tcBorders>
            <w:shd w:val="clear" w:color="auto" w:fill="1F497D" w:themeFill="text2"/>
            <w:hideMark/>
          </w:tcPr>
          <w:p w:rsidR="00DF1A33" w:rsidRDefault="00456F01">
            <w:pPr>
              <w:spacing w:before="60" w:after="60" w:line="240" w:lineRule="auto"/>
              <w:rPr>
                <w:rFonts w:ascii="Times New Roman" w:eastAsia="Times New Roman" w:hAnsi="Times New Roman" w:cs="Times New Roman"/>
                <w:noProof/>
                <w:color w:val="FFFFFF"/>
                <w:lang w:eastAsia="de-DE"/>
              </w:rPr>
            </w:pPr>
            <w:r>
              <w:rPr>
                <w:rFonts w:ascii="Times New Roman" w:eastAsia="Times New Roman" w:hAnsi="Times New Roman" w:cs="Times New Roman"/>
                <w:b/>
                <w:bCs/>
                <w:noProof/>
                <w:color w:val="FFFFFF"/>
                <w:lang w:eastAsia="de-DE"/>
              </w:rPr>
              <w:t>Policy options</w:t>
            </w:r>
          </w:p>
        </w:tc>
      </w:tr>
      <w:tr w:rsidR="00DF1A33">
        <w:trPr>
          <w:trHeight w:val="285"/>
        </w:trPr>
        <w:tc>
          <w:tcPr>
            <w:tcW w:w="1560" w:type="dxa"/>
            <w:vMerge w:val="restart"/>
            <w:tcBorders>
              <w:top w:val="single" w:sz="4" w:space="0" w:color="auto"/>
              <w:left w:val="single" w:sz="4" w:space="0" w:color="auto"/>
              <w:bottom w:val="single" w:sz="4" w:space="0" w:color="auto"/>
              <w:right w:val="single" w:sz="4" w:space="0" w:color="auto"/>
            </w:tcBorders>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i/>
                <w:iCs/>
                <w:noProof/>
                <w:color w:val="000000"/>
                <w:u w:val="single"/>
                <w:lang w:eastAsia="de-DE"/>
              </w:rPr>
              <w:t>Benefits:</w:t>
            </w:r>
            <w:r>
              <w:rPr>
                <w:rFonts w:ascii="Times New Roman" w:eastAsia="Times New Roman" w:hAnsi="Times New Roman" w:cs="Times New Roman"/>
                <w:i/>
                <w:iCs/>
                <w:noProof/>
                <w:color w:val="000000"/>
                <w:u w:val="single"/>
                <w:lang w:eastAsia="de-DE"/>
              </w:rPr>
              <w:br/>
            </w:r>
            <w:r>
              <w:rPr>
                <w:rFonts w:ascii="Times New Roman" w:eastAsia="Times New Roman" w:hAnsi="Times New Roman" w:cs="Times New Roman"/>
                <w:noProof/>
                <w:color w:val="000000"/>
                <w:lang w:eastAsia="de-DE"/>
              </w:rPr>
              <w:t>Share of contributions to benefits of intermediate policy option</w:t>
            </w:r>
          </w:p>
        </w:tc>
        <w:tc>
          <w:tcPr>
            <w:tcW w:w="2268"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rsidR="00DF1A33" w:rsidRDefault="00456F01">
            <w:pPr>
              <w:spacing w:before="60" w:after="60" w:line="240" w:lineRule="auto"/>
              <w:rPr>
                <w:rFonts w:ascii="Times New Roman" w:eastAsia="Times New Roman" w:hAnsi="Times New Roman" w:cs="Times New Roman"/>
                <w:noProof/>
                <w:color w:val="FFFFFF"/>
                <w:lang w:eastAsia="de-DE"/>
              </w:rPr>
            </w:pPr>
            <w:r>
              <w:rPr>
                <w:rFonts w:ascii="Times New Roman" w:eastAsia="Times New Roman" w:hAnsi="Times New Roman" w:cs="Times New Roman"/>
                <w:noProof/>
                <w:color w:val="FFFFFF"/>
                <w:lang w:eastAsia="de-DE"/>
              </w:rPr>
              <w:t>Policy Options</w:t>
            </w:r>
          </w:p>
        </w:tc>
        <w:tc>
          <w:tcPr>
            <w:tcW w:w="2404"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DF1A33" w:rsidRDefault="00456F01">
            <w:pPr>
              <w:spacing w:before="60" w:after="60" w:line="240" w:lineRule="auto"/>
              <w:rPr>
                <w:rFonts w:ascii="Times New Roman" w:eastAsia="Times New Roman" w:hAnsi="Times New Roman" w:cs="Times New Roman"/>
                <w:noProof/>
                <w:color w:val="FFFFFF"/>
                <w:lang w:eastAsia="de-DE"/>
              </w:rPr>
            </w:pPr>
            <w:r>
              <w:rPr>
                <w:rFonts w:ascii="Times New Roman" w:eastAsia="Times New Roman" w:hAnsi="Times New Roman" w:cs="Times New Roman"/>
                <w:noProof/>
                <w:color w:val="FFFFFF"/>
                <w:lang w:eastAsia="de-DE"/>
              </w:rPr>
              <w:t>PO1</w:t>
            </w:r>
          </w:p>
        </w:tc>
        <w:tc>
          <w:tcPr>
            <w:tcW w:w="2415"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DF1A33" w:rsidRDefault="00456F01">
            <w:pPr>
              <w:spacing w:before="60" w:after="60" w:line="240" w:lineRule="auto"/>
              <w:rPr>
                <w:rFonts w:ascii="Times New Roman" w:eastAsia="Times New Roman" w:hAnsi="Times New Roman" w:cs="Times New Roman"/>
                <w:noProof/>
                <w:color w:val="FFFFFF"/>
                <w:lang w:eastAsia="de-DE"/>
              </w:rPr>
            </w:pPr>
            <w:r>
              <w:rPr>
                <w:rFonts w:ascii="Times New Roman" w:eastAsia="Times New Roman" w:hAnsi="Times New Roman" w:cs="Times New Roman"/>
                <w:noProof/>
                <w:color w:val="FFFFFF"/>
                <w:lang w:eastAsia="de-DE"/>
              </w:rPr>
              <w:t>PO2</w:t>
            </w:r>
          </w:p>
        </w:tc>
      </w:tr>
      <w:tr w:rsidR="00DF1A33">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Charging</w:t>
            </w:r>
          </w:p>
        </w:tc>
        <w:tc>
          <w:tcPr>
            <w:tcW w:w="2404" w:type="dxa"/>
            <w:tcBorders>
              <w:top w:val="single" w:sz="4" w:space="0" w:color="auto"/>
              <w:left w:val="single" w:sz="4" w:space="0" w:color="auto"/>
              <w:bottom w:val="single" w:sz="4" w:space="0" w:color="auto"/>
              <w:right w:val="single" w:sz="4" w:space="0" w:color="auto"/>
            </w:tcBorders>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23%</w:t>
            </w:r>
          </w:p>
        </w:tc>
        <w:tc>
          <w:tcPr>
            <w:tcW w:w="2415" w:type="dxa"/>
            <w:tcBorders>
              <w:top w:val="single" w:sz="4" w:space="0" w:color="auto"/>
              <w:left w:val="single" w:sz="4" w:space="0" w:color="auto"/>
              <w:bottom w:val="single" w:sz="4" w:space="0" w:color="auto"/>
              <w:right w:val="single" w:sz="4" w:space="0" w:color="auto"/>
            </w:tcBorders>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18%</w:t>
            </w:r>
          </w:p>
        </w:tc>
      </w:tr>
      <w:tr w:rsidR="00DF1A33">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Research institutions</w:t>
            </w:r>
          </w:p>
        </w:tc>
        <w:tc>
          <w:tcPr>
            <w:tcW w:w="2404" w:type="dxa"/>
            <w:tcBorders>
              <w:top w:val="single" w:sz="4" w:space="0" w:color="auto"/>
              <w:left w:val="single" w:sz="4" w:space="0" w:color="auto"/>
              <w:bottom w:val="single" w:sz="4" w:space="0" w:color="auto"/>
              <w:right w:val="single" w:sz="4" w:space="0" w:color="auto"/>
            </w:tcBorders>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20%</w:t>
            </w:r>
          </w:p>
        </w:tc>
        <w:tc>
          <w:tcPr>
            <w:tcW w:w="2415" w:type="dxa"/>
            <w:tcBorders>
              <w:top w:val="single" w:sz="4" w:space="0" w:color="auto"/>
              <w:left w:val="single" w:sz="4" w:space="0" w:color="auto"/>
              <w:bottom w:val="single" w:sz="4" w:space="0" w:color="auto"/>
              <w:right w:val="single" w:sz="4" w:space="0" w:color="auto"/>
            </w:tcBorders>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20%</w:t>
            </w:r>
          </w:p>
        </w:tc>
      </w:tr>
      <w:tr w:rsidR="00DF1A33">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Para-public bodies</w:t>
            </w:r>
          </w:p>
        </w:tc>
        <w:tc>
          <w:tcPr>
            <w:tcW w:w="2404" w:type="dxa"/>
            <w:tcBorders>
              <w:top w:val="single" w:sz="4" w:space="0" w:color="auto"/>
              <w:left w:val="single" w:sz="4" w:space="0" w:color="auto"/>
              <w:bottom w:val="single" w:sz="4" w:space="0" w:color="auto"/>
              <w:right w:val="single" w:sz="4" w:space="0" w:color="auto"/>
            </w:tcBorders>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29%</w:t>
            </w:r>
          </w:p>
        </w:tc>
        <w:tc>
          <w:tcPr>
            <w:tcW w:w="2415" w:type="dxa"/>
            <w:tcBorders>
              <w:top w:val="single" w:sz="4" w:space="0" w:color="auto"/>
              <w:left w:val="single" w:sz="4" w:space="0" w:color="auto"/>
              <w:bottom w:val="single" w:sz="4" w:space="0" w:color="auto"/>
              <w:right w:val="single" w:sz="4" w:space="0" w:color="auto"/>
            </w:tcBorders>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36%</w:t>
            </w:r>
          </w:p>
        </w:tc>
      </w:tr>
      <w:tr w:rsidR="00DF1A33">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APIs</w:t>
            </w:r>
          </w:p>
        </w:tc>
        <w:tc>
          <w:tcPr>
            <w:tcW w:w="2404" w:type="dxa"/>
            <w:tcBorders>
              <w:top w:val="single" w:sz="4" w:space="0" w:color="auto"/>
              <w:left w:val="single" w:sz="4" w:space="0" w:color="auto"/>
              <w:bottom w:val="single" w:sz="4" w:space="0" w:color="auto"/>
              <w:right w:val="single" w:sz="4" w:space="0" w:color="auto"/>
            </w:tcBorders>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20%</w:t>
            </w:r>
          </w:p>
        </w:tc>
        <w:tc>
          <w:tcPr>
            <w:tcW w:w="2415" w:type="dxa"/>
            <w:tcBorders>
              <w:top w:val="single" w:sz="4" w:space="0" w:color="auto"/>
              <w:left w:val="single" w:sz="4" w:space="0" w:color="auto"/>
              <w:bottom w:val="single" w:sz="4" w:space="0" w:color="auto"/>
              <w:right w:val="single" w:sz="4" w:space="0" w:color="auto"/>
            </w:tcBorders>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19%</w:t>
            </w:r>
          </w:p>
        </w:tc>
      </w:tr>
      <w:tr w:rsidR="00DF1A33">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Exclusive agreements</w:t>
            </w:r>
          </w:p>
        </w:tc>
        <w:tc>
          <w:tcPr>
            <w:tcW w:w="2404" w:type="dxa"/>
            <w:tcBorders>
              <w:top w:val="single" w:sz="4" w:space="0" w:color="auto"/>
              <w:left w:val="single" w:sz="4" w:space="0" w:color="auto"/>
              <w:bottom w:val="single" w:sz="4" w:space="0" w:color="auto"/>
              <w:right w:val="single" w:sz="4" w:space="0" w:color="auto"/>
            </w:tcBorders>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10%</w:t>
            </w:r>
          </w:p>
        </w:tc>
        <w:tc>
          <w:tcPr>
            <w:tcW w:w="2415" w:type="dxa"/>
            <w:tcBorders>
              <w:top w:val="single" w:sz="4" w:space="0" w:color="auto"/>
              <w:left w:val="single" w:sz="4" w:space="0" w:color="auto"/>
              <w:bottom w:val="single" w:sz="4" w:space="0" w:color="auto"/>
              <w:right w:val="single" w:sz="4" w:space="0" w:color="auto"/>
            </w:tcBorders>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9%</w:t>
            </w:r>
          </w:p>
        </w:tc>
      </w:tr>
      <w:tr w:rsidR="00DF1A33">
        <w:trPr>
          <w:trHeight w:val="285"/>
        </w:trPr>
        <w:tc>
          <w:tcPr>
            <w:tcW w:w="1560" w:type="dxa"/>
            <w:vMerge w:val="restart"/>
            <w:tcBorders>
              <w:top w:val="single" w:sz="4" w:space="0" w:color="auto"/>
              <w:left w:val="single" w:sz="4" w:space="0" w:color="auto"/>
              <w:bottom w:val="single" w:sz="4" w:space="0" w:color="auto"/>
              <w:right w:val="single" w:sz="4" w:space="0" w:color="auto"/>
            </w:tcBorders>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i/>
                <w:iCs/>
                <w:noProof/>
                <w:color w:val="000000"/>
                <w:u w:val="single"/>
                <w:lang w:eastAsia="de-DE"/>
              </w:rPr>
              <w:t>Costs:</w:t>
            </w:r>
            <w:r>
              <w:rPr>
                <w:rFonts w:ascii="Times New Roman" w:eastAsia="Times New Roman" w:hAnsi="Times New Roman" w:cs="Times New Roman"/>
                <w:i/>
                <w:iCs/>
                <w:noProof/>
                <w:color w:val="000000"/>
                <w:u w:val="single"/>
                <w:lang w:eastAsia="de-DE"/>
              </w:rPr>
              <w:br/>
            </w:r>
            <w:r>
              <w:rPr>
                <w:rFonts w:ascii="Times New Roman" w:eastAsia="Times New Roman" w:hAnsi="Times New Roman" w:cs="Times New Roman"/>
                <w:noProof/>
                <w:color w:val="000000"/>
                <w:lang w:eastAsia="de-DE"/>
              </w:rPr>
              <w:t>Share of contributions to costs of intermediate policy option</w:t>
            </w:r>
          </w:p>
        </w:tc>
        <w:tc>
          <w:tcPr>
            <w:tcW w:w="2268"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rsidR="00DF1A33" w:rsidRDefault="00456F01">
            <w:pPr>
              <w:spacing w:before="60" w:after="60" w:line="240" w:lineRule="auto"/>
              <w:rPr>
                <w:rFonts w:ascii="Times New Roman" w:eastAsia="Times New Roman" w:hAnsi="Times New Roman" w:cs="Times New Roman"/>
                <w:noProof/>
                <w:color w:val="FFFFFF"/>
                <w:lang w:eastAsia="de-DE"/>
              </w:rPr>
            </w:pPr>
            <w:r>
              <w:rPr>
                <w:rFonts w:ascii="Times New Roman" w:eastAsia="Times New Roman" w:hAnsi="Times New Roman" w:cs="Times New Roman"/>
                <w:noProof/>
                <w:color w:val="FFFFFF"/>
                <w:lang w:eastAsia="de-DE"/>
              </w:rPr>
              <w:t>Policy Options</w:t>
            </w:r>
          </w:p>
        </w:tc>
        <w:tc>
          <w:tcPr>
            <w:tcW w:w="2404"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DF1A33" w:rsidRDefault="00456F01">
            <w:pPr>
              <w:spacing w:before="60" w:after="60" w:line="240" w:lineRule="auto"/>
              <w:rPr>
                <w:rFonts w:ascii="Times New Roman" w:eastAsia="Times New Roman" w:hAnsi="Times New Roman" w:cs="Times New Roman"/>
                <w:noProof/>
                <w:color w:val="FFFFFF"/>
                <w:lang w:eastAsia="de-DE"/>
              </w:rPr>
            </w:pPr>
            <w:r>
              <w:rPr>
                <w:rFonts w:ascii="Times New Roman" w:eastAsia="Times New Roman" w:hAnsi="Times New Roman" w:cs="Times New Roman"/>
                <w:noProof/>
                <w:color w:val="FFFFFF"/>
                <w:lang w:eastAsia="de-DE"/>
              </w:rPr>
              <w:t>PO1</w:t>
            </w:r>
          </w:p>
        </w:tc>
        <w:tc>
          <w:tcPr>
            <w:tcW w:w="2415"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DF1A33" w:rsidRDefault="00456F01">
            <w:pPr>
              <w:spacing w:before="60" w:after="60" w:line="240" w:lineRule="auto"/>
              <w:rPr>
                <w:rFonts w:ascii="Times New Roman" w:eastAsia="Times New Roman" w:hAnsi="Times New Roman" w:cs="Times New Roman"/>
                <w:noProof/>
                <w:color w:val="FFFFFF"/>
                <w:lang w:eastAsia="de-DE"/>
              </w:rPr>
            </w:pPr>
            <w:r>
              <w:rPr>
                <w:rFonts w:ascii="Times New Roman" w:eastAsia="Times New Roman" w:hAnsi="Times New Roman" w:cs="Times New Roman"/>
                <w:noProof/>
                <w:color w:val="FFFFFF"/>
                <w:lang w:eastAsia="de-DE"/>
              </w:rPr>
              <w:t>PO2</w:t>
            </w:r>
          </w:p>
        </w:tc>
      </w:tr>
      <w:tr w:rsidR="00DF1A33">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Charging</w:t>
            </w:r>
          </w:p>
        </w:tc>
        <w:tc>
          <w:tcPr>
            <w:tcW w:w="2404" w:type="dxa"/>
            <w:tcBorders>
              <w:top w:val="single" w:sz="4" w:space="0" w:color="auto"/>
              <w:left w:val="single" w:sz="4" w:space="0" w:color="auto"/>
              <w:bottom w:val="single" w:sz="4" w:space="0" w:color="auto"/>
              <w:right w:val="single" w:sz="4" w:space="0" w:color="auto"/>
            </w:tcBorders>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23%</w:t>
            </w:r>
          </w:p>
        </w:tc>
        <w:tc>
          <w:tcPr>
            <w:tcW w:w="2415" w:type="dxa"/>
            <w:tcBorders>
              <w:top w:val="single" w:sz="4" w:space="0" w:color="auto"/>
              <w:left w:val="single" w:sz="4" w:space="0" w:color="auto"/>
              <w:bottom w:val="single" w:sz="4" w:space="0" w:color="auto"/>
              <w:right w:val="single" w:sz="4" w:space="0" w:color="auto"/>
            </w:tcBorders>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18%</w:t>
            </w:r>
          </w:p>
        </w:tc>
      </w:tr>
      <w:tr w:rsidR="00DF1A33">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Research institutions</w:t>
            </w:r>
          </w:p>
        </w:tc>
        <w:tc>
          <w:tcPr>
            <w:tcW w:w="2404" w:type="dxa"/>
            <w:tcBorders>
              <w:top w:val="single" w:sz="4" w:space="0" w:color="auto"/>
              <w:left w:val="single" w:sz="4" w:space="0" w:color="auto"/>
              <w:bottom w:val="single" w:sz="4" w:space="0" w:color="auto"/>
              <w:right w:val="single" w:sz="4" w:space="0" w:color="auto"/>
            </w:tcBorders>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20%</w:t>
            </w:r>
          </w:p>
        </w:tc>
        <w:tc>
          <w:tcPr>
            <w:tcW w:w="2415" w:type="dxa"/>
            <w:tcBorders>
              <w:top w:val="single" w:sz="4" w:space="0" w:color="auto"/>
              <w:left w:val="single" w:sz="4" w:space="0" w:color="auto"/>
              <w:bottom w:val="single" w:sz="4" w:space="0" w:color="auto"/>
              <w:right w:val="single" w:sz="4" w:space="0" w:color="auto"/>
            </w:tcBorders>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20%</w:t>
            </w:r>
          </w:p>
        </w:tc>
      </w:tr>
      <w:tr w:rsidR="00DF1A33">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Para-public bodies</w:t>
            </w:r>
          </w:p>
        </w:tc>
        <w:tc>
          <w:tcPr>
            <w:tcW w:w="2404" w:type="dxa"/>
            <w:tcBorders>
              <w:top w:val="single" w:sz="4" w:space="0" w:color="auto"/>
              <w:left w:val="single" w:sz="4" w:space="0" w:color="auto"/>
              <w:bottom w:val="single" w:sz="4" w:space="0" w:color="auto"/>
              <w:right w:val="single" w:sz="4" w:space="0" w:color="auto"/>
            </w:tcBorders>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29%</w:t>
            </w:r>
          </w:p>
        </w:tc>
        <w:tc>
          <w:tcPr>
            <w:tcW w:w="2415" w:type="dxa"/>
            <w:tcBorders>
              <w:top w:val="single" w:sz="4" w:space="0" w:color="auto"/>
              <w:left w:val="single" w:sz="4" w:space="0" w:color="auto"/>
              <w:bottom w:val="single" w:sz="4" w:space="0" w:color="auto"/>
              <w:right w:val="single" w:sz="4" w:space="0" w:color="auto"/>
            </w:tcBorders>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36%</w:t>
            </w:r>
          </w:p>
        </w:tc>
      </w:tr>
      <w:tr w:rsidR="00DF1A33">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APIs</w:t>
            </w:r>
          </w:p>
        </w:tc>
        <w:tc>
          <w:tcPr>
            <w:tcW w:w="2404" w:type="dxa"/>
            <w:tcBorders>
              <w:top w:val="single" w:sz="4" w:space="0" w:color="auto"/>
              <w:left w:val="single" w:sz="4" w:space="0" w:color="auto"/>
              <w:bottom w:val="single" w:sz="4" w:space="0" w:color="auto"/>
              <w:right w:val="single" w:sz="4" w:space="0" w:color="auto"/>
            </w:tcBorders>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20%</w:t>
            </w:r>
          </w:p>
        </w:tc>
        <w:tc>
          <w:tcPr>
            <w:tcW w:w="2415" w:type="dxa"/>
            <w:tcBorders>
              <w:top w:val="single" w:sz="4" w:space="0" w:color="auto"/>
              <w:left w:val="single" w:sz="4" w:space="0" w:color="auto"/>
              <w:bottom w:val="single" w:sz="4" w:space="0" w:color="auto"/>
              <w:right w:val="single" w:sz="4" w:space="0" w:color="auto"/>
            </w:tcBorders>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19%</w:t>
            </w:r>
          </w:p>
        </w:tc>
      </w:tr>
      <w:tr w:rsidR="00DF1A33">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1A33" w:rsidRDefault="00DF1A33">
            <w:pPr>
              <w:spacing w:after="0" w:line="240" w:lineRule="auto"/>
              <w:rPr>
                <w:rFonts w:ascii="Times New Roman" w:eastAsia="Times New Roman" w:hAnsi="Times New Roman" w:cs="Times New Roman"/>
                <w:noProof/>
                <w:color w:val="000000"/>
                <w:lang w:eastAsia="de-DE"/>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1A33" w:rsidRDefault="00456F01">
            <w:pPr>
              <w:spacing w:before="60" w:after="60" w:line="240" w:lineRule="auto"/>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Exclusive agreements</w:t>
            </w:r>
          </w:p>
        </w:tc>
        <w:tc>
          <w:tcPr>
            <w:tcW w:w="2404" w:type="dxa"/>
            <w:tcBorders>
              <w:top w:val="single" w:sz="4" w:space="0" w:color="auto"/>
              <w:left w:val="single" w:sz="4" w:space="0" w:color="auto"/>
              <w:bottom w:val="single" w:sz="4" w:space="0" w:color="auto"/>
              <w:right w:val="single" w:sz="4" w:space="0" w:color="auto"/>
            </w:tcBorders>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10%</w:t>
            </w:r>
          </w:p>
        </w:tc>
        <w:tc>
          <w:tcPr>
            <w:tcW w:w="2415" w:type="dxa"/>
            <w:tcBorders>
              <w:top w:val="single" w:sz="4" w:space="0" w:color="auto"/>
              <w:left w:val="single" w:sz="4" w:space="0" w:color="auto"/>
              <w:bottom w:val="single" w:sz="4" w:space="0" w:color="auto"/>
              <w:right w:val="single" w:sz="4" w:space="0" w:color="auto"/>
            </w:tcBorders>
            <w:noWrap/>
            <w:vAlign w:val="bottom"/>
            <w:hideMark/>
          </w:tcPr>
          <w:p w:rsidR="00DF1A33" w:rsidRDefault="00456F01">
            <w:pPr>
              <w:spacing w:before="60" w:after="60" w:line="240" w:lineRule="auto"/>
              <w:jc w:val="right"/>
              <w:rPr>
                <w:rFonts w:ascii="Times New Roman" w:eastAsia="Times New Roman" w:hAnsi="Times New Roman" w:cs="Times New Roman"/>
                <w:noProof/>
                <w:color w:val="000000"/>
                <w:lang w:eastAsia="de-DE"/>
              </w:rPr>
            </w:pPr>
            <w:r>
              <w:rPr>
                <w:rFonts w:ascii="Times New Roman" w:eastAsia="Times New Roman" w:hAnsi="Times New Roman" w:cs="Times New Roman"/>
                <w:noProof/>
                <w:color w:val="000000"/>
                <w:lang w:eastAsia="de-DE"/>
              </w:rPr>
              <w:t>9%</w:t>
            </w:r>
          </w:p>
        </w:tc>
      </w:tr>
    </w:tbl>
    <w:p w:rsidR="00DF1A33" w:rsidRDefault="00456F01">
      <w:pPr>
        <w:rPr>
          <w:rFonts w:ascii="Times New Roman" w:hAnsi="Times New Roman" w:cs="Times New Roman"/>
          <w:b/>
          <w:noProof/>
          <w:sz w:val="18"/>
          <w:szCs w:val="18"/>
        </w:rPr>
      </w:pPr>
      <w:r>
        <w:rPr>
          <w:rFonts w:ascii="Times New Roman" w:hAnsi="Times New Roman" w:cs="Times New Roman"/>
          <w:b/>
          <w:noProof/>
          <w:sz w:val="18"/>
          <w:szCs w:val="18"/>
        </w:rPr>
        <w:t>Source: Impact Assessment Support Study, Deloitte, 2018</w:t>
      </w:r>
    </w:p>
    <w:p w:rsidR="00DF1A33" w:rsidRDefault="00DF1A33">
      <w:pPr>
        <w:jc w:val="both"/>
        <w:rPr>
          <w:rFonts w:ascii="Times New Roman" w:hAnsi="Times New Roman" w:cs="Times New Roman"/>
          <w:noProof/>
          <w:sz w:val="24"/>
          <w:szCs w:val="24"/>
        </w:rPr>
      </w:pPr>
    </w:p>
    <w:p w:rsidR="00DF1A33" w:rsidRDefault="00456F01">
      <w:pPr>
        <w:pStyle w:val="Heading1"/>
        <w:pageBreakBefore/>
        <w:numPr>
          <w:ilvl w:val="0"/>
          <w:numId w:val="0"/>
        </w:numPr>
        <w:tabs>
          <w:tab w:val="left" w:pos="720"/>
        </w:tabs>
        <w:ind w:left="482"/>
        <w:jc w:val="center"/>
        <w:rPr>
          <w:noProof/>
          <w:sz w:val="32"/>
          <w:szCs w:val="32"/>
        </w:rPr>
      </w:pPr>
      <w:bookmarkStart w:id="2074" w:name="_Toc505881414"/>
      <w:bookmarkStart w:id="2075" w:name="_Toc505869224"/>
      <w:bookmarkStart w:id="2076" w:name="_Toc505868757"/>
      <w:bookmarkStart w:id="2077" w:name="_Toc505864903"/>
      <w:bookmarkStart w:id="2078" w:name="_Toc505862338"/>
      <w:bookmarkStart w:id="2079" w:name="_Toc505856896"/>
      <w:bookmarkStart w:id="2080" w:name="_Toc505773202"/>
      <w:bookmarkStart w:id="2081" w:name="_Toc505705208"/>
      <w:bookmarkStart w:id="2082" w:name="_Toc505701721"/>
      <w:bookmarkStart w:id="2083" w:name="_Toc505698208"/>
      <w:bookmarkStart w:id="2084" w:name="_Toc505696722"/>
      <w:bookmarkStart w:id="2085" w:name="_Toc505346465"/>
      <w:bookmarkStart w:id="2086" w:name="_Toc505345877"/>
      <w:bookmarkStart w:id="2087" w:name="_Toc505335406"/>
      <w:bookmarkStart w:id="2088" w:name="_Toc505266554"/>
      <w:bookmarkStart w:id="2089" w:name="_Toc505248688"/>
      <w:bookmarkStart w:id="2090" w:name="_Toc509412648"/>
      <w:bookmarkStart w:id="2091" w:name="_Toc509414824"/>
      <w:bookmarkStart w:id="2092" w:name="_Toc509414880"/>
      <w:r>
        <w:rPr>
          <w:noProof/>
          <w:sz w:val="32"/>
          <w:szCs w:val="32"/>
        </w:rPr>
        <w:t xml:space="preserve">Annex 9: </w:t>
      </w:r>
      <w:r>
        <w:rPr>
          <w:noProof/>
          <w:sz w:val="32"/>
          <w:szCs w:val="24"/>
        </w:rPr>
        <w:t>Success Stories on Open Data</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rsidR="00DF1A33" w:rsidRDefault="00456F01">
      <w:pPr>
        <w:pStyle w:val="NormalWeb"/>
        <w:spacing w:line="276" w:lineRule="auto"/>
        <w:jc w:val="both"/>
        <w:rPr>
          <w:noProof/>
        </w:rPr>
      </w:pPr>
      <w:r>
        <w:rPr>
          <w:noProof/>
        </w:rPr>
        <w:t xml:space="preserve">These stories have been produced to give an account of how open data is used by European companies and how they combine open data with other kinds of data to create value for the economy and innovative services or products for their clients. </w:t>
      </w:r>
    </w:p>
    <w:p w:rsidR="00DF1A33" w:rsidRDefault="00456F01">
      <w:pPr>
        <w:pStyle w:val="NormalWeb"/>
        <w:spacing w:line="276" w:lineRule="auto"/>
        <w:jc w:val="both"/>
        <w:rPr>
          <w:noProof/>
        </w:rPr>
      </w:pPr>
      <w:r>
        <w:rPr>
          <w:noProof/>
        </w:rPr>
        <w:t>Companies are</w:t>
      </w:r>
      <w:r>
        <w:rPr>
          <w:noProof/>
        </w:rPr>
        <w:t xml:space="preserve"> using open data to exploit gaps across markets and identify business opportunities, create new products and services and develop new business models. Start-ups using open data often combine business information with the intention to create social, economi</w:t>
      </w:r>
      <w:r>
        <w:rPr>
          <w:noProof/>
        </w:rPr>
        <w:t>c and environmental impact.</w:t>
      </w:r>
    </w:p>
    <w:p w:rsidR="00DF1A33" w:rsidRDefault="00456F01">
      <w:pPr>
        <w:pStyle w:val="NormalWeb"/>
        <w:spacing w:line="276" w:lineRule="auto"/>
        <w:jc w:val="both"/>
        <w:rPr>
          <w:noProof/>
        </w:rPr>
      </w:pPr>
      <w:r>
        <w:rPr>
          <w:noProof/>
        </w:rPr>
        <w:t xml:space="preserve">The success stories on open data shed light over the activities of the two main actors in the open data market: data re-users and data holders. </w:t>
      </w:r>
    </w:p>
    <w:p w:rsidR="00DF1A33" w:rsidRDefault="00456F01">
      <w:pPr>
        <w:pStyle w:val="NormalWeb"/>
        <w:spacing w:line="276" w:lineRule="auto"/>
        <w:jc w:val="both"/>
        <w:rPr>
          <w:noProof/>
        </w:rPr>
      </w:pPr>
      <w:r>
        <w:rPr>
          <w:noProof/>
        </w:rPr>
        <w:t xml:space="preserve">The data re-users covered in this annex are: </w:t>
      </w:r>
    </w:p>
    <w:p w:rsidR="00DF1A33" w:rsidRDefault="00456F01">
      <w:pPr>
        <w:pStyle w:val="NormalWeb"/>
        <w:numPr>
          <w:ilvl w:val="0"/>
          <w:numId w:val="13"/>
        </w:numPr>
        <w:spacing w:line="276" w:lineRule="auto"/>
        <w:ind w:left="426"/>
        <w:rPr>
          <w:noProof/>
        </w:rPr>
      </w:pPr>
      <w:r>
        <w:rPr>
          <w:b/>
          <w:noProof/>
        </w:rPr>
        <w:t>Commoprices:</w:t>
      </w:r>
      <w:r>
        <w:rPr>
          <w:noProof/>
        </w:rPr>
        <w:t xml:space="preserve"> A data-based service to </w:t>
      </w:r>
      <w:r>
        <w:rPr>
          <w:noProof/>
        </w:rPr>
        <w:t>buy goods at the best price (France)</w:t>
      </w:r>
    </w:p>
    <w:p w:rsidR="00DF1A33" w:rsidRDefault="00456F01">
      <w:pPr>
        <w:pStyle w:val="NormalWeb"/>
        <w:numPr>
          <w:ilvl w:val="0"/>
          <w:numId w:val="13"/>
        </w:numPr>
        <w:spacing w:line="276" w:lineRule="auto"/>
        <w:ind w:left="426"/>
        <w:rPr>
          <w:noProof/>
        </w:rPr>
      </w:pPr>
      <w:r>
        <w:rPr>
          <w:b/>
          <w:noProof/>
        </w:rPr>
        <w:t>Cropti</w:t>
      </w:r>
      <w:r>
        <w:rPr>
          <w:noProof/>
        </w:rPr>
        <w:t>: Efficient and environmentally-friendly farming (Spain)</w:t>
      </w:r>
    </w:p>
    <w:p w:rsidR="00DF1A33" w:rsidRDefault="00456F01">
      <w:pPr>
        <w:pStyle w:val="NormalWeb"/>
        <w:numPr>
          <w:ilvl w:val="0"/>
          <w:numId w:val="13"/>
        </w:numPr>
        <w:spacing w:line="276" w:lineRule="auto"/>
        <w:ind w:left="426"/>
        <w:rPr>
          <w:noProof/>
        </w:rPr>
      </w:pPr>
      <w:r>
        <w:rPr>
          <w:b/>
          <w:noProof/>
        </w:rPr>
        <w:t>Datasparks (Derilinx)</w:t>
      </w:r>
      <w:r>
        <w:rPr>
          <w:noProof/>
        </w:rPr>
        <w:t>: Inspiring change through efficient energy consumption (Ireland)</w:t>
      </w:r>
    </w:p>
    <w:p w:rsidR="00DF1A33" w:rsidRDefault="00456F01">
      <w:pPr>
        <w:pStyle w:val="NormalWeb"/>
        <w:numPr>
          <w:ilvl w:val="0"/>
          <w:numId w:val="13"/>
        </w:numPr>
        <w:spacing w:line="276" w:lineRule="auto"/>
        <w:ind w:left="426"/>
        <w:rPr>
          <w:noProof/>
        </w:rPr>
      </w:pPr>
      <w:r>
        <w:rPr>
          <w:b/>
          <w:noProof/>
        </w:rPr>
        <w:t>Go OV</w:t>
      </w:r>
      <w:r>
        <w:rPr>
          <w:noProof/>
        </w:rPr>
        <w:t>:  Democratising public transport services (the Netherlands)</w:t>
      </w:r>
    </w:p>
    <w:p w:rsidR="00DF1A33" w:rsidRDefault="00456F01">
      <w:pPr>
        <w:pStyle w:val="NormalWeb"/>
        <w:numPr>
          <w:ilvl w:val="0"/>
          <w:numId w:val="13"/>
        </w:numPr>
        <w:spacing w:line="276" w:lineRule="auto"/>
        <w:ind w:left="426"/>
        <w:rPr>
          <w:noProof/>
        </w:rPr>
      </w:pPr>
      <w:r>
        <w:rPr>
          <w:b/>
          <w:noProof/>
        </w:rPr>
        <w:t>Green City Solutions</w:t>
      </w:r>
      <w:r>
        <w:rPr>
          <w:noProof/>
        </w:rPr>
        <w:t xml:space="preserve">: Making clean urban air profitable (Germany)  </w:t>
      </w:r>
    </w:p>
    <w:p w:rsidR="00DF1A33" w:rsidRDefault="00456F01">
      <w:pPr>
        <w:pStyle w:val="NormalWeb"/>
        <w:numPr>
          <w:ilvl w:val="0"/>
          <w:numId w:val="13"/>
        </w:numPr>
        <w:spacing w:line="276" w:lineRule="auto"/>
        <w:ind w:left="426"/>
        <w:rPr>
          <w:noProof/>
        </w:rPr>
      </w:pPr>
      <w:r>
        <w:rPr>
          <w:b/>
          <w:noProof/>
        </w:rPr>
        <w:t>Viomedo</w:t>
      </w:r>
      <w:r>
        <w:rPr>
          <w:noProof/>
        </w:rPr>
        <w:t>:  Accelerating patients' access to medical innovation (Germany and Austria)</w:t>
      </w:r>
    </w:p>
    <w:p w:rsidR="00DF1A33" w:rsidRDefault="00456F01">
      <w:pPr>
        <w:pStyle w:val="NormalWeb"/>
        <w:spacing w:line="276" w:lineRule="auto"/>
        <w:jc w:val="both"/>
        <w:rPr>
          <w:noProof/>
        </w:rPr>
      </w:pPr>
      <w:r>
        <w:rPr>
          <w:noProof/>
        </w:rPr>
        <w:t xml:space="preserve">The data holders covered in this annex are: </w:t>
      </w:r>
    </w:p>
    <w:p w:rsidR="00DF1A33" w:rsidRDefault="00456F01">
      <w:pPr>
        <w:pStyle w:val="NormalWeb"/>
        <w:numPr>
          <w:ilvl w:val="0"/>
          <w:numId w:val="13"/>
        </w:numPr>
        <w:spacing w:line="276" w:lineRule="auto"/>
        <w:ind w:left="426"/>
        <w:jc w:val="both"/>
        <w:rPr>
          <w:b/>
          <w:noProof/>
        </w:rPr>
      </w:pPr>
      <w:r>
        <w:rPr>
          <w:b/>
          <w:noProof/>
        </w:rPr>
        <w:t xml:space="preserve">The Estonian Road Administration: </w:t>
      </w:r>
      <w:r>
        <w:rPr>
          <w:noProof/>
        </w:rPr>
        <w:t>a digital service (Estoni</w:t>
      </w:r>
      <w:r>
        <w:rPr>
          <w:noProof/>
        </w:rPr>
        <w:t>a)</w:t>
      </w:r>
      <w:r>
        <w:rPr>
          <w:b/>
          <w:noProof/>
        </w:rPr>
        <w:t xml:space="preserve">  </w:t>
      </w:r>
    </w:p>
    <w:p w:rsidR="00DF1A33" w:rsidRDefault="00456F01">
      <w:pPr>
        <w:pStyle w:val="NormalWeb"/>
        <w:numPr>
          <w:ilvl w:val="0"/>
          <w:numId w:val="13"/>
        </w:numPr>
        <w:spacing w:line="276" w:lineRule="auto"/>
        <w:ind w:left="426"/>
        <w:jc w:val="both"/>
        <w:rPr>
          <w:b/>
          <w:noProof/>
        </w:rPr>
      </w:pPr>
      <w:r>
        <w:rPr>
          <w:b/>
          <w:noProof/>
        </w:rPr>
        <w:t xml:space="preserve">Liander: </w:t>
      </w:r>
      <w:r>
        <w:rPr>
          <w:noProof/>
        </w:rPr>
        <w:t xml:space="preserve">Powering household energy conservation with open data (the Netherlands) </w:t>
      </w:r>
    </w:p>
    <w:p w:rsidR="00DF1A33" w:rsidRDefault="00456F01">
      <w:pPr>
        <w:pStyle w:val="NormalWeb"/>
        <w:numPr>
          <w:ilvl w:val="0"/>
          <w:numId w:val="13"/>
        </w:numPr>
        <w:spacing w:line="276" w:lineRule="auto"/>
        <w:ind w:left="426"/>
        <w:jc w:val="both"/>
        <w:rPr>
          <w:b/>
          <w:noProof/>
        </w:rPr>
      </w:pPr>
      <w:r>
        <w:rPr>
          <w:b/>
          <w:noProof/>
        </w:rPr>
        <w:t xml:space="preserve">Transport for London: </w:t>
      </w:r>
      <w:r>
        <w:rPr>
          <w:noProof/>
        </w:rPr>
        <w:t>The creation of an open data ecosystem (United Kingdom)</w:t>
      </w:r>
    </w:p>
    <w:p w:rsidR="00DF1A33" w:rsidRDefault="00456F01">
      <w:pPr>
        <w:pStyle w:val="NormalWeb"/>
        <w:numPr>
          <w:ilvl w:val="1"/>
          <w:numId w:val="13"/>
        </w:numPr>
        <w:spacing w:line="276" w:lineRule="auto"/>
        <w:ind w:left="1134"/>
        <w:jc w:val="both"/>
        <w:rPr>
          <w:b/>
          <w:noProof/>
        </w:rPr>
      </w:pPr>
      <w:r>
        <w:rPr>
          <w:b/>
          <w:noProof/>
        </w:rPr>
        <w:t xml:space="preserve">Open data in other transport companies </w:t>
      </w:r>
    </w:p>
    <w:p w:rsidR="00DF1A33" w:rsidRDefault="00456F01">
      <w:pPr>
        <w:jc w:val="center"/>
        <w:rPr>
          <w:rFonts w:ascii="Times New Roman" w:hAnsi="Times New Roman"/>
          <w:b/>
          <w:smallCaps/>
          <w:noProof/>
          <w:sz w:val="24"/>
          <w:szCs w:val="24"/>
        </w:rPr>
      </w:pPr>
      <w:r>
        <w:rPr>
          <w:rFonts w:ascii="Times New Roman" w:hAnsi="Times New Roman"/>
          <w:b/>
          <w:smallCaps/>
          <w:noProof/>
          <w:sz w:val="24"/>
          <w:szCs w:val="24"/>
        </w:rPr>
        <w:t>Commoprices: A data-based service to buy goods at t</w:t>
      </w:r>
      <w:r>
        <w:rPr>
          <w:rFonts w:ascii="Times New Roman" w:hAnsi="Times New Roman"/>
          <w:b/>
          <w:smallCaps/>
          <w:noProof/>
          <w:sz w:val="24"/>
          <w:szCs w:val="24"/>
        </w:rPr>
        <w:t>he best price</w:t>
      </w:r>
    </w:p>
    <w:p w:rsidR="00DF1A33" w:rsidRDefault="00456F01">
      <w:pPr>
        <w:pStyle w:val="NormalWeb"/>
        <w:spacing w:before="0" w:beforeAutospacing="0" w:after="0" w:afterAutospacing="0" w:line="276" w:lineRule="auto"/>
        <w:jc w:val="both"/>
        <w:rPr>
          <w:b/>
          <w:noProof/>
        </w:rPr>
      </w:pPr>
      <w:r>
        <w:rPr>
          <w:b/>
          <w:noProof/>
        </w:rPr>
        <w:t>Business opportunity</w:t>
      </w:r>
    </w:p>
    <w:p w:rsidR="00DF1A33" w:rsidRDefault="00456F01">
      <w:pPr>
        <w:pStyle w:val="NormalWeb"/>
        <w:spacing w:before="0" w:beforeAutospacing="0" w:after="240" w:afterAutospacing="0" w:line="276" w:lineRule="auto"/>
        <w:jc w:val="both"/>
        <w:rPr>
          <w:noProof/>
        </w:rPr>
      </w:pPr>
      <w:r>
        <w:rPr>
          <w:noProof/>
        </w:rPr>
        <w:t xml:space="preserve">Many large companies and SMEs are unable to find independent, easy to access and affordable market data regarding price references on commodities (i.e. goods such as metals, plastics, cereals, cocoa, cheese). On top of </w:t>
      </w:r>
      <w:r>
        <w:rPr>
          <w:noProof/>
        </w:rPr>
        <w:t>that, if a company needs to follow price references of different commodities, they needed a number of accounts from different market data providers.</w:t>
      </w:r>
    </w:p>
    <w:p w:rsidR="00DF1A33" w:rsidRDefault="00456F01">
      <w:pPr>
        <w:keepNext/>
        <w:spacing w:after="0"/>
        <w:jc w:val="both"/>
        <w:rPr>
          <w:rFonts w:ascii="Times New Roman" w:hAnsi="Times New Roman"/>
          <w:b/>
          <w:noProof/>
          <w:sz w:val="24"/>
          <w:szCs w:val="24"/>
        </w:rPr>
      </w:pPr>
      <w:r>
        <w:rPr>
          <w:rFonts w:ascii="Times New Roman" w:hAnsi="Times New Roman"/>
          <w:b/>
          <w:noProof/>
          <w:sz w:val="24"/>
          <w:szCs w:val="24"/>
        </w:rPr>
        <w:t>Goal of the company</w:t>
      </w:r>
    </w:p>
    <w:p w:rsidR="00DF1A33" w:rsidRDefault="00456F01">
      <w:pPr>
        <w:keepNext/>
        <w:jc w:val="both"/>
        <w:rPr>
          <w:rFonts w:ascii="Times New Roman" w:hAnsi="Times New Roman"/>
          <w:b/>
          <w:noProof/>
        </w:rPr>
      </w:pPr>
      <w:r>
        <w:rPr>
          <w:rFonts w:ascii="Times New Roman" w:hAnsi="Times New Roman"/>
          <w:noProof/>
          <w:sz w:val="24"/>
          <w:szCs w:val="24"/>
        </w:rPr>
        <w:t>The goal is to</w:t>
      </w:r>
      <w:r>
        <w:rPr>
          <w:rFonts w:ascii="Times New Roman" w:hAnsi="Times New Roman"/>
          <w:b/>
          <w:noProof/>
          <w:sz w:val="24"/>
          <w:szCs w:val="24"/>
        </w:rPr>
        <w:t xml:space="preserve"> </w:t>
      </w:r>
      <w:r>
        <w:rPr>
          <w:rStyle w:val="Strong"/>
          <w:rFonts w:ascii="Times New Roman" w:hAnsi="Times New Roman"/>
          <w:noProof/>
        </w:rPr>
        <w:t>simplify the way professionals follow commodities, building on open data</w:t>
      </w:r>
      <w:r>
        <w:rPr>
          <w:rFonts w:ascii="Times New Roman" w:hAnsi="Times New Roman"/>
          <w:b/>
          <w:noProof/>
          <w:sz w:val="24"/>
          <w:szCs w:val="24"/>
        </w:rPr>
        <w:t>.</w:t>
      </w:r>
      <w:r>
        <w:rPr>
          <w:rFonts w:ascii="Times New Roman" w:hAnsi="Times New Roman"/>
          <w:noProof/>
          <w:sz w:val="24"/>
          <w:szCs w:val="24"/>
        </w:rPr>
        <w:t xml:space="preserve"> </w:t>
      </w:r>
      <w:hyperlink r:id="rId62" w:history="1">
        <w:r>
          <w:rPr>
            <w:rStyle w:val="Hyperlink"/>
            <w:rFonts w:ascii="Times New Roman" w:hAnsi="Times New Roman"/>
            <w:noProof/>
          </w:rPr>
          <w:t>Commoprices</w:t>
        </w:r>
      </w:hyperlink>
      <w:r>
        <w:rPr>
          <w:rFonts w:ascii="Times New Roman" w:hAnsi="Times New Roman"/>
          <w:noProof/>
          <w:sz w:val="24"/>
          <w:szCs w:val="24"/>
        </w:rPr>
        <w:t xml:space="preserve"> helps procurement and supply professionals to have reliable, independent and continuous information to buy commodities at the best price, minimise risks and make the right decisions. It reduces the r</w:t>
      </w:r>
      <w:r>
        <w:rPr>
          <w:rFonts w:ascii="Times New Roman" w:hAnsi="Times New Roman"/>
          <w:noProof/>
          <w:sz w:val="24"/>
          <w:szCs w:val="24"/>
        </w:rPr>
        <w:t>isks and exposure to commodity price variations, and eventually brings more transparency and less volatility to the market. It offers more than 100K price references for commodities in a very wide range of sectors: agriculture, metals, plastics, chemicals,</w:t>
      </w:r>
      <w:r>
        <w:rPr>
          <w:rFonts w:ascii="Times New Roman" w:hAnsi="Times New Roman"/>
          <w:noProof/>
          <w:sz w:val="24"/>
          <w:szCs w:val="24"/>
        </w:rPr>
        <w:t xml:space="preserve"> energy, etc. </w:t>
      </w:r>
    </w:p>
    <w:p w:rsidR="00DF1A33" w:rsidRDefault="00456F01">
      <w:pPr>
        <w:spacing w:after="0"/>
        <w:jc w:val="both"/>
        <w:rPr>
          <w:rStyle w:val="Strong"/>
          <w:rFonts w:ascii="Times New Roman" w:hAnsi="Times New Roman"/>
          <w:noProof/>
          <w:sz w:val="24"/>
        </w:rPr>
      </w:pPr>
      <w:r>
        <w:rPr>
          <w:rStyle w:val="Strong"/>
          <w:rFonts w:ascii="Times New Roman" w:hAnsi="Times New Roman"/>
          <w:noProof/>
        </w:rPr>
        <w:t>Open data used</w:t>
      </w:r>
    </w:p>
    <w:p w:rsidR="00DF1A33" w:rsidRDefault="00456F01">
      <w:pPr>
        <w:jc w:val="both"/>
        <w:rPr>
          <w:rFonts w:ascii="Times New Roman" w:hAnsi="Times New Roman"/>
          <w:noProof/>
        </w:rPr>
      </w:pPr>
      <w:r>
        <w:rPr>
          <w:rFonts w:ascii="Times New Roman" w:hAnsi="Times New Roman"/>
          <w:noProof/>
          <w:sz w:val="24"/>
          <w:szCs w:val="24"/>
        </w:rPr>
        <w:t xml:space="preserve">Open data on commodities from the French customs forms the backbone of Commoprices. It was the first source of commodity prices provided to their customers. These data give authority, independence and strength to Commoprices </w:t>
      </w:r>
      <w:r>
        <w:rPr>
          <w:rFonts w:ascii="Times New Roman" w:hAnsi="Times New Roman"/>
          <w:noProof/>
          <w:sz w:val="24"/>
          <w:szCs w:val="24"/>
        </w:rPr>
        <w:t>business intelligence platform as the data were primarily collected and validated by public institutions. Commoprices has also integrated customs open data (exports and imports) from other countries (e.g. Germany or Brazil) and has created maps to visualis</w:t>
      </w:r>
      <w:r>
        <w:rPr>
          <w:rFonts w:ascii="Times New Roman" w:hAnsi="Times New Roman"/>
          <w:noProof/>
          <w:sz w:val="24"/>
          <w:szCs w:val="24"/>
        </w:rPr>
        <w:t>e geographical price references.</w:t>
      </w:r>
    </w:p>
    <w:p w:rsidR="00DF1A33" w:rsidRDefault="00456F01">
      <w:pPr>
        <w:spacing w:after="0"/>
        <w:jc w:val="both"/>
        <w:rPr>
          <w:rFonts w:ascii="Times New Roman" w:hAnsi="Times New Roman"/>
          <w:b/>
          <w:noProof/>
          <w:sz w:val="24"/>
          <w:szCs w:val="24"/>
        </w:rPr>
      </w:pPr>
      <w:r>
        <w:rPr>
          <w:rFonts w:ascii="Times New Roman" w:hAnsi="Times New Roman"/>
          <w:b/>
          <w:noProof/>
          <w:sz w:val="24"/>
          <w:szCs w:val="24"/>
        </w:rPr>
        <w:t xml:space="preserve">Other data used </w:t>
      </w:r>
    </w:p>
    <w:p w:rsidR="00DF1A33" w:rsidRDefault="00456F01">
      <w:pPr>
        <w:jc w:val="both"/>
        <w:rPr>
          <w:rFonts w:ascii="Times New Roman" w:hAnsi="Times New Roman"/>
          <w:noProof/>
          <w:sz w:val="24"/>
          <w:szCs w:val="24"/>
        </w:rPr>
      </w:pPr>
      <w:r>
        <w:rPr>
          <w:rFonts w:ascii="Times New Roman" w:hAnsi="Times New Roman"/>
          <w:noProof/>
          <w:sz w:val="24"/>
          <w:szCs w:val="24"/>
        </w:rPr>
        <w:t>Commoprices has also integrated other open and non-open datasets such as datasets from the WorldBank, Eurostat, FranceAgriMer, USDA, Enterprise Resource Planning and Business Intelligence firms, media compa</w:t>
      </w:r>
      <w:r>
        <w:rPr>
          <w:rFonts w:ascii="Times New Roman" w:hAnsi="Times New Roman"/>
          <w:noProof/>
          <w:sz w:val="24"/>
          <w:szCs w:val="24"/>
        </w:rPr>
        <w:t xml:space="preserve">nies or data providers from regional or global markets. Currently, the platform counts with data from LME, NYSE, Singapore Exchange and other market prices and indexes. </w:t>
      </w:r>
    </w:p>
    <w:p w:rsidR="00DF1A33" w:rsidRDefault="00456F01">
      <w:pPr>
        <w:spacing w:after="0"/>
        <w:jc w:val="both"/>
        <w:rPr>
          <w:rFonts w:ascii="Times New Roman" w:hAnsi="Times New Roman"/>
          <w:b/>
          <w:noProof/>
          <w:sz w:val="24"/>
          <w:szCs w:val="24"/>
        </w:rPr>
      </w:pPr>
      <w:r>
        <w:rPr>
          <w:rFonts w:ascii="Times New Roman" w:hAnsi="Times New Roman"/>
          <w:b/>
          <w:noProof/>
          <w:sz w:val="24"/>
          <w:szCs w:val="24"/>
        </w:rPr>
        <w:t>Other data that would improve the business</w:t>
      </w:r>
    </w:p>
    <w:p w:rsidR="00DF1A33" w:rsidRDefault="00456F01">
      <w:pPr>
        <w:jc w:val="both"/>
        <w:rPr>
          <w:rFonts w:ascii="Times New Roman" w:hAnsi="Times New Roman"/>
          <w:noProof/>
          <w:sz w:val="24"/>
          <w:szCs w:val="24"/>
        </w:rPr>
      </w:pPr>
      <w:r>
        <w:rPr>
          <w:rFonts w:ascii="Times New Roman" w:hAnsi="Times New Roman"/>
          <w:noProof/>
          <w:sz w:val="24"/>
          <w:szCs w:val="24"/>
        </w:rPr>
        <w:t>Commoprices admits their business offer wou</w:t>
      </w:r>
      <w:r>
        <w:rPr>
          <w:rFonts w:ascii="Times New Roman" w:hAnsi="Times New Roman"/>
          <w:noProof/>
          <w:sz w:val="24"/>
          <w:szCs w:val="24"/>
        </w:rPr>
        <w:t>ld significantly improve if a timely availability of macro indicators on the cost of energy, labour and transportation was assured. These datasets are held by national and European agencies but are only updated every 6 months. Clients would need a daily to</w:t>
      </w:r>
      <w:r>
        <w:rPr>
          <w:rFonts w:ascii="Times New Roman" w:hAnsi="Times New Roman"/>
          <w:noProof/>
          <w:sz w:val="24"/>
          <w:szCs w:val="24"/>
        </w:rPr>
        <w:t xml:space="preserve"> monthly frequency. In addition, some operators (eg FranceAgriMer via RNM services) still charge to get access to recent open data prices. Commoprices is also interested in price reference indexes of specific industries which are only accessed against subs</w:t>
      </w:r>
      <w:r>
        <w:rPr>
          <w:rFonts w:ascii="Times New Roman" w:hAnsi="Times New Roman"/>
          <w:noProof/>
          <w:sz w:val="24"/>
          <w:szCs w:val="24"/>
        </w:rPr>
        <w:t>tantial payments. Examples of these price reference indexes are Energy prices (e.g. Powernext</w:t>
      </w:r>
      <w:r>
        <w:rPr>
          <w:rStyle w:val="FootnoteReference"/>
          <w:rFonts w:ascii="Times New Roman" w:hAnsi="Times New Roman"/>
          <w:noProof/>
        </w:rPr>
        <w:footnoteReference w:id="222"/>
      </w:r>
      <w:r>
        <w:rPr>
          <w:rFonts w:ascii="Times New Roman" w:hAnsi="Times New Roman"/>
          <w:noProof/>
          <w:sz w:val="24"/>
          <w:szCs w:val="24"/>
        </w:rPr>
        <w:t xml:space="preserve"> index). </w:t>
      </w:r>
    </w:p>
    <w:p w:rsidR="00DF1A33" w:rsidRDefault="00456F01">
      <w:pPr>
        <w:jc w:val="both"/>
        <w:rPr>
          <w:rFonts w:ascii="Times New Roman" w:hAnsi="Times New Roman"/>
          <w:b/>
          <w:noProof/>
          <w:sz w:val="24"/>
          <w:szCs w:val="24"/>
        </w:rPr>
      </w:pPr>
      <w:r>
        <w:rPr>
          <w:rFonts w:ascii="Times New Roman" w:hAnsi="Times New Roman"/>
          <w:b/>
          <w:noProof/>
          <w:sz w:val="24"/>
          <w:szCs w:val="24"/>
        </w:rPr>
        <w:t xml:space="preserve">Societal impact </w:t>
      </w:r>
    </w:p>
    <w:p w:rsidR="00DF1A33" w:rsidRDefault="00456F01">
      <w:pPr>
        <w:jc w:val="both"/>
        <w:rPr>
          <w:rFonts w:ascii="Times New Roman" w:hAnsi="Times New Roman"/>
          <w:noProof/>
          <w:sz w:val="24"/>
          <w:szCs w:val="24"/>
        </w:rPr>
      </w:pPr>
      <w:r>
        <w:rPr>
          <w:rFonts w:ascii="Times New Roman" w:hAnsi="Times New Roman"/>
          <w:noProof/>
          <w:sz w:val="24"/>
          <w:szCs w:val="24"/>
        </w:rPr>
        <w:t>This start-up, founded by two young professionals and employing another four people, shows a true added value in creating more jobs and</w:t>
      </w:r>
      <w:r>
        <w:rPr>
          <w:rFonts w:ascii="Times New Roman" w:hAnsi="Times New Roman"/>
          <w:noProof/>
          <w:sz w:val="24"/>
          <w:szCs w:val="24"/>
        </w:rPr>
        <w:t xml:space="preserve"> opportunities for young people in the EU. Thanks to ODINE's advice and monitoring, this start-up has tripled their monthly sales and scaled up to other EU markets. </w:t>
      </w:r>
    </w:p>
    <w:p w:rsidR="00DF1A33" w:rsidRDefault="00456F01">
      <w:pPr>
        <w:jc w:val="center"/>
        <w:rPr>
          <w:rFonts w:ascii="Times New Roman" w:hAnsi="Times New Roman"/>
          <w:b/>
          <w:smallCaps/>
          <w:noProof/>
          <w:sz w:val="24"/>
          <w:szCs w:val="24"/>
        </w:rPr>
      </w:pPr>
      <w:r>
        <w:rPr>
          <w:rFonts w:ascii="Times New Roman" w:hAnsi="Times New Roman"/>
          <w:b/>
          <w:smallCaps/>
          <w:noProof/>
          <w:sz w:val="24"/>
          <w:szCs w:val="24"/>
        </w:rPr>
        <w:t>Cropti: Efficient and environmentally-friendly farming</w:t>
      </w:r>
    </w:p>
    <w:p w:rsidR="00DF1A33" w:rsidRDefault="00456F01">
      <w:pPr>
        <w:pStyle w:val="NormalWeb"/>
        <w:spacing w:before="0" w:beforeAutospacing="0" w:after="0" w:afterAutospacing="0" w:line="276" w:lineRule="auto"/>
        <w:jc w:val="both"/>
        <w:rPr>
          <w:b/>
          <w:noProof/>
        </w:rPr>
      </w:pPr>
      <w:r>
        <w:rPr>
          <w:b/>
          <w:noProof/>
        </w:rPr>
        <w:t xml:space="preserve">Business opportunity </w:t>
      </w:r>
    </w:p>
    <w:p w:rsidR="00DF1A33" w:rsidRDefault="00456F01">
      <w:pPr>
        <w:pStyle w:val="NormalWeb"/>
        <w:spacing w:before="0" w:beforeAutospacing="0" w:after="240" w:afterAutospacing="0" w:line="276" w:lineRule="auto"/>
        <w:jc w:val="both"/>
        <w:rPr>
          <w:b/>
          <w:noProof/>
        </w:rPr>
      </w:pPr>
      <w:r>
        <w:rPr>
          <w:noProof/>
        </w:rPr>
        <w:t>With their ex</w:t>
      </w:r>
      <w:r>
        <w:rPr>
          <w:noProof/>
        </w:rPr>
        <w:t>perience in farming, Cropti founders were researching innovation opportunities as they became involved in the entrepreneurial scene. They found out that there is a low digitisation level in agriculture, and at the same time the farmers are facing with incr</w:t>
      </w:r>
      <w:r>
        <w:rPr>
          <w:noProof/>
        </w:rPr>
        <w:t>easingly low margins and regulatory pressure. Cropti founders found an opportunity to ease compliance by bringing all data from the farm to the cloud.</w:t>
      </w:r>
    </w:p>
    <w:p w:rsidR="00DF1A33" w:rsidRDefault="00456F01">
      <w:pPr>
        <w:spacing w:after="0"/>
        <w:jc w:val="both"/>
        <w:rPr>
          <w:rFonts w:ascii="Times New Roman" w:hAnsi="Times New Roman"/>
          <w:b/>
          <w:noProof/>
          <w:sz w:val="24"/>
          <w:szCs w:val="24"/>
        </w:rPr>
      </w:pPr>
      <w:r>
        <w:rPr>
          <w:rFonts w:ascii="Times New Roman" w:hAnsi="Times New Roman"/>
          <w:b/>
          <w:noProof/>
          <w:sz w:val="24"/>
          <w:szCs w:val="24"/>
        </w:rPr>
        <w:t>Goal of the company</w:t>
      </w:r>
    </w:p>
    <w:p w:rsidR="00DF1A33" w:rsidRDefault="00456F01">
      <w:pPr>
        <w:spacing w:after="0"/>
        <w:jc w:val="both"/>
        <w:rPr>
          <w:rFonts w:ascii="Times New Roman" w:eastAsia="Times New Roman" w:hAnsi="Times New Roman" w:cs="Times New Roman"/>
          <w:noProof/>
          <w:sz w:val="24"/>
          <w:szCs w:val="24"/>
          <w:lang w:eastAsia="en-GB"/>
        </w:rPr>
      </w:pPr>
      <w:hyperlink r:id="rId63" w:history="1">
        <w:r>
          <w:rPr>
            <w:rStyle w:val="Hyperlink"/>
            <w:rFonts w:ascii="Times New Roman" w:hAnsi="Times New Roman"/>
            <w:noProof/>
            <w:lang w:eastAsia="en-GB"/>
          </w:rPr>
          <w:t>Cropti</w:t>
        </w:r>
      </w:hyperlink>
      <w:r>
        <w:rPr>
          <w:rFonts w:ascii="Times New Roman" w:eastAsia="Times New Roman" w:hAnsi="Times New Roman" w:cs="Times New Roman"/>
          <w:noProof/>
          <w:sz w:val="24"/>
          <w:szCs w:val="24"/>
          <w:lang w:eastAsia="en-GB"/>
        </w:rPr>
        <w:t xml:space="preserve"> provides software solutions for more efficient farm management. One solution helps farmers manage their business more efficiently while complying with EU food safety regulations and industry quality standards. Cropti provides farmers with personalised rec</w:t>
      </w:r>
      <w:r>
        <w:rPr>
          <w:rFonts w:ascii="Times New Roman" w:eastAsia="Times New Roman" w:hAnsi="Times New Roman" w:cs="Times New Roman"/>
          <w:noProof/>
          <w:sz w:val="24"/>
          <w:szCs w:val="24"/>
          <w:lang w:eastAsia="en-GB"/>
        </w:rPr>
        <w:t xml:space="preserve">ommendations based on various types of constantly updated data. . </w:t>
      </w:r>
    </w:p>
    <w:p w:rsidR="00DF1A33" w:rsidRDefault="00DF1A33">
      <w:pPr>
        <w:spacing w:after="0"/>
        <w:jc w:val="both"/>
        <w:rPr>
          <w:rFonts w:ascii="Times New Roman" w:eastAsia="Times New Roman" w:hAnsi="Times New Roman" w:cs="Times New Roman"/>
          <w:noProof/>
          <w:sz w:val="24"/>
          <w:szCs w:val="24"/>
          <w:lang w:eastAsia="en-GB"/>
        </w:rPr>
      </w:pPr>
    </w:p>
    <w:p w:rsidR="00DF1A33" w:rsidRDefault="00456F01">
      <w:pPr>
        <w:jc w:val="both"/>
        <w:rPr>
          <w:rFonts w:ascii="Times New Roman" w:eastAsia="Times New Roman" w:hAnsi="Times New Roman" w:cs="Times New Roman"/>
          <w:noProof/>
          <w:sz w:val="24"/>
          <w:szCs w:val="24"/>
          <w:lang w:eastAsia="en-GB"/>
        </w:rPr>
      </w:pPr>
      <w:hyperlink r:id="rId64" w:history="1">
        <w:r>
          <w:rPr>
            <w:rStyle w:val="Hyperlink"/>
            <w:rFonts w:ascii="Times New Roman" w:hAnsi="Times New Roman"/>
            <w:noProof/>
            <w:color w:val="0000FF"/>
            <w:lang w:eastAsia="en-GB"/>
          </w:rPr>
          <w:t>Crop.live</w:t>
        </w:r>
      </w:hyperlink>
      <w:r>
        <w:rPr>
          <w:rFonts w:ascii="Times New Roman" w:eastAsia="Times New Roman" w:hAnsi="Times New Roman" w:cs="Times New Roman"/>
          <w:noProof/>
          <w:sz w:val="24"/>
          <w:szCs w:val="24"/>
          <w:lang w:eastAsia="en-GB"/>
        </w:rPr>
        <w:t>, another solution of Cropti, allows access to satellite imagery for small and medium sized farms that can use it to identify plot variability a</w:t>
      </w:r>
      <w:r>
        <w:rPr>
          <w:rFonts w:ascii="Times New Roman" w:eastAsia="Times New Roman" w:hAnsi="Times New Roman" w:cs="Times New Roman"/>
          <w:noProof/>
          <w:sz w:val="24"/>
          <w:szCs w:val="24"/>
          <w:lang w:eastAsia="en-GB"/>
        </w:rPr>
        <w:t>nd identify problems as quickly as possible. On top of this, Cropti is building an irrigation estimation tool that relies on satellite imagery to assess crop water demands.</w:t>
      </w:r>
    </w:p>
    <w:p w:rsidR="00DF1A33" w:rsidRDefault="00456F01">
      <w:pPr>
        <w:spacing w:after="0"/>
        <w:jc w:val="both"/>
        <w:rPr>
          <w:rStyle w:val="Strong"/>
          <w:rFonts w:ascii="Times New Roman" w:hAnsi="Times New Roman"/>
          <w:noProof/>
        </w:rPr>
      </w:pPr>
      <w:r>
        <w:rPr>
          <w:rStyle w:val="Strong"/>
          <w:rFonts w:ascii="Times New Roman" w:hAnsi="Times New Roman"/>
          <w:noProof/>
        </w:rPr>
        <w:t>Open data used</w:t>
      </w:r>
    </w:p>
    <w:p w:rsidR="00DF1A33" w:rsidRDefault="00456F01">
      <w:pPr>
        <w:jc w:val="both"/>
        <w:rPr>
          <w:rFonts w:ascii="Times New Roman" w:eastAsia="Times New Roman" w:hAnsi="Times New Roman" w:cs="Times New Roman"/>
          <w:noProof/>
          <w:lang w:eastAsia="en-GB"/>
        </w:rPr>
      </w:pPr>
      <w:r>
        <w:rPr>
          <w:rFonts w:ascii="Times New Roman" w:eastAsia="Times New Roman" w:hAnsi="Times New Roman" w:cs="Times New Roman"/>
          <w:noProof/>
          <w:sz w:val="24"/>
          <w:szCs w:val="24"/>
          <w:lang w:eastAsia="en-GB"/>
        </w:rPr>
        <w:t xml:space="preserve">Cropti is a re-user of open data gathered by the </w:t>
      </w:r>
      <w:hyperlink r:id="rId65" w:history="1">
        <w:r>
          <w:rPr>
            <w:rStyle w:val="Hyperlink"/>
            <w:rFonts w:ascii="Times New Roman" w:hAnsi="Times New Roman"/>
            <w:noProof/>
            <w:lang w:eastAsia="en-GB"/>
          </w:rPr>
          <w:t>European Space Agency</w:t>
        </w:r>
      </w:hyperlink>
      <w:r>
        <w:rPr>
          <w:rFonts w:ascii="Times New Roman" w:eastAsia="Times New Roman" w:hAnsi="Times New Roman" w:cs="Times New Roman"/>
          <w:noProof/>
          <w:sz w:val="24"/>
          <w:szCs w:val="24"/>
          <w:lang w:eastAsia="en-GB"/>
        </w:rPr>
        <w:t xml:space="preserve"> as well as EU legal information relevant for the food sector. Cropti also aggregates weather data from different providers and mapping data is core to its technologies. </w:t>
      </w:r>
    </w:p>
    <w:p w:rsidR="00DF1A33" w:rsidRDefault="00456F01">
      <w:pPr>
        <w:pStyle w:val="NormalWeb"/>
        <w:spacing w:before="0" w:beforeAutospacing="0" w:after="0" w:afterAutospacing="0" w:line="276" w:lineRule="auto"/>
        <w:jc w:val="both"/>
        <w:rPr>
          <w:b/>
          <w:noProof/>
        </w:rPr>
      </w:pPr>
      <w:r>
        <w:rPr>
          <w:b/>
          <w:noProof/>
        </w:rPr>
        <w:t xml:space="preserve">Other data used </w:t>
      </w:r>
    </w:p>
    <w:p w:rsidR="00DF1A33" w:rsidRDefault="00456F01">
      <w:pPr>
        <w:pStyle w:val="NormalWeb"/>
        <w:spacing w:before="0" w:beforeAutospacing="0" w:after="240" w:afterAutospacing="0" w:line="276" w:lineRule="auto"/>
        <w:jc w:val="both"/>
        <w:rPr>
          <w:b/>
          <w:noProof/>
        </w:rPr>
      </w:pPr>
      <w:r>
        <w:rPr>
          <w:noProof/>
        </w:rPr>
        <w:t>Additionally, Cropti uses a</w:t>
      </w:r>
      <w:r>
        <w:rPr>
          <w:noProof/>
        </w:rPr>
        <w:t>gronomic data, such as crops evolution and incidences and soil data, and integrates within its products a comprehensive database on agrochemicals that are authorised to be used in Spain, including all their characteristics, such as application and usage da</w:t>
      </w:r>
      <w:r>
        <w:rPr>
          <w:noProof/>
        </w:rPr>
        <w:t>tes etc.</w:t>
      </w:r>
      <w:r>
        <w:rPr>
          <w:b/>
          <w:noProof/>
        </w:rPr>
        <w:t xml:space="preserve"> </w:t>
      </w:r>
    </w:p>
    <w:p w:rsidR="00DF1A33" w:rsidRDefault="00456F01">
      <w:pPr>
        <w:pStyle w:val="NormalWeb"/>
        <w:spacing w:before="0" w:beforeAutospacing="0" w:after="0" w:afterAutospacing="0" w:line="276" w:lineRule="auto"/>
        <w:jc w:val="both"/>
        <w:rPr>
          <w:b/>
          <w:noProof/>
        </w:rPr>
      </w:pPr>
      <w:r>
        <w:rPr>
          <w:b/>
          <w:noProof/>
        </w:rPr>
        <w:t>Other data that would improve the business</w:t>
      </w:r>
    </w:p>
    <w:p w:rsidR="00DF1A33" w:rsidRDefault="00456F01">
      <w:pPr>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Better availability of data relevant for the mapping of plots would help the business greatly</w:t>
      </w:r>
      <w:r>
        <w:rPr>
          <w:rFonts w:ascii="Times New Roman" w:hAnsi="Times New Roman"/>
          <w:noProof/>
          <w:color w:val="1F497D"/>
        </w:rPr>
        <w:t xml:space="preserve"> </w:t>
      </w:r>
      <w:r>
        <w:rPr>
          <w:rFonts w:ascii="Times New Roman" w:eastAsia="Times New Roman" w:hAnsi="Times New Roman" w:cs="Times New Roman"/>
          <w:noProof/>
          <w:sz w:val="24"/>
          <w:szCs w:val="24"/>
          <w:lang w:eastAsia="en-GB"/>
        </w:rPr>
        <w:t xml:space="preserve">for example as bulk download or direct access via APIs as recommended by the non-binding Commission </w:t>
      </w:r>
      <w:r>
        <w:rPr>
          <w:rFonts w:ascii="Times New Roman" w:eastAsia="Times New Roman" w:hAnsi="Times New Roman" w:cs="Times New Roman"/>
          <w:noProof/>
          <w:sz w:val="24"/>
          <w:szCs w:val="24"/>
          <w:lang w:eastAsia="en-GB"/>
        </w:rPr>
        <w:t>Guidelines on datasets, licensing and charging for the re-use of documents.</w:t>
      </w:r>
      <w:r>
        <w:rPr>
          <w:rFonts w:ascii="Times New Roman" w:hAnsi="Times New Roman"/>
          <w:noProof/>
          <w:color w:val="1F497D"/>
        </w:rPr>
        <w:t xml:space="preserve"> </w:t>
      </w:r>
      <w:r>
        <w:rPr>
          <w:rFonts w:ascii="Times New Roman" w:eastAsia="Times New Roman" w:hAnsi="Times New Roman" w:cs="Times New Roman"/>
          <w:noProof/>
          <w:sz w:val="24"/>
          <w:szCs w:val="24"/>
          <w:lang w:eastAsia="en-GB"/>
        </w:rPr>
        <w:t>Furthermore, these guidelines recommend that datasets coming from cadastral, topographic and other geospatial data are priorities for release. Cropti believes the administrations a</w:t>
      </w:r>
      <w:r>
        <w:rPr>
          <w:rFonts w:ascii="Times New Roman" w:eastAsia="Times New Roman" w:hAnsi="Times New Roman" w:cs="Times New Roman"/>
          <w:noProof/>
          <w:sz w:val="24"/>
          <w:szCs w:val="24"/>
          <w:lang w:eastAsia="en-GB"/>
        </w:rPr>
        <w:t>re holding big amounts of data that are compiled through the CAP subsidies processing (e.g. crop rotations). If these data were to be opened, it could provide a solid base for the development of AI tools that would help greatly in fields such as pest scout</w:t>
      </w:r>
      <w:r>
        <w:rPr>
          <w:rFonts w:ascii="Times New Roman" w:eastAsia="Times New Roman" w:hAnsi="Times New Roman" w:cs="Times New Roman"/>
          <w:noProof/>
          <w:sz w:val="24"/>
          <w:szCs w:val="24"/>
          <w:lang w:eastAsia="en-GB"/>
        </w:rPr>
        <w:t xml:space="preserve">ing and prevention, yield estimations, etc.  </w:t>
      </w:r>
    </w:p>
    <w:p w:rsidR="00DF1A33" w:rsidRDefault="00456F01">
      <w:pPr>
        <w:keepNext/>
        <w:spacing w:after="0"/>
        <w:jc w:val="both"/>
        <w:rPr>
          <w:rFonts w:ascii="Times New Roman" w:hAnsi="Times New Roman"/>
          <w:b/>
          <w:noProof/>
          <w:sz w:val="24"/>
          <w:szCs w:val="24"/>
        </w:rPr>
      </w:pPr>
      <w:r>
        <w:rPr>
          <w:rFonts w:ascii="Times New Roman" w:hAnsi="Times New Roman"/>
          <w:b/>
          <w:noProof/>
          <w:sz w:val="24"/>
          <w:szCs w:val="24"/>
        </w:rPr>
        <w:t xml:space="preserve">Societal impact </w:t>
      </w:r>
    </w:p>
    <w:p w:rsidR="00DF1A33" w:rsidRDefault="00456F01">
      <w:pPr>
        <w:keepNext/>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Improving agriculture is one of the most effective ways to benefit the society, as farming is closely related to the three greatest challenges of our time: environment, health and inequality. </w:t>
      </w:r>
      <w:r>
        <w:rPr>
          <w:rFonts w:ascii="Times New Roman" w:eastAsia="Times New Roman" w:hAnsi="Times New Roman" w:cs="Times New Roman"/>
          <w:noProof/>
          <w:sz w:val="24"/>
          <w:szCs w:val="24"/>
          <w:lang w:eastAsia="en-GB"/>
        </w:rPr>
        <w:t xml:space="preserve">Firstly, technologies such as the ones offered by Cropti help farmers reduce their use of resources for the same outcome, bringing a more environmentally sustainable food production. Secondly, optimization of farming practices leads to healthier products, </w:t>
      </w:r>
      <w:r>
        <w:rPr>
          <w:rFonts w:ascii="Times New Roman" w:eastAsia="Times New Roman" w:hAnsi="Times New Roman" w:cs="Times New Roman"/>
          <w:noProof/>
          <w:sz w:val="24"/>
          <w:szCs w:val="24"/>
          <w:lang w:eastAsia="en-GB"/>
        </w:rPr>
        <w:t>as the use of chemicals in our food can be reduced to the minimum. And last but not least, by helping farmers become more profitable, inequalities that often push them to more unsustainable practices and keep them in the ‘poverty trap’ can be reduced.</w:t>
      </w:r>
    </w:p>
    <w:p w:rsidR="00DF1A33" w:rsidRDefault="00456F01">
      <w:pPr>
        <w:jc w:val="center"/>
        <w:rPr>
          <w:rFonts w:ascii="Times New Roman" w:hAnsi="Times New Roman"/>
          <w:b/>
          <w:smallCaps/>
          <w:noProof/>
          <w:sz w:val="24"/>
          <w:szCs w:val="24"/>
        </w:rPr>
      </w:pPr>
      <w:r>
        <w:rPr>
          <w:rFonts w:ascii="Times New Roman" w:hAnsi="Times New Roman"/>
          <w:b/>
          <w:smallCaps/>
          <w:noProof/>
          <w:sz w:val="24"/>
          <w:szCs w:val="24"/>
        </w:rPr>
        <w:t>Data</w:t>
      </w:r>
      <w:r>
        <w:rPr>
          <w:rFonts w:ascii="Times New Roman" w:hAnsi="Times New Roman"/>
          <w:b/>
          <w:smallCaps/>
          <w:noProof/>
          <w:sz w:val="24"/>
          <w:szCs w:val="24"/>
        </w:rPr>
        <w:t>Sparks: Inspiring change through efficient energy consumption</w:t>
      </w:r>
    </w:p>
    <w:p w:rsidR="00DF1A33" w:rsidRDefault="00456F01">
      <w:pPr>
        <w:spacing w:after="0"/>
        <w:jc w:val="both"/>
        <w:rPr>
          <w:rFonts w:ascii="Times New Roman" w:hAnsi="Times New Roman" w:cs="Times New Roman"/>
          <w:b/>
          <w:bCs/>
          <w:noProof/>
          <w:sz w:val="24"/>
          <w:szCs w:val="24"/>
        </w:rPr>
      </w:pPr>
      <w:r>
        <w:rPr>
          <w:rFonts w:ascii="Times New Roman" w:hAnsi="Times New Roman" w:cs="Times New Roman"/>
          <w:b/>
          <w:bCs/>
          <w:noProof/>
          <w:sz w:val="24"/>
          <w:szCs w:val="24"/>
        </w:rPr>
        <w:t>Company profile</w:t>
      </w:r>
    </w:p>
    <w:p w:rsidR="00DF1A33" w:rsidRDefault="00456F01">
      <w:pPr>
        <w:shd w:val="clear" w:color="auto" w:fill="FFFFFF"/>
        <w:jc w:val="both"/>
        <w:rPr>
          <w:rFonts w:ascii="Times New Roman" w:hAnsi="Times New Roman" w:cs="Times New Roman"/>
          <w:noProof/>
          <w:sz w:val="24"/>
          <w:szCs w:val="24"/>
          <w:highlight w:val="white"/>
        </w:rPr>
      </w:pPr>
      <w:hyperlink r:id="rId66" w:history="1">
        <w:r>
          <w:rPr>
            <w:rStyle w:val="Hyperlink"/>
            <w:rFonts w:ascii="Times New Roman" w:hAnsi="Times New Roman"/>
            <w:noProof/>
          </w:rPr>
          <w:t>DataSparks</w:t>
        </w:r>
      </w:hyperlink>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is a solution </w:t>
      </w:r>
      <w:r>
        <w:rPr>
          <w:rFonts w:ascii="Times New Roman" w:hAnsi="Times New Roman" w:cs="Times New Roman"/>
          <w:noProof/>
          <w:sz w:val="24"/>
          <w:szCs w:val="24"/>
          <w:highlight w:val="white"/>
        </w:rPr>
        <w:t>developed by Derilinx as part of a Small Business Innovation Research (SBIR) Initiative, supported by</w:t>
      </w:r>
      <w:r>
        <w:rPr>
          <w:rFonts w:ascii="Times New Roman" w:hAnsi="Times New Roman" w:cs="Times New Roman"/>
          <w:noProof/>
          <w:sz w:val="24"/>
          <w:szCs w:val="24"/>
          <w:highlight w:val="white"/>
        </w:rPr>
        <w:t xml:space="preserve"> the Sustainable Energy Authority of Ireland (SEAI) and Enterprise Ireland. </w:t>
      </w:r>
      <w:hyperlink r:id="rId67" w:history="1">
        <w:r>
          <w:rPr>
            <w:rStyle w:val="Hyperlink"/>
            <w:rFonts w:ascii="Times New Roman" w:hAnsi="Times New Roman"/>
            <w:noProof/>
          </w:rPr>
          <w:t>Derilinx</w:t>
        </w:r>
      </w:hyperlink>
      <w:r>
        <w:rPr>
          <w:rFonts w:ascii="Times New Roman" w:hAnsi="Times New Roman" w:cs="Times New Roman"/>
          <w:noProof/>
          <w:sz w:val="24"/>
          <w:szCs w:val="24"/>
        </w:rPr>
        <w:t xml:space="preserve"> is a company that helps public bodies, smart cities and NGOs publish and share data, driving decision-making, innovation and transpar</w:t>
      </w:r>
      <w:r>
        <w:rPr>
          <w:rFonts w:ascii="Times New Roman" w:hAnsi="Times New Roman" w:cs="Times New Roman"/>
          <w:noProof/>
          <w:sz w:val="24"/>
          <w:szCs w:val="24"/>
        </w:rPr>
        <w:t>ency. Derilinx has extensive experience in the provision of fully hosted and managed data solutions, notably managing the Irish Government's National Open Data Platform (recently ranked #1 in Europe)</w:t>
      </w:r>
      <w:r>
        <w:rPr>
          <w:rStyle w:val="FootnoteReference"/>
          <w:rFonts w:ascii="Times New Roman" w:hAnsi="Times New Roman"/>
          <w:noProof/>
        </w:rPr>
        <w:footnoteReference w:id="223"/>
      </w:r>
      <w:r>
        <w:rPr>
          <w:rFonts w:ascii="Times New Roman" w:hAnsi="Times New Roman" w:cs="Times New Roman"/>
          <w:noProof/>
          <w:sz w:val="24"/>
          <w:szCs w:val="24"/>
        </w:rPr>
        <w:t xml:space="preserve">. </w:t>
      </w:r>
    </w:p>
    <w:p w:rsidR="00DF1A33" w:rsidRDefault="00456F01">
      <w:pPr>
        <w:pStyle w:val="NormalWeb"/>
        <w:spacing w:before="0" w:beforeAutospacing="0" w:after="0" w:afterAutospacing="0" w:line="276" w:lineRule="auto"/>
        <w:jc w:val="both"/>
        <w:rPr>
          <w:b/>
          <w:bCs/>
          <w:noProof/>
        </w:rPr>
      </w:pPr>
      <w:r>
        <w:rPr>
          <w:b/>
          <w:bCs/>
          <w:noProof/>
        </w:rPr>
        <w:t>Business opportunity</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are many examples of stakeholders in the energy chain who are striving towards more efficient energy consumption through sustainable energy planning, provision of customised support and individual decision making. Homeowners and tenants want to live </w:t>
      </w:r>
      <w:r>
        <w:rPr>
          <w:rFonts w:ascii="Times New Roman" w:hAnsi="Times New Roman" w:cs="Times New Roman"/>
          <w:noProof/>
          <w:sz w:val="24"/>
          <w:szCs w:val="24"/>
        </w:rPr>
        <w:t>in warm and comfortable homes, while keeping energy costs down. The Irish Government has committed to achieving a 20% reduction in energy demand across Ireland by 2020. Property advertisers and realtors want to maximise property sales and rentals by sellin</w:t>
      </w:r>
      <w:r>
        <w:rPr>
          <w:rFonts w:ascii="Times New Roman" w:hAnsi="Times New Roman" w:cs="Times New Roman"/>
          <w:noProof/>
          <w:sz w:val="24"/>
          <w:szCs w:val="24"/>
        </w:rPr>
        <w:t xml:space="preserve">g warm homes. Energy agencies support communities and local authorities to collaboratively reduce energy consumption, but often can't evaluate the effectiveness of their campaigns and measures. </w:t>
      </w:r>
    </w:p>
    <w:p w:rsidR="00DF1A33" w:rsidRDefault="00456F01">
      <w:pPr>
        <w:spacing w:after="0"/>
        <w:jc w:val="both"/>
        <w:rPr>
          <w:rFonts w:ascii="Times New Roman" w:hAnsi="Times New Roman" w:cs="Times New Roman"/>
          <w:b/>
          <w:bCs/>
          <w:noProof/>
          <w:sz w:val="24"/>
          <w:szCs w:val="24"/>
        </w:rPr>
      </w:pPr>
      <w:r>
        <w:rPr>
          <w:rFonts w:ascii="Times New Roman" w:hAnsi="Times New Roman" w:cs="Times New Roman"/>
          <w:b/>
          <w:bCs/>
          <w:noProof/>
          <w:sz w:val="24"/>
          <w:szCs w:val="24"/>
        </w:rPr>
        <w:t>Goal of the company</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DataSparks accelerates effective decision</w:t>
      </w:r>
      <w:r>
        <w:rPr>
          <w:rFonts w:ascii="Times New Roman" w:hAnsi="Times New Roman" w:cs="Times New Roman"/>
          <w:noProof/>
          <w:sz w:val="24"/>
          <w:szCs w:val="24"/>
        </w:rPr>
        <w:t xml:space="preserve">-making for these stakeholders by providing access to smart, actionable energy insights. Its Energy Data Hub provides access to key property and energy data, ensuring relevant information is easy to find and easy to use. Datasparks </w:t>
      </w:r>
      <w:hyperlink r:id="rId68" w:history="1">
        <w:r>
          <w:rPr>
            <w:rStyle w:val="Hyperlink"/>
            <w:rFonts w:ascii="Times New Roman" w:hAnsi="Times New Roman"/>
            <w:noProof/>
          </w:rPr>
          <w:t>WebApp BER Hero</w:t>
        </w:r>
      </w:hyperlink>
      <w:r>
        <w:rPr>
          <w:rFonts w:ascii="Times New Roman" w:hAnsi="Times New Roman" w:cs="Times New Roman"/>
          <w:noProof/>
          <w:sz w:val="24"/>
          <w:szCs w:val="24"/>
        </w:rPr>
        <w:t xml:space="preserve"> helps users understand their energy usage, how it compares to their peers and how their energy efficiency can be improved to reduce energy consumption, enhance home comfort and increase property value.</w:t>
      </w:r>
    </w:p>
    <w:p w:rsidR="00DF1A33" w:rsidRDefault="00456F01">
      <w:pPr>
        <w:keepNext/>
        <w:spacing w:after="0"/>
        <w:jc w:val="both"/>
        <w:rPr>
          <w:rFonts w:ascii="Times New Roman" w:hAnsi="Times New Roman" w:cs="Times New Roman"/>
          <w:b/>
          <w:bCs/>
          <w:noProof/>
          <w:sz w:val="24"/>
          <w:szCs w:val="24"/>
        </w:rPr>
      </w:pPr>
      <w:r>
        <w:rPr>
          <w:rStyle w:val="Strong"/>
          <w:rFonts w:ascii="Times New Roman" w:hAnsi="Times New Roman"/>
          <w:noProof/>
        </w:rPr>
        <w:t>Open</w:t>
      </w:r>
      <w:r>
        <w:rPr>
          <w:rStyle w:val="Strong"/>
          <w:rFonts w:ascii="Times New Roman" w:hAnsi="Times New Roman"/>
          <w:noProof/>
        </w:rPr>
        <w:t xml:space="preserve"> data and other kinds of data used</w:t>
      </w:r>
    </w:p>
    <w:p w:rsidR="00DF1A33" w:rsidRDefault="00456F01">
      <w:pPr>
        <w:keepNext/>
        <w:jc w:val="both"/>
        <w:rPr>
          <w:rFonts w:ascii="Times New Roman" w:hAnsi="Times New Roman" w:cs="Times New Roman"/>
          <w:noProof/>
          <w:sz w:val="24"/>
          <w:szCs w:val="24"/>
        </w:rPr>
      </w:pPr>
      <w:r>
        <w:rPr>
          <w:rFonts w:ascii="Times New Roman" w:hAnsi="Times New Roman" w:cs="Times New Roman"/>
          <w:noProof/>
          <w:sz w:val="24"/>
          <w:szCs w:val="24"/>
        </w:rPr>
        <w:t>The development of the DataSparks Energy Data Hub involved direct collaboration with data publishers, such as the Sustainable Energy Agency of Ireland, the Irish Green Building Council, Central Statistics Office, Energy A</w:t>
      </w:r>
      <w:r>
        <w:rPr>
          <w:rFonts w:ascii="Times New Roman" w:hAnsi="Times New Roman" w:cs="Times New Roman"/>
          <w:noProof/>
          <w:sz w:val="24"/>
          <w:szCs w:val="24"/>
        </w:rPr>
        <w:t xml:space="preserve">gencies, etc., on the sustainable publication of high-value open data. </w:t>
      </w:r>
    </w:p>
    <w:p w:rsidR="00DF1A33" w:rsidRDefault="00456F01">
      <w:pPr>
        <w:jc w:val="both"/>
        <w:rPr>
          <w:rFonts w:ascii="Times New Roman" w:hAnsi="Times New Roman" w:cs="Times New Roman"/>
          <w:b/>
          <w:bCs/>
          <w:noProof/>
          <w:sz w:val="24"/>
          <w:szCs w:val="24"/>
        </w:rPr>
      </w:pPr>
      <w:r>
        <w:rPr>
          <w:rFonts w:ascii="Times New Roman" w:hAnsi="Times New Roman" w:cs="Times New Roman"/>
          <w:noProof/>
          <w:sz w:val="24"/>
          <w:szCs w:val="24"/>
        </w:rPr>
        <w:t>Datasparks data is open by default for other re-users, but it can also be restricted to internal data sharing only. The DataSparks Energy Data Hub contains over 150 datasets from 24 pu</w:t>
      </w:r>
      <w:r>
        <w:rPr>
          <w:rFonts w:ascii="Times New Roman" w:hAnsi="Times New Roman" w:cs="Times New Roman"/>
          <w:noProof/>
          <w:sz w:val="24"/>
          <w:szCs w:val="24"/>
        </w:rPr>
        <w:t xml:space="preserve">blic and private organisations. A number of datasets were semantically enriched, improving their quality and interoperability, including the BER research data set. Some examples of datasets are: carbon emissions, energy production, energy imports and fuel </w:t>
      </w:r>
      <w:r>
        <w:rPr>
          <w:rFonts w:ascii="Times New Roman" w:hAnsi="Times New Roman" w:cs="Times New Roman"/>
          <w:noProof/>
          <w:sz w:val="24"/>
          <w:szCs w:val="24"/>
        </w:rPr>
        <w:t xml:space="preserve">poverty; Building Energy Ratings, energy efficiency, households and heating; property prices, energy consumption, fuel types and fuel prices; and energy grants and energy credits. </w:t>
      </w:r>
    </w:p>
    <w:p w:rsidR="00DF1A33" w:rsidRDefault="00DF1A33">
      <w:pPr>
        <w:spacing w:after="0"/>
        <w:jc w:val="both"/>
        <w:rPr>
          <w:rFonts w:ascii="Times New Roman" w:hAnsi="Times New Roman" w:cs="Times New Roman"/>
          <w:b/>
          <w:bCs/>
          <w:noProof/>
          <w:sz w:val="24"/>
          <w:szCs w:val="24"/>
        </w:rPr>
      </w:pPr>
    </w:p>
    <w:p w:rsidR="00DF1A33" w:rsidRDefault="00456F01">
      <w:pPr>
        <w:spacing w:after="0"/>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Societal impact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DataSparks directly accelerates the transition to a low-c</w:t>
      </w:r>
      <w:r>
        <w:rPr>
          <w:rFonts w:ascii="Times New Roman" w:hAnsi="Times New Roman" w:cs="Times New Roman"/>
          <w:noProof/>
          <w:sz w:val="24"/>
          <w:szCs w:val="24"/>
        </w:rPr>
        <w:t xml:space="preserve">arbon energy future by creating more awareness and participation within users of their services. It provides them with energy insights to make their energy consumption more efficient, and thus, the tools to help fighting climate change in their day to day </w:t>
      </w:r>
      <w:r>
        <w:rPr>
          <w:rFonts w:ascii="Times New Roman" w:hAnsi="Times New Roman" w:cs="Times New Roman"/>
          <w:noProof/>
          <w:sz w:val="24"/>
          <w:szCs w:val="24"/>
        </w:rPr>
        <w:t xml:space="preserve">lives. </w:t>
      </w:r>
    </w:p>
    <w:p w:rsidR="00DF1A33" w:rsidRDefault="00456F01">
      <w:pPr>
        <w:jc w:val="center"/>
        <w:rPr>
          <w:rFonts w:ascii="Times New Roman" w:hAnsi="Times New Roman"/>
          <w:b/>
          <w:smallCaps/>
          <w:noProof/>
          <w:sz w:val="24"/>
          <w:szCs w:val="24"/>
        </w:rPr>
      </w:pPr>
      <w:r>
        <w:rPr>
          <w:rFonts w:ascii="Times New Roman" w:hAnsi="Times New Roman"/>
          <w:b/>
          <w:smallCaps/>
          <w:noProof/>
          <w:sz w:val="24"/>
          <w:szCs w:val="24"/>
        </w:rPr>
        <w:t>GoOV: Democratising public transport services</w:t>
      </w:r>
    </w:p>
    <w:p w:rsidR="00DF1A33" w:rsidRDefault="00456F01">
      <w:pPr>
        <w:pStyle w:val="NormalWeb"/>
        <w:spacing w:before="0" w:beforeAutospacing="0" w:after="0" w:afterAutospacing="0" w:line="276" w:lineRule="auto"/>
        <w:jc w:val="both"/>
        <w:rPr>
          <w:b/>
          <w:bCs/>
          <w:noProof/>
        </w:rPr>
      </w:pPr>
      <w:r>
        <w:rPr>
          <w:b/>
          <w:bCs/>
          <w:noProof/>
        </w:rPr>
        <w:t>Business opportunity</w:t>
      </w:r>
    </w:p>
    <w:p w:rsidR="00DF1A33" w:rsidRDefault="00456F01">
      <w:pPr>
        <w:pStyle w:val="NormalWeb"/>
        <w:spacing w:before="0" w:beforeAutospacing="0" w:after="240" w:afterAutospacing="0" w:line="276" w:lineRule="auto"/>
        <w:jc w:val="both"/>
        <w:rPr>
          <w:b/>
          <w:bCs/>
          <w:noProof/>
        </w:rPr>
      </w:pPr>
      <w:r>
        <w:rPr>
          <w:bCs/>
          <w:noProof/>
        </w:rPr>
        <w:t>M</w:t>
      </w:r>
      <w:r>
        <w:rPr>
          <w:iCs/>
          <w:noProof/>
        </w:rPr>
        <w:t>any senior people or people who suffer from disabilities, brain injuries and psychiatric disorders, are unable to travel independently in their cities. As a result, they need a com</w:t>
      </w:r>
      <w:r>
        <w:rPr>
          <w:iCs/>
          <w:noProof/>
        </w:rPr>
        <w:t>panion or the public services to invest in adapting public transport comprehensively. Both options are expensive for the families and for the public sector. At the same time, parents of kids with a disability believed that that their children would be able</w:t>
      </w:r>
      <w:r>
        <w:rPr>
          <w:iCs/>
          <w:noProof/>
        </w:rPr>
        <w:t xml:space="preserve"> to travel by themselves, if they had step-by-step instructions and a helpline in case of emergency. </w:t>
      </w:r>
    </w:p>
    <w:p w:rsidR="00DF1A33" w:rsidRDefault="00456F01">
      <w:pPr>
        <w:spacing w:after="0"/>
        <w:jc w:val="both"/>
        <w:rPr>
          <w:rFonts w:ascii="Times New Roman" w:hAnsi="Times New Roman" w:cs="Times New Roman"/>
          <w:b/>
          <w:bCs/>
          <w:noProof/>
          <w:sz w:val="24"/>
          <w:szCs w:val="24"/>
        </w:rPr>
      </w:pPr>
      <w:r>
        <w:rPr>
          <w:rFonts w:ascii="Times New Roman" w:hAnsi="Times New Roman" w:cs="Times New Roman"/>
          <w:b/>
          <w:bCs/>
          <w:noProof/>
          <w:sz w:val="24"/>
          <w:szCs w:val="24"/>
        </w:rPr>
        <w:t>Goal of the company</w:t>
      </w:r>
    </w:p>
    <w:p w:rsidR="00DF1A33" w:rsidRDefault="00456F01">
      <w:pPr>
        <w:jc w:val="both"/>
        <w:rPr>
          <w:rFonts w:ascii="Times New Roman" w:hAnsi="Times New Roman" w:cs="Times New Roman"/>
          <w:iCs/>
          <w:noProof/>
          <w:sz w:val="24"/>
          <w:szCs w:val="24"/>
        </w:rPr>
      </w:pPr>
      <w:hyperlink r:id="rId69" w:history="1">
        <w:r>
          <w:rPr>
            <w:rStyle w:val="Hyperlink"/>
            <w:rFonts w:ascii="Times New Roman" w:hAnsi="Times New Roman"/>
            <w:noProof/>
          </w:rPr>
          <w:t>GoOV</w:t>
        </w:r>
      </w:hyperlink>
      <w:r>
        <w:rPr>
          <w:rFonts w:ascii="Times New Roman" w:hAnsi="Times New Roman" w:cs="Times New Roman"/>
          <w:iCs/>
          <w:noProof/>
          <w:sz w:val="24"/>
          <w:szCs w:val="24"/>
        </w:rPr>
        <w:t xml:space="preserve"> is a social enterprise that offers people from 10 to 90 years old the opportunity to travel independently in their city. GoOV empowers users to travel independently and safely within their limits with the help of a mobile device and at a lower social cost</w:t>
      </w:r>
      <w:r>
        <w:rPr>
          <w:rFonts w:ascii="Times New Roman" w:hAnsi="Times New Roman" w:cs="Times New Roman"/>
          <w:iCs/>
          <w:noProof/>
          <w:sz w:val="24"/>
          <w:szCs w:val="24"/>
        </w:rPr>
        <w:t xml:space="preserve"> than current transport solutions. It provides an app that shows the route and gives instructions to go from door to door, including walking routes and waiting time at bus stops and stations. GoOV indicates at what time the bus or train will arrive, where </w:t>
      </w:r>
      <w:r>
        <w:rPr>
          <w:rFonts w:ascii="Times New Roman" w:hAnsi="Times New Roman" w:cs="Times New Roman"/>
          <w:iCs/>
          <w:noProof/>
          <w:sz w:val="24"/>
          <w:szCs w:val="24"/>
        </w:rPr>
        <w:t>and when to switch and at which stop or station the traveller must get off. Their unique selling proposition of GoOv is that it sends all the supportive alerts at the right time (e.g. alerts such as "push the stop button", "walk to platform 10") to the ind</w:t>
      </w:r>
      <w:r>
        <w:rPr>
          <w:rFonts w:ascii="Times New Roman" w:hAnsi="Times New Roman" w:cs="Times New Roman"/>
          <w:iCs/>
          <w:noProof/>
          <w:sz w:val="24"/>
          <w:szCs w:val="24"/>
        </w:rPr>
        <w:t xml:space="preserve">ividual users, based on their personal profile (e.g. senior, fast or slow, wheelchair). </w:t>
      </w:r>
    </w:p>
    <w:p w:rsidR="00DF1A33" w:rsidRDefault="00456F01">
      <w:pPr>
        <w:pStyle w:val="NormalWeb"/>
        <w:spacing w:line="276" w:lineRule="auto"/>
        <w:jc w:val="both"/>
        <w:rPr>
          <w:iCs/>
          <w:noProof/>
        </w:rPr>
      </w:pPr>
      <w:r>
        <w:rPr>
          <w:iCs/>
          <w:noProof/>
        </w:rPr>
        <w:t>This app comes with a help button to call GoOV helpline when the traveller does not know how to continue or in case of emergency. GoOV also offers a viewing app for pa</w:t>
      </w:r>
      <w:r>
        <w:rPr>
          <w:iCs/>
          <w:noProof/>
        </w:rPr>
        <w:t xml:space="preserve">rents and supervisors to follow the journey. </w:t>
      </w:r>
    </w:p>
    <w:p w:rsidR="00DF1A33" w:rsidRDefault="00456F01">
      <w:pPr>
        <w:spacing w:after="0"/>
        <w:jc w:val="both"/>
        <w:rPr>
          <w:rStyle w:val="Strong"/>
          <w:rFonts w:ascii="Times New Roman" w:hAnsi="Times New Roman"/>
          <w:noProof/>
          <w:sz w:val="24"/>
        </w:rPr>
      </w:pPr>
      <w:r>
        <w:rPr>
          <w:rStyle w:val="Strong"/>
          <w:rFonts w:ascii="Times New Roman" w:hAnsi="Times New Roman"/>
          <w:noProof/>
        </w:rPr>
        <w:t>Open data used</w:t>
      </w:r>
    </w:p>
    <w:p w:rsidR="00DF1A33" w:rsidRDefault="00456F01">
      <w:pPr>
        <w:jc w:val="both"/>
        <w:rPr>
          <w:rFonts w:ascii="Times New Roman" w:hAnsi="Times New Roman" w:cs="Times New Roman"/>
          <w:noProof/>
        </w:rPr>
      </w:pPr>
      <w:r>
        <w:rPr>
          <w:rFonts w:ascii="Times New Roman" w:hAnsi="Times New Roman" w:cs="Times New Roman"/>
          <w:iCs/>
          <w:noProof/>
          <w:sz w:val="24"/>
          <w:szCs w:val="24"/>
        </w:rPr>
        <w:t>GoOV uses Google maps, GPS data, Open Trip planner, Open street map and the Dutch Open Data Base on public transport with live time and place data, accessibility data of bus stops, train platform</w:t>
      </w:r>
      <w:r>
        <w:rPr>
          <w:rFonts w:ascii="Times New Roman" w:hAnsi="Times New Roman" w:cs="Times New Roman"/>
          <w:iCs/>
          <w:noProof/>
          <w:sz w:val="24"/>
          <w:szCs w:val="24"/>
        </w:rPr>
        <w:t xml:space="preserve">s and PT-vehicles and carriages. </w:t>
      </w:r>
    </w:p>
    <w:p w:rsidR="00DF1A33" w:rsidRDefault="00456F01">
      <w:pPr>
        <w:spacing w:after="0"/>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Other data used </w:t>
      </w:r>
    </w:p>
    <w:p w:rsidR="00DF1A33" w:rsidRDefault="00456F01">
      <w:pPr>
        <w:jc w:val="both"/>
        <w:rPr>
          <w:rFonts w:ascii="Times New Roman" w:hAnsi="Times New Roman" w:cs="Times New Roman"/>
          <w:b/>
          <w:bCs/>
          <w:noProof/>
          <w:sz w:val="24"/>
          <w:szCs w:val="24"/>
        </w:rPr>
      </w:pPr>
      <w:r>
        <w:rPr>
          <w:rFonts w:ascii="Times New Roman" w:hAnsi="Times New Roman" w:cs="Times New Roman"/>
          <w:iCs/>
          <w:noProof/>
          <w:sz w:val="24"/>
          <w:szCs w:val="24"/>
        </w:rPr>
        <w:t>GoOV uses dynamic public transport data, a lot of which is available free of charge in the Netherlands, but these data are not fully open and complete yet. GoOV had to make deals with different entities an</w:t>
      </w:r>
      <w:r>
        <w:rPr>
          <w:rFonts w:ascii="Times New Roman" w:hAnsi="Times New Roman" w:cs="Times New Roman"/>
          <w:iCs/>
          <w:noProof/>
          <w:sz w:val="24"/>
          <w:szCs w:val="24"/>
        </w:rPr>
        <w:t>d helped mitigating errors detected in its sources by sending feedback to their providers. Since it is impossible to get GPS signals underground, as in the metro, GoOV is turning to beacon technology made available by local Councils in Rotterdam and Amster</w:t>
      </w:r>
      <w:r>
        <w:rPr>
          <w:rFonts w:ascii="Times New Roman" w:hAnsi="Times New Roman" w:cs="Times New Roman"/>
          <w:iCs/>
          <w:noProof/>
          <w:sz w:val="24"/>
          <w:szCs w:val="24"/>
        </w:rPr>
        <w:t xml:space="preserve">dam. Also, GoOV is investigating how to use crowdsourced data. </w:t>
      </w:r>
    </w:p>
    <w:p w:rsidR="00DF1A33" w:rsidRDefault="00456F01">
      <w:pPr>
        <w:spacing w:after="0"/>
        <w:jc w:val="both"/>
        <w:rPr>
          <w:rFonts w:ascii="Times New Roman" w:hAnsi="Times New Roman" w:cs="Times New Roman"/>
          <w:b/>
          <w:bCs/>
          <w:noProof/>
          <w:sz w:val="24"/>
          <w:szCs w:val="24"/>
        </w:rPr>
      </w:pPr>
      <w:r>
        <w:rPr>
          <w:rFonts w:ascii="Times New Roman" w:hAnsi="Times New Roman" w:cs="Times New Roman"/>
          <w:b/>
          <w:bCs/>
          <w:noProof/>
          <w:sz w:val="24"/>
          <w:szCs w:val="24"/>
        </w:rPr>
        <w:t>Other data that would improve the business</w:t>
      </w:r>
    </w:p>
    <w:p w:rsidR="00DF1A33" w:rsidRDefault="00456F01">
      <w:pPr>
        <w:jc w:val="both"/>
        <w:rPr>
          <w:rFonts w:ascii="Times New Roman" w:hAnsi="Times New Roman" w:cs="Times New Roman"/>
          <w:iCs/>
          <w:noProof/>
          <w:sz w:val="24"/>
          <w:szCs w:val="24"/>
        </w:rPr>
      </w:pPr>
      <w:r>
        <w:rPr>
          <w:rFonts w:ascii="Times New Roman" w:hAnsi="Times New Roman" w:cs="Times New Roman"/>
          <w:iCs/>
          <w:noProof/>
          <w:sz w:val="24"/>
          <w:szCs w:val="24"/>
        </w:rPr>
        <w:t>GoOV would need more complete open data on public transport, focusing on accessibility to train carriages or station platforms, timetables, stations,</w:t>
      </w:r>
      <w:r>
        <w:rPr>
          <w:rFonts w:ascii="Times New Roman" w:hAnsi="Times New Roman" w:cs="Times New Roman"/>
          <w:iCs/>
          <w:noProof/>
          <w:sz w:val="24"/>
          <w:szCs w:val="24"/>
        </w:rPr>
        <w:t xml:space="preserve"> bus stops, vehicles. It would also need data on routes to and from bus stops, railway and metro stations and indoor navigation in public buildings such as railway and metro stations. In the future, they would like to access the geolocation information whi</w:t>
      </w:r>
      <w:r>
        <w:rPr>
          <w:rFonts w:ascii="Times New Roman" w:hAnsi="Times New Roman" w:cs="Times New Roman"/>
          <w:iCs/>
          <w:noProof/>
          <w:sz w:val="24"/>
          <w:szCs w:val="24"/>
        </w:rPr>
        <w:t xml:space="preserve">ch is provided by the last generation of connected public LED based lampposts which are being deployed in the Netherlands in all streets –and indoors. </w:t>
      </w:r>
    </w:p>
    <w:p w:rsidR="00DF1A33" w:rsidRDefault="00456F01">
      <w:pPr>
        <w:spacing w:after="0"/>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Societal impact </w:t>
      </w:r>
    </w:p>
    <w:p w:rsidR="00DF1A33" w:rsidRDefault="00456F01">
      <w:pPr>
        <w:jc w:val="both"/>
        <w:rPr>
          <w:rFonts w:ascii="Times New Roman" w:hAnsi="Times New Roman" w:cs="Times New Roman"/>
          <w:iCs/>
          <w:noProof/>
          <w:sz w:val="24"/>
          <w:szCs w:val="24"/>
        </w:rPr>
      </w:pPr>
      <w:r>
        <w:rPr>
          <w:rFonts w:ascii="Times New Roman" w:hAnsi="Times New Roman" w:cs="Times New Roman"/>
          <w:iCs/>
          <w:noProof/>
          <w:sz w:val="24"/>
          <w:szCs w:val="24"/>
        </w:rPr>
        <w:t>GoOV responds to the UN-treaty provisions for the rights of people with a disability, b</w:t>
      </w:r>
      <w:r>
        <w:rPr>
          <w:rFonts w:ascii="Times New Roman" w:hAnsi="Times New Roman" w:cs="Times New Roman"/>
          <w:iCs/>
          <w:noProof/>
          <w:sz w:val="24"/>
          <w:szCs w:val="24"/>
        </w:rPr>
        <w:t>y improving personal mobility to increase and guarantee autonomy under the three pillars of physical, mental and financial accessibility. This app makes public transport accessible and adapted to the needs of senior people and people with disabilities. GoO</w:t>
      </w:r>
      <w:r>
        <w:rPr>
          <w:rFonts w:ascii="Times New Roman" w:hAnsi="Times New Roman" w:cs="Times New Roman"/>
          <w:iCs/>
          <w:noProof/>
          <w:sz w:val="24"/>
          <w:szCs w:val="24"/>
        </w:rPr>
        <w:t xml:space="preserve">V has found out that 84% of the users switches permanently from taxi to public transport thanks to them. </w:t>
      </w:r>
      <w:r>
        <w:rPr>
          <w:rFonts w:ascii="Times New Roman" w:hAnsi="Times New Roman" w:cs="Times New Roman"/>
          <w:noProof/>
          <w:sz w:val="24"/>
          <w:szCs w:val="24"/>
        </w:rPr>
        <w:t>Besides, it has saved up to 50% of costs in community taxi transportation.</w:t>
      </w:r>
    </w:p>
    <w:p w:rsidR="00DF1A33" w:rsidRDefault="00456F01">
      <w:pPr>
        <w:jc w:val="center"/>
        <w:rPr>
          <w:rFonts w:ascii="Times New Roman" w:hAnsi="Times New Roman"/>
          <w:b/>
          <w:smallCaps/>
          <w:noProof/>
          <w:sz w:val="24"/>
          <w:szCs w:val="24"/>
        </w:rPr>
      </w:pPr>
      <w:r>
        <w:rPr>
          <w:rFonts w:ascii="Times New Roman" w:hAnsi="Times New Roman"/>
          <w:b/>
          <w:smallCaps/>
          <w:noProof/>
          <w:sz w:val="24"/>
          <w:szCs w:val="24"/>
        </w:rPr>
        <w:t>Green City Solutions: Making clean urban air profitable</w:t>
      </w:r>
    </w:p>
    <w:p w:rsidR="00DF1A33" w:rsidRDefault="00456F01">
      <w:pPr>
        <w:pStyle w:val="NormalWeb"/>
        <w:spacing w:before="0" w:beforeAutospacing="0" w:after="0" w:afterAutospacing="0" w:line="276" w:lineRule="auto"/>
        <w:jc w:val="both"/>
        <w:rPr>
          <w:b/>
          <w:bCs/>
          <w:noProof/>
        </w:rPr>
      </w:pPr>
      <w:r>
        <w:rPr>
          <w:b/>
          <w:bCs/>
          <w:noProof/>
        </w:rPr>
        <w:t>Business opportunity</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When it comes to improving quality of life, cities face significant challenges. The high levels of pollution from traffic and industry, the dense population of inner-city areas have an effect on citizens' health and cause problematic climate conditions du</w:t>
      </w:r>
      <w:r>
        <w:rPr>
          <w:rFonts w:ascii="Times New Roman" w:hAnsi="Times New Roman" w:cs="Times New Roman"/>
          <w:noProof/>
          <w:sz w:val="24"/>
          <w:szCs w:val="24"/>
        </w:rPr>
        <w:t xml:space="preserve">e to heat islands. Cities are expected to promote </w:t>
      </w:r>
      <w:r>
        <w:rPr>
          <w:rStyle w:val="Strong"/>
          <w:rFonts w:ascii="Times New Roman" w:hAnsi="Times New Roman"/>
          <w:noProof/>
        </w:rPr>
        <w:t>biodiversity</w:t>
      </w:r>
      <w:r>
        <w:rPr>
          <w:rFonts w:ascii="Times New Roman" w:hAnsi="Times New Roman" w:cs="Times New Roman"/>
          <w:b/>
          <w:noProof/>
          <w:sz w:val="24"/>
          <w:szCs w:val="24"/>
        </w:rPr>
        <w:t xml:space="preserve"> </w:t>
      </w:r>
      <w:r>
        <w:rPr>
          <w:rFonts w:ascii="Times New Roman" w:hAnsi="Times New Roman" w:cs="Times New Roman"/>
          <w:noProof/>
          <w:sz w:val="24"/>
          <w:szCs w:val="24"/>
        </w:rPr>
        <w:t>and</w:t>
      </w:r>
      <w:r>
        <w:rPr>
          <w:rFonts w:ascii="Times New Roman" w:hAnsi="Times New Roman" w:cs="Times New Roman"/>
          <w:b/>
          <w:noProof/>
          <w:sz w:val="24"/>
          <w:szCs w:val="24"/>
        </w:rPr>
        <w:t xml:space="preserve"> </w:t>
      </w:r>
      <w:r>
        <w:rPr>
          <w:rStyle w:val="Strong"/>
          <w:rFonts w:ascii="Times New Roman" w:hAnsi="Times New Roman"/>
          <w:noProof/>
        </w:rPr>
        <w:t>green areas</w:t>
      </w:r>
      <w:r>
        <w:rPr>
          <w:rFonts w:ascii="Times New Roman" w:hAnsi="Times New Roman" w:cs="Times New Roman"/>
          <w:noProof/>
          <w:sz w:val="24"/>
          <w:szCs w:val="24"/>
        </w:rPr>
        <w:t xml:space="preserve"> in public spaces. Yet they often lack not only the space for this, but also the funds. These conclusions and experiences triggered Green City Solutions’ search for an ecological</w:t>
      </w:r>
      <w:r>
        <w:rPr>
          <w:rFonts w:ascii="Times New Roman" w:hAnsi="Times New Roman" w:cs="Times New Roman"/>
          <w:noProof/>
          <w:sz w:val="24"/>
          <w:szCs w:val="24"/>
        </w:rPr>
        <w:t xml:space="preserve"> and economical solution for such worldwide problems. Green City Solutions (GCS) learned about the remarkable impact specific moos cultures have on local air pollution levels and decide to use them as an air purification solution, the City Trees. </w:t>
      </w:r>
    </w:p>
    <w:p w:rsidR="00DF1A33" w:rsidRDefault="00456F01">
      <w:pPr>
        <w:spacing w:after="0"/>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Goal of </w:t>
      </w:r>
      <w:r>
        <w:rPr>
          <w:rFonts w:ascii="Times New Roman" w:hAnsi="Times New Roman" w:cs="Times New Roman"/>
          <w:b/>
          <w:bCs/>
          <w:noProof/>
          <w:sz w:val="24"/>
          <w:szCs w:val="24"/>
        </w:rPr>
        <w:t>the company</w:t>
      </w:r>
    </w:p>
    <w:p w:rsidR="00DF1A33" w:rsidRDefault="00456F01">
      <w:pPr>
        <w:jc w:val="both"/>
        <w:rPr>
          <w:rFonts w:ascii="Times New Roman" w:hAnsi="Times New Roman" w:cs="Times New Roman"/>
          <w:noProof/>
          <w:sz w:val="24"/>
          <w:szCs w:val="24"/>
        </w:rPr>
      </w:pPr>
      <w:hyperlink r:id="rId70" w:history="1">
        <w:r>
          <w:rPr>
            <w:rStyle w:val="Hyperlink"/>
            <w:rFonts w:ascii="Times New Roman" w:hAnsi="Times New Roman"/>
            <w:noProof/>
          </w:rPr>
          <w:t>Green City Solution's vision</w:t>
        </w:r>
      </w:hyperlink>
      <w:r>
        <w:rPr>
          <w:rFonts w:ascii="Times New Roman" w:hAnsi="Times New Roman" w:cs="Times New Roman"/>
          <w:noProof/>
          <w:sz w:val="24"/>
          <w:szCs w:val="24"/>
        </w:rPr>
        <w:t xml:space="preserve"> is a world in which people can live healthily in cities. Green City Solutions aims to create living conditions that allow to permanently have clean and cool air to b</w:t>
      </w:r>
      <w:r>
        <w:rPr>
          <w:rFonts w:ascii="Times New Roman" w:hAnsi="Times New Roman" w:cs="Times New Roman"/>
          <w:noProof/>
          <w:sz w:val="24"/>
          <w:szCs w:val="24"/>
        </w:rPr>
        <w:t xml:space="preserve">reathe. It achieves that by linking the natural abilities of air purifying mosses with cutting-edge Internet of Things technology in a unique way. Green City Solutions has created City Trees, a mobile and intelligent biological air filter that can measure </w:t>
      </w:r>
      <w:r>
        <w:rPr>
          <w:rFonts w:ascii="Times New Roman" w:hAnsi="Times New Roman" w:cs="Times New Roman"/>
          <w:noProof/>
          <w:sz w:val="24"/>
          <w:szCs w:val="24"/>
        </w:rPr>
        <w:t>air pollution in a city.  The moss protected by plant coverage binds particulate matter, nitrogen oxides and CO2e and produces valuable oxygen. At the same time it cools the surrounding air. The measurements can help public administrations monitor environm</w:t>
      </w:r>
      <w:r>
        <w:rPr>
          <w:rFonts w:ascii="Times New Roman" w:hAnsi="Times New Roman" w:cs="Times New Roman"/>
          <w:noProof/>
          <w:sz w:val="24"/>
          <w:szCs w:val="24"/>
        </w:rPr>
        <w:t xml:space="preserve">ental pollution in the cities. These trees can make a measurable and sustainable contribution to the development of intelligent and future-proof cities. </w:t>
      </w:r>
    </w:p>
    <w:p w:rsidR="00DF1A33" w:rsidRDefault="00456F01">
      <w:pPr>
        <w:spacing w:after="0"/>
        <w:jc w:val="both"/>
        <w:rPr>
          <w:rStyle w:val="Strong"/>
          <w:rFonts w:ascii="Times New Roman" w:hAnsi="Times New Roman"/>
          <w:noProof/>
        </w:rPr>
      </w:pPr>
      <w:r>
        <w:rPr>
          <w:rStyle w:val="Strong"/>
          <w:rFonts w:ascii="Times New Roman" w:hAnsi="Times New Roman"/>
          <w:noProof/>
        </w:rPr>
        <w:t>Open data used</w:t>
      </w:r>
    </w:p>
    <w:p w:rsidR="00DF1A33" w:rsidRDefault="00456F01">
      <w:pPr>
        <w:jc w:val="both"/>
        <w:rPr>
          <w:rFonts w:ascii="Times New Roman" w:hAnsi="Times New Roman" w:cs="Times New Roman"/>
          <w:iCs/>
          <w:noProof/>
        </w:rPr>
      </w:pPr>
      <w:r>
        <w:rPr>
          <w:rFonts w:ascii="Times New Roman" w:hAnsi="Times New Roman" w:cs="Times New Roman"/>
          <w:noProof/>
          <w:sz w:val="24"/>
          <w:szCs w:val="24"/>
        </w:rPr>
        <w:t>Green City Solutions has developed an open data tool for visualisation of the City Tree</w:t>
      </w:r>
      <w:r>
        <w:rPr>
          <w:rFonts w:ascii="Times New Roman" w:hAnsi="Times New Roman" w:cs="Times New Roman"/>
          <w:noProof/>
          <w:sz w:val="24"/>
          <w:szCs w:val="24"/>
        </w:rPr>
        <w:t>s' effectiveness and impact as an air purification measure. GCS has</w:t>
      </w:r>
      <w:r>
        <w:rPr>
          <w:rFonts w:ascii="Times New Roman" w:hAnsi="Times New Roman" w:cs="Times New Roman"/>
          <w:iCs/>
          <w:noProof/>
          <w:sz w:val="24"/>
          <w:szCs w:val="24"/>
        </w:rPr>
        <w:t xml:space="preserve"> used open data from official pollution measuring stations in Europe -and Asia- to create a comprehensive map of the pollution levels in that specific location and have combined it with the</w:t>
      </w:r>
      <w:r>
        <w:rPr>
          <w:rFonts w:ascii="Times New Roman" w:hAnsi="Times New Roman" w:cs="Times New Roman"/>
          <w:iCs/>
          <w:noProof/>
          <w:sz w:val="24"/>
          <w:szCs w:val="24"/>
        </w:rPr>
        <w:t xml:space="preserve"> data they collect from the tree sensors. The goal is to visualise the invisible air pollution and make such visualisation publicly available. </w:t>
      </w:r>
    </w:p>
    <w:p w:rsidR="00DF1A33" w:rsidRDefault="00456F01">
      <w:pPr>
        <w:spacing w:after="0"/>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Other data used </w:t>
      </w:r>
    </w:p>
    <w:p w:rsidR="00DF1A33" w:rsidRDefault="00456F01">
      <w:pPr>
        <w:jc w:val="both"/>
        <w:rPr>
          <w:rFonts w:ascii="Times New Roman" w:hAnsi="Times New Roman" w:cs="Times New Roman"/>
          <w:bCs/>
          <w:noProof/>
          <w:sz w:val="24"/>
          <w:szCs w:val="24"/>
        </w:rPr>
      </w:pPr>
      <w:r>
        <w:rPr>
          <w:rFonts w:ascii="Times New Roman" w:hAnsi="Times New Roman" w:cs="Times New Roman"/>
          <w:bCs/>
          <w:noProof/>
          <w:sz w:val="24"/>
          <w:szCs w:val="24"/>
        </w:rPr>
        <w:t>In 2016, Green City Solutions has collaborated with Cisco Systems in a smart cities project, wh</w:t>
      </w:r>
      <w:r>
        <w:rPr>
          <w:rFonts w:ascii="Times New Roman" w:hAnsi="Times New Roman" w:cs="Times New Roman"/>
          <w:bCs/>
          <w:noProof/>
          <w:sz w:val="24"/>
          <w:szCs w:val="24"/>
        </w:rPr>
        <w:t>ich provided valuable insights on the correlations of traffic and air pollution.</w:t>
      </w:r>
    </w:p>
    <w:p w:rsidR="00DF1A33" w:rsidRDefault="00456F01">
      <w:pPr>
        <w:spacing w:after="0"/>
        <w:jc w:val="both"/>
        <w:rPr>
          <w:rFonts w:ascii="Times New Roman" w:hAnsi="Times New Roman" w:cs="Times New Roman"/>
          <w:b/>
          <w:bCs/>
          <w:noProof/>
          <w:sz w:val="24"/>
          <w:szCs w:val="24"/>
        </w:rPr>
      </w:pPr>
      <w:r>
        <w:rPr>
          <w:rFonts w:ascii="Times New Roman" w:hAnsi="Times New Roman" w:cs="Times New Roman"/>
          <w:b/>
          <w:bCs/>
          <w:noProof/>
          <w:sz w:val="24"/>
          <w:szCs w:val="24"/>
        </w:rPr>
        <w:t>Other data that would improve the business</w:t>
      </w:r>
    </w:p>
    <w:p w:rsidR="00DF1A33" w:rsidRDefault="00456F01">
      <w:pPr>
        <w:jc w:val="both"/>
        <w:rPr>
          <w:rFonts w:ascii="Times New Roman" w:hAnsi="Times New Roman" w:cs="Times New Roman"/>
          <w:iCs/>
          <w:noProof/>
          <w:sz w:val="24"/>
          <w:szCs w:val="24"/>
        </w:rPr>
      </w:pPr>
      <w:r>
        <w:rPr>
          <w:rFonts w:ascii="Times New Roman" w:hAnsi="Times New Roman" w:cs="Times New Roman"/>
          <w:iCs/>
          <w:noProof/>
          <w:sz w:val="24"/>
          <w:szCs w:val="24"/>
        </w:rPr>
        <w:t>Green City Solutions would extremely benefit from accessing live data and historical data concerning the precise meteorological values. Transport data, including traffic and other data collected by road authorities, could improve the calculus of the impact</w:t>
      </w:r>
      <w:r>
        <w:rPr>
          <w:rFonts w:ascii="Times New Roman" w:hAnsi="Times New Roman" w:cs="Times New Roman"/>
          <w:iCs/>
          <w:noProof/>
          <w:sz w:val="24"/>
          <w:szCs w:val="24"/>
        </w:rPr>
        <w:t xml:space="preserve"> of nature-based solutions. Finally, data concerning the health benefits of natural solutions (e.g. parks in the city) could be beneficial to benchmark the impact of Green City Solutions with traditional ones. These data can be provided by many actors in t</w:t>
      </w:r>
      <w:r>
        <w:rPr>
          <w:rFonts w:ascii="Times New Roman" w:hAnsi="Times New Roman" w:cs="Times New Roman"/>
          <w:iCs/>
          <w:noProof/>
          <w:sz w:val="24"/>
          <w:szCs w:val="24"/>
        </w:rPr>
        <w:t xml:space="preserve">he health or research administrations. </w:t>
      </w:r>
    </w:p>
    <w:p w:rsidR="00DF1A33" w:rsidRDefault="00456F01">
      <w:pPr>
        <w:spacing w:after="0"/>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Societal impact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Green City Solutions aims to mitigate climate change and fight air pollution in the cities. This is one of the challenges that cities in Europe face when aligning with the sustainable development goa</w:t>
      </w:r>
      <w:r>
        <w:rPr>
          <w:rFonts w:ascii="Times New Roman" w:hAnsi="Times New Roman" w:cs="Times New Roman"/>
          <w:noProof/>
          <w:sz w:val="24"/>
          <w:szCs w:val="24"/>
        </w:rPr>
        <w:t xml:space="preserve">ls. With these trees, Green City Solutions creates a smart infrastructure for sustainable and liveable cities of tomorrow, that monitors environmental pollution. </w:t>
      </w:r>
    </w:p>
    <w:p w:rsidR="00DF1A33" w:rsidRDefault="00456F01">
      <w:pPr>
        <w:keepNext/>
        <w:jc w:val="center"/>
        <w:rPr>
          <w:rFonts w:ascii="Times New Roman" w:hAnsi="Times New Roman"/>
          <w:b/>
          <w:smallCaps/>
          <w:noProof/>
          <w:sz w:val="24"/>
          <w:szCs w:val="24"/>
        </w:rPr>
      </w:pPr>
      <w:r>
        <w:rPr>
          <w:rFonts w:ascii="Times New Roman" w:hAnsi="Times New Roman"/>
          <w:b/>
          <w:smallCaps/>
          <w:noProof/>
          <w:sz w:val="24"/>
          <w:szCs w:val="24"/>
        </w:rPr>
        <w:t>Viomedo: Accelerating patients' access to medical innovation</w:t>
      </w:r>
    </w:p>
    <w:p w:rsidR="00DF1A33" w:rsidRDefault="00456F01">
      <w:pPr>
        <w:keepNext/>
        <w:spacing w:after="0"/>
        <w:jc w:val="both"/>
        <w:rPr>
          <w:rFonts w:ascii="Times New Roman" w:hAnsi="Times New Roman" w:cs="Times New Roman"/>
          <w:b/>
          <w:noProof/>
          <w:sz w:val="24"/>
          <w:szCs w:val="24"/>
        </w:rPr>
      </w:pPr>
      <w:r>
        <w:rPr>
          <w:rFonts w:ascii="Times New Roman" w:hAnsi="Times New Roman" w:cs="Times New Roman"/>
          <w:b/>
          <w:noProof/>
          <w:sz w:val="24"/>
          <w:szCs w:val="24"/>
        </w:rPr>
        <w:t>Business opportunity</w:t>
      </w:r>
    </w:p>
    <w:p w:rsidR="00DF1A33" w:rsidRDefault="00456F01">
      <w:pPr>
        <w:keepNext/>
        <w:jc w:val="both"/>
        <w:rPr>
          <w:rFonts w:ascii="Times New Roman" w:hAnsi="Times New Roman" w:cs="Times New Roman"/>
          <w:noProof/>
          <w:sz w:val="24"/>
          <w:szCs w:val="24"/>
        </w:rPr>
      </w:pPr>
      <w:r>
        <w:rPr>
          <w:rFonts w:ascii="Times New Roman" w:hAnsi="Times New Roman" w:cs="Times New Roman"/>
          <w:noProof/>
          <w:sz w:val="24"/>
          <w:szCs w:val="24"/>
        </w:rPr>
        <w:t>One of the largest challenges in clinical development is finding the right patients to take part in clinical trials. This is why it takes ever more time and money to bring innovative therapies to market. Overall, about 40% of trials fail to achieve minimum</w:t>
      </w:r>
      <w:r>
        <w:rPr>
          <w:rFonts w:ascii="Times New Roman" w:hAnsi="Times New Roman" w:cs="Times New Roman"/>
          <w:noProof/>
          <w:sz w:val="24"/>
          <w:szCs w:val="24"/>
        </w:rPr>
        <w:t xml:space="preserve"> patient registration. Ultimately, 85% of all trials are delayed with each day costing the organisation up to USD 8 million (EUR 7.1 million).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This leaves many EU patients without early access to clinical innovations within trials and many doctors without</w:t>
      </w:r>
      <w:r>
        <w:rPr>
          <w:rFonts w:ascii="Times New Roman" w:hAnsi="Times New Roman" w:cs="Times New Roman"/>
          <w:noProof/>
          <w:sz w:val="24"/>
          <w:szCs w:val="24"/>
        </w:rPr>
        <w:t xml:space="preserve"> early experience with novel therapies. Without innovative solutions, this problem will only grow as trial sizes increase and therapies become more targeted.</w:t>
      </w:r>
    </w:p>
    <w:p w:rsidR="00DF1A33" w:rsidRDefault="00456F01">
      <w:pPr>
        <w:spacing w:after="0"/>
        <w:jc w:val="both"/>
        <w:rPr>
          <w:rFonts w:ascii="Times New Roman" w:hAnsi="Times New Roman" w:cs="Times New Roman"/>
          <w:b/>
          <w:noProof/>
          <w:sz w:val="24"/>
          <w:szCs w:val="24"/>
        </w:rPr>
      </w:pPr>
      <w:r>
        <w:rPr>
          <w:rFonts w:ascii="Times New Roman" w:hAnsi="Times New Roman" w:cs="Times New Roman"/>
          <w:b/>
          <w:noProof/>
          <w:sz w:val="24"/>
          <w:szCs w:val="24"/>
        </w:rPr>
        <w:t>Goal of the company</w:t>
      </w:r>
    </w:p>
    <w:p w:rsidR="00DF1A33" w:rsidRDefault="00456F01">
      <w:pPr>
        <w:jc w:val="both"/>
        <w:rPr>
          <w:rFonts w:ascii="Times New Roman" w:hAnsi="Times New Roman" w:cs="Times New Roman"/>
          <w:noProof/>
          <w:sz w:val="24"/>
          <w:szCs w:val="24"/>
        </w:rPr>
      </w:pPr>
      <w:hyperlink r:id="rId71" w:history="1">
        <w:r>
          <w:rPr>
            <w:rStyle w:val="Hyperlink"/>
            <w:rFonts w:ascii="Times New Roman" w:hAnsi="Times New Roman"/>
            <w:noProof/>
          </w:rPr>
          <w:t>Viomedo</w:t>
        </w:r>
      </w:hyperlink>
      <w:r>
        <w:rPr>
          <w:rFonts w:ascii="Times New Roman" w:hAnsi="Times New Roman" w:cs="Times New Roman"/>
          <w:noProof/>
          <w:sz w:val="24"/>
          <w:szCs w:val="24"/>
        </w:rPr>
        <w:t xml:space="preserve"> develops an online platform that connects patients with medical research in order to help improve existing therapies and find cures. It uses a unique distribution network, data and technology to reach and register new patients that comply with the require</w:t>
      </w:r>
      <w:r>
        <w:rPr>
          <w:rFonts w:ascii="Times New Roman" w:hAnsi="Times New Roman" w:cs="Times New Roman"/>
          <w:noProof/>
          <w:sz w:val="24"/>
          <w:szCs w:val="24"/>
        </w:rPr>
        <w:t>ments (eligibility criteria) of the clinical trials. Together with patients, patient advocacy groups and physicians, Viomedo supports leading research institutions, life sciences companies and Clinical Research Organisations with their clinical research. A</w:t>
      </w:r>
      <w:r>
        <w:rPr>
          <w:rFonts w:ascii="Times New Roman" w:hAnsi="Times New Roman" w:cs="Times New Roman"/>
          <w:noProof/>
          <w:sz w:val="24"/>
          <w:szCs w:val="24"/>
        </w:rPr>
        <w:t xml:space="preserve">t the moment, Viomedo is the leading clinical trial platform with 300 sites in Germany and Austria and with over 250.000 patients using the platform in the first half of 2017.  For institutions, Viomedo provides services covering over 200 diseases. </w:t>
      </w:r>
    </w:p>
    <w:p w:rsidR="00DF1A33" w:rsidRDefault="00456F01">
      <w:pPr>
        <w:spacing w:after="0"/>
        <w:jc w:val="both"/>
        <w:rPr>
          <w:rFonts w:ascii="Times New Roman" w:hAnsi="Times New Roman" w:cs="Times New Roman"/>
          <w:b/>
          <w:bCs/>
          <w:noProof/>
          <w:sz w:val="24"/>
          <w:szCs w:val="24"/>
        </w:rPr>
      </w:pPr>
      <w:r>
        <w:rPr>
          <w:rFonts w:ascii="Times New Roman" w:hAnsi="Times New Roman" w:cs="Times New Roman"/>
          <w:b/>
          <w:bCs/>
          <w:noProof/>
          <w:sz w:val="24"/>
          <w:szCs w:val="24"/>
        </w:rPr>
        <w:t>Open d</w:t>
      </w:r>
      <w:r>
        <w:rPr>
          <w:rFonts w:ascii="Times New Roman" w:hAnsi="Times New Roman" w:cs="Times New Roman"/>
          <w:b/>
          <w:bCs/>
          <w:noProof/>
          <w:sz w:val="24"/>
          <w:szCs w:val="24"/>
        </w:rPr>
        <w:t>ata used</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Viomedo uses data related to clinical trials registries in Germany (factual data, non-personal), which are usually run by public universities. These registries share research data and the type, date and location of clinical trials. Information is </w:t>
      </w:r>
      <w:r>
        <w:rPr>
          <w:rFonts w:ascii="Times New Roman" w:hAnsi="Times New Roman" w:cs="Times New Roman"/>
          <w:noProof/>
          <w:sz w:val="24"/>
          <w:szCs w:val="24"/>
        </w:rPr>
        <w:t xml:space="preserve">disclosed in an open and free manner, enhancing the transparency of the universities. Viomedo combines these data with open geographic data to connect patients with hospitals or organisations running clinical trials.  </w:t>
      </w:r>
    </w:p>
    <w:p w:rsidR="00DF1A33" w:rsidRDefault="00456F01">
      <w:pPr>
        <w:spacing w:after="0"/>
        <w:jc w:val="both"/>
        <w:rPr>
          <w:rFonts w:ascii="Times New Roman" w:hAnsi="Times New Roman" w:cs="Times New Roman"/>
          <w:b/>
          <w:noProof/>
          <w:sz w:val="24"/>
          <w:szCs w:val="24"/>
        </w:rPr>
      </w:pPr>
      <w:r>
        <w:rPr>
          <w:rFonts w:ascii="Times New Roman" w:hAnsi="Times New Roman" w:cs="Times New Roman"/>
          <w:b/>
          <w:noProof/>
          <w:sz w:val="24"/>
          <w:szCs w:val="24"/>
        </w:rPr>
        <w:t xml:space="preserve">Other data used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Viomedo is building </w:t>
      </w:r>
      <w:r>
        <w:rPr>
          <w:rFonts w:ascii="Times New Roman" w:hAnsi="Times New Roman" w:cs="Times New Roman"/>
          <w:noProof/>
          <w:sz w:val="24"/>
          <w:szCs w:val="24"/>
        </w:rPr>
        <w:t>its own registry by partnering with pharmaceutical companies and doctors carrying out clinical trials. Pharmaceutical companies provide their own data on clinical trials and Viomedo combines it with publicly available data. However, the company sometimes e</w:t>
      </w:r>
      <w:r>
        <w:rPr>
          <w:rFonts w:ascii="Times New Roman" w:hAnsi="Times New Roman" w:cs="Times New Roman"/>
          <w:noProof/>
          <w:sz w:val="24"/>
          <w:szCs w:val="24"/>
        </w:rPr>
        <w:t xml:space="preserve">xperiences problems with the accuracy and timeliness of the open data, which ultimately impacts on the patient.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Viomedo also integrates personal data where patients opted in. It strictly follows the data privacy legislation in place in Germany. However, G</w:t>
      </w:r>
      <w:r>
        <w:rPr>
          <w:rFonts w:ascii="Times New Roman" w:hAnsi="Times New Roman" w:cs="Times New Roman"/>
          <w:noProof/>
          <w:sz w:val="24"/>
          <w:szCs w:val="24"/>
        </w:rPr>
        <w:t xml:space="preserve">DPR will offer a window opportunity by providing harmonised legislation on data protection, making scaling up easier and cheaper. </w:t>
      </w:r>
    </w:p>
    <w:p w:rsidR="00DF1A33" w:rsidRDefault="00456F01">
      <w:pPr>
        <w:spacing w:after="0"/>
        <w:jc w:val="both"/>
        <w:rPr>
          <w:rFonts w:ascii="Times New Roman" w:hAnsi="Times New Roman" w:cs="Times New Roman"/>
          <w:b/>
          <w:noProof/>
          <w:sz w:val="24"/>
          <w:szCs w:val="24"/>
        </w:rPr>
      </w:pPr>
      <w:r>
        <w:rPr>
          <w:rFonts w:ascii="Times New Roman" w:hAnsi="Times New Roman" w:cs="Times New Roman"/>
          <w:b/>
          <w:noProof/>
          <w:sz w:val="24"/>
          <w:szCs w:val="24"/>
        </w:rPr>
        <w:t>Other data that would improve the business</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Research data is of high importance to Viomedo. Their future data services seek to</w:t>
      </w:r>
      <w:r>
        <w:rPr>
          <w:rFonts w:ascii="Times New Roman" w:hAnsi="Times New Roman" w:cs="Times New Roman"/>
          <w:noProof/>
          <w:sz w:val="24"/>
          <w:szCs w:val="24"/>
        </w:rPr>
        <w:t xml:space="preserve"> access data from medical journals and research institutions. The interest lies in information on the kinds of clinical trials conducted, with which patients and at which sites. That research data from publicly funded research can serve as a baseline as we</w:t>
      </w:r>
      <w:r>
        <w:rPr>
          <w:rFonts w:ascii="Times New Roman" w:hAnsi="Times New Roman" w:cs="Times New Roman"/>
          <w:noProof/>
          <w:sz w:val="24"/>
          <w:szCs w:val="24"/>
        </w:rPr>
        <w:t xml:space="preserve">ll as provide other relevant information for future clinical trials. An initiative such as the Open Science Cloud, centralising access to public, publicly-funded and private (on a voluntary basis) research data will enhance the usability of the data.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Clea</w:t>
      </w:r>
      <w:r>
        <w:rPr>
          <w:rFonts w:ascii="Times New Roman" w:hAnsi="Times New Roman" w:cs="Times New Roman"/>
          <w:noProof/>
          <w:sz w:val="24"/>
          <w:szCs w:val="24"/>
        </w:rPr>
        <w:t>r policies on usage of clinical trials data from institutions such as the European Medicines Agency would help Viomedo providing a cross-border service. Furthermore, obligations on the provision of machine readable formats and APIs would allow better use o</w:t>
      </w:r>
      <w:r>
        <w:rPr>
          <w:rFonts w:ascii="Times New Roman" w:hAnsi="Times New Roman" w:cs="Times New Roman"/>
          <w:noProof/>
          <w:sz w:val="24"/>
          <w:szCs w:val="24"/>
        </w:rPr>
        <w:t xml:space="preserve">f data already available.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Beyond health statistics at a national level provided by EUROSTAT, Viomedo would need such statistics at city or regional level. This would allow them to match patients with disease incidence and provide a better service to those</w:t>
      </w:r>
      <w:r>
        <w:rPr>
          <w:rFonts w:ascii="Times New Roman" w:hAnsi="Times New Roman" w:cs="Times New Roman"/>
          <w:noProof/>
          <w:sz w:val="24"/>
          <w:szCs w:val="24"/>
        </w:rPr>
        <w:t xml:space="preserve"> looking for clinical trials. </w:t>
      </w:r>
    </w:p>
    <w:p w:rsidR="00DF1A33" w:rsidRDefault="00456F01">
      <w:pPr>
        <w:spacing w:after="0"/>
        <w:jc w:val="both"/>
        <w:rPr>
          <w:rFonts w:ascii="Times New Roman" w:hAnsi="Times New Roman" w:cs="Times New Roman"/>
          <w:b/>
          <w:noProof/>
          <w:sz w:val="24"/>
          <w:szCs w:val="24"/>
        </w:rPr>
      </w:pPr>
      <w:r>
        <w:rPr>
          <w:rFonts w:ascii="Times New Roman" w:hAnsi="Times New Roman" w:cs="Times New Roman"/>
          <w:b/>
          <w:noProof/>
          <w:sz w:val="24"/>
          <w:szCs w:val="24"/>
        </w:rPr>
        <w:t xml:space="preserve">Societal impact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 xml:space="preserve">By connecting patients in need with clinical trial opportunities, Viomedo accelerates the process of developing new therapies. Consequently, new cures can reach all patients faster. </w:t>
      </w:r>
    </w:p>
    <w:p w:rsidR="00DF1A33" w:rsidRDefault="00456F01">
      <w:pPr>
        <w:jc w:val="center"/>
        <w:rPr>
          <w:rFonts w:ascii="Times New Roman" w:hAnsi="Times New Roman"/>
          <w:b/>
          <w:smallCaps/>
          <w:noProof/>
          <w:sz w:val="24"/>
          <w:szCs w:val="24"/>
        </w:rPr>
      </w:pPr>
      <w:r>
        <w:rPr>
          <w:rFonts w:ascii="Times New Roman" w:hAnsi="Times New Roman"/>
          <w:b/>
          <w:smallCaps/>
          <w:noProof/>
          <w:sz w:val="24"/>
          <w:szCs w:val="24"/>
        </w:rPr>
        <w:t>The Estonian Road Adminis</w:t>
      </w:r>
      <w:r>
        <w:rPr>
          <w:rFonts w:ascii="Times New Roman" w:hAnsi="Times New Roman"/>
          <w:b/>
          <w:smallCaps/>
          <w:noProof/>
          <w:sz w:val="24"/>
          <w:szCs w:val="24"/>
        </w:rPr>
        <w:t>tration: A digital service</w:t>
      </w:r>
    </w:p>
    <w:p w:rsidR="00DF1A33" w:rsidRDefault="00456F01">
      <w:pPr>
        <w:spacing w:after="0"/>
        <w:jc w:val="both"/>
        <w:rPr>
          <w:rFonts w:ascii="Times New Roman" w:hAnsi="Times New Roman" w:cs="Times New Roman"/>
          <w:noProof/>
          <w:color w:val="000000"/>
          <w:sz w:val="24"/>
          <w:szCs w:val="24"/>
        </w:rPr>
      </w:pPr>
      <w:r>
        <w:rPr>
          <w:rFonts w:ascii="Times New Roman" w:hAnsi="Times New Roman" w:cs="Times New Roman"/>
          <w:b/>
          <w:bCs/>
          <w:noProof/>
          <w:color w:val="000000"/>
          <w:sz w:val="24"/>
          <w:szCs w:val="24"/>
        </w:rPr>
        <w:t>Profile of the organisation</w:t>
      </w:r>
    </w:p>
    <w:p w:rsidR="00DF1A33" w:rsidRDefault="00456F01">
      <w:pPr>
        <w:shd w:val="clear" w:color="auto" w:fill="FFFFFF"/>
        <w:jc w:val="both"/>
        <w:textAlignment w:val="baseline"/>
        <w:rPr>
          <w:rFonts w:ascii="Times New Roman" w:hAnsi="Times New Roman" w:cs="Times New Roman"/>
          <w:iCs/>
          <w:noProof/>
          <w:sz w:val="24"/>
          <w:szCs w:val="24"/>
        </w:rPr>
      </w:pPr>
      <w:r>
        <w:rPr>
          <w:rFonts w:ascii="Times New Roman" w:hAnsi="Times New Roman" w:cs="Times New Roman"/>
          <w:iCs/>
          <w:noProof/>
          <w:sz w:val="24"/>
          <w:szCs w:val="24"/>
        </w:rPr>
        <w:t xml:space="preserve">The </w:t>
      </w:r>
      <w:hyperlink r:id="rId72" w:history="1">
        <w:r>
          <w:rPr>
            <w:rStyle w:val="Hyperlink"/>
            <w:rFonts w:ascii="Times New Roman" w:hAnsi="Times New Roman"/>
            <w:noProof/>
          </w:rPr>
          <w:t>Estonian Road Administration</w:t>
        </w:r>
      </w:hyperlink>
      <w:r>
        <w:rPr>
          <w:rFonts w:ascii="Times New Roman" w:hAnsi="Times New Roman" w:cs="Times New Roman"/>
          <w:iCs/>
          <w:noProof/>
          <w:sz w:val="24"/>
          <w:szCs w:val="24"/>
        </w:rPr>
        <w:t xml:space="preserve"> (ERA) is a government agency operating within the administrative area of the Ministry of Economic Affairs and Communications. The ERA provides public services, which allow road users to use the road network in a safe and efficient manner, ensuring its pre</w:t>
      </w:r>
      <w:r>
        <w:rPr>
          <w:rFonts w:ascii="Times New Roman" w:hAnsi="Times New Roman" w:cs="Times New Roman"/>
          <w:iCs/>
          <w:noProof/>
          <w:sz w:val="24"/>
          <w:szCs w:val="24"/>
        </w:rPr>
        <w:t>servation and operation. At the same time, the ERA applies requirements to road users and vehicles to ensure a safe and working traffic environment. With its public transportation management, the ERA influences the environmentally-conscious and sustainable</w:t>
      </w:r>
      <w:r>
        <w:rPr>
          <w:rFonts w:ascii="Times New Roman" w:hAnsi="Times New Roman" w:cs="Times New Roman"/>
          <w:iCs/>
          <w:noProof/>
          <w:sz w:val="24"/>
          <w:szCs w:val="24"/>
        </w:rPr>
        <w:t xml:space="preserve"> behaviour of road users.</w:t>
      </w:r>
    </w:p>
    <w:p w:rsidR="00DF1A33" w:rsidRDefault="00456F01">
      <w:pPr>
        <w:spacing w:after="0"/>
        <w:jc w:val="both"/>
        <w:rPr>
          <w:rFonts w:ascii="Times New Roman" w:hAnsi="Times New Roman" w:cs="Times New Roman"/>
          <w:noProof/>
          <w:color w:val="000000"/>
          <w:sz w:val="24"/>
          <w:szCs w:val="24"/>
        </w:rPr>
      </w:pPr>
      <w:r>
        <w:rPr>
          <w:rFonts w:ascii="Times New Roman" w:hAnsi="Times New Roman" w:cs="Times New Roman"/>
          <w:b/>
          <w:bCs/>
          <w:noProof/>
          <w:color w:val="000000"/>
          <w:sz w:val="24"/>
          <w:szCs w:val="24"/>
        </w:rPr>
        <w:t>The decision to open data</w:t>
      </w:r>
    </w:p>
    <w:p w:rsidR="00DF1A33" w:rsidRDefault="00456F01">
      <w:pPr>
        <w:jc w:val="both"/>
        <w:rPr>
          <w:rFonts w:ascii="Times New Roman" w:hAnsi="Times New Roman" w:cs="Times New Roman"/>
          <w:noProof/>
          <w:sz w:val="24"/>
          <w:szCs w:val="24"/>
        </w:rPr>
      </w:pPr>
      <w:r>
        <w:rPr>
          <w:rFonts w:ascii="Times New Roman" w:hAnsi="Times New Roman" w:cs="Times New Roman"/>
          <w:iCs/>
          <w:noProof/>
          <w:sz w:val="24"/>
          <w:szCs w:val="24"/>
        </w:rPr>
        <w:t xml:space="preserve">The ERA is not obliged by law to publish its data as open data, although it has to make information publicly available. Nevertheless, the decision to make open data available was taken in view of meeting </w:t>
      </w:r>
      <w:r>
        <w:rPr>
          <w:rFonts w:ascii="Times New Roman" w:hAnsi="Times New Roman" w:cs="Times New Roman"/>
          <w:iCs/>
          <w:noProof/>
          <w:sz w:val="24"/>
          <w:szCs w:val="24"/>
        </w:rPr>
        <w:t>the need of users of public transportation. The ERA realised that setting APIs for providing facilitated access to its dynamic data would translate in new applications and services that would benefit the end user. Now, a big number of developers and compan</w:t>
      </w:r>
      <w:r>
        <w:rPr>
          <w:rFonts w:ascii="Times New Roman" w:hAnsi="Times New Roman" w:cs="Times New Roman"/>
          <w:iCs/>
          <w:noProof/>
          <w:sz w:val="24"/>
          <w:szCs w:val="24"/>
        </w:rPr>
        <w:t xml:space="preserve">ies make use of their open data. The only barrier that the ERA came across was to adapt the data to GTFS </w:t>
      </w:r>
      <w:r>
        <w:rPr>
          <w:rFonts w:ascii="Times New Roman" w:hAnsi="Times New Roman"/>
          <w:noProof/>
          <w:sz w:val="24"/>
        </w:rPr>
        <w:t>(General Transit Feed Specification)</w:t>
      </w:r>
      <w:r>
        <w:rPr>
          <w:rFonts w:ascii="Times New Roman" w:hAnsi="Times New Roman"/>
          <w:noProof/>
        </w:rPr>
        <w:t xml:space="preserve"> </w:t>
      </w:r>
      <w:r>
        <w:rPr>
          <w:rFonts w:ascii="Times New Roman" w:hAnsi="Times New Roman" w:cs="Times New Roman"/>
          <w:iCs/>
          <w:noProof/>
          <w:sz w:val="24"/>
          <w:szCs w:val="24"/>
        </w:rPr>
        <w:t xml:space="preserve">standards. In comparison with other project such as the </w:t>
      </w:r>
      <w:hyperlink r:id="rId73" w:history="1">
        <w:r>
          <w:rPr>
            <w:rStyle w:val="Hyperlink"/>
            <w:rFonts w:ascii="Times New Roman" w:hAnsi="Times New Roman"/>
            <w:noProof/>
          </w:rPr>
          <w:t xml:space="preserve">Public </w:t>
        </w:r>
        <w:r>
          <w:rPr>
            <w:rStyle w:val="Hyperlink"/>
            <w:rFonts w:ascii="Times New Roman" w:hAnsi="Times New Roman"/>
            <w:noProof/>
          </w:rPr>
          <w:t>Transport Information Systems</w:t>
        </w:r>
      </w:hyperlink>
      <w:r>
        <w:rPr>
          <w:rStyle w:val="FootnoteReference"/>
          <w:rFonts w:ascii="Times New Roman" w:hAnsi="Times New Roman"/>
          <w:noProof/>
        </w:rPr>
        <w:footnoteReference w:id="224"/>
      </w:r>
      <w:r>
        <w:rPr>
          <w:rFonts w:ascii="Times New Roman" w:hAnsi="Times New Roman" w:cs="Times New Roman"/>
          <w:iCs/>
          <w:noProof/>
          <w:sz w:val="24"/>
          <w:szCs w:val="24"/>
        </w:rPr>
        <w:t>, their</w:t>
      </w:r>
      <w:r>
        <w:rPr>
          <w:rFonts w:ascii="Times New Roman" w:hAnsi="Times New Roman" w:cs="Times New Roman"/>
          <w:noProof/>
          <w:sz w:val="24"/>
          <w:szCs w:val="24"/>
        </w:rPr>
        <w:t xml:space="preserve"> investment in opening the data was not significant. </w:t>
      </w:r>
    </w:p>
    <w:p w:rsidR="00DF1A33" w:rsidRDefault="00456F01">
      <w:pPr>
        <w:spacing w:after="0"/>
        <w:jc w:val="both"/>
        <w:rPr>
          <w:rFonts w:ascii="Times New Roman" w:hAnsi="Times New Roman" w:cs="Times New Roman"/>
          <w:noProof/>
          <w:color w:val="000000"/>
          <w:sz w:val="24"/>
          <w:szCs w:val="24"/>
        </w:rPr>
      </w:pPr>
      <w:r>
        <w:rPr>
          <w:rFonts w:ascii="Times New Roman" w:hAnsi="Times New Roman" w:cs="Times New Roman"/>
          <w:b/>
          <w:bCs/>
          <w:noProof/>
          <w:color w:val="000000"/>
          <w:sz w:val="24"/>
          <w:szCs w:val="24"/>
        </w:rPr>
        <w:t xml:space="preserve">ERA's open data </w:t>
      </w:r>
    </w:p>
    <w:p w:rsidR="00DF1A33" w:rsidRDefault="00456F01">
      <w:pPr>
        <w:jc w:val="both"/>
        <w:rPr>
          <w:rFonts w:ascii="Times New Roman" w:hAnsi="Times New Roman" w:cs="Times New Roman"/>
          <w:iCs/>
          <w:noProof/>
          <w:sz w:val="24"/>
          <w:szCs w:val="24"/>
        </w:rPr>
      </w:pPr>
      <w:r>
        <w:rPr>
          <w:rFonts w:ascii="Times New Roman" w:hAnsi="Times New Roman" w:cs="Times New Roman"/>
          <w:iCs/>
          <w:noProof/>
          <w:sz w:val="24"/>
          <w:szCs w:val="24"/>
        </w:rPr>
        <w:t xml:space="preserve">The open data of the public transport register consists of data entered in the national public transport register with other kinds of data content, </w:t>
      </w:r>
      <w:r>
        <w:rPr>
          <w:rFonts w:ascii="Times New Roman" w:hAnsi="Times New Roman" w:cs="Times New Roman"/>
          <w:iCs/>
          <w:noProof/>
          <w:sz w:val="24"/>
          <w:szCs w:val="24"/>
        </w:rPr>
        <w:t>including descriptions, timetables and the locations of stops of domestic public transport routes.</w:t>
      </w:r>
      <w:r>
        <w:rPr>
          <w:rFonts w:ascii="Times New Roman" w:hAnsi="Times New Roman" w:cs="Times New Roman"/>
          <w:noProof/>
          <w:sz w:val="24"/>
          <w:szCs w:val="24"/>
        </w:rPr>
        <w:t xml:space="preserve"> </w:t>
      </w:r>
      <w:r>
        <w:rPr>
          <w:rFonts w:ascii="Times New Roman" w:hAnsi="Times New Roman" w:cs="Times New Roman"/>
          <w:iCs/>
          <w:noProof/>
          <w:sz w:val="24"/>
          <w:szCs w:val="24"/>
        </w:rPr>
        <w:t>Examples of open data are: real-time train information, timetables, public transport stops, travel ticket prices, travel fare concessions; soon ferries and d</w:t>
      </w:r>
      <w:r>
        <w:rPr>
          <w:rFonts w:ascii="Times New Roman" w:hAnsi="Times New Roman" w:cs="Times New Roman"/>
          <w:iCs/>
          <w:noProof/>
          <w:sz w:val="24"/>
          <w:szCs w:val="24"/>
        </w:rPr>
        <w:t>omestic airlines will also be included. This year the ERA plans to make real-time bus information available also as open data, which for the moment is only published under more restrictive conditions. Some information published within the PTIS is the regul</w:t>
      </w:r>
      <w:r>
        <w:rPr>
          <w:rFonts w:ascii="Times New Roman" w:hAnsi="Times New Roman" w:cs="Times New Roman"/>
          <w:iCs/>
          <w:noProof/>
          <w:sz w:val="24"/>
          <w:szCs w:val="24"/>
        </w:rPr>
        <w:t xml:space="preserve">ar services authorisations, public services contracts and service provider cards. </w:t>
      </w:r>
    </w:p>
    <w:p w:rsidR="00DF1A33" w:rsidRDefault="00456F01">
      <w:pPr>
        <w:jc w:val="both"/>
        <w:rPr>
          <w:rFonts w:ascii="Times New Roman" w:hAnsi="Times New Roman" w:cs="Times New Roman"/>
          <w:iCs/>
          <w:noProof/>
          <w:sz w:val="24"/>
          <w:szCs w:val="24"/>
        </w:rPr>
      </w:pPr>
      <w:r>
        <w:rPr>
          <w:rFonts w:ascii="Times New Roman" w:hAnsi="Times New Roman" w:cs="Times New Roman"/>
          <w:iCs/>
          <w:noProof/>
          <w:sz w:val="24"/>
          <w:szCs w:val="24"/>
        </w:rPr>
        <w:t>This open data is freely accessible to all interested parties and updated daily. When reusing the open data in publicly accessible channels (including websites, applications</w:t>
      </w:r>
      <w:r>
        <w:rPr>
          <w:rFonts w:ascii="Times New Roman" w:hAnsi="Times New Roman" w:cs="Times New Roman"/>
          <w:iCs/>
          <w:noProof/>
          <w:sz w:val="24"/>
          <w:szCs w:val="24"/>
        </w:rPr>
        <w:t xml:space="preserve"> in smart devices), the party reusing the data commits to providing references to the original source of the data and guarantees that any data used in any publicly accessible applications is no older than 7 days from the moment the data is downloaded.</w:t>
      </w:r>
    </w:p>
    <w:p w:rsidR="00DF1A33" w:rsidRDefault="00456F01">
      <w:pPr>
        <w:spacing w:after="0"/>
        <w:jc w:val="both"/>
        <w:rPr>
          <w:rFonts w:ascii="Times New Roman" w:hAnsi="Times New Roman" w:cs="Times New Roman"/>
          <w:noProof/>
          <w:color w:val="000000"/>
          <w:sz w:val="24"/>
          <w:szCs w:val="24"/>
        </w:rPr>
      </w:pPr>
      <w:r>
        <w:rPr>
          <w:rFonts w:ascii="Times New Roman" w:hAnsi="Times New Roman" w:cs="Times New Roman"/>
          <w:b/>
          <w:bCs/>
          <w:noProof/>
          <w:color w:val="000000"/>
          <w:sz w:val="24"/>
          <w:szCs w:val="24"/>
        </w:rPr>
        <w:t>Societal and economic benefits</w:t>
      </w:r>
    </w:p>
    <w:p w:rsidR="00DF1A33" w:rsidRDefault="00456F01">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social benefits can be tied to a better service to the citizen as well as to an increase of the use of public sector transportation, thus directly benefitting quality of life and the environment, in helping fighting clima</w:t>
      </w:r>
      <w:r>
        <w:rPr>
          <w:rFonts w:ascii="Times New Roman" w:hAnsi="Times New Roman" w:cs="Times New Roman"/>
          <w:noProof/>
          <w:color w:val="000000"/>
          <w:sz w:val="24"/>
          <w:szCs w:val="24"/>
        </w:rPr>
        <w:t xml:space="preserve">te change. For citizens, thanks to competition between the different information providers, citizens can make use of competitive and useful services that help to organise their mobility in different transports better. </w:t>
      </w:r>
    </w:p>
    <w:p w:rsidR="00DF1A33" w:rsidRDefault="00456F01">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ERA seems to have created a commu</w:t>
      </w:r>
      <w:r>
        <w:rPr>
          <w:rFonts w:ascii="Times New Roman" w:hAnsi="Times New Roman" w:cs="Times New Roman"/>
          <w:noProof/>
          <w:color w:val="000000"/>
          <w:sz w:val="24"/>
          <w:szCs w:val="24"/>
        </w:rPr>
        <w:t xml:space="preserve">nity of developers and organisations that use their open data. While some of the open data users are big companies, there are other companies and developers who use this data and make competitive apps such as Ridango (a ticketing solution provider) or App </w:t>
      </w:r>
      <w:r>
        <w:rPr>
          <w:rFonts w:ascii="Times New Roman" w:hAnsi="Times New Roman" w:cs="Times New Roman"/>
          <w:noProof/>
          <w:color w:val="000000"/>
          <w:sz w:val="24"/>
          <w:szCs w:val="24"/>
        </w:rPr>
        <w:t xml:space="preserve">Moovi (a public transit guide). Moreover, many shopping malls use ERA's open data to display public transport timetables of nearby stops. </w:t>
      </w:r>
    </w:p>
    <w:p w:rsidR="00DF1A33" w:rsidRDefault="00456F01">
      <w:pPr>
        <w:keepNext/>
        <w:jc w:val="center"/>
        <w:rPr>
          <w:rFonts w:ascii="Times New Roman" w:hAnsi="Times New Roman"/>
          <w:b/>
          <w:smallCaps/>
          <w:noProof/>
          <w:sz w:val="24"/>
          <w:szCs w:val="24"/>
        </w:rPr>
      </w:pPr>
      <w:r>
        <w:rPr>
          <w:rFonts w:ascii="Times New Roman" w:hAnsi="Times New Roman"/>
          <w:b/>
          <w:smallCaps/>
          <w:noProof/>
          <w:sz w:val="24"/>
          <w:szCs w:val="24"/>
        </w:rPr>
        <w:t>Liander: Powering household energy conservation with open data</w:t>
      </w:r>
    </w:p>
    <w:p w:rsidR="00DF1A33" w:rsidRDefault="00456F01">
      <w:pPr>
        <w:keepNext/>
        <w:spacing w:after="0"/>
        <w:jc w:val="both"/>
        <w:rPr>
          <w:rFonts w:ascii="Times New Roman" w:hAnsi="Times New Roman" w:cs="Times New Roman"/>
          <w:noProof/>
          <w:color w:val="000000"/>
          <w:sz w:val="24"/>
          <w:szCs w:val="24"/>
        </w:rPr>
      </w:pPr>
      <w:r>
        <w:rPr>
          <w:rFonts w:ascii="Times New Roman" w:hAnsi="Times New Roman" w:cs="Times New Roman"/>
          <w:b/>
          <w:bCs/>
          <w:noProof/>
          <w:color w:val="000000"/>
          <w:sz w:val="24"/>
          <w:szCs w:val="24"/>
        </w:rPr>
        <w:t xml:space="preserve">Profile of the company </w:t>
      </w:r>
    </w:p>
    <w:p w:rsidR="00DF1A33" w:rsidRDefault="00456F01">
      <w:pPr>
        <w:keepNext/>
        <w:jc w:val="both"/>
        <w:rPr>
          <w:rFonts w:ascii="Times New Roman" w:hAnsi="Times New Roman" w:cs="Times New Roman"/>
          <w:noProof/>
          <w:sz w:val="24"/>
          <w:szCs w:val="24"/>
        </w:rPr>
      </w:pPr>
      <w:hyperlink r:id="rId74" w:history="1">
        <w:r>
          <w:rPr>
            <w:rStyle w:val="Hyperlink"/>
            <w:rFonts w:ascii="Times New Roman" w:hAnsi="Times New Roman"/>
            <w:noProof/>
          </w:rPr>
          <w:t>Liander</w:t>
        </w:r>
      </w:hyperlink>
      <w:r>
        <w:rPr>
          <w:rFonts w:ascii="Times New Roman" w:hAnsi="Times New Roman" w:cs="Times New Roman"/>
          <w:noProof/>
          <w:sz w:val="24"/>
          <w:szCs w:val="24"/>
        </w:rPr>
        <w:t xml:space="preserve"> is a Dutch company responsible for energy network distribution and administration. In the Netherlands the energy production and supply were liberalised to allow for more com</w:t>
      </w:r>
      <w:r>
        <w:rPr>
          <w:rFonts w:ascii="Times New Roman" w:hAnsi="Times New Roman" w:cs="Times New Roman"/>
          <w:noProof/>
          <w:sz w:val="24"/>
          <w:szCs w:val="24"/>
        </w:rPr>
        <w:t>petition in 1998. Thus, this operator would be excluded from the scope of application of the current PSI Directive (Art. 2 No. 2), even if it is a publicly regulated activity. Liander is the largest Distribution System Operator in the Netherlands. It opera</w:t>
      </w:r>
      <w:r>
        <w:rPr>
          <w:rFonts w:ascii="Times New Roman" w:hAnsi="Times New Roman" w:cs="Times New Roman"/>
          <w:noProof/>
          <w:sz w:val="24"/>
          <w:szCs w:val="24"/>
        </w:rPr>
        <w:t>tes in about one third of the country and it provides electricity and natural gas to 5.2 million households and businesses covering 37% of the Dutch network.</w:t>
      </w:r>
    </w:p>
    <w:p w:rsidR="00DF1A33" w:rsidRDefault="00456F01">
      <w:pPr>
        <w:spacing w:after="0"/>
        <w:jc w:val="both"/>
        <w:rPr>
          <w:rFonts w:ascii="Times New Roman" w:hAnsi="Times New Roman" w:cs="Times New Roman"/>
          <w:noProof/>
          <w:color w:val="000000"/>
          <w:sz w:val="24"/>
          <w:szCs w:val="24"/>
        </w:rPr>
      </w:pPr>
      <w:r>
        <w:rPr>
          <w:rFonts w:ascii="Times New Roman" w:hAnsi="Times New Roman" w:cs="Times New Roman"/>
          <w:b/>
          <w:bCs/>
          <w:noProof/>
          <w:color w:val="000000"/>
          <w:sz w:val="24"/>
          <w:szCs w:val="24"/>
        </w:rPr>
        <w:t>Barriers to open data</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Liander believes in the power of open data for energy conservation and reduc</w:t>
      </w:r>
      <w:r>
        <w:rPr>
          <w:rFonts w:ascii="Times New Roman" w:hAnsi="Times New Roman" w:cs="Times New Roman"/>
          <w:noProof/>
          <w:sz w:val="24"/>
          <w:szCs w:val="24"/>
        </w:rPr>
        <w:t>tion of carbon emissions. Sharing data is considered as its responsibility to facilitate the energy transition.  However, sharing data implies costs. For example, data preparation (content and format) and adaptations to optimise open data usage requires ti</w:t>
      </w:r>
      <w:r>
        <w:rPr>
          <w:rFonts w:ascii="Times New Roman" w:hAnsi="Times New Roman" w:cs="Times New Roman"/>
          <w:noProof/>
          <w:sz w:val="24"/>
          <w:szCs w:val="24"/>
        </w:rPr>
        <w:t xml:space="preserve">me and skills. The latter includes, amongst others, user feedback or help-desk. </w:t>
      </w:r>
    </w:p>
    <w:p w:rsidR="00DF1A33" w:rsidRDefault="00456F01">
      <w:pPr>
        <w:spacing w:after="0"/>
        <w:jc w:val="both"/>
        <w:rPr>
          <w:rFonts w:ascii="Times New Roman" w:hAnsi="Times New Roman" w:cs="Times New Roman"/>
          <w:noProof/>
          <w:color w:val="000000"/>
          <w:sz w:val="24"/>
          <w:szCs w:val="24"/>
        </w:rPr>
      </w:pPr>
      <w:r>
        <w:rPr>
          <w:rFonts w:ascii="Times New Roman" w:hAnsi="Times New Roman" w:cs="Times New Roman"/>
          <w:b/>
          <w:bCs/>
          <w:noProof/>
          <w:color w:val="000000"/>
          <w:sz w:val="24"/>
          <w:szCs w:val="24"/>
        </w:rPr>
        <w:t xml:space="preserve">Liander's open data </w:t>
      </w:r>
    </w:p>
    <w:p w:rsidR="00DF1A33" w:rsidRDefault="00456F01">
      <w:pPr>
        <w:jc w:val="both"/>
        <w:rPr>
          <w:rFonts w:ascii="Times New Roman" w:hAnsi="Times New Roman" w:cs="Times New Roman"/>
          <w:noProof/>
          <w:sz w:val="24"/>
          <w:szCs w:val="24"/>
        </w:rPr>
      </w:pPr>
      <w:r>
        <w:rPr>
          <w:rFonts w:ascii="Times New Roman" w:hAnsi="Times New Roman" w:cs="Times New Roman"/>
          <w:noProof/>
          <w:sz w:val="24"/>
          <w:szCs w:val="24"/>
        </w:rPr>
        <w:t>Since 2015, Liander</w:t>
      </w:r>
      <w:r>
        <w:rPr>
          <w:rStyle w:val="FootnoteReference"/>
          <w:rFonts w:ascii="Times New Roman" w:hAnsi="Times New Roman"/>
          <w:noProof/>
        </w:rPr>
        <w:footnoteReference w:id="225"/>
      </w:r>
      <w:r>
        <w:rPr>
          <w:rFonts w:ascii="Times New Roman" w:hAnsi="Times New Roman" w:cs="Times New Roman"/>
          <w:noProof/>
          <w:sz w:val="24"/>
          <w:szCs w:val="24"/>
        </w:rPr>
        <w:t xml:space="preserve"> is sharing data free of charge and accessible to everyone. The data can be downloaded at </w:t>
      </w:r>
      <w:hyperlink r:id="rId75" w:history="1">
        <w:r>
          <w:rPr>
            <w:rStyle w:val="Hyperlink"/>
            <w:rFonts w:ascii="Times New Roman" w:hAnsi="Times New Roman"/>
            <w:noProof/>
          </w:rPr>
          <w:t>www.liander.nl/opendata</w:t>
        </w:r>
      </w:hyperlink>
      <w:r>
        <w:rPr>
          <w:rFonts w:ascii="Times New Roman" w:hAnsi="Times New Roman" w:cs="Times New Roman"/>
          <w:noProof/>
          <w:sz w:val="24"/>
          <w:szCs w:val="24"/>
        </w:rPr>
        <w:t xml:space="preserve"> and is also presented in </w:t>
      </w:r>
      <w:hyperlink r:id="rId76" w:history="1">
        <w:r>
          <w:rPr>
            <w:rStyle w:val="Hyperlink"/>
            <w:rFonts w:ascii="Times New Roman" w:hAnsi="Times New Roman"/>
            <w:noProof/>
          </w:rPr>
          <w:t>http://www.energieinbeeld.nl/</w:t>
        </w:r>
      </w:hyperlink>
      <w:r>
        <w:rPr>
          <w:rFonts w:ascii="Times New Roman" w:hAnsi="Times New Roman" w:cs="Times New Roman"/>
          <w:noProof/>
          <w:sz w:val="24"/>
          <w:szCs w:val="24"/>
        </w:rPr>
        <w:t xml:space="preserve"> (web service) using a public login code. In order to ensure the privacy, data at connection level (containing personal data) are</w:t>
      </w:r>
      <w:r>
        <w:rPr>
          <w:rFonts w:ascii="Times New Roman" w:hAnsi="Times New Roman" w:cs="Times New Roman"/>
          <w:noProof/>
          <w:sz w:val="24"/>
          <w:szCs w:val="24"/>
        </w:rPr>
        <w:t xml:space="preserve"> always anonymised by aggregation or otherwise.</w:t>
      </w:r>
    </w:p>
    <w:p w:rsidR="00DF1A33" w:rsidRDefault="00456F01">
      <w:pPr>
        <w:jc w:val="both"/>
        <w:rPr>
          <w:rStyle w:val="notranslate"/>
          <w:rFonts w:ascii="Times New Roman" w:hAnsi="Times New Roman"/>
          <w:noProof/>
        </w:rPr>
      </w:pPr>
      <w:r>
        <w:rPr>
          <w:rStyle w:val="notranslate"/>
          <w:rFonts w:ascii="Times New Roman" w:hAnsi="Times New Roman" w:cs="Times New Roman"/>
          <w:noProof/>
          <w:sz w:val="24"/>
          <w:szCs w:val="24"/>
        </w:rPr>
        <w:t xml:space="preserve">Liander publishes openly the following data: energy consumption of small connection, gas consumption up to a capacity of 40m3/h and electricity up to a capacity of 3x80 Ampere, standard annual consumption of </w:t>
      </w:r>
      <w:r>
        <w:rPr>
          <w:rStyle w:val="notranslate"/>
          <w:rFonts w:ascii="Times New Roman" w:hAnsi="Times New Roman" w:cs="Times New Roman"/>
          <w:noProof/>
          <w:sz w:val="24"/>
          <w:szCs w:val="24"/>
        </w:rPr>
        <w:t>gas and electricity for four housing types, daily profiles showing fluctuation throughout the year of electricity and gas consumption, interruptions in energy provision due to temporary faults, detailed smart meter consumption of 80 addresses, representing</w:t>
      </w:r>
      <w:r>
        <w:rPr>
          <w:rStyle w:val="notranslate"/>
          <w:rFonts w:ascii="Times New Roman" w:hAnsi="Times New Roman" w:cs="Times New Roman"/>
          <w:noProof/>
          <w:sz w:val="24"/>
          <w:szCs w:val="24"/>
        </w:rPr>
        <w:t xml:space="preserve"> typologies of user profiles  and planning and realization of rolling out of smart meter. </w:t>
      </w:r>
    </w:p>
    <w:p w:rsidR="00DF1A33" w:rsidRDefault="00456F01">
      <w:pPr>
        <w:spacing w:after="0"/>
        <w:rPr>
          <w:rStyle w:val="notranslate"/>
          <w:rFonts w:ascii="Times New Roman" w:hAnsi="Times New Roman" w:cs="Times New Roman"/>
          <w:noProof/>
          <w:color w:val="1F497D"/>
          <w:sz w:val="24"/>
          <w:szCs w:val="24"/>
          <w:lang w:val="en-US"/>
        </w:rPr>
      </w:pPr>
      <w:r>
        <w:rPr>
          <w:rStyle w:val="notranslate"/>
          <w:rFonts w:ascii="Times New Roman" w:hAnsi="Times New Roman" w:cs="Times New Roman"/>
          <w:b/>
          <w:noProof/>
          <w:sz w:val="24"/>
          <w:szCs w:val="24"/>
        </w:rPr>
        <w:t>Societal and economic benefits</w:t>
      </w:r>
    </w:p>
    <w:p w:rsidR="00DF1A33" w:rsidRDefault="00456F01">
      <w:pPr>
        <w:jc w:val="both"/>
        <w:rPr>
          <w:rStyle w:val="notranslate"/>
          <w:rFonts w:ascii="Times New Roman" w:hAnsi="Times New Roman" w:cs="Times New Roman"/>
          <w:noProof/>
          <w:sz w:val="24"/>
          <w:szCs w:val="24"/>
        </w:rPr>
      </w:pPr>
      <w:r>
        <w:rPr>
          <w:rStyle w:val="notranslate"/>
          <w:rFonts w:ascii="Times New Roman" w:hAnsi="Times New Roman" w:cs="Times New Roman"/>
          <w:noProof/>
          <w:sz w:val="24"/>
          <w:szCs w:val="24"/>
        </w:rPr>
        <w:t>Liander realised that after the substantial initial investment (around EUR 200-400K) of setting an open data policy in the company, further costs to keep the dissemination of open data operational became insignificant. Both Liander and re-users gained in e</w:t>
      </w:r>
      <w:r>
        <w:rPr>
          <w:rStyle w:val="notranslate"/>
          <w:rFonts w:ascii="Times New Roman" w:hAnsi="Times New Roman" w:cs="Times New Roman"/>
          <w:noProof/>
          <w:sz w:val="24"/>
          <w:szCs w:val="24"/>
        </w:rPr>
        <w:t>fficiency and reduced costs in the long run. Open energy data in combination with other data allows for innovation that can revert in better services for their partners during the energy transition. This data use can also provide Liander with feedback on t</w:t>
      </w:r>
      <w:r>
        <w:rPr>
          <w:rStyle w:val="notranslate"/>
          <w:rFonts w:ascii="Times New Roman" w:hAnsi="Times New Roman" w:cs="Times New Roman"/>
          <w:noProof/>
          <w:sz w:val="24"/>
          <w:szCs w:val="24"/>
        </w:rPr>
        <w:t xml:space="preserve">he quality e.g. flaws in the data. It also reduces the administrative burden of dealing with requests of data, as data is open for all. </w:t>
      </w:r>
    </w:p>
    <w:p w:rsidR="00DF1A33" w:rsidRDefault="00456F01">
      <w:pPr>
        <w:jc w:val="both"/>
        <w:rPr>
          <w:rFonts w:ascii="Times New Roman" w:hAnsi="Times New Roman"/>
          <w:b/>
          <w:noProof/>
          <w:color w:val="000000"/>
        </w:rPr>
      </w:pPr>
      <w:r>
        <w:rPr>
          <w:rFonts w:ascii="Times New Roman" w:hAnsi="Times New Roman" w:cs="Times New Roman"/>
          <w:noProof/>
          <w:sz w:val="24"/>
          <w:szCs w:val="24"/>
        </w:rPr>
        <w:t>Furthermore, the availability of data in the energy sector enables greater energy efficiency, with positive impact on t</w:t>
      </w:r>
      <w:r>
        <w:rPr>
          <w:rFonts w:ascii="Times New Roman" w:hAnsi="Times New Roman" w:cs="Times New Roman"/>
          <w:noProof/>
          <w:sz w:val="24"/>
          <w:szCs w:val="24"/>
        </w:rPr>
        <w:t xml:space="preserve">he environment, and hence for the whole society. Thanks to its open data policy, Liander is now taking part in various Smart City projects and its reputation has improved substantially. </w:t>
      </w:r>
    </w:p>
    <w:p w:rsidR="00DF1A33" w:rsidRDefault="00456F01">
      <w:pPr>
        <w:spacing w:after="0"/>
        <w:jc w:val="both"/>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 xml:space="preserve">Examples of apps </w:t>
      </w:r>
    </w:p>
    <w:p w:rsidR="00DF1A33" w:rsidRDefault="00456F01">
      <w:pPr>
        <w:jc w:val="both"/>
        <w:rPr>
          <w:rFonts w:ascii="Times New Roman" w:hAnsi="Times New Roman" w:cs="Times New Roman"/>
          <w:noProof/>
          <w:sz w:val="24"/>
          <w:szCs w:val="24"/>
        </w:rPr>
      </w:pPr>
      <w:r>
        <w:rPr>
          <w:rFonts w:ascii="Times New Roman" w:hAnsi="Times New Roman" w:cs="Times New Roman"/>
          <w:bCs/>
          <w:noProof/>
          <w:color w:val="000000"/>
          <w:sz w:val="24"/>
          <w:szCs w:val="24"/>
        </w:rPr>
        <w:t>Although they have not built a community in itself,</w:t>
      </w:r>
      <w:r>
        <w:rPr>
          <w:rFonts w:ascii="Times New Roman" w:hAnsi="Times New Roman" w:cs="Times New Roman"/>
          <w:bCs/>
          <w:noProof/>
          <w:color w:val="000000"/>
          <w:sz w:val="24"/>
          <w:szCs w:val="24"/>
        </w:rPr>
        <w:t xml:space="preserve"> Liander receives reactions on a weekly basis on the data that they open. GeoGraphisch is one interesting example of an app that provides a "zoom in on energy" service where it shows the energy consumption of more than 30K addresses, by combining it with o</w:t>
      </w:r>
      <w:r>
        <w:rPr>
          <w:rFonts w:ascii="Times New Roman" w:hAnsi="Times New Roman" w:cs="Times New Roman"/>
          <w:bCs/>
          <w:noProof/>
          <w:color w:val="000000"/>
          <w:sz w:val="24"/>
          <w:szCs w:val="24"/>
        </w:rPr>
        <w:t xml:space="preserve">ther geographic data. It can show, for example, the level of insulation and energy saving of the buildings of some streets or the energy consumption rate per municipality. </w:t>
      </w:r>
    </w:p>
    <w:p w:rsidR="00DF1A33" w:rsidRDefault="00456F01">
      <w:pPr>
        <w:jc w:val="center"/>
        <w:rPr>
          <w:rFonts w:ascii="Times New Roman" w:hAnsi="Times New Roman"/>
          <w:b/>
          <w:smallCaps/>
          <w:noProof/>
          <w:sz w:val="24"/>
          <w:szCs w:val="24"/>
        </w:rPr>
      </w:pPr>
      <w:r>
        <w:rPr>
          <w:rFonts w:ascii="Times New Roman" w:hAnsi="Times New Roman"/>
          <w:b/>
          <w:smallCaps/>
          <w:noProof/>
          <w:sz w:val="24"/>
          <w:szCs w:val="24"/>
        </w:rPr>
        <w:t>Transport for London: The creation of an open data ecosystem</w:t>
      </w:r>
    </w:p>
    <w:p w:rsidR="00DF1A33" w:rsidRDefault="00456F01">
      <w:pPr>
        <w:spacing w:after="0"/>
        <w:jc w:val="both"/>
        <w:rPr>
          <w:rFonts w:ascii="Times New Roman" w:hAnsi="Times New Roman" w:cs="Times New Roman"/>
          <w:noProof/>
          <w:color w:val="000000"/>
          <w:sz w:val="24"/>
          <w:szCs w:val="24"/>
        </w:rPr>
      </w:pPr>
      <w:r>
        <w:rPr>
          <w:rFonts w:ascii="Times New Roman" w:hAnsi="Times New Roman" w:cs="Times New Roman"/>
          <w:b/>
          <w:bCs/>
          <w:noProof/>
          <w:color w:val="000000"/>
          <w:sz w:val="24"/>
          <w:szCs w:val="24"/>
        </w:rPr>
        <w:t xml:space="preserve">Profile of the company </w:t>
      </w:r>
    </w:p>
    <w:p w:rsidR="00DF1A33" w:rsidRDefault="00456F01">
      <w:pPr>
        <w:jc w:val="both"/>
        <w:rPr>
          <w:rFonts w:ascii="Times New Roman" w:hAnsi="Times New Roman" w:cs="Times New Roman"/>
          <w:noProof/>
          <w:color w:val="000000"/>
          <w:sz w:val="24"/>
          <w:szCs w:val="24"/>
        </w:rPr>
      </w:pPr>
      <w:hyperlink r:id="rId77" w:history="1">
        <w:r>
          <w:rPr>
            <w:rStyle w:val="Hyperlink"/>
            <w:rFonts w:ascii="Times New Roman" w:hAnsi="Times New Roman"/>
            <w:noProof/>
          </w:rPr>
          <w:t>Transport for London</w:t>
        </w:r>
      </w:hyperlink>
      <w:r>
        <w:rPr>
          <w:rFonts w:ascii="Times New Roman" w:hAnsi="Times New Roman" w:cs="Times New Roman"/>
          <w:noProof/>
          <w:color w:val="000000"/>
          <w:sz w:val="24"/>
          <w:szCs w:val="24"/>
        </w:rPr>
        <w:t xml:space="preserve"> (TfL) is an integrated transport authority responsible for delivering Mayor of London's strategy and commitments on transport. TfL runs the day-to-day operation of the Capital</w:t>
      </w:r>
      <w:r>
        <w:rPr>
          <w:rFonts w:ascii="Times New Roman" w:hAnsi="Times New Roman" w:cs="Times New Roman"/>
          <w:noProof/>
          <w:color w:val="000000"/>
          <w:sz w:val="24"/>
          <w:szCs w:val="24"/>
        </w:rPr>
        <w:t xml:space="preserve">'s public transport network and manage London's main roads. </w:t>
      </w:r>
    </w:p>
    <w:p w:rsidR="00DF1A33" w:rsidRDefault="00456F01">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Every day more than 31 million journeys are operated across the TfL network. The Directive on the re-use of the public sector information does not cover operators such as TfL as they have an 'ind</w:t>
      </w:r>
      <w:r>
        <w:rPr>
          <w:rFonts w:ascii="Times New Roman" w:hAnsi="Times New Roman" w:cs="Times New Roman"/>
          <w:noProof/>
          <w:color w:val="000000"/>
          <w:sz w:val="24"/>
          <w:szCs w:val="24"/>
        </w:rPr>
        <w:t>ustrial or commercial character'.</w:t>
      </w:r>
    </w:p>
    <w:p w:rsidR="00DF1A33" w:rsidRDefault="00456F01">
      <w:pPr>
        <w:spacing w:after="0"/>
        <w:jc w:val="both"/>
        <w:rPr>
          <w:rFonts w:ascii="Times New Roman" w:hAnsi="Times New Roman" w:cs="Times New Roman"/>
          <w:noProof/>
          <w:color w:val="000000"/>
          <w:sz w:val="24"/>
          <w:szCs w:val="24"/>
        </w:rPr>
      </w:pPr>
      <w:r>
        <w:rPr>
          <w:rFonts w:ascii="Times New Roman" w:hAnsi="Times New Roman" w:cs="Times New Roman"/>
          <w:b/>
          <w:bCs/>
          <w:noProof/>
          <w:color w:val="000000"/>
          <w:sz w:val="24"/>
          <w:szCs w:val="24"/>
        </w:rPr>
        <w:t>Open data at TfL</w:t>
      </w:r>
    </w:p>
    <w:p w:rsidR="00DF1A33" w:rsidRDefault="00456F01">
      <w:pPr>
        <w:jc w:val="both"/>
        <w:rPr>
          <w:rFonts w:ascii="Times New Roman" w:hAnsi="Times New Roman" w:cs="Times New Roman"/>
          <w:noProof/>
          <w:color w:val="000000"/>
          <w:sz w:val="24"/>
          <w:szCs w:val="24"/>
        </w:rPr>
      </w:pPr>
      <w:r>
        <w:rPr>
          <w:rFonts w:ascii="Times New Roman" w:hAnsi="Times New Roman" w:cs="Times New Roman"/>
          <w:bCs/>
          <w:noProof/>
          <w:color w:val="000000"/>
          <w:sz w:val="24"/>
          <w:szCs w:val="24"/>
        </w:rPr>
        <w:t xml:space="preserve">TfL considers that as public body funded by fare and tax-payers, transport information is rightly seen to be owned by the public. </w:t>
      </w:r>
      <w:r>
        <w:rPr>
          <w:rFonts w:ascii="Times New Roman" w:hAnsi="Times New Roman" w:cs="Times New Roman"/>
          <w:noProof/>
          <w:color w:val="000000"/>
          <w:sz w:val="24"/>
          <w:szCs w:val="24"/>
        </w:rPr>
        <w:t>Opening their transport data increases TfL's transparency and reach dramati</w:t>
      </w:r>
      <w:r>
        <w:rPr>
          <w:rFonts w:ascii="Times New Roman" w:hAnsi="Times New Roman" w:cs="Times New Roman"/>
          <w:noProof/>
          <w:color w:val="000000"/>
          <w:sz w:val="24"/>
          <w:szCs w:val="24"/>
        </w:rPr>
        <w:t xml:space="preserve">cally and provides enough bases to create niche products, sparking innovation and high economic benefits. </w:t>
      </w:r>
    </w:p>
    <w:p w:rsidR="00DF1A33" w:rsidRDefault="00456F01">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Open data was the most effective way to give app services to their customers taking into account their almost 15K visits per month via mobile phones.</w:t>
      </w:r>
      <w:r>
        <w:rPr>
          <w:rFonts w:ascii="Times New Roman" w:hAnsi="Times New Roman" w:cs="Times New Roman"/>
          <w:noProof/>
          <w:color w:val="000000"/>
          <w:sz w:val="24"/>
          <w:szCs w:val="24"/>
        </w:rPr>
        <w:t xml:space="preserve"> This is almost double of the number of visits via personal computers. Thus, transport data is in great demand, particularly real-time information such as bus and train status and arrivals/departures. </w:t>
      </w:r>
    </w:p>
    <w:p w:rsidR="00DF1A33" w:rsidRDefault="00456F01">
      <w:pPr>
        <w:spacing w:after="0"/>
        <w:jc w:val="both"/>
        <w:rPr>
          <w:rFonts w:ascii="Times New Roman" w:hAnsi="Times New Roman" w:cs="Times New Roman"/>
          <w:noProof/>
          <w:color w:val="000000"/>
          <w:sz w:val="24"/>
          <w:szCs w:val="24"/>
        </w:rPr>
      </w:pPr>
      <w:r>
        <w:rPr>
          <w:rFonts w:ascii="Times New Roman" w:hAnsi="Times New Roman" w:cs="Times New Roman"/>
          <w:b/>
          <w:bCs/>
          <w:noProof/>
          <w:color w:val="000000"/>
          <w:sz w:val="24"/>
          <w:szCs w:val="24"/>
        </w:rPr>
        <w:t>Barriers to open data</w:t>
      </w:r>
    </w:p>
    <w:p w:rsidR="00DF1A33" w:rsidRDefault="00456F01">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TfL considers that barriers to </w:t>
      </w:r>
      <w:r>
        <w:rPr>
          <w:rFonts w:ascii="Times New Roman" w:hAnsi="Times New Roman" w:cs="Times New Roman"/>
          <w:noProof/>
          <w:color w:val="000000"/>
          <w:sz w:val="24"/>
          <w:szCs w:val="24"/>
        </w:rPr>
        <w:t>opening up data are essentially the fear of losing control over their data. This has the risk of voluntary distortion of data and provision of misleading information. TfL has not found any real evidence that such risks have materialised and sees no other b</w:t>
      </w:r>
      <w:r>
        <w:rPr>
          <w:rFonts w:ascii="Times New Roman" w:hAnsi="Times New Roman" w:cs="Times New Roman"/>
          <w:noProof/>
          <w:color w:val="000000"/>
          <w:sz w:val="24"/>
          <w:szCs w:val="24"/>
        </w:rPr>
        <w:t>arriers to opening up data through an API to a developer community.</w:t>
      </w:r>
    </w:p>
    <w:p w:rsidR="00DF1A33" w:rsidRDefault="00456F01">
      <w:pPr>
        <w:spacing w:after="0"/>
        <w:jc w:val="both"/>
        <w:rPr>
          <w:rFonts w:ascii="Times New Roman" w:hAnsi="Times New Roman" w:cs="Times New Roman"/>
          <w:noProof/>
          <w:color w:val="000000"/>
          <w:sz w:val="24"/>
          <w:szCs w:val="24"/>
        </w:rPr>
      </w:pPr>
      <w:r>
        <w:rPr>
          <w:rFonts w:ascii="Times New Roman" w:hAnsi="Times New Roman" w:cs="Times New Roman"/>
          <w:b/>
          <w:bCs/>
          <w:noProof/>
          <w:color w:val="000000"/>
          <w:sz w:val="24"/>
          <w:szCs w:val="24"/>
        </w:rPr>
        <w:t xml:space="preserve">Data sets and licences </w:t>
      </w:r>
    </w:p>
    <w:p w:rsidR="00DF1A33" w:rsidRDefault="00456F01">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data is shared via UK Open Government License with minimal additions. For example, developers need to register with TfL to receive tokens from the API portal to</w:t>
      </w:r>
      <w:r>
        <w:rPr>
          <w:rFonts w:ascii="Times New Roman" w:hAnsi="Times New Roman" w:cs="Times New Roman"/>
          <w:noProof/>
          <w:color w:val="000000"/>
          <w:sz w:val="24"/>
          <w:szCs w:val="24"/>
        </w:rPr>
        <w:t xml:space="preserve"> access the data.  The data is presented in three different ways: static data files (rarely changing), feeds refreshed at regular intervals and via APIs. APIs enable queries from applications to receive custom-made responses. </w:t>
      </w:r>
    </w:p>
    <w:p w:rsidR="00DF1A33" w:rsidRDefault="00456F01">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Transport for London releases</w:t>
      </w:r>
      <w:r>
        <w:rPr>
          <w:rFonts w:ascii="Times New Roman" w:hAnsi="Times New Roman" w:cs="Times New Roman"/>
          <w:noProof/>
          <w:color w:val="000000"/>
          <w:sz w:val="24"/>
          <w:szCs w:val="24"/>
        </w:rPr>
        <w:t xml:space="preserve"> over 200 data sets which include bus arrivals, tube movements, departures, status, cycle hire docking station status, river boat status and arrivals, overground, rail and trams arrival and status, journey planner and accessibility. However, the community </w:t>
      </w:r>
      <w:r>
        <w:rPr>
          <w:rFonts w:ascii="Times New Roman" w:hAnsi="Times New Roman" w:cs="Times New Roman"/>
          <w:noProof/>
          <w:color w:val="000000"/>
          <w:sz w:val="24"/>
          <w:szCs w:val="24"/>
        </w:rPr>
        <w:t>of developers grown through TfL’s open data policy combines these data with other such as air quality, detail accident geo-location data, live road disruption and planned works data, etc.</w:t>
      </w:r>
    </w:p>
    <w:p w:rsidR="00DF1A33" w:rsidRDefault="00456F01">
      <w:pPr>
        <w:spacing w:after="0"/>
        <w:jc w:val="both"/>
        <w:rPr>
          <w:rFonts w:ascii="Times New Roman" w:hAnsi="Times New Roman" w:cs="Times New Roman"/>
          <w:noProof/>
          <w:color w:val="000000"/>
          <w:sz w:val="24"/>
          <w:szCs w:val="24"/>
        </w:rPr>
      </w:pPr>
      <w:r>
        <w:rPr>
          <w:rFonts w:ascii="Times New Roman" w:hAnsi="Times New Roman" w:cs="Times New Roman"/>
          <w:b/>
          <w:bCs/>
          <w:noProof/>
          <w:color w:val="000000"/>
          <w:sz w:val="24"/>
          <w:szCs w:val="24"/>
        </w:rPr>
        <w:t xml:space="preserve">Societal benefits </w:t>
      </w:r>
    </w:p>
    <w:p w:rsidR="00DF1A33" w:rsidRDefault="00456F01">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Transport for London has created a community of d</w:t>
      </w:r>
      <w:r>
        <w:rPr>
          <w:rFonts w:ascii="Times New Roman" w:hAnsi="Times New Roman" w:cs="Times New Roman"/>
          <w:noProof/>
          <w:color w:val="000000"/>
          <w:sz w:val="24"/>
          <w:szCs w:val="24"/>
        </w:rPr>
        <w:t xml:space="preserve">evelopers with whom they engage to explain their approach and plug gaps in the market. This community enables the optimal use of the transport network. Any person needing travel information can get it wherever and whenever they wish, in any way they wish. </w:t>
      </w:r>
      <w:r>
        <w:rPr>
          <w:rFonts w:ascii="Times New Roman" w:hAnsi="Times New Roman" w:cs="Times New Roman"/>
          <w:noProof/>
          <w:color w:val="000000"/>
          <w:sz w:val="24"/>
          <w:szCs w:val="24"/>
        </w:rPr>
        <w:t>The community consists of more than 14,400 developers registered who made over 600 apps - the vast majority of which use the dynamic API - and other products available in the form which best suit their customers. This stimulates innovation provision faster</w:t>
      </w:r>
      <w:r>
        <w:rPr>
          <w:rFonts w:ascii="Times New Roman" w:hAnsi="Times New Roman" w:cs="Times New Roman"/>
          <w:noProof/>
          <w:color w:val="000000"/>
          <w:sz w:val="24"/>
          <w:szCs w:val="24"/>
        </w:rPr>
        <w:t xml:space="preserve"> than TfL could ever have delivered themselves. </w:t>
      </w:r>
    </w:p>
    <w:p w:rsidR="00DF1A33" w:rsidRDefault="00456F01">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Interestingly, only 40% of the users are Londoners, meaning that these apps have national and international outreach. </w:t>
      </w:r>
    </w:p>
    <w:p w:rsidR="00DF1A33" w:rsidRDefault="00456F01">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Technically, feedback on the open data can improve its quality and source systems. </w:t>
      </w:r>
    </w:p>
    <w:p w:rsidR="00DF1A33" w:rsidRDefault="00456F01">
      <w:pPr>
        <w:spacing w:after="0"/>
        <w:jc w:val="both"/>
        <w:rPr>
          <w:rFonts w:ascii="Times New Roman" w:hAnsi="Times New Roman" w:cs="Times New Roman"/>
          <w:noProof/>
          <w:color w:val="000000"/>
          <w:sz w:val="24"/>
          <w:szCs w:val="24"/>
        </w:rPr>
      </w:pPr>
      <w:r>
        <w:rPr>
          <w:rFonts w:ascii="Times New Roman" w:hAnsi="Times New Roman" w:cs="Times New Roman"/>
          <w:b/>
          <w:bCs/>
          <w:noProof/>
          <w:color w:val="000000"/>
          <w:sz w:val="24"/>
          <w:szCs w:val="24"/>
        </w:rPr>
        <w:t>Econ</w:t>
      </w:r>
      <w:r>
        <w:rPr>
          <w:rFonts w:ascii="Times New Roman" w:hAnsi="Times New Roman" w:cs="Times New Roman"/>
          <w:b/>
          <w:bCs/>
          <w:noProof/>
          <w:color w:val="000000"/>
          <w:sz w:val="24"/>
          <w:szCs w:val="24"/>
        </w:rPr>
        <w:t>omic benefits</w:t>
      </w:r>
    </w:p>
    <w:p w:rsidR="00DF1A33" w:rsidRDefault="00456F01">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Emerging research indicates that open data provides return on investment of up to 50 times the sums invested in terms of customer benefit. In this specific case, London has gained around £100m direct value by technological investment in Londo</w:t>
      </w:r>
      <w:r>
        <w:rPr>
          <w:rFonts w:ascii="Times New Roman" w:hAnsi="Times New Roman" w:cs="Times New Roman"/>
          <w:noProof/>
          <w:color w:val="000000"/>
          <w:sz w:val="24"/>
          <w:szCs w:val="24"/>
        </w:rPr>
        <w:t xml:space="preserve">n and elsewhere off the back of its data. Through saved </w:t>
      </w:r>
      <w:r>
        <w:rPr>
          <w:rFonts w:ascii="Times New Roman" w:hAnsi="Times New Roman" w:cs="Times New Roman"/>
          <w:noProof/>
          <w:sz w:val="24"/>
          <w:szCs w:val="24"/>
        </w:rPr>
        <w:t xml:space="preserve">customer time saved by journey planning, and more efficient utilisation of their resources, </w:t>
      </w:r>
      <w:r>
        <w:rPr>
          <w:rFonts w:ascii="Times New Roman" w:hAnsi="Times New Roman" w:cs="Times New Roman"/>
          <w:noProof/>
          <w:color w:val="000000"/>
          <w:sz w:val="24"/>
          <w:szCs w:val="24"/>
        </w:rPr>
        <w:t>TfL’s open data ecosystem has enabled an estimation of 1000 jobs. 175K people are now employed in the digita</w:t>
      </w:r>
      <w:r>
        <w:rPr>
          <w:rFonts w:ascii="Times New Roman" w:hAnsi="Times New Roman" w:cs="Times New Roman"/>
          <w:noProof/>
          <w:color w:val="000000"/>
          <w:sz w:val="24"/>
          <w:szCs w:val="24"/>
        </w:rPr>
        <w:t>l technology industry in London, in 45K companies with a £30bn annual turnover</w:t>
      </w:r>
      <w:r>
        <w:rPr>
          <w:rFonts w:ascii="Times New Roman" w:hAnsi="Times New Roman" w:cs="Times New Roman"/>
          <w:noProof/>
          <w:color w:val="1F497D"/>
          <w:sz w:val="24"/>
          <w:szCs w:val="24"/>
        </w:rPr>
        <w:t xml:space="preserve">. </w:t>
      </w:r>
    </w:p>
    <w:p w:rsidR="00DF1A33" w:rsidRDefault="00456F01">
      <w:pPr>
        <w:spacing w:after="0"/>
        <w:jc w:val="both"/>
        <w:rPr>
          <w:rFonts w:ascii="Times New Roman" w:hAnsi="Times New Roman" w:cs="Times New Roman"/>
          <w:noProof/>
          <w:color w:val="000000"/>
          <w:sz w:val="24"/>
          <w:szCs w:val="24"/>
        </w:rPr>
      </w:pPr>
      <w:r>
        <w:rPr>
          <w:rFonts w:ascii="Times New Roman" w:hAnsi="Times New Roman" w:cs="Times New Roman"/>
          <w:b/>
          <w:bCs/>
          <w:noProof/>
          <w:color w:val="000000"/>
          <w:sz w:val="24"/>
          <w:szCs w:val="24"/>
        </w:rPr>
        <w:t xml:space="preserve">Examples of apps </w:t>
      </w:r>
    </w:p>
    <w:p w:rsidR="00DF1A33" w:rsidRDefault="00456F01">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TfL partners with a number of apps, who have around 10% of market share of London travel apps</w:t>
      </w:r>
      <w:r>
        <w:rPr>
          <w:rFonts w:ascii="Times New Roman" w:hAnsi="Times New Roman" w:cs="Times New Roman"/>
          <w:b/>
          <w:bCs/>
          <w:noProof/>
          <w:color w:val="000000" w:themeColor="text1"/>
          <w:sz w:val="24"/>
          <w:szCs w:val="24"/>
        </w:rPr>
        <w:t>.</w:t>
      </w:r>
      <w:r>
        <w:rPr>
          <w:rFonts w:ascii="Times New Roman" w:hAnsi="Times New Roman" w:cs="Times New Roman"/>
          <w:noProof/>
          <w:color w:val="000000" w:themeColor="text1"/>
          <w:sz w:val="24"/>
          <w:szCs w:val="24"/>
        </w:rPr>
        <w:t xml:space="preserve"> </w:t>
      </w:r>
      <w:r>
        <w:rPr>
          <w:rStyle w:val="CommentReference"/>
          <w:rFonts w:ascii="Times New Roman" w:hAnsi="Times New Roman"/>
          <w:noProof/>
          <w:color w:val="000000" w:themeColor="text1"/>
        </w:rPr>
        <w:t>  </w:t>
      </w:r>
      <w:r>
        <w:rPr>
          <w:rFonts w:ascii="Times New Roman" w:hAnsi="Times New Roman" w:cs="Times New Roman"/>
          <w:noProof/>
          <w:color w:val="000000" w:themeColor="text1"/>
          <w:sz w:val="24"/>
          <w:szCs w:val="24"/>
        </w:rPr>
        <w:t>These non-exclusive partnerships help TfL ensure that its customers receive more robust and consistent information across a variety of platforms. For example, combining existing data with crowd-sourced information can help TfL provide more detailed journey</w:t>
      </w:r>
      <w:r>
        <w:rPr>
          <w:rFonts w:ascii="Times New Roman" w:hAnsi="Times New Roman" w:cs="Times New Roman"/>
          <w:noProof/>
          <w:color w:val="000000" w:themeColor="text1"/>
          <w:sz w:val="24"/>
          <w:szCs w:val="24"/>
        </w:rPr>
        <w:t xml:space="preserve"> planning information to its customers. </w:t>
      </w:r>
    </w:p>
    <w:p w:rsidR="00DF1A33" w:rsidRDefault="00456F01">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This also allows the sharing of knowledge, sparks innovation and increases TfL reputation and transparency. </w:t>
      </w:r>
    </w:p>
    <w:p w:rsidR="00DF1A33" w:rsidRDefault="00456F01">
      <w:pPr>
        <w:keepNext/>
        <w:jc w:val="center"/>
        <w:rPr>
          <w:rFonts w:ascii="Times New Roman" w:hAnsi="Times New Roman"/>
          <w:b/>
          <w:smallCaps/>
          <w:noProof/>
          <w:sz w:val="24"/>
          <w:szCs w:val="24"/>
        </w:rPr>
      </w:pPr>
      <w:r>
        <w:rPr>
          <w:rFonts w:ascii="Times New Roman" w:hAnsi="Times New Roman"/>
          <w:b/>
          <w:smallCaps/>
          <w:noProof/>
          <w:sz w:val="24"/>
          <w:szCs w:val="24"/>
        </w:rPr>
        <w:t>Open data in other transport companies</w:t>
      </w:r>
    </w:p>
    <w:p w:rsidR="00DF1A33" w:rsidRDefault="00456F01">
      <w:pPr>
        <w:keepNext/>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Other transport companies in the EU and Switzerland are also starti</w:t>
      </w:r>
      <w:r>
        <w:rPr>
          <w:rFonts w:ascii="Times New Roman" w:hAnsi="Times New Roman" w:cs="Times New Roman"/>
          <w:noProof/>
          <w:color w:val="000000"/>
          <w:sz w:val="24"/>
          <w:szCs w:val="24"/>
        </w:rPr>
        <w:t xml:space="preserve">ng to open up data their data: </w:t>
      </w:r>
    </w:p>
    <w:p w:rsidR="00DF1A33" w:rsidRDefault="00456F01">
      <w:pPr>
        <w:jc w:val="both"/>
        <w:rPr>
          <w:rFonts w:ascii="Times New Roman" w:hAnsi="Times New Roman"/>
          <w:noProof/>
          <w:color w:val="000000"/>
          <w:sz w:val="24"/>
          <w:szCs w:val="24"/>
        </w:rPr>
      </w:pPr>
      <w:r>
        <w:rPr>
          <w:rFonts w:ascii="Times New Roman" w:hAnsi="Times New Roman"/>
          <w:b/>
          <w:noProof/>
          <w:color w:val="000000"/>
          <w:sz w:val="24"/>
          <w:szCs w:val="24"/>
        </w:rPr>
        <w:t>Deutsche Bahn's Mindbox</w:t>
      </w:r>
      <w:r>
        <w:rPr>
          <w:rFonts w:ascii="Times New Roman" w:hAnsi="Times New Roman"/>
          <w:noProof/>
          <w:color w:val="000000"/>
          <w:sz w:val="24"/>
          <w:szCs w:val="24"/>
        </w:rPr>
        <w:t xml:space="preserve">, driver of its digitisation process, has opened 27 datasets (mostly static) and 9 APIs for dynamic data. The former </w:t>
      </w:r>
      <w:hyperlink r:id="rId78" w:history="1">
        <w:r>
          <w:rPr>
            <w:rStyle w:val="Hyperlink"/>
            <w:rFonts w:ascii="Times New Roman" w:hAnsi="Times New Roman"/>
            <w:noProof/>
          </w:rPr>
          <w:t>German railways</w:t>
        </w:r>
      </w:hyperlink>
      <w:r>
        <w:rPr>
          <w:rFonts w:ascii="Times New Roman" w:hAnsi="Times New Roman"/>
          <w:noProof/>
          <w:color w:val="000000"/>
          <w:sz w:val="24"/>
          <w:szCs w:val="24"/>
        </w:rPr>
        <w:t xml:space="preserve"> is today a group of companies providing the physical tracks, the train stations, open access and subsidised passenger rail services as well as cargo rail services. They are now experimenting with opening up data via CC BY 4.0 and for certain datasets CC0 </w:t>
      </w:r>
      <w:r>
        <w:rPr>
          <w:rFonts w:ascii="Times New Roman" w:hAnsi="Times New Roman"/>
          <w:noProof/>
          <w:color w:val="000000"/>
          <w:sz w:val="24"/>
          <w:szCs w:val="24"/>
        </w:rPr>
        <w:t xml:space="preserve">and see the future value this could have in creating their own developers community and better services for their customers. </w:t>
      </w:r>
    </w:p>
    <w:p w:rsidR="00DF1A33" w:rsidRDefault="00456F01">
      <w:pPr>
        <w:jc w:val="both"/>
        <w:rPr>
          <w:rFonts w:ascii="Times New Roman" w:hAnsi="Times New Roman"/>
          <w:noProof/>
          <w:color w:val="000000"/>
          <w:sz w:val="24"/>
          <w:szCs w:val="24"/>
        </w:rPr>
      </w:pPr>
      <w:r>
        <w:rPr>
          <w:rFonts w:ascii="Times New Roman" w:hAnsi="Times New Roman"/>
          <w:b/>
          <w:noProof/>
          <w:color w:val="000000"/>
          <w:sz w:val="24"/>
          <w:szCs w:val="24"/>
        </w:rPr>
        <w:t xml:space="preserve">SNCF (société nationale des chemins de fer français) </w:t>
      </w:r>
      <w:r>
        <w:rPr>
          <w:rFonts w:ascii="Times New Roman" w:hAnsi="Times New Roman"/>
          <w:noProof/>
          <w:color w:val="000000"/>
          <w:sz w:val="24"/>
          <w:szCs w:val="24"/>
        </w:rPr>
        <w:t>has opened 208 datasets since it started their open data policy in 2014 and r</w:t>
      </w:r>
      <w:r>
        <w:rPr>
          <w:rFonts w:ascii="Times New Roman" w:hAnsi="Times New Roman"/>
          <w:noProof/>
          <w:color w:val="000000"/>
          <w:sz w:val="24"/>
          <w:szCs w:val="24"/>
        </w:rPr>
        <w:t xml:space="preserve">eceives 20 million requests for real-time data through their APIs every month. They share data on infrastructure description (static data), maintenance and modernisation work on a weekly basis and social, environmental and financial data. The </w:t>
      </w:r>
      <w:hyperlink r:id="rId79" w:history="1">
        <w:r>
          <w:rPr>
            <w:rStyle w:val="Hyperlink"/>
            <w:rFonts w:ascii="Times New Roman" w:hAnsi="Times New Roman"/>
            <w:noProof/>
          </w:rPr>
          <w:t>SNCF platform</w:t>
        </w:r>
      </w:hyperlink>
      <w:r>
        <w:rPr>
          <w:rFonts w:ascii="Times New Roman" w:hAnsi="Times New Roman"/>
          <w:noProof/>
          <w:color w:val="000000"/>
          <w:sz w:val="24"/>
          <w:szCs w:val="24"/>
        </w:rPr>
        <w:t xml:space="preserve"> shares data necessary to plan and compare different journeys from station to station, to research upcoming trains (theoretical and real-time) and to consult timetables in different stations. Zac, a virtual as</w:t>
      </w:r>
      <w:r>
        <w:rPr>
          <w:rFonts w:ascii="Times New Roman" w:hAnsi="Times New Roman"/>
          <w:noProof/>
          <w:color w:val="000000"/>
          <w:sz w:val="24"/>
          <w:szCs w:val="24"/>
        </w:rPr>
        <w:t xml:space="preserve">sistant, incorporates SNCF real time data for trains via APIs. Thus, Zac can alert users of train changes and cancellations in real time. </w:t>
      </w:r>
    </w:p>
    <w:p w:rsidR="00DF1A33" w:rsidRDefault="00456F01">
      <w:pPr>
        <w:jc w:val="both"/>
        <w:rPr>
          <w:rFonts w:ascii="Times New Roman" w:hAnsi="Times New Roman"/>
          <w:noProof/>
          <w:color w:val="000000"/>
          <w:sz w:val="24"/>
        </w:rPr>
      </w:pPr>
      <w:r>
        <w:rPr>
          <w:rFonts w:ascii="Times New Roman" w:hAnsi="Times New Roman" w:cs="Times New Roman"/>
          <w:b/>
          <w:noProof/>
          <w:color w:val="000000"/>
          <w:sz w:val="24"/>
          <w:szCs w:val="24"/>
        </w:rPr>
        <w:t xml:space="preserve">Swiss Railways </w:t>
      </w:r>
      <w:r>
        <w:rPr>
          <w:rFonts w:ascii="Times New Roman" w:hAnsi="Times New Roman" w:cs="Times New Roman"/>
          <w:noProof/>
          <w:color w:val="000000"/>
          <w:sz w:val="24"/>
          <w:szCs w:val="24"/>
        </w:rPr>
        <w:t>considers that transport data is also infrastructure thus belongs to the public service. The legal unc</w:t>
      </w:r>
      <w:r>
        <w:rPr>
          <w:rFonts w:ascii="Times New Roman" w:hAnsi="Times New Roman" w:cs="Times New Roman"/>
          <w:noProof/>
          <w:color w:val="000000"/>
          <w:sz w:val="24"/>
          <w:szCs w:val="24"/>
        </w:rPr>
        <w:t xml:space="preserve">ertainty regarding the status of these data in Switzerland stifles innovation. For that reason, Swiss railways has a </w:t>
      </w:r>
      <w:hyperlink r:id="rId80" w:history="1">
        <w:r>
          <w:rPr>
            <w:rStyle w:val="Hyperlink"/>
            <w:rFonts w:ascii="Times New Roman" w:hAnsi="Times New Roman"/>
            <w:noProof/>
          </w:rPr>
          <w:t>data platform</w:t>
        </w:r>
      </w:hyperlink>
      <w:r>
        <w:rPr>
          <w:rFonts w:ascii="Times New Roman" w:hAnsi="Times New Roman" w:cs="Times New Roman"/>
          <w:noProof/>
          <w:color w:val="000000"/>
          <w:sz w:val="24"/>
          <w:szCs w:val="24"/>
        </w:rPr>
        <w:t xml:space="preserve"> which enables access to target timetab</w:t>
      </w:r>
      <w:r>
        <w:rPr>
          <w:rFonts w:ascii="Times New Roman" w:hAnsi="Times New Roman" w:cs="Times New Roman"/>
          <w:noProof/>
          <w:color w:val="000000"/>
          <w:sz w:val="24"/>
          <w:szCs w:val="24"/>
        </w:rPr>
        <w:t xml:space="preserve">le, up-to-date data, information about stops and transport companies, rail time forecast for direct journeys via APIs. However, the data in question is not entirely open as Swiss railways has established some terms of use and limits and costs according to </w:t>
      </w:r>
      <w:r>
        <w:rPr>
          <w:rFonts w:ascii="Times New Roman" w:hAnsi="Times New Roman" w:cs="Times New Roman"/>
          <w:noProof/>
          <w:color w:val="000000"/>
          <w:sz w:val="24"/>
          <w:szCs w:val="24"/>
        </w:rPr>
        <w:t>the intensity of the use.</w:t>
      </w:r>
      <w:bookmarkEnd w:id="2024"/>
      <w:bookmarkEnd w:id="2025"/>
      <w:bookmarkEnd w:id="2026"/>
      <w:bookmarkEnd w:id="2027"/>
      <w:bookmarkEnd w:id="2028"/>
      <w:bookmarkEnd w:id="2029"/>
      <w:bookmarkEnd w:id="2030"/>
      <w:bookmarkEnd w:id="2031"/>
      <w:bookmarkEnd w:id="2032"/>
      <w:bookmarkEnd w:id="2033"/>
    </w:p>
    <w:sectPr w:rsidR="00DF1A33">
      <w:headerReference w:type="even" r:id="rId81"/>
      <w:headerReference w:type="default" r:id="rId82"/>
      <w:footerReference w:type="even" r:id="rId83"/>
      <w:footerReference w:type="default" r:id="rId84"/>
      <w:headerReference w:type="first" r:id="rId85"/>
      <w:footerReference w:type="first" r:id="rId86"/>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A33" w:rsidRDefault="00456F01">
      <w:pPr>
        <w:spacing w:after="0" w:line="240" w:lineRule="auto"/>
      </w:pPr>
      <w:r>
        <w:separator/>
      </w:r>
    </w:p>
  </w:endnote>
  <w:endnote w:type="continuationSeparator" w:id="0">
    <w:p w:rsidR="00DF1A33" w:rsidRDefault="00456F01">
      <w:pPr>
        <w:spacing w:after="0" w:line="240" w:lineRule="auto"/>
      </w:pPr>
      <w:r>
        <w:continuationSeparator/>
      </w:r>
    </w:p>
  </w:endnote>
  <w:endnote w:type="continuationNotice" w:id="1">
    <w:p w:rsidR="00DF1A33" w:rsidRDefault="00DF1A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Ubuntu Light">
    <w:altName w:val="Ubuntu Light"/>
    <w:panose1 w:val="00000000000000000000"/>
    <w:charset w:val="00"/>
    <w:family w:val="swiss"/>
    <w:notTrueType/>
    <w:pitch w:val="default"/>
    <w:sig w:usb0="00000003" w:usb1="00000000" w:usb2="00000000" w:usb3="00000000" w:csb0="00000001" w:csb1="00000000"/>
  </w:font>
  <w:font w:name="PQOLMC+ZapfDingbatsITC">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LiberationSans">
    <w:altName w:val="MS Mincho"/>
    <w:panose1 w:val="00000000000000000000"/>
    <w:charset w:val="80"/>
    <w:family w:val="auto"/>
    <w:notTrueType/>
    <w:pitch w:val="default"/>
    <w:sig w:usb0="00000001" w:usb1="08070000" w:usb2="00000010" w:usb3="00000000" w:csb0="00020000" w:csb1="00000000"/>
  </w:font>
  <w:font w:name="Times New Roman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F01" w:rsidRPr="00456F01" w:rsidRDefault="00456F01" w:rsidP="00456F0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33" w:rsidRDefault="00DF1A3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68590"/>
      <w:docPartObj>
        <w:docPartGallery w:val="Page Numbers (Bottom of Page)"/>
        <w:docPartUnique/>
      </w:docPartObj>
    </w:sdtPr>
    <w:sdtEndPr>
      <w:rPr>
        <w:noProof/>
      </w:rPr>
    </w:sdtEndPr>
    <w:sdtContent>
      <w:p w:rsidR="00DF1A33" w:rsidRDefault="00456F01">
        <w:pPr>
          <w:pStyle w:val="Footer"/>
          <w:jc w:val="center"/>
        </w:pPr>
        <w:r>
          <w:fldChar w:fldCharType="begin"/>
        </w:r>
        <w:r>
          <w:instrText xml:space="preserve"> PAGE   \* MERGEFORMAT </w:instrText>
        </w:r>
        <w:r>
          <w:fldChar w:fldCharType="separate"/>
        </w:r>
        <w:r>
          <w:rPr>
            <w:noProof/>
          </w:rPr>
          <w:t>110</w:t>
        </w:r>
        <w:r>
          <w:rPr>
            <w:noProof/>
          </w:rPr>
          <w:fldChar w:fldCharType="end"/>
        </w:r>
      </w:p>
    </w:sdtContent>
  </w:sdt>
  <w:p w:rsidR="00DF1A33" w:rsidRDefault="00DF1A3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315938"/>
      <w:docPartObj>
        <w:docPartGallery w:val="Page Numbers (Bottom of Page)"/>
        <w:docPartUnique/>
      </w:docPartObj>
    </w:sdtPr>
    <w:sdtEndPr>
      <w:rPr>
        <w:noProof/>
      </w:rPr>
    </w:sdtEndPr>
    <w:sdtContent>
      <w:p w:rsidR="00DF1A33" w:rsidRDefault="00456F01">
        <w:pPr>
          <w:pStyle w:val="Footer"/>
          <w:jc w:val="center"/>
        </w:pPr>
        <w:r>
          <w:fldChar w:fldCharType="begin"/>
        </w:r>
        <w:r>
          <w:instrText xml:space="preserve"> PAGE   \* MERGEFORMAT </w:instrText>
        </w:r>
        <w:r>
          <w:fldChar w:fldCharType="separate"/>
        </w:r>
        <w:r>
          <w:rPr>
            <w:noProof/>
          </w:rPr>
          <w:t>52</w:t>
        </w:r>
        <w:r>
          <w:rPr>
            <w:noProof/>
          </w:rPr>
          <w:fldChar w:fldCharType="end"/>
        </w:r>
      </w:p>
    </w:sdtContent>
  </w:sdt>
  <w:p w:rsidR="00DF1A33" w:rsidRDefault="00DF1A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F01" w:rsidRPr="00456F01" w:rsidRDefault="00456F01" w:rsidP="00456F01">
    <w:pPr>
      <w:pStyle w:val="FooterCoverPage"/>
      <w:rPr>
        <w:rFonts w:ascii="Arial" w:hAnsi="Arial" w:cs="Arial"/>
        <w:b/>
        <w:sz w:val="48"/>
      </w:rPr>
    </w:pPr>
    <w:r w:rsidRPr="00456F01">
      <w:rPr>
        <w:rFonts w:ascii="Arial" w:hAnsi="Arial" w:cs="Arial"/>
        <w:b/>
        <w:sz w:val="48"/>
      </w:rPr>
      <w:t>EN</w:t>
    </w:r>
    <w:r w:rsidRPr="00456F01">
      <w:rPr>
        <w:rFonts w:ascii="Arial" w:hAnsi="Arial" w:cs="Arial"/>
        <w:b/>
        <w:sz w:val="48"/>
      </w:rPr>
      <w:tab/>
    </w:r>
    <w:r w:rsidRPr="00456F01">
      <w:rPr>
        <w:rFonts w:ascii="Arial" w:hAnsi="Arial" w:cs="Arial"/>
        <w:b/>
        <w:sz w:val="48"/>
      </w:rPr>
      <w:tab/>
    </w:r>
    <w:r w:rsidRPr="00456F01">
      <w:tab/>
    </w:r>
    <w:r w:rsidRPr="00456F01">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F01" w:rsidRPr="00456F01" w:rsidRDefault="00456F01" w:rsidP="00456F01">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33" w:rsidRDefault="00DF1A3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33" w:rsidRDefault="00456F01">
    <w:pPr>
      <w:pStyle w:val="Footer"/>
      <w:tabs>
        <w:tab w:val="center" w:pos="4309"/>
        <w:tab w:val="left" w:pos="5130"/>
      </w:tabs>
    </w:pP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33" w:rsidRDefault="00DF1A33">
    <w:pPr>
      <w:pStyle w:val="Footer"/>
      <w:jc w:val="center"/>
    </w:pPr>
  </w:p>
  <w:p w:rsidR="00DF1A33" w:rsidRDefault="00DF1A3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33" w:rsidRDefault="00DF1A3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33" w:rsidRDefault="00456F01">
    <w:pPr>
      <w:pStyle w:val="Footer"/>
      <w:jc w:val="center"/>
    </w:pPr>
    <w:r>
      <w:fldChar w:fldCharType="begin"/>
    </w:r>
    <w:r>
      <w:instrText>PAGE</w:instrText>
    </w:r>
    <w:r>
      <w:fldChar w:fldCharType="separate"/>
    </w:r>
    <w:r>
      <w:rPr>
        <w:noProof/>
      </w:rPr>
      <w:t>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7134098"/>
      <w:docPartObj>
        <w:docPartGallery w:val="Page Numbers (Bottom of Page)"/>
        <w:docPartUnique/>
      </w:docPartObj>
    </w:sdtPr>
    <w:sdtEndPr>
      <w:rPr>
        <w:noProof/>
      </w:rPr>
    </w:sdtEndPr>
    <w:sdtContent>
      <w:p w:rsidR="00DF1A33" w:rsidRDefault="00456F01">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DF1A33" w:rsidRDefault="00DF1A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A33" w:rsidRDefault="00456F01">
      <w:pPr>
        <w:spacing w:after="0" w:line="240" w:lineRule="auto"/>
      </w:pPr>
      <w:r>
        <w:separator/>
      </w:r>
    </w:p>
  </w:footnote>
  <w:footnote w:type="continuationSeparator" w:id="0">
    <w:p w:rsidR="00DF1A33" w:rsidRDefault="00456F01">
      <w:pPr>
        <w:spacing w:after="0" w:line="240" w:lineRule="auto"/>
      </w:pPr>
      <w:r>
        <w:continuationSeparator/>
      </w:r>
    </w:p>
  </w:footnote>
  <w:footnote w:type="continuationNotice" w:id="1">
    <w:p w:rsidR="00DF1A33" w:rsidRDefault="00DF1A33">
      <w:pPr>
        <w:spacing w:after="0" w:line="240" w:lineRule="auto"/>
      </w:pPr>
    </w:p>
  </w:footnote>
  <w:footnote w:id="2">
    <w:p w:rsidR="00DF1A33" w:rsidRDefault="00456F01">
      <w:pPr>
        <w:pStyle w:val="FootnoteText"/>
        <w:rPr>
          <w:lang w:val="pt-PT"/>
        </w:rPr>
      </w:pPr>
      <w:r>
        <w:rPr>
          <w:rStyle w:val="FootnoteReference"/>
        </w:rPr>
        <w:footnoteRef/>
      </w:r>
      <w:r>
        <w:rPr>
          <w:lang w:val="pt-PT"/>
        </w:rPr>
        <w:t xml:space="preserve"> </w:t>
      </w:r>
      <w:r>
        <w:rPr>
          <w:rFonts w:ascii="Times New Roman" w:hAnsi="Times New Roman"/>
          <w:lang w:val="pt-PT"/>
        </w:rPr>
        <w:t>COM (2018) 234.</w:t>
      </w:r>
    </w:p>
  </w:footnote>
  <w:footnote w:id="3">
    <w:p w:rsidR="00DF1A33" w:rsidRDefault="00456F01">
      <w:pPr>
        <w:pStyle w:val="FootnoteText"/>
        <w:rPr>
          <w:rFonts w:ascii="Times New Roman" w:hAnsi="Times New Roman"/>
          <w:lang w:val="pt-PT"/>
        </w:rPr>
      </w:pPr>
      <w:r>
        <w:rPr>
          <w:rStyle w:val="FootnoteReference"/>
          <w:rFonts w:ascii="Times New Roman" w:hAnsi="Times New Roman"/>
        </w:rPr>
        <w:footnoteRef/>
      </w:r>
      <w:r>
        <w:rPr>
          <w:rFonts w:ascii="Times New Roman" w:hAnsi="Times New Roman"/>
          <w:lang w:val="pt-PT"/>
        </w:rPr>
        <w:t xml:space="preserve"> OJ L 119, 4.5.2016, p. 1.</w:t>
      </w:r>
    </w:p>
  </w:footnote>
  <w:footnote w:id="4">
    <w:p w:rsidR="00DF1A33" w:rsidRDefault="00456F01">
      <w:pPr>
        <w:pStyle w:val="FootnoteText"/>
        <w:rPr>
          <w:rFonts w:ascii="Times New Roman" w:hAnsi="Times New Roman"/>
          <w:lang w:val="pt-PT"/>
        </w:rPr>
      </w:pPr>
      <w:r>
        <w:rPr>
          <w:rStyle w:val="FootnoteReference"/>
          <w:rFonts w:ascii="Times New Roman" w:hAnsi="Times New Roman"/>
        </w:rPr>
        <w:footnoteRef/>
      </w:r>
      <w:r>
        <w:rPr>
          <w:rFonts w:ascii="Times New Roman" w:hAnsi="Times New Roman"/>
          <w:lang w:val="pt-PT"/>
        </w:rPr>
        <w:t xml:space="preserve"> COM(2017)10 final.</w:t>
      </w:r>
    </w:p>
  </w:footnote>
  <w:footnote w:id="5">
    <w:p w:rsidR="00DF1A33" w:rsidRDefault="00456F01">
      <w:pPr>
        <w:pStyle w:val="FootnoteText"/>
        <w:rPr>
          <w:rFonts w:ascii="Times New Roman" w:hAnsi="Times New Roman"/>
          <w:lang w:val="pt-PT"/>
        </w:rPr>
      </w:pPr>
      <w:r>
        <w:rPr>
          <w:rStyle w:val="FootnoteReference"/>
          <w:rFonts w:ascii="Times New Roman" w:hAnsi="Times New Roman"/>
        </w:rPr>
        <w:footnoteRef/>
      </w:r>
      <w:r>
        <w:rPr>
          <w:rFonts w:ascii="Times New Roman" w:hAnsi="Times New Roman"/>
          <w:lang w:val="pt-PT"/>
        </w:rPr>
        <w:t xml:space="preserve"> COM(2018) 234.</w:t>
      </w:r>
    </w:p>
  </w:footnote>
  <w:footnote w:id="6">
    <w:p w:rsidR="00DF1A33" w:rsidRDefault="00456F01">
      <w:pPr>
        <w:pStyle w:val="FootnoteText"/>
        <w:rPr>
          <w:lang w:val="pt-PT"/>
        </w:rPr>
      </w:pPr>
      <w:r>
        <w:rPr>
          <w:rStyle w:val="FootnoteReference"/>
          <w:rFonts w:ascii="Times New Roman" w:hAnsi="Times New Roman"/>
        </w:rPr>
        <w:footnoteRef/>
      </w:r>
      <w:r>
        <w:rPr>
          <w:rFonts w:ascii="Times New Roman" w:hAnsi="Times New Roman"/>
          <w:lang w:val="pt-PT"/>
        </w:rPr>
        <w:t xml:space="preserve"> C(2018) 2375.</w:t>
      </w:r>
    </w:p>
  </w:footnote>
  <w:footnote w:id="7">
    <w:p w:rsidR="00DF1A33" w:rsidRDefault="00456F01">
      <w:pPr>
        <w:pStyle w:val="FootnoteText"/>
        <w:rPr>
          <w:rFonts w:ascii="Times New Roman" w:hAnsi="Times New Roman"/>
          <w:lang w:val="pt-PT"/>
        </w:rPr>
      </w:pPr>
      <w:r>
        <w:rPr>
          <w:rStyle w:val="FootnoteReference"/>
          <w:rFonts w:ascii="Times New Roman" w:hAnsi="Times New Roman"/>
        </w:rPr>
        <w:footnoteRef/>
      </w:r>
      <w:r>
        <w:rPr>
          <w:rFonts w:ascii="Times New Roman" w:hAnsi="Times New Roman"/>
          <w:lang w:val="pt-PT"/>
        </w:rPr>
        <w:t xml:space="preserve"> SWD(2018) 125.</w:t>
      </w:r>
    </w:p>
  </w:footnote>
  <w:footnote w:id="8">
    <w:p w:rsidR="00DF1A33" w:rsidRDefault="00456F01">
      <w:pPr>
        <w:pStyle w:val="FootnoteText"/>
        <w:jc w:val="both"/>
        <w:rPr>
          <w:rFonts w:ascii="Times New Roman" w:hAnsi="Times New Roman"/>
          <w:lang w:val="pt-PT"/>
        </w:rPr>
      </w:pPr>
      <w:r>
        <w:rPr>
          <w:rStyle w:val="FootnoteReference"/>
          <w:rFonts w:ascii="Times New Roman" w:hAnsi="Times New Roman"/>
        </w:rPr>
        <w:footnoteRef/>
      </w:r>
      <w:hyperlink r:id="rId1" w:history="1">
        <w:r>
          <w:rPr>
            <w:rStyle w:val="Hyperlink"/>
            <w:rFonts w:ascii="Times New Roman" w:hAnsi="Times New Roman"/>
            <w:lang w:val="pt-PT"/>
          </w:rPr>
          <w:t>https://ec.europa.eu/digital-single-market/en/news/new-study-egovernment-services-europe-improving-cross-bor</w:t>
        </w:r>
        <w:r>
          <w:rPr>
            <w:rStyle w:val="Hyperlink"/>
            <w:rFonts w:ascii="Times New Roman" w:hAnsi="Times New Roman"/>
            <w:lang w:val="pt-PT"/>
          </w:rPr>
          <w:t>der-availability-services</w:t>
        </w:r>
      </w:hyperlink>
      <w:r>
        <w:rPr>
          <w:rFonts w:ascii="Times New Roman" w:hAnsi="Times New Roman"/>
          <w:lang w:val="pt-PT"/>
        </w:rPr>
        <w:t xml:space="preserve"> </w:t>
      </w:r>
    </w:p>
  </w:footnote>
  <w:footnote w:id="9">
    <w:p w:rsidR="00DF1A33" w:rsidRDefault="00456F01">
      <w:pPr>
        <w:pStyle w:val="FootnoteText"/>
        <w:jc w:val="both"/>
        <w:rPr>
          <w:rFonts w:ascii="Times New Roman" w:hAnsi="Times New Roman"/>
          <w:lang w:val="pt-PT"/>
        </w:rPr>
      </w:pPr>
      <w:r>
        <w:rPr>
          <w:rStyle w:val="FootnoteReference"/>
          <w:rFonts w:ascii="Times New Roman" w:hAnsi="Times New Roman"/>
        </w:rPr>
        <w:footnoteRef/>
      </w:r>
      <w:r>
        <w:rPr>
          <w:rFonts w:ascii="Times New Roman" w:hAnsi="Times New Roman"/>
          <w:lang w:val="pt-PT"/>
        </w:rPr>
        <w:t xml:space="preserve"> </w:t>
      </w:r>
      <w:hyperlink r:id="rId2" w:history="1">
        <w:r>
          <w:rPr>
            <w:rStyle w:val="Hyperlink"/>
            <w:rFonts w:ascii="Times New Roman" w:hAnsi="Times New Roman"/>
            <w:lang w:val="pt-PT"/>
          </w:rPr>
          <w:t>https://ec.europa.eu/digital-single-market/en/news/public-sector-information-group-main-page</w:t>
        </w:r>
      </w:hyperlink>
      <w:r>
        <w:rPr>
          <w:rFonts w:ascii="Times New Roman" w:hAnsi="Times New Roman"/>
          <w:lang w:val="pt-PT"/>
        </w:rPr>
        <w:t xml:space="preserve"> </w:t>
      </w:r>
    </w:p>
  </w:footnote>
  <w:footnote w:id="10">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3" w:history="1">
        <w:r>
          <w:rPr>
            <w:rStyle w:val="Hyperlink"/>
            <w:rFonts w:ascii="Times New Roman" w:hAnsi="Times New Roman"/>
          </w:rPr>
          <w:t>www.europeandataportal.eu</w:t>
        </w:r>
      </w:hyperlink>
      <w:r>
        <w:rPr>
          <w:rFonts w:ascii="Times New Roman" w:hAnsi="Times New Roman"/>
        </w:rPr>
        <w:t xml:space="preserve">  </w:t>
      </w:r>
    </w:p>
  </w:footnote>
  <w:footnote w:id="11">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2008 Council Recommendation of the Council for Enhanced Access and More Effective Use of Public Sector Information (</w:t>
      </w:r>
      <w:hyperlink r:id="rId4" w:history="1">
        <w:r>
          <w:rPr>
            <w:rFonts w:ascii="Times New Roman" w:hAnsi="Times New Roman"/>
          </w:rPr>
          <w:t>C(2008)36</w:t>
        </w:r>
      </w:hyperlink>
      <w:r>
        <w:rPr>
          <w:rFonts w:ascii="Times New Roman" w:hAnsi="Times New Roman"/>
        </w:rPr>
        <w:t>).</w:t>
      </w:r>
    </w:p>
  </w:footnote>
  <w:footnote w:id="12">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Recomm</w:t>
      </w:r>
      <w:r>
        <w:rPr>
          <w:rFonts w:ascii="Times New Roman" w:hAnsi="Times New Roman"/>
        </w:rPr>
        <w:t>endation of the Council concerning Access to Research Data from Public Funding (</w:t>
      </w:r>
      <w:hyperlink r:id="rId5" w:history="1">
        <w:r>
          <w:rPr>
            <w:rFonts w:ascii="Times New Roman" w:hAnsi="Times New Roman"/>
          </w:rPr>
          <w:t>C(2006)184</w:t>
        </w:r>
      </w:hyperlink>
      <w:r>
        <w:rPr>
          <w:rFonts w:ascii="Times New Roman" w:hAnsi="Times New Roman"/>
        </w:rPr>
        <w:t>). See also the 2016 Daejeon Declaration on Science, Technology, and Innovation Policies for the Globa</w:t>
      </w:r>
      <w:r>
        <w:rPr>
          <w:rFonts w:ascii="Times New Roman" w:hAnsi="Times New Roman"/>
        </w:rPr>
        <w:t xml:space="preserve">l and Digital Age calling on the OECD to assess the need to revise this Recommendation in order to move towards open science and reaping the benefits of Big Data. </w:t>
      </w:r>
    </w:p>
  </w:footnote>
  <w:footnote w:id="13">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6" w:history="1">
        <w:r>
          <w:rPr>
            <w:rStyle w:val="Hyperlink"/>
            <w:rFonts w:ascii="Times New Roman" w:hAnsi="Times New Roman"/>
          </w:rPr>
          <w:t>https://www.gov.uk/government/publications/open-data-charter/g8-open-data-charter-and-technical-annex</w:t>
        </w:r>
      </w:hyperlink>
      <w:r>
        <w:rPr>
          <w:rFonts w:ascii="Times New Roman" w:hAnsi="Times New Roman"/>
        </w:rPr>
        <w:t xml:space="preserve"> </w:t>
      </w:r>
    </w:p>
  </w:footnote>
  <w:footnote w:id="14">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7" w:history="1">
        <w:r>
          <w:rPr>
            <w:rStyle w:val="Hyperlink"/>
            <w:rFonts w:ascii="Times New Roman" w:hAnsi="Times New Roman"/>
          </w:rPr>
          <w:t>https://ec.europa</w:t>
        </w:r>
        <w:r>
          <w:rPr>
            <w:rStyle w:val="Hyperlink"/>
            <w:rFonts w:ascii="Times New Roman" w:hAnsi="Times New Roman"/>
          </w:rPr>
          <w:t>.eu/digital-single-market/en/news/eu-implementation-g8-open-data-charter</w:t>
        </w:r>
      </w:hyperlink>
      <w:r>
        <w:rPr>
          <w:rFonts w:ascii="Times New Roman" w:hAnsi="Times New Roman"/>
        </w:rPr>
        <w:t xml:space="preserve"> </w:t>
      </w:r>
    </w:p>
  </w:footnote>
  <w:footnote w:id="15">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8" w:history="1">
        <w:r>
          <w:rPr>
            <w:rStyle w:val="Hyperlink"/>
            <w:rFonts w:ascii="Times New Roman" w:hAnsi="Times New Roman"/>
          </w:rPr>
          <w:t>https://ec.europa.eu/digital-single-market/en/news/consultation-guidelines-recommended-standard-licences-datasets-and-charging-re-use-public</w:t>
        </w:r>
      </w:hyperlink>
      <w:r>
        <w:rPr>
          <w:rFonts w:ascii="Times New Roman" w:hAnsi="Times New Roman"/>
        </w:rPr>
        <w:t xml:space="preserve"> </w:t>
      </w:r>
    </w:p>
  </w:footnote>
  <w:footnote w:id="16">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SWD(2018) 145.</w:t>
      </w:r>
    </w:p>
  </w:footnote>
  <w:footnote w:id="17">
    <w:p w:rsidR="00DF1A33" w:rsidRDefault="00456F01">
      <w:pPr>
        <w:pStyle w:val="FootnoteText"/>
        <w:jc w:val="both"/>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Opinion 06/2013 on open data and public sector information ('PSI') reuse, Article 29 Data Prote</w:t>
      </w:r>
      <w:r>
        <w:rPr>
          <w:rFonts w:ascii="Times New Roman" w:hAnsi="Times New Roman"/>
          <w:lang w:val="en-US"/>
        </w:rPr>
        <w:t xml:space="preserve">ction Working Party, 5 June 2013. </w:t>
      </w:r>
    </w:p>
  </w:footnote>
  <w:footnote w:id="18">
    <w:p w:rsidR="00DF1A33" w:rsidRDefault="00456F01">
      <w:pPr>
        <w:pStyle w:val="FootnoteText"/>
        <w:jc w:val="both"/>
        <w:rPr>
          <w:rFonts w:ascii="Times New Roman" w:hAnsi="Times New Roman"/>
          <w:lang w:val="fr-FR"/>
        </w:rPr>
      </w:pPr>
      <w:r>
        <w:rPr>
          <w:rStyle w:val="FootnoteReference"/>
          <w:rFonts w:ascii="Times New Roman" w:hAnsi="Times New Roman"/>
        </w:rPr>
        <w:footnoteRef/>
      </w:r>
      <w:r>
        <w:rPr>
          <w:rFonts w:ascii="Times New Roman" w:hAnsi="Times New Roman"/>
          <w:lang w:val="fr-FR"/>
        </w:rPr>
        <w:t xml:space="preserve"> Article 3(3) of the Belgian Federal law " Loi relatif à laréutilisation des informations du secteur public, Moniteur belge no 153 of 3 June 2016.</w:t>
      </w:r>
    </w:p>
  </w:footnote>
  <w:footnote w:id="19">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Upcoming Spanish Royal Decree for the Reuse of Public Sector Informatio</w:t>
      </w:r>
      <w:r>
        <w:rPr>
          <w:rFonts w:ascii="Times New Roman" w:hAnsi="Times New Roman"/>
        </w:rPr>
        <w:t>n in the Central Government</w:t>
      </w:r>
    </w:p>
  </w:footnote>
  <w:footnote w:id="20">
    <w:p w:rsidR="00DF1A33" w:rsidRDefault="00456F01">
      <w:pPr>
        <w:pStyle w:val="FootnoteText"/>
        <w:jc w:val="both"/>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Directive 96/9/EC of the European Parliament and of the Council of 11 March 1996 on the legal protection of databases, </w:t>
      </w:r>
      <w:hyperlink r:id="rId9" w:history="1">
        <w:r>
          <w:rPr>
            <w:rStyle w:val="Hyperlink"/>
            <w:rFonts w:ascii="Times New Roman" w:hAnsi="Times New Roman"/>
            <w:lang w:val="en-US"/>
          </w:rPr>
          <w:t>http://eur-lex.europa</w:t>
        </w:r>
        <w:r>
          <w:rPr>
            <w:rStyle w:val="Hyperlink"/>
            <w:rFonts w:ascii="Times New Roman" w:hAnsi="Times New Roman"/>
            <w:lang w:val="en-US"/>
          </w:rPr>
          <w:t>.eu/legal-content/EN/TXT/?uri=CELEX%3A31996L0009</w:t>
        </w:r>
      </w:hyperlink>
      <w:r>
        <w:rPr>
          <w:rFonts w:ascii="Times New Roman" w:hAnsi="Times New Roman"/>
          <w:lang w:val="en-US"/>
        </w:rPr>
        <w:t xml:space="preserve"> </w:t>
      </w:r>
    </w:p>
  </w:footnote>
  <w:footnote w:id="21">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SWD(2018) 146.</w:t>
      </w:r>
    </w:p>
  </w:footnote>
  <w:footnote w:id="22">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COM(2018) 234.</w:t>
      </w:r>
    </w:p>
  </w:footnote>
  <w:footnote w:id="23">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European Data Market study, IDC-Open Evidence, 2017, http://datalandscape.eu/study-reports.</w:t>
      </w:r>
    </w:p>
  </w:footnote>
  <w:footnote w:id="24">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OECD Digital Economy, Outlook 2017, p. 220.</w:t>
      </w:r>
    </w:p>
  </w:footnote>
  <w:footnote w:id="25">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The size of the EU open data market captures the aggregate value of products and services derived from open data exchanged in the European Union. The market value does not include the the direct, indirect, and induced effects of the open data market on th</w:t>
      </w:r>
      <w:r>
        <w:rPr>
          <w:rFonts w:ascii="Times New Roman" w:hAnsi="Times New Roman"/>
        </w:rPr>
        <w:t>e whole EU data economy.</w:t>
      </w:r>
    </w:p>
  </w:footnote>
  <w:footnote w:id="26">
    <w:p w:rsidR="00DF1A33" w:rsidRDefault="00456F01">
      <w:pPr>
        <w:pStyle w:val="FootnoteText"/>
        <w:jc w:val="both"/>
        <w:rPr>
          <w:rFonts w:ascii="Times New Roman" w:hAnsi="Times New Roman"/>
        </w:rPr>
      </w:pPr>
      <w:r>
        <w:rPr>
          <w:rStyle w:val="FootnoteReference"/>
          <w:rFonts w:ascii="Times New Roman" w:hAnsi="Times New Roman"/>
        </w:rPr>
        <w:footnoteRef/>
      </w:r>
      <w:r>
        <w:rPr>
          <w:rStyle w:val="FootnoteReference"/>
          <w:rFonts w:ascii="Times New Roman" w:hAnsi="Times New Roman"/>
        </w:rPr>
        <w:t xml:space="preserve"> </w:t>
      </w:r>
      <w:r>
        <w:rPr>
          <w:rFonts w:ascii="Times New Roman" w:hAnsi="Times New Roman"/>
        </w:rPr>
        <w:t>Assessment of the impact of the ODINE programme, 2017, p. 12.</w:t>
      </w:r>
    </w:p>
  </w:footnote>
  <w:footnote w:id="27">
    <w:p w:rsidR="00DF1A33" w:rsidRDefault="00456F01">
      <w:pPr>
        <w:pStyle w:val="FootnoteText"/>
        <w:shd w:val="clear" w:color="auto" w:fill="FFFFFF" w:themeFill="background1"/>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0" w:history="1">
        <w:r>
          <w:rPr>
            <w:rStyle w:val="Hyperlink"/>
            <w:rFonts w:ascii="Times New Roman" w:hAnsi="Times New Roman"/>
          </w:rPr>
          <w:t>http://opendigital.economist.com/digital-economy</w:t>
        </w:r>
      </w:hyperlink>
      <w:r>
        <w:rPr>
          <w:rFonts w:ascii="Times New Roman" w:hAnsi="Times New Roman"/>
        </w:rPr>
        <w:t xml:space="preserve"> </w:t>
      </w:r>
    </w:p>
  </w:footnote>
  <w:footnote w:id="28">
    <w:p w:rsidR="00DF1A33" w:rsidRDefault="00456F01">
      <w:pPr>
        <w:pStyle w:val="FootnoteText"/>
        <w:jc w:val="both"/>
        <w:rPr>
          <w:rFonts w:ascii="Times New Roman" w:hAnsi="Times New Roman"/>
        </w:rPr>
      </w:pPr>
      <w:r>
        <w:rPr>
          <w:rStyle w:val="FootnoteReference"/>
          <w:rFonts w:ascii="Times New Roman" w:hAnsi="Times New Roman"/>
        </w:rPr>
        <w:footnoteRef/>
      </w:r>
      <w:hyperlink r:id="rId11" w:history="1">
        <w:r>
          <w:rPr>
            <w:rStyle w:val="Hyperlink"/>
            <w:rFonts w:ascii="Times New Roman" w:hAnsi="Times New Roman"/>
          </w:rPr>
          <w:t>https://www.techuk.org/insights/opinions/item/10708-guest-blog-peter-wells-odi-access-to-data-is-key-to-a-competitive-ai-market</w:t>
        </w:r>
      </w:hyperlink>
      <w:r>
        <w:rPr>
          <w:rFonts w:ascii="Times New Roman" w:hAnsi="Times New Roman"/>
        </w:rPr>
        <w:t xml:space="preserve">  </w:t>
      </w:r>
    </w:p>
  </w:footnote>
  <w:footnote w:id="29">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See the overview of key  stud</w:t>
      </w:r>
      <w:r>
        <w:rPr>
          <w:rFonts w:ascii="Times New Roman" w:hAnsi="Times New Roman"/>
        </w:rPr>
        <w:t>ies in European Data Portal, Analytical Report No 9: The Economic Benefits of Open Data, 2017.</w:t>
      </w:r>
    </w:p>
  </w:footnote>
  <w:footnote w:id="30">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Value that is generated by developing goods and services based on PSI, chiefly by SMEs.</w:t>
      </w:r>
    </w:p>
  </w:footnote>
  <w:footnote w:id="31">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Impact Assessment Support Study, Deloitte, SMART 2017/0061.</w:t>
      </w:r>
    </w:p>
  </w:footnote>
  <w:footnote w:id="32">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Creating Value through Open Data report, European Data Portal, November 2015.</w:t>
      </w:r>
    </w:p>
  </w:footnote>
  <w:footnote w:id="33">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Economic Benefits of Open Data, European Data Portal, December 2017. </w:t>
      </w:r>
    </w:p>
  </w:footnote>
  <w:footnote w:id="34">
    <w:p w:rsidR="00DF1A33" w:rsidRDefault="00456F01">
      <w:pPr>
        <w:pStyle w:val="Default"/>
        <w:jc w:val="both"/>
        <w:rPr>
          <w:rFonts w:ascii="Times New Roman" w:hAnsi="Times New Roman" w:cs="Times New Roman"/>
          <w:sz w:val="20"/>
          <w:szCs w:val="20"/>
        </w:rPr>
      </w:pPr>
      <w:r>
        <w:rPr>
          <w:rStyle w:val="FootnoteReference"/>
          <w:rFonts w:ascii="Times New Roman" w:hAnsi="Times New Roman" w:cs="Times New Roman"/>
          <w:sz w:val="20"/>
        </w:rPr>
        <w:footnoteRef/>
      </w:r>
      <w:r>
        <w:rPr>
          <w:rFonts w:ascii="Times New Roman" w:hAnsi="Times New Roman" w:cs="Times New Roman"/>
          <w:sz w:val="20"/>
          <w:szCs w:val="20"/>
        </w:rPr>
        <w:t xml:space="preserve"> </w:t>
      </w:r>
      <w:r>
        <w:rPr>
          <w:rFonts w:ascii="Times New Roman" w:hAnsi="Times New Roman" w:cs="Times New Roman"/>
          <w:color w:val="auto"/>
          <w:sz w:val="20"/>
          <w:szCs w:val="20"/>
        </w:rPr>
        <w:t xml:space="preserve">Granickas, K.(2013), </w:t>
      </w:r>
      <w:r>
        <w:rPr>
          <w:rFonts w:ascii="Times New Roman" w:hAnsi="Times New Roman" w:cs="Times New Roman"/>
          <w:i/>
          <w:color w:val="auto"/>
          <w:sz w:val="20"/>
          <w:szCs w:val="20"/>
        </w:rPr>
        <w:t>‘Understanding the Impact of Releasing and re-Using Open Government Da</w:t>
      </w:r>
      <w:r>
        <w:rPr>
          <w:rFonts w:ascii="Times New Roman" w:hAnsi="Times New Roman" w:cs="Times New Roman"/>
          <w:i/>
          <w:color w:val="auto"/>
          <w:sz w:val="20"/>
        </w:rPr>
        <w:t xml:space="preserve">ta’. </w:t>
      </w:r>
      <w:r>
        <w:rPr>
          <w:rFonts w:ascii="Times New Roman" w:hAnsi="Times New Roman" w:cs="Times New Roman"/>
          <w:color w:val="auto"/>
          <w:sz w:val="20"/>
        </w:rPr>
        <w:t>ePSI Pl</w:t>
      </w:r>
      <w:r>
        <w:rPr>
          <w:rFonts w:ascii="Times New Roman" w:hAnsi="Times New Roman" w:cs="Times New Roman"/>
          <w:color w:val="auto"/>
          <w:sz w:val="20"/>
        </w:rPr>
        <w:t xml:space="preserve">atform Topic Report No. 2013/08, August 2013. </w:t>
      </w:r>
    </w:p>
  </w:footnote>
  <w:footnote w:id="35">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Creating Value through Open Data report, European Data Portal, November 2015.</w:t>
      </w:r>
    </w:p>
  </w:footnote>
  <w:footnote w:id="36">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Ibid.</w:t>
      </w:r>
    </w:p>
  </w:footnote>
  <w:footnote w:id="37">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Granickas, K.(2013), </w:t>
      </w:r>
      <w:r>
        <w:rPr>
          <w:rFonts w:ascii="Times New Roman" w:hAnsi="Times New Roman"/>
          <w:i/>
        </w:rPr>
        <w:t xml:space="preserve">‘Understanding the Impact of Releasing and re-Using Open Government Data’. </w:t>
      </w:r>
      <w:r>
        <w:rPr>
          <w:rFonts w:ascii="Times New Roman" w:hAnsi="Times New Roman"/>
        </w:rPr>
        <w:t>ePSI Platform Topic Rep</w:t>
      </w:r>
      <w:r>
        <w:rPr>
          <w:rFonts w:ascii="Times New Roman" w:hAnsi="Times New Roman"/>
        </w:rPr>
        <w:t xml:space="preserve">ort No. 2013/08, August 2013. p. 13. </w:t>
      </w:r>
    </w:p>
  </w:footnote>
  <w:footnote w:id="38">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SWD(2018) 145.</w:t>
      </w:r>
    </w:p>
  </w:footnote>
  <w:footnote w:id="39">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2" w:history="1">
        <w:r>
          <w:rPr>
            <w:rStyle w:val="Hyperlink"/>
            <w:rFonts w:ascii="Times New Roman" w:hAnsi="Times New Roman"/>
          </w:rPr>
          <w:t>https://www.theatlas.com/charts/BJsmCFAl</w:t>
        </w:r>
      </w:hyperlink>
      <w:r>
        <w:rPr>
          <w:rFonts w:ascii="Times New Roman" w:hAnsi="Times New Roman"/>
        </w:rPr>
        <w:t xml:space="preserve">  </w:t>
      </w:r>
    </w:p>
  </w:footnote>
  <w:footnote w:id="40">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3" w:history="1">
        <w:r>
          <w:rPr>
            <w:rStyle w:val="Hyperlink"/>
            <w:rFonts w:ascii="Times New Roman" w:hAnsi="Times New Roman"/>
          </w:rPr>
          <w:t>http://nordicapis.co</w:t>
        </w:r>
        <w:r>
          <w:rPr>
            <w:rStyle w:val="Hyperlink"/>
            <w:rFonts w:ascii="Times New Roman" w:hAnsi="Times New Roman"/>
          </w:rPr>
          <w:t>m/tracking-the-growth-of-the-api-economy</w:t>
        </w:r>
      </w:hyperlink>
      <w:r>
        <w:rPr>
          <w:rFonts w:ascii="Times New Roman" w:hAnsi="Times New Roman"/>
        </w:rPr>
        <w:t xml:space="preserve"> </w:t>
      </w:r>
    </w:p>
  </w:footnote>
  <w:footnote w:id="41">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4" w:history="1">
        <w:r>
          <w:rPr>
            <w:rStyle w:val="Hyperlink"/>
            <w:rFonts w:ascii="Times New Roman" w:hAnsi="Times New Roman"/>
          </w:rPr>
          <w:t>http://www.oecd.org/sti/ieconomy/data-driven-innovation.html</w:t>
        </w:r>
      </w:hyperlink>
      <w:r>
        <w:rPr>
          <w:rFonts w:ascii="Times New Roman" w:hAnsi="Times New Roman"/>
        </w:rPr>
        <w:t xml:space="preserve"> </w:t>
      </w:r>
    </w:p>
  </w:footnote>
  <w:footnote w:id="42">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Categories of data excluded from re-use, Impact Assessment Support Study, Deloitte, SMART 2017/0061 and findings from the INSPIRE Directive Evaluation exercise SWD(2016) 273 final, p.41.</w:t>
      </w:r>
    </w:p>
  </w:footnote>
  <w:footnote w:id="43">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See: Models of Public Sector Information Provision via Tradin</w:t>
      </w:r>
      <w:r>
        <w:rPr>
          <w:rFonts w:ascii="Times New Roman" w:hAnsi="Times New Roman"/>
        </w:rPr>
        <w:t>g Funds, Cambridge University, 02/2008,</w:t>
      </w:r>
    </w:p>
    <w:p w:rsidR="00DF1A33" w:rsidRDefault="00456F01">
      <w:pPr>
        <w:pStyle w:val="FootnoteText"/>
        <w:jc w:val="both"/>
        <w:rPr>
          <w:rFonts w:ascii="Times New Roman" w:hAnsi="Times New Roman"/>
        </w:rPr>
      </w:pPr>
      <w:hyperlink r:id="rId15" w:history="1">
        <w:r>
          <w:rPr>
            <w:rStyle w:val="Hyperlink"/>
            <w:rFonts w:ascii="Times New Roman" w:hAnsi="Times New Roman"/>
          </w:rPr>
          <w:t>http://www.berr.gov.uk/files/file45136.pdf</w:t>
        </w:r>
      </w:hyperlink>
      <w:r>
        <w:rPr>
          <w:rFonts w:ascii="Times New Roman" w:hAnsi="Times New Roman"/>
        </w:rPr>
        <w:t xml:space="preserve"> </w:t>
      </w:r>
    </w:p>
  </w:footnote>
  <w:footnote w:id="44">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See: Annex 6 of the Impact Assessment accompanying the previous review of the Directive: </w:t>
      </w:r>
      <w:hyperlink r:id="rId16" w:history="1">
        <w:r>
          <w:rPr>
            <w:rStyle w:val="Hyperlink"/>
            <w:rFonts w:ascii="Times New Roman" w:hAnsi="Times New Roman"/>
          </w:rPr>
          <w:t>https://ec.europa.eu/digital-single-market/en/news/commission-staff-working-paper-impact-assessment-accompanying-document</w:t>
        </w:r>
        <w:r>
          <w:rPr>
            <w:rStyle w:val="Hyperlink"/>
            <w:rFonts w:ascii="Times New Roman" w:hAnsi="Times New Roman"/>
          </w:rPr>
          <w:t>-proposal-directive</w:t>
        </w:r>
      </w:hyperlink>
      <w:r>
        <w:rPr>
          <w:rFonts w:ascii="Times New Roman" w:hAnsi="Times New Roman"/>
        </w:rPr>
        <w:t xml:space="preserve"> </w:t>
      </w:r>
    </w:p>
  </w:footnote>
  <w:footnote w:id="45">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7" w:history="1">
        <w:r>
          <w:rPr>
            <w:rStyle w:val="Hyperlink"/>
            <w:rFonts w:ascii="Times New Roman" w:hAnsi="Times New Roman"/>
          </w:rPr>
          <w:t>https://www.linkedin.com/pulse/reuse-open-data-opportunity-spain-alberto-abella</w:t>
        </w:r>
      </w:hyperlink>
      <w:r>
        <w:rPr>
          <w:rFonts w:ascii="Times New Roman" w:hAnsi="Times New Roman"/>
        </w:rPr>
        <w:t xml:space="preserve"> </w:t>
      </w:r>
    </w:p>
  </w:footnote>
  <w:footnote w:id="46">
    <w:p w:rsidR="00DF1A33" w:rsidRDefault="00456F01">
      <w:pPr>
        <w:pStyle w:val="FootnoteText"/>
      </w:pPr>
      <w:r>
        <w:rPr>
          <w:rStyle w:val="FootnoteReference"/>
        </w:rPr>
        <w:footnoteRef/>
      </w:r>
      <w:r>
        <w:t xml:space="preserve"> </w:t>
      </w:r>
      <w:r>
        <w:rPr>
          <w:rFonts w:ascii="Times New Roman" w:hAnsi="Times New Roman"/>
        </w:rPr>
        <w:t>Impact Assessment Support Study, Deloitte, SMART 2017/</w:t>
      </w:r>
      <w:r>
        <w:rPr>
          <w:rFonts w:ascii="Times New Roman" w:hAnsi="Times New Roman"/>
        </w:rPr>
        <w:t>0061.</w:t>
      </w:r>
    </w:p>
  </w:footnote>
  <w:footnote w:id="47">
    <w:p w:rsidR="00DF1A33" w:rsidRDefault="00456F01">
      <w:pPr>
        <w:pStyle w:val="FootnoteText"/>
        <w:jc w:val="both"/>
        <w:rPr>
          <w:rFonts w:ascii="Times New Roman" w:hAnsi="Times New Roman"/>
        </w:rPr>
      </w:pPr>
      <w:r>
        <w:rPr>
          <w:rStyle w:val="FootnoteReference"/>
          <w:rFonts w:ascii="Times New Roman" w:hAnsi="Times New Roman"/>
        </w:rPr>
        <w:footnoteRef/>
      </w:r>
      <w:hyperlink r:id="rId18" w:history="1">
        <w:r>
          <w:rPr>
            <w:rStyle w:val="Hyperlink"/>
            <w:rFonts w:ascii="Times New Roman" w:hAnsi="Times New Roman"/>
          </w:rPr>
          <w:t>https://ec.europa.eu/digital-single-market/en/news/summary-report-public-consultation-building-european-data-economy</w:t>
        </w:r>
      </w:hyperlink>
      <w:r>
        <w:rPr>
          <w:rFonts w:ascii="Times New Roman" w:hAnsi="Times New Roman"/>
        </w:rPr>
        <w:t xml:space="preserve"> </w:t>
      </w:r>
    </w:p>
  </w:footnote>
  <w:footnote w:id="48">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9" w:history="1">
        <w:r>
          <w:rPr>
            <w:rStyle w:val="Hyperlink"/>
            <w:rFonts w:ascii="Times New Roman" w:hAnsi="Times New Roman"/>
          </w:rPr>
          <w:t>http://informecotec.es/media/INFORME_REUTILIZACION-DE-DATOS.pdf</w:t>
        </w:r>
      </w:hyperlink>
      <w:r>
        <w:rPr>
          <w:rFonts w:ascii="Times New Roman" w:hAnsi="Times New Roman"/>
        </w:rPr>
        <w:t xml:space="preserve">  </w:t>
      </w:r>
    </w:p>
  </w:footnote>
  <w:footnote w:id="49">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France (https://api.gouv.fr/apis) and Italy (</w:t>
      </w:r>
      <w:hyperlink r:id="rId20" w:history="1"/>
      <w:hyperlink r:id="rId21" w:history="1">
        <w:r>
          <w:rPr>
            <w:rStyle w:val="Hyperlink"/>
            <w:rFonts w:ascii="Times New Roman" w:hAnsi="Times New Roman"/>
          </w:rPr>
          <w:t>https://developers.italia.it/en/datigov/</w:t>
        </w:r>
      </w:hyperlink>
      <w:r>
        <w:rPr>
          <w:rFonts w:ascii="Times New Roman" w:hAnsi="Times New Roman"/>
        </w:rPr>
        <w:t xml:space="preserve">)    </w:t>
      </w:r>
    </w:p>
  </w:footnote>
  <w:footnote w:id="50">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22" w:anchor="2017" w:history="1">
        <w:r>
          <w:rPr>
            <w:rStyle w:val="Hyperlink"/>
            <w:rFonts w:ascii="Times New Roman" w:hAnsi="Times New Roman"/>
          </w:rPr>
          <w:t>https://www.europeandataportal.eu/en/dashboard#2017</w:t>
        </w:r>
      </w:hyperlink>
      <w:r>
        <w:rPr>
          <w:rFonts w:ascii="Times New Roman" w:hAnsi="Times New Roman"/>
        </w:rPr>
        <w:t xml:space="preserve">  </w:t>
      </w:r>
    </w:p>
  </w:footnote>
  <w:footnote w:id="51">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Harmonised Smart City AP</w:t>
      </w:r>
      <w:r>
        <w:rPr>
          <w:rFonts w:ascii="Times New Roman" w:hAnsi="Times New Roman"/>
        </w:rPr>
        <w:t xml:space="preserve">Is – a Cookbook for cities, </w:t>
      </w:r>
      <w:hyperlink r:id="rId23" w:history="1">
        <w:r>
          <w:rPr>
            <w:rStyle w:val="Hyperlink"/>
            <w:rFonts w:ascii="Times New Roman" w:hAnsi="Times New Roman"/>
          </w:rPr>
          <w:t>https://www.databusiness.fi/content/uploads/2017/10/20171109_HarmonisedSmartCityAPIs_WEB.pdf</w:t>
        </w:r>
      </w:hyperlink>
      <w:r>
        <w:rPr>
          <w:rFonts w:ascii="Times New Roman" w:hAnsi="Times New Roman"/>
        </w:rPr>
        <w:t xml:space="preserve"> </w:t>
      </w:r>
    </w:p>
  </w:footnote>
  <w:footnote w:id="52">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Results of the public o</w:t>
      </w:r>
      <w:r>
        <w:rPr>
          <w:rFonts w:ascii="Times New Roman" w:hAnsi="Times New Roman"/>
        </w:rPr>
        <w:t>nline consultation, December 2017.</w:t>
      </w:r>
    </w:p>
  </w:footnote>
  <w:footnote w:id="53">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SWD(2018) 145.</w:t>
      </w:r>
    </w:p>
  </w:footnote>
  <w:footnote w:id="54">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Impact Assessment Support Study, Deloitte, SMART 2017/0061.</w:t>
      </w:r>
    </w:p>
  </w:footnote>
  <w:footnote w:id="55">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SWD(2018) 145.</w:t>
      </w:r>
    </w:p>
  </w:footnote>
  <w:footnote w:id="56">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Still applied across the EU by e.g. meteorological and hydrographic institutes, business registers, legal information repositories, mapping agencies, vehicle registration databases.</w:t>
      </w:r>
    </w:p>
  </w:footnote>
  <w:footnote w:id="57">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Impact Assessment Support Study, Deloitte, SMART 2017/0061.</w:t>
      </w:r>
    </w:p>
  </w:footnote>
  <w:footnote w:id="58">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Impact As</w:t>
      </w:r>
      <w:r>
        <w:rPr>
          <w:rFonts w:ascii="Times New Roman" w:hAnsi="Times New Roman"/>
        </w:rPr>
        <w:t>sessment Support Study, Deloitte, SMART 2017/0061.</w:t>
      </w:r>
    </w:p>
  </w:footnote>
  <w:footnote w:id="59">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Ibid.</w:t>
      </w:r>
    </w:p>
  </w:footnote>
  <w:footnote w:id="60">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Ibid.</w:t>
      </w:r>
    </w:p>
  </w:footnote>
  <w:footnote w:id="61">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https://economie.fgov.be/fr/themes/entreprises/banque-carrefour-des/services-pour-tous/banque-carrefour-des-3</w:t>
      </w:r>
      <w:r>
        <w:rPr>
          <w:rStyle w:val="Hyperlink"/>
          <w:rFonts w:ascii="Times New Roman" w:hAnsi="Times New Roman"/>
          <w:u w:val="none"/>
        </w:rPr>
        <w:t>.</w:t>
      </w:r>
      <w:r>
        <w:rPr>
          <w:rFonts w:ascii="Times New Roman" w:hAnsi="Times New Roman"/>
        </w:rPr>
        <w:t xml:space="preserve"> Some of the data are, however, available at low cost, in line with the relev</w:t>
      </w:r>
      <w:r>
        <w:rPr>
          <w:rFonts w:ascii="Times New Roman" w:hAnsi="Times New Roman"/>
        </w:rPr>
        <w:t xml:space="preserve">ant sectoral EU legislation  </w:t>
      </w:r>
    </w:p>
  </w:footnote>
  <w:footnote w:id="62">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Impact Assessment of ODINE programme. 2017, IDC.</w:t>
      </w:r>
    </w:p>
  </w:footnote>
  <w:footnote w:id="63">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Directive 2014/25/EU on procurement by entities operating in the water, energy, transport and postal services sectors and Regulation (EC) No 1370/2007 on public passenger tr</w:t>
      </w:r>
      <w:r>
        <w:rPr>
          <w:rFonts w:ascii="Times New Roman" w:hAnsi="Times New Roman"/>
        </w:rPr>
        <w:t>ansport services by rail and by road.</w:t>
      </w:r>
    </w:p>
  </w:footnote>
  <w:footnote w:id="64">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Impact Assessment Support Study, Deloitte, SMART 2017/0061.</w:t>
      </w:r>
    </w:p>
  </w:footnote>
  <w:footnote w:id="65">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Impact Assessment Support Study, Deloitte, SMART 2017/0061.</w:t>
      </w:r>
    </w:p>
  </w:footnote>
  <w:footnote w:id="66">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For other examples, see also Impact Assessment support study, Deloitte, SMART 2017/0061.</w:t>
      </w:r>
    </w:p>
  </w:footnote>
  <w:footnote w:id="67">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24" w:anchor="products" w:history="1">
        <w:r>
          <w:rPr>
            <w:rStyle w:val="Hyperlink"/>
            <w:rFonts w:ascii="Times New Roman" w:hAnsi="Times New Roman"/>
          </w:rPr>
          <w:t>https://www.tmrow.com/#products</w:t>
        </w:r>
      </w:hyperlink>
      <w:r>
        <w:rPr>
          <w:rFonts w:ascii="Times New Roman" w:hAnsi="Times New Roman"/>
        </w:rPr>
        <w:t xml:space="preserve"> </w:t>
      </w:r>
    </w:p>
  </w:footnote>
  <w:footnote w:id="68">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25" w:history="1">
        <w:r>
          <w:rPr>
            <w:rStyle w:val="Hyperlink"/>
            <w:rFonts w:ascii="Times New Roman" w:hAnsi="Times New Roman"/>
          </w:rPr>
          <w:t>https://tfl.gov.uk/</w:t>
        </w:r>
      </w:hyperlink>
      <w:r>
        <w:rPr>
          <w:rFonts w:ascii="Times New Roman" w:hAnsi="Times New Roman"/>
        </w:rPr>
        <w:t xml:space="preserve"> </w:t>
      </w:r>
    </w:p>
  </w:footnote>
  <w:footnote w:id="69">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i/>
        </w:rPr>
        <w:t>Open data re-use: an opportunity for Spain?</w:t>
      </w:r>
      <w:r>
        <w:rPr>
          <w:rFonts w:ascii="Times New Roman" w:hAnsi="Times New Roman"/>
        </w:rPr>
        <w:t xml:space="preserve">, COTEC report, 2017. </w:t>
      </w:r>
    </w:p>
  </w:footnote>
  <w:footnote w:id="70">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26" w:history="1">
        <w:r>
          <w:rPr>
            <w:rStyle w:val="Hyperlink"/>
            <w:rFonts w:ascii="Times New Roman" w:hAnsi="Times New Roman"/>
          </w:rPr>
          <w:t>https://data.fingrid.fi/en/about</w:t>
        </w:r>
      </w:hyperlink>
      <w:r>
        <w:rPr>
          <w:rFonts w:ascii="Times New Roman" w:hAnsi="Times New Roman"/>
        </w:rPr>
        <w:t xml:space="preserve">  or </w:t>
      </w:r>
      <w:hyperlink r:id="rId27" w:history="1">
        <w:r>
          <w:rPr>
            <w:rStyle w:val="Hyperlink"/>
            <w:rFonts w:ascii="Times New Roman" w:hAnsi="Times New Roman"/>
          </w:rPr>
          <w:t>https://opendata.reseaux-energies.fr/pages/accueil/</w:t>
        </w:r>
      </w:hyperlink>
      <w:r>
        <w:rPr>
          <w:rFonts w:ascii="Times New Roman" w:hAnsi="Times New Roman"/>
        </w:rPr>
        <w:t xml:space="preserve"> </w:t>
      </w:r>
    </w:p>
  </w:footnote>
  <w:footnote w:id="71">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28" w:history="1">
        <w:r>
          <w:rPr>
            <w:rStyle w:val="Hyperlink"/>
            <w:rFonts w:ascii="Times New Roman" w:hAnsi="Times New Roman"/>
          </w:rPr>
          <w:t>http://eur-lex.europa.eu/eli/reg_del/2017/1926/oj</w:t>
        </w:r>
      </w:hyperlink>
      <w:r>
        <w:rPr>
          <w:rFonts w:ascii="Times New Roman" w:hAnsi="Times New Roman"/>
        </w:rPr>
        <w:t xml:space="preserve"> </w:t>
      </w:r>
    </w:p>
  </w:footnote>
  <w:footnote w:id="72">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29" w:history="1">
        <w:r>
          <w:rPr>
            <w:rStyle w:val="Hyperlink"/>
            <w:rFonts w:ascii="Times New Roman" w:hAnsi="Times New Roman"/>
          </w:rPr>
          <w:t>http://eur-lex.europa.eu/legal-content/EN/TXT/?uri=CELEX:52016PC0864R%2801%29</w:t>
        </w:r>
      </w:hyperlink>
      <w:r>
        <w:rPr>
          <w:rFonts w:ascii="Times New Roman" w:hAnsi="Times New Roman"/>
        </w:rPr>
        <w:t xml:space="preserve"> </w:t>
      </w:r>
    </w:p>
  </w:footnote>
  <w:footnote w:id="73">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30" w:history="1">
        <w:r>
          <w:rPr>
            <w:rStyle w:val="Hyperlink"/>
            <w:rFonts w:ascii="Times New Roman" w:hAnsi="Times New Roman"/>
          </w:rPr>
          <w:t>http://ec.europa.eu/environment/water/water-drink/review_en.html</w:t>
        </w:r>
      </w:hyperlink>
      <w:r>
        <w:rPr>
          <w:rFonts w:ascii="Times New Roman" w:hAnsi="Times New Roman"/>
        </w:rPr>
        <w:t xml:space="preserve"> </w:t>
      </w:r>
    </w:p>
  </w:footnote>
  <w:footnote w:id="74">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Impact Assessment Support Study, Deloitte, SMART 2017/0061.</w:t>
      </w:r>
    </w:p>
  </w:footnote>
  <w:footnote w:id="75">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31" w:history="1">
        <w:r>
          <w:rPr>
            <w:rStyle w:val="Hyperlink"/>
            <w:rFonts w:ascii="Times New Roman" w:hAnsi="Times New Roman"/>
          </w:rPr>
          <w:t>http://ec.europa.eu/programmes/horizon2020/en/h2020-section/open-science-open-access</w:t>
        </w:r>
      </w:hyperlink>
      <w:r>
        <w:rPr>
          <w:rFonts w:ascii="Times New Roman" w:hAnsi="Times New Roman"/>
        </w:rPr>
        <w:t xml:space="preserve"> </w:t>
      </w:r>
    </w:p>
  </w:footnote>
  <w:footnote w:id="76">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C(2012) 4890 final.</w:t>
      </w:r>
    </w:p>
  </w:footnote>
  <w:footnote w:id="77">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Impact Assessment Support Study, Deloitte, SMART 2017/0061.</w:t>
      </w:r>
    </w:p>
  </w:footnote>
  <w:footnote w:id="78">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32" w:history="1">
        <w:r>
          <w:rPr>
            <w:rStyle w:val="Hyperlink"/>
            <w:rFonts w:ascii="Times New Roman" w:hAnsi="Times New Roman"/>
          </w:rPr>
          <w:t>https://ec.europa.eu/digital-single-market/en/news/summary-report-workshop-open-research-data-within-co</w:t>
        </w:r>
        <w:r>
          <w:rPr>
            <w:rStyle w:val="Hyperlink"/>
            <w:rFonts w:ascii="Times New Roman" w:hAnsi="Times New Roman"/>
          </w:rPr>
          <w:t>ntext-directive-reuse-public-sector</w:t>
        </w:r>
      </w:hyperlink>
      <w:r>
        <w:rPr>
          <w:rFonts w:ascii="Times New Roman" w:hAnsi="Times New Roman"/>
        </w:rPr>
        <w:t xml:space="preserve"> </w:t>
      </w:r>
    </w:p>
  </w:footnote>
  <w:footnote w:id="79">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33" w:history="1">
        <w:r>
          <w:rPr>
            <w:rStyle w:val="Hyperlink"/>
            <w:rFonts w:ascii="Times New Roman" w:hAnsi="Times New Roman"/>
          </w:rPr>
          <w:t>https://ec.europa.eu/digital-single-market/en/news/public-hearing-review-directive-reu</w:t>
        </w:r>
        <w:r>
          <w:rPr>
            <w:rStyle w:val="Hyperlink"/>
            <w:rFonts w:ascii="Times New Roman" w:hAnsi="Times New Roman"/>
          </w:rPr>
          <w:t>se-public-sector-information</w:t>
        </w:r>
      </w:hyperlink>
      <w:r>
        <w:rPr>
          <w:rFonts w:ascii="Times New Roman" w:hAnsi="Times New Roman"/>
        </w:rPr>
        <w:t xml:space="preserve"> </w:t>
      </w:r>
    </w:p>
  </w:footnote>
  <w:footnote w:id="80">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the Commission staff working document on the review of the Recommendation.</w:t>
      </w:r>
    </w:p>
  </w:footnote>
  <w:footnote w:id="81">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National Points of Reference reports.</w:t>
      </w:r>
    </w:p>
  </w:footnote>
  <w:footnote w:id="82">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National Points of Reference report (forthcoming).</w:t>
      </w:r>
    </w:p>
  </w:footnote>
  <w:footnote w:id="83">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lang w:val="en-US"/>
        </w:rPr>
        <w:t xml:space="preserve"> </w:t>
      </w:r>
      <w:hyperlink r:id="rId34" w:history="1">
        <w:r>
          <w:rPr>
            <w:rStyle w:val="Hyperlink"/>
            <w:rFonts w:ascii="Times New Roman" w:hAnsi="Times New Roman"/>
            <w:lang w:val="en-US"/>
          </w:rPr>
          <w:t>https://figshare.com/blog/2015_The_year_of_open_data_mandates/143</w:t>
        </w:r>
      </w:hyperlink>
      <w:r>
        <w:rPr>
          <w:rFonts w:ascii="Times New Roman" w:hAnsi="Times New Roman"/>
          <w:lang w:val="en-US"/>
        </w:rPr>
        <w:t xml:space="preserve">  </w:t>
      </w:r>
    </w:p>
  </w:footnote>
  <w:footnote w:id="84">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35" w:history="1">
        <w:r>
          <w:rPr>
            <w:rStyle w:val="Hyperlink"/>
            <w:rFonts w:ascii="Times New Roman" w:hAnsi="Times New Roman"/>
          </w:rPr>
          <w:t>www.openaire.eu</w:t>
        </w:r>
      </w:hyperlink>
      <w:r>
        <w:rPr>
          <w:rFonts w:ascii="Times New Roman" w:hAnsi="Times New Roman"/>
        </w:rPr>
        <w:t xml:space="preserve"> </w:t>
      </w:r>
    </w:p>
  </w:footnote>
  <w:footnote w:id="85">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 project as per February 2018 lists more than 2,000 research data repositories. </w:t>
      </w:r>
    </w:p>
  </w:footnote>
  <w:footnote w:id="86">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Kindling et al., The Landscape of Research Data Repositories in 2015: A re3data Analysis.</w:t>
      </w:r>
    </w:p>
  </w:footnote>
  <w:footnote w:id="87">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Pepe A, Goodman A, Muench A, Crosas M, Erdmann C (2014) How Do Astronomers Share Data? Reliability and Persistence of Datasets Linked in AAS Publications and a Qua</w:t>
      </w:r>
      <w:r>
        <w:rPr>
          <w:rFonts w:ascii="Times New Roman" w:hAnsi="Times New Roman"/>
        </w:rPr>
        <w:t xml:space="preserve">litative Study of Data Practices among US Astronomers. PLoS ONE 9(8): e104798.  </w:t>
      </w:r>
    </w:p>
  </w:footnote>
  <w:footnote w:id="88">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Impact Assessment Support Study, Deloitte, chapter 6.1.2.; Kindling et al., The Landscape of Research Data Repositories in 2015: A re3data Analysis. </w:t>
      </w:r>
    </w:p>
  </w:footnote>
  <w:footnote w:id="89">
    <w:p w:rsidR="00DF1A33" w:rsidRDefault="00456F01">
      <w:pPr>
        <w:pStyle w:val="FootnoteText"/>
        <w:jc w:val="both"/>
        <w:rPr>
          <w:rFonts w:ascii="Times New Roman" w:hAnsi="Times New Roman"/>
        </w:rPr>
      </w:pPr>
      <w:r>
        <w:rPr>
          <w:rStyle w:val="FootnoteReference"/>
          <w:rFonts w:ascii="Times New Roman" w:hAnsi="Times New Roman"/>
        </w:rPr>
        <w:footnoteRef/>
      </w:r>
      <w:hyperlink r:id="rId36" w:history="1">
        <w:r>
          <w:rPr>
            <w:rStyle w:val="Hyperlink"/>
            <w:rFonts w:ascii="Times New Roman" w:hAnsi="Times New Roman"/>
          </w:rPr>
          <w:t>https://ec.europa.eu/digital-single-market/en/news/summary-report-workshop-open-research-data-within-context-directive-reus</w:t>
        </w:r>
        <w:r>
          <w:rPr>
            <w:rStyle w:val="Hyperlink"/>
            <w:rFonts w:ascii="Times New Roman" w:hAnsi="Times New Roman"/>
          </w:rPr>
          <w:t>e-public-sector</w:t>
        </w:r>
      </w:hyperlink>
      <w:r>
        <w:rPr>
          <w:rFonts w:ascii="Times New Roman" w:hAnsi="Times New Roman"/>
        </w:rPr>
        <w:t xml:space="preserve"> </w:t>
      </w:r>
    </w:p>
  </w:footnote>
  <w:footnote w:id="90">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37" w:history="1">
        <w:r>
          <w:rPr>
            <w:rStyle w:val="Hyperlink"/>
            <w:rFonts w:ascii="Times New Roman" w:hAnsi="Times New Roman"/>
          </w:rPr>
          <w:t>https://www.force11.org/group/fairgroup/fairprinciples</w:t>
        </w:r>
      </w:hyperlink>
      <w:r>
        <w:rPr>
          <w:rFonts w:ascii="Times New Roman" w:hAnsi="Times New Roman"/>
        </w:rPr>
        <w:t xml:space="preserve">  </w:t>
      </w:r>
    </w:p>
  </w:footnote>
  <w:footnote w:id="91">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Impact Assessment Support Study, Deloitte, SMART 2017/0061.</w:t>
      </w:r>
    </w:p>
  </w:footnote>
  <w:footnote w:id="92">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Ibid, Annex A.</w:t>
      </w:r>
    </w:p>
  </w:footnote>
  <w:footnote w:id="93">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Ibid: p. 254.</w:t>
      </w:r>
    </w:p>
  </w:footnote>
  <w:footnote w:id="94">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38" w:history="1">
        <w:r>
          <w:rPr>
            <w:rStyle w:val="Hyperlink"/>
            <w:rFonts w:ascii="Times New Roman" w:hAnsi="Times New Roman"/>
          </w:rPr>
          <w:t>https://ec.europa.eu/digital-single-market/en/news/summary-report-high-level-round-table-discussion-public-sector-infor</w:t>
        </w:r>
        <w:r>
          <w:rPr>
            <w:rStyle w:val="Hyperlink"/>
            <w:rFonts w:ascii="Times New Roman" w:hAnsi="Times New Roman"/>
          </w:rPr>
          <w:t>mation-re-use</w:t>
        </w:r>
      </w:hyperlink>
      <w:r>
        <w:rPr>
          <w:rFonts w:ascii="Times New Roman" w:hAnsi="Times New Roman"/>
        </w:rPr>
        <w:t xml:space="preserve"> </w:t>
      </w:r>
    </w:p>
  </w:footnote>
  <w:footnote w:id="95">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examples in the Impact Assessment Support Study, Deloitte, SMART 2017/0061.</w:t>
      </w:r>
    </w:p>
  </w:footnote>
  <w:footnote w:id="96">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Workshop on access to privately held data for public interest reasons, 26 June 2017, presentations by Amsterdam and Hamburg cities.</w:t>
      </w:r>
    </w:p>
  </w:footnote>
  <w:footnote w:id="97">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In the field of health</w:t>
      </w:r>
      <w:r>
        <w:rPr>
          <w:rFonts w:ascii="Times New Roman" w:hAnsi="Times New Roman"/>
        </w:rPr>
        <w:t xml:space="preserve"> data, such arrangements can be particularly undesirable, as testified by the results of the Commission's public consultation  'Transformation Health and Care in the Digital Single Market' in which most respondents favour publicly-controlled, non-commercia</w:t>
      </w:r>
      <w:r>
        <w:rPr>
          <w:rFonts w:ascii="Times New Roman" w:hAnsi="Times New Roman"/>
        </w:rPr>
        <w:t>l solutions to ensure innovation based on health data,(Synopsis Report upcoming).</w:t>
      </w:r>
    </w:p>
  </w:footnote>
  <w:footnote w:id="98">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39" w:history="1">
        <w:r>
          <w:rPr>
            <w:rStyle w:val="Hyperlink"/>
            <w:rFonts w:ascii="Times New Roman" w:hAnsi="Times New Roman"/>
          </w:rPr>
          <w:t>https://joinup.ec.europa.eu/sites/d</w:t>
        </w:r>
        <w:r>
          <w:rPr>
            <w:rStyle w:val="Hyperlink"/>
            <w:rFonts w:ascii="Times New Roman" w:hAnsi="Times New Roman"/>
          </w:rPr>
          <w:t>efault/files/document/2016-07/dg_digit_study_big_data_analytics_for_policy_making.pdf</w:t>
        </w:r>
      </w:hyperlink>
      <w:r>
        <w:rPr>
          <w:rFonts w:ascii="Times New Roman" w:hAnsi="Times New Roman"/>
        </w:rPr>
        <w:t xml:space="preserve">. </w:t>
      </w:r>
    </w:p>
  </w:footnote>
  <w:footnote w:id="99">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ASEDIE, Infomediary Sector Report, 2017.</w:t>
      </w:r>
    </w:p>
  </w:footnote>
  <w:footnote w:id="100">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European Data Portal, Analytical Report 9: The Economic Benefits of Open Data, 2017.</w:t>
      </w:r>
    </w:p>
  </w:footnote>
  <w:footnote w:id="101">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IDC European data market monitor 201</w:t>
      </w:r>
      <w:r>
        <w:rPr>
          <w:rFonts w:ascii="Times New Roman" w:hAnsi="Times New Roman"/>
        </w:rPr>
        <w:t>7.</w:t>
      </w:r>
    </w:p>
  </w:footnote>
  <w:footnote w:id="102">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40" w:history="1">
        <w:r>
          <w:rPr>
            <w:rStyle w:val="Hyperlink"/>
            <w:rFonts w:ascii="Times New Roman" w:hAnsi="Times New Roman"/>
          </w:rPr>
          <w:t>https://www.seagate.com/files/www-content/our-story/trends/files/Seagate-WP-DataAge2025-March-2017.pdf</w:t>
        </w:r>
      </w:hyperlink>
      <w:r>
        <w:rPr>
          <w:rFonts w:ascii="Times New Roman" w:hAnsi="Times New Roman"/>
        </w:rPr>
        <w:t xml:space="preserve"> </w:t>
      </w:r>
    </w:p>
  </w:footnote>
  <w:footnote w:id="103">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 French National Regist</w:t>
      </w:r>
      <w:r>
        <w:rPr>
          <w:rFonts w:ascii="Times New Roman" w:hAnsi="Times New Roman"/>
        </w:rPr>
        <w:t>er has seen a dramatic increase in data re-use since opening of the public API (1 billion hits in 2017, with eCommerce and supermarkets being the main re-users), see: Impact Assessment Support Study, Deloitte, SMART 2017/0061.</w:t>
      </w:r>
    </w:p>
  </w:footnote>
  <w:footnote w:id="104">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Policy action 4 of the</w:t>
      </w:r>
      <w:r>
        <w:rPr>
          <w:rFonts w:ascii="Times New Roman" w:hAnsi="Times New Roman"/>
        </w:rPr>
        <w:t xml:space="preserve"> Tallinn Declaration, </w:t>
      </w:r>
      <w:hyperlink r:id="rId41" w:history="1">
        <w:r>
          <w:rPr>
            <w:rStyle w:val="Hyperlink"/>
            <w:rFonts w:ascii="Times New Roman" w:hAnsi="Times New Roman"/>
          </w:rPr>
          <w:t>https://ec.europa.eu/digital-single-market/en/news/ministerial-declaration-egovernment-tallinn-declaration</w:t>
        </w:r>
      </w:hyperlink>
      <w:r>
        <w:rPr>
          <w:rFonts w:ascii="Times New Roman" w:hAnsi="Times New Roman"/>
        </w:rPr>
        <w:t xml:space="preserve"> </w:t>
      </w:r>
    </w:p>
  </w:footnote>
  <w:footnote w:id="105">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SWD(2018) 145.</w:t>
      </w:r>
    </w:p>
  </w:footnote>
  <w:footnote w:id="106">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w:t>
      </w:r>
      <w:hyperlink r:id="rId42" w:history="1">
        <w:r>
          <w:rPr>
            <w:rStyle w:val="Hyperlink"/>
            <w:rFonts w:ascii="Times New Roman" w:hAnsi="Times New Roman"/>
          </w:rPr>
          <w:t>https://vng.nl/files/vng/20171211_-_notitie_uitvoeringskosten_who_-_def.pdf</w:t>
        </w:r>
      </w:hyperlink>
      <w:r>
        <w:rPr>
          <w:rFonts w:ascii="Times New Roman" w:hAnsi="Times New Roman"/>
        </w:rPr>
        <w:t xml:space="preserve">  </w:t>
      </w:r>
    </w:p>
    <w:p w:rsidR="00DF1A33" w:rsidRDefault="00456F01">
      <w:pPr>
        <w:pStyle w:val="FootnoteText"/>
        <w:rPr>
          <w:rFonts w:ascii="Times New Roman" w:hAnsi="Times New Roman"/>
        </w:rPr>
      </w:pPr>
      <w:r>
        <w:rPr>
          <w:rFonts w:ascii="Times New Roman" w:hAnsi="Times New Roman"/>
        </w:rPr>
        <w:t>Also, the processing of similar requests (access to information</w:t>
      </w:r>
      <w:r>
        <w:rPr>
          <w:rFonts w:ascii="Times New Roman" w:hAnsi="Times New Roman"/>
        </w:rPr>
        <w:t xml:space="preserve">) has been estimated in the UK to be in the range of 165€ per single request, </w:t>
      </w:r>
      <w:hyperlink r:id="rId43" w:history="1">
        <w:r>
          <w:rPr>
            <w:rStyle w:val="Hyperlink"/>
            <w:rFonts w:ascii="Times New Roman" w:hAnsi="Times New Roman"/>
          </w:rPr>
          <w:t>https://www.jisc.ac.uk/rd/projects/freedom-of-information-research</w:t>
        </w:r>
      </w:hyperlink>
      <w:r>
        <w:rPr>
          <w:rFonts w:ascii="Times New Roman" w:hAnsi="Times New Roman"/>
        </w:rPr>
        <w:t xml:space="preserve"> </w:t>
      </w:r>
    </w:p>
  </w:footnote>
  <w:footnote w:id="107">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The reduction of these 't</w:t>
      </w:r>
      <w:r>
        <w:rPr>
          <w:rFonts w:ascii="Times New Roman" w:hAnsi="Times New Roman"/>
        </w:rPr>
        <w:t>ransaction costs' motivates many public institutions to move towards free re-use, Pricing Of Public Sector Information Study, Deloitte, 2012.</w:t>
      </w:r>
    </w:p>
  </w:footnote>
  <w:footnote w:id="108">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As shown in the Evaluation Report, redress and litigation costs are also perceived as one of the main burdens fo</w:t>
      </w:r>
      <w:r>
        <w:rPr>
          <w:rFonts w:ascii="Times New Roman" w:hAnsi="Times New Roman"/>
        </w:rPr>
        <w:t>r the re-users, especially SMEs.</w:t>
      </w:r>
    </w:p>
  </w:footnote>
  <w:footnote w:id="109">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As detailed in section 3 of the Evaluation Report.</w:t>
      </w:r>
    </w:p>
  </w:footnote>
  <w:footnote w:id="110">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44" w:history="1">
        <w:r>
          <w:rPr>
            <w:rStyle w:val="Hyperlink"/>
            <w:rFonts w:ascii="Times New Roman" w:hAnsi="Times New Roman"/>
          </w:rPr>
          <w:t>https://ec.europa.eu/digital-single-m</w:t>
        </w:r>
        <w:r>
          <w:rPr>
            <w:rStyle w:val="Hyperlink"/>
            <w:rFonts w:ascii="Times New Roman" w:hAnsi="Times New Roman"/>
          </w:rPr>
          <w:t>arket/en/news/public-hearing-review-directive-reuse-public-sector-information</w:t>
        </w:r>
      </w:hyperlink>
      <w:r>
        <w:rPr>
          <w:rFonts w:ascii="Times New Roman" w:hAnsi="Times New Roman"/>
        </w:rPr>
        <w:t xml:space="preserve"> </w:t>
      </w:r>
    </w:p>
  </w:footnote>
  <w:footnote w:id="111">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Act on Transport Services, </w:t>
      </w:r>
      <w:hyperlink r:id="rId45" w:history="1"/>
      <w:hyperlink r:id="rId46" w:history="1">
        <w:r>
          <w:rPr>
            <w:rStyle w:val="Hyperlink"/>
            <w:rFonts w:ascii="Times New Roman" w:hAnsi="Times New Roman"/>
          </w:rPr>
          <w:t>https://www.lvm.fi/documen</w:t>
        </w:r>
        <w:r>
          <w:rPr>
            <w:rStyle w:val="Hyperlink"/>
            <w:rFonts w:ascii="Times New Roman" w:hAnsi="Times New Roman"/>
          </w:rPr>
          <w:t>ts/20181/937315/Factsheet+57-2017+Act+on+Transport+Services.pdf/bd002762-a6a0-4867-bb49-5c1b86069380</w:t>
        </w:r>
      </w:hyperlink>
      <w:r>
        <w:rPr>
          <w:rFonts w:ascii="Times New Roman" w:hAnsi="Times New Roman"/>
        </w:rPr>
        <w:t xml:space="preserve">      </w:t>
      </w:r>
    </w:p>
  </w:footnote>
  <w:footnote w:id="112">
    <w:p w:rsidR="00DF1A33" w:rsidRDefault="00456F01">
      <w:pPr>
        <w:pStyle w:val="FootnoteText"/>
        <w:rPr>
          <w:rFonts w:ascii="Times New Roman" w:hAnsi="Times New Roman"/>
          <w:lang w:val="fr-BE"/>
        </w:rPr>
      </w:pPr>
      <w:r>
        <w:rPr>
          <w:rStyle w:val="FootnoteReference"/>
          <w:rFonts w:ascii="Times New Roman" w:hAnsi="Times New Roman"/>
        </w:rPr>
        <w:footnoteRef/>
      </w:r>
      <w:r>
        <w:rPr>
          <w:rFonts w:ascii="Times New Roman" w:hAnsi="Times New Roman"/>
          <w:lang w:val="fr-FR"/>
        </w:rPr>
        <w:t xml:space="preserve"> Loi Pour une République numérique, </w:t>
      </w:r>
      <w:hyperlink r:id="rId47" w:history="1">
        <w:r>
          <w:rPr>
            <w:rStyle w:val="Hyperlink"/>
            <w:rFonts w:ascii="Times New Roman" w:hAnsi="Times New Roman"/>
            <w:lang w:val="fr-BE"/>
          </w:rPr>
          <w:t>https://www.legifrance.gouv.fr/affichLoiPubliee.do?idDocument=JORFDOLE000031589829&amp;type=general&amp;legislature=14</w:t>
        </w:r>
      </w:hyperlink>
      <w:r>
        <w:rPr>
          <w:rFonts w:ascii="Times New Roman" w:hAnsi="Times New Roman"/>
          <w:lang w:val="fr-BE"/>
        </w:rPr>
        <w:t xml:space="preserve"> </w:t>
      </w:r>
    </w:p>
  </w:footnote>
  <w:footnote w:id="113">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Basic Data Programme, </w:t>
      </w:r>
      <w:hyperlink r:id="rId48" w:history="1">
        <w:r>
          <w:rPr>
            <w:rStyle w:val="Hyperlink"/>
            <w:rFonts w:ascii="Times New Roman" w:hAnsi="Times New Roman"/>
          </w:rPr>
          <w:t>https://www.digst</w:t>
        </w:r>
        <w:r>
          <w:rPr>
            <w:rStyle w:val="Hyperlink"/>
            <w:rFonts w:ascii="Times New Roman" w:hAnsi="Times New Roman"/>
          </w:rPr>
          <w:t>.dk/~/media/Files/English/Fact_sheet_BasicData_pdf.pdf</w:t>
        </w:r>
      </w:hyperlink>
      <w:r>
        <w:rPr>
          <w:rStyle w:val="Hyperlink"/>
          <w:rFonts w:ascii="Times New Roman" w:hAnsi="Times New Roman"/>
        </w:rPr>
        <w:t xml:space="preserve"> </w:t>
      </w:r>
      <w:r>
        <w:rPr>
          <w:rFonts w:ascii="Times New Roman" w:hAnsi="Times New Roman"/>
        </w:rPr>
        <w:t xml:space="preserve">  </w:t>
      </w:r>
    </w:p>
  </w:footnote>
  <w:footnote w:id="114">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Impact Assessment Support Study, Deloitte, SMART 2017/0061.</w:t>
      </w:r>
    </w:p>
  </w:footnote>
  <w:footnote w:id="115">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49" w:history="1">
        <w:r>
          <w:rPr>
            <w:rStyle w:val="Hyperlink"/>
            <w:rFonts w:ascii="Times New Roman" w:hAnsi="Times New Roman"/>
          </w:rPr>
          <w:t>https://www.europeandataportal.eu/en/highlig</w:t>
        </w:r>
        <w:r>
          <w:rPr>
            <w:rStyle w:val="Hyperlink"/>
            <w:rFonts w:ascii="Times New Roman" w:hAnsi="Times New Roman"/>
          </w:rPr>
          <w:t>hts/open-data-maturity-europe</w:t>
        </w:r>
      </w:hyperlink>
      <w:r>
        <w:rPr>
          <w:rFonts w:ascii="Times New Roman" w:hAnsi="Times New Roman"/>
        </w:rPr>
        <w:t xml:space="preserve"> </w:t>
      </w:r>
    </w:p>
  </w:footnote>
  <w:footnote w:id="116">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Minutes of the PSI Group meeting, 15 November 2017, </w:t>
      </w:r>
      <w:hyperlink r:id="rId50" w:history="1">
        <w:r>
          <w:rPr>
            <w:rStyle w:val="Hyperlink"/>
            <w:rFonts w:ascii="Times New Roman" w:hAnsi="Times New Roman"/>
          </w:rPr>
          <w:t>https://ec.europa.eu/digital-single-market/en/news/public-sector-information-group-main-page</w:t>
        </w:r>
      </w:hyperlink>
      <w:r>
        <w:rPr>
          <w:rFonts w:ascii="Times New Roman" w:hAnsi="Times New Roman"/>
        </w:rPr>
        <w:t xml:space="preserve"> </w:t>
      </w:r>
    </w:p>
  </w:footnote>
  <w:footnote w:id="117">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SWD(2018) 145.</w:t>
      </w:r>
    </w:p>
  </w:footnote>
  <w:footnote w:id="118">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Mid-term review of the DSM strategy, COM(2017) 228 final.</w:t>
      </w:r>
    </w:p>
  </w:footnote>
  <w:footnote w:id="119">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SWD(2018) 145.</w:t>
      </w:r>
    </w:p>
  </w:footnote>
  <w:footnote w:id="120">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See the 2015 and 2017 figures on open data readiness of the MS in</w:t>
      </w:r>
      <w:r>
        <w:rPr>
          <w:rFonts w:ascii="Times New Roman" w:hAnsi="Times New Roman"/>
        </w:rPr>
        <w:t xml:space="preserve"> the Evaluation Report, section 5.</w:t>
      </w:r>
    </w:p>
  </w:footnote>
  <w:footnote w:id="121">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See section 5 of the Evaluation Report.</w:t>
      </w:r>
    </w:p>
  </w:footnote>
  <w:footnote w:id="122">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Impact Assessment Support Study, Deloitte, SMART 2017/0061.</w:t>
      </w:r>
    </w:p>
  </w:footnote>
  <w:footnote w:id="123">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See the European Data Portal, Analytical Report No 9: The Economic Benefits of Open Data, 2017, giving an overview </w:t>
      </w:r>
      <w:r>
        <w:rPr>
          <w:rFonts w:ascii="Times New Roman" w:hAnsi="Times New Roman"/>
        </w:rPr>
        <w:t>of the different analyses in this area. The highest estimate of the value of opening up public sector data worldwide came from McKinsey (2013), while other studies converged on figures in the order of 10s of billions of EUR a year for the EU28, depending o</w:t>
      </w:r>
      <w:r>
        <w:rPr>
          <w:rFonts w:ascii="Times New Roman" w:hAnsi="Times New Roman"/>
        </w:rPr>
        <w:t>n the methodology used and the types of data included.</w:t>
      </w:r>
    </w:p>
  </w:footnote>
  <w:footnote w:id="124">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51" w:history="1">
        <w:r>
          <w:rPr>
            <w:rStyle w:val="Hyperlink"/>
            <w:rFonts w:ascii="Times New Roman" w:hAnsi="Times New Roman"/>
          </w:rPr>
          <w:t>http://eur-lex.europa.eu/legal-content/EN/TXT/?uri=uriserv:OJ.C_.2014.240.01.0001.01.ENG</w:t>
        </w:r>
      </w:hyperlink>
      <w:r>
        <w:rPr>
          <w:rFonts w:ascii="Times New Roman" w:hAnsi="Times New Roman"/>
        </w:rPr>
        <w:t xml:space="preserve">  </w:t>
      </w:r>
    </w:p>
  </w:footnote>
  <w:footnote w:id="125">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w:t>
      </w:r>
      <w:r>
        <w:rPr>
          <w:rFonts w:ascii="Times New Roman" w:hAnsi="Times New Roman"/>
        </w:rPr>
        <w:t>(2012) 4890 final.</w:t>
      </w:r>
    </w:p>
  </w:footnote>
  <w:footnote w:id="126">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The option of a list of freely re-usable high-value datasets is based on the existing EU commitment to enable open re-use of 14 categories of key datasets, expressed in the G8 Open Data Charter. NB.: the Delegated Act would be subject </w:t>
      </w:r>
      <w:r>
        <w:rPr>
          <w:rFonts w:ascii="Times New Roman" w:hAnsi="Times New Roman"/>
        </w:rPr>
        <w:t>to a separate Impact Assessment and consultation process.</w:t>
      </w:r>
    </w:p>
  </w:footnote>
  <w:footnote w:id="127">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Impact Assessment Support Study, Deloitte, SMART 2017/0061.</w:t>
      </w:r>
    </w:p>
  </w:footnote>
  <w:footnote w:id="128">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Directive 2014/25/EU on procurement by entities operating in the water, energy, transport and postal services sectors.</w:t>
      </w:r>
    </w:p>
  </w:footnote>
  <w:footnote w:id="129">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Regulation (E</w:t>
      </w:r>
      <w:r>
        <w:rPr>
          <w:rFonts w:ascii="Times New Roman" w:hAnsi="Times New Roman"/>
        </w:rPr>
        <w:t>C) No 1370/2007 on public passenger transport services by rail and by road.</w:t>
      </w:r>
    </w:p>
  </w:footnote>
  <w:footnote w:id="130">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Such as Commission Delegated Regulation (EU) 2017/1926 of 31 May 2017 in the area of transport data and other EU acts in the areas of water or energy provision mentioned in secti</w:t>
      </w:r>
      <w:r>
        <w:rPr>
          <w:rFonts w:ascii="Times New Roman" w:hAnsi="Times New Roman"/>
        </w:rPr>
        <w:t>on 2.2.4.1.</w:t>
      </w:r>
    </w:p>
  </w:footnote>
  <w:footnote w:id="131">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Directive 2014/23/EU on the award of concession contracts.</w:t>
      </w:r>
    </w:p>
  </w:footnote>
  <w:footnote w:id="132">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Impact Assessment Support Study, Deloitte, SMART 2017/0061.</w:t>
      </w:r>
    </w:p>
  </w:footnote>
  <w:footnote w:id="133">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Ibid.</w:t>
      </w:r>
    </w:p>
  </w:footnote>
  <w:footnote w:id="134">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Based on interviews, secondary resources, feedback received during the "Open Research Data" workshop. The estimate included costs concerning hard- and software (IT equipment, programs and licences, computers and servers), as well as related services (lega</w:t>
      </w:r>
      <w:r>
        <w:rPr>
          <w:rFonts w:ascii="Times New Roman" w:hAnsi="Times New Roman"/>
        </w:rPr>
        <w:t>l and IT services, audits and tests, APIs). In addition, the estimate contained salaries and training costs.</w:t>
      </w:r>
    </w:p>
  </w:footnote>
  <w:footnote w:id="135">
    <w:p w:rsidR="00DF1A33" w:rsidRDefault="00456F01">
      <w:pPr>
        <w:pStyle w:val="FootnoteText"/>
        <w:jc w:val="both"/>
      </w:pPr>
      <w:r>
        <w:rPr>
          <w:rStyle w:val="FootnoteReference"/>
          <w:rFonts w:ascii="Times New Roman" w:hAnsi="Times New Roman"/>
        </w:rPr>
        <w:footnoteRef/>
      </w:r>
      <w:r>
        <w:rPr>
          <w:rFonts w:ascii="Times New Roman" w:hAnsi="Times New Roman"/>
        </w:rPr>
        <w:t xml:space="preserve"> For example, more public services can be provided with better quality and in a faster manner.</w:t>
      </w:r>
    </w:p>
  </w:footnote>
  <w:footnote w:id="136">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Finnish open data re-users' opinions in 'Wor</w:t>
      </w:r>
      <w:r>
        <w:rPr>
          <w:rFonts w:ascii="Times New Roman" w:hAnsi="Times New Roman"/>
        </w:rPr>
        <w:t>king together towards open data business', https://www.databusiness.fi/content/uploads/2017/10/20171106_WorkingTogetherTowards_WEB.pdf.</w:t>
      </w:r>
    </w:p>
  </w:footnote>
  <w:footnote w:id="137">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Impact Assessment Support Study, Deloitte, SMART 2017/0061.</w:t>
      </w:r>
    </w:p>
  </w:footnote>
  <w:footnote w:id="138">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This assumes that instead of using open source solutions</w:t>
      </w:r>
      <w:r>
        <w:rPr>
          <w:rFonts w:ascii="Times New Roman" w:hAnsi="Times New Roman"/>
        </w:rPr>
        <w:t xml:space="preserve"> (e.g. CKAN), MS would opt for 'open data as a service' platforms, which include additional functionalities, such as data processing and storage, making them more expensive to maintain. Open-source solutions would be less costly.</w:t>
      </w:r>
    </w:p>
  </w:footnote>
  <w:footnote w:id="139">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Impact Assessment Suppor</w:t>
      </w:r>
      <w:r>
        <w:rPr>
          <w:rFonts w:ascii="Times New Roman" w:hAnsi="Times New Roman"/>
        </w:rPr>
        <w:t>t Study, Deloitte, SMART 2017/0061.</w:t>
      </w:r>
    </w:p>
  </w:footnote>
  <w:footnote w:id="140">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See Chapter 2.2.3 on the macroeconomic considerations in favour of a zero-charge policy.</w:t>
      </w:r>
    </w:p>
  </w:footnote>
  <w:footnote w:id="141">
    <w:p w:rsidR="00DF1A33" w:rsidRDefault="00456F01">
      <w:pPr>
        <w:pStyle w:val="FootnoteText"/>
        <w:jc w:val="both"/>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Does Marginal Cost Pricing of Public Sector Information Spur Firms Growth ?, Heli Koski, 2011.</w:t>
      </w:r>
    </w:p>
  </w:footnote>
  <w:footnote w:id="142">
    <w:p w:rsidR="00DF1A33" w:rsidRDefault="00456F01">
      <w:pPr>
        <w:pStyle w:val="FootnoteText"/>
        <w:jc w:val="both"/>
        <w:rPr>
          <w:rFonts w:ascii="Times New Roman" w:eastAsiaTheme="majorEastAsia" w:hAnsi="Times New Roman"/>
          <w:bCs/>
        </w:rPr>
      </w:pPr>
      <w:r>
        <w:rPr>
          <w:rStyle w:val="FootnoteReference"/>
          <w:rFonts w:ascii="Times New Roman" w:hAnsi="Times New Roman"/>
        </w:rPr>
        <w:footnoteRef/>
      </w:r>
      <w:r>
        <w:rPr>
          <w:rFonts w:ascii="Times New Roman" w:hAnsi="Times New Roman"/>
        </w:rPr>
        <w:t xml:space="preserve"> </w:t>
      </w:r>
      <w:r>
        <w:rPr>
          <w:rFonts w:ascii="Times New Roman" w:eastAsiaTheme="majorEastAsia" w:hAnsi="Times New Roman"/>
          <w:bCs/>
        </w:rPr>
        <w:t xml:space="preserve">See Impact Assessment 2011 PSI Review. </w:t>
      </w:r>
    </w:p>
  </w:footnote>
  <w:footnote w:id="143">
    <w:p w:rsidR="00DF1A33" w:rsidRDefault="00456F01">
      <w:pPr>
        <w:pStyle w:val="FootnoteText"/>
        <w:jc w:val="both"/>
        <w:rPr>
          <w:rFonts w:ascii="Times New Roman" w:eastAsiaTheme="majorEastAsia" w:hAnsi="Times New Roman"/>
          <w:lang w:val="fr-BE"/>
        </w:rPr>
      </w:pPr>
      <w:r>
        <w:rPr>
          <w:rStyle w:val="FootnoteReference"/>
          <w:rFonts w:ascii="Times New Roman" w:hAnsi="Times New Roman"/>
        </w:rPr>
        <w:footnoteRef/>
      </w:r>
      <w:r>
        <w:rPr>
          <w:rFonts w:ascii="Times New Roman" w:hAnsi="Times New Roman"/>
          <w:lang w:val="fr-BE"/>
        </w:rPr>
        <w:t xml:space="preserve"> </w:t>
      </w:r>
      <w:r>
        <w:rPr>
          <w:rFonts w:ascii="Times New Roman" w:eastAsiaTheme="majorEastAsia" w:hAnsi="Times New Roman"/>
          <w:bCs/>
          <w:lang w:val="fr-BE"/>
        </w:rPr>
        <w:t>Trojette, M.A. (2013), ‘Rapport au Premier Ministre. Ouverture des données publiques. Les Exceptions au princi</w:t>
      </w:r>
      <w:r>
        <w:rPr>
          <w:rFonts w:ascii="Times New Roman" w:eastAsiaTheme="majorEastAsia" w:hAnsi="Times New Roman"/>
          <w:bCs/>
          <w:lang w:val="fr-BE"/>
        </w:rPr>
        <w:softHyphen/>
        <w:t xml:space="preserve">pe de gratuité sont-elles toutes légitimes?’. </w:t>
      </w:r>
    </w:p>
  </w:footnote>
  <w:footnote w:id="144">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Permission granted: The economic value of data assets </w:t>
      </w:r>
      <w:r>
        <w:rPr>
          <w:rFonts w:ascii="Times New Roman" w:hAnsi="Times New Roman"/>
        </w:rPr>
        <w:t>under alternative policy regimes, A Lateral Economics report for the Open Data Institute, 2016, p.14.</w:t>
      </w:r>
    </w:p>
  </w:footnote>
  <w:footnote w:id="145">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De Vries, M., Kapff, L., Negreiro Achiaga, M., Wauters, P., Osimo, D., Foley, P., Szkuta, K., O'Connor, J., and Whitehouse, D. "POPSIS – Pricing of Publ</w:t>
      </w:r>
      <w:r>
        <w:rPr>
          <w:rFonts w:ascii="Times New Roman" w:hAnsi="Times New Roman"/>
        </w:rPr>
        <w:t>ic Sector Information Study." (2011).</w:t>
      </w:r>
    </w:p>
  </w:footnote>
  <w:footnote w:id="146">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DECA, 2010. “The value of the Danish address data: Social benefits from the 2002 agreement on procuring address data etc. free of charge”. </w:t>
      </w:r>
    </w:p>
  </w:footnote>
  <w:footnote w:id="147">
    <w:p w:rsidR="00DF1A33" w:rsidRDefault="00456F01">
      <w:pPr>
        <w:pStyle w:val="FootnoteText"/>
        <w:jc w:val="both"/>
        <w:rPr>
          <w:rFonts w:ascii="Times New Roman" w:hAnsi="Times New Roman"/>
        </w:rPr>
      </w:pPr>
      <w:r>
        <w:rPr>
          <w:rStyle w:val="FootnoteReference"/>
          <w:rFonts w:ascii="Times New Roman" w:hAnsi="Times New Roman"/>
        </w:rPr>
        <w:footnoteRef/>
      </w:r>
      <w:hyperlink r:id="rId52" w:history="1">
        <w:r>
          <w:rPr>
            <w:rStyle w:val="Hyperlink"/>
            <w:rFonts w:ascii="Times New Roman" w:hAnsi="Times New Roman"/>
          </w:rPr>
          <w:t>http://sdfe.dk/media/2917052/20170317-the-impact-of-the-open-geographical-data-management-summary-version-13-pwc-qrvkvdr.pdf</w:t>
        </w:r>
      </w:hyperlink>
      <w:r>
        <w:rPr>
          <w:rFonts w:ascii="Times New Roman" w:hAnsi="Times New Roman"/>
        </w:rPr>
        <w:t xml:space="preserve"> </w:t>
      </w:r>
    </w:p>
  </w:footnote>
  <w:footnote w:id="148">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"Permission granted: The economic value of data assets under a</w:t>
      </w:r>
      <w:r>
        <w:rPr>
          <w:rFonts w:ascii="Times New Roman" w:hAnsi="Times New Roman"/>
        </w:rPr>
        <w:t>lternative policy regimes", A Lateral Economics report for the Open Data Institute, March 2016, p. 22.</w:t>
      </w:r>
    </w:p>
  </w:footnote>
  <w:footnote w:id="149">
    <w:p w:rsidR="00DF1A33" w:rsidRDefault="00456F01">
      <w:pPr>
        <w:pStyle w:val="FootnoteText"/>
      </w:pPr>
      <w:r>
        <w:rPr>
          <w:rStyle w:val="FootnoteReference"/>
        </w:rPr>
        <w:footnoteRef/>
      </w:r>
      <w:r>
        <w:t xml:space="preserve"> </w:t>
      </w:r>
      <w:r>
        <w:rPr>
          <w:rFonts w:ascii="Times New Roman" w:hAnsi="Times New Roman"/>
        </w:rPr>
        <w:t xml:space="preserve">Full list of data categories: </w:t>
      </w:r>
      <w:hyperlink r:id="rId53" w:history="1">
        <w:r>
          <w:rPr>
            <w:rStyle w:val="Hyperlink"/>
            <w:rFonts w:ascii="Times New Roman" w:hAnsi="Times New Roman"/>
          </w:rPr>
          <w:t>htt</w:t>
        </w:r>
        <w:r>
          <w:rPr>
            <w:rStyle w:val="Hyperlink"/>
            <w:rFonts w:ascii="Times New Roman" w:hAnsi="Times New Roman"/>
          </w:rPr>
          <w:t>ps://www.gov.uk/government/publications/open-data-charter/g8-open-data-charter-and-technical-annex</w:t>
        </w:r>
      </w:hyperlink>
      <w:r>
        <w:t xml:space="preserve"> </w:t>
      </w:r>
    </w:p>
  </w:footnote>
  <w:footnote w:id="150">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C(2018) 2375.</w:t>
      </w:r>
    </w:p>
  </w:footnote>
  <w:footnote w:id="151">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According to a landscaping study of research data repositories, 96.6% are operated on a not-for-profit basis, cf. Kindling et al., The Lan</w:t>
      </w:r>
      <w:r>
        <w:rPr>
          <w:rFonts w:ascii="Times New Roman" w:hAnsi="Times New Roman"/>
        </w:rPr>
        <w:t>dscape of Research Data Repositories in 2015: A re3data Analysis.</w:t>
      </w:r>
    </w:p>
  </w:footnote>
  <w:footnote w:id="152">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C(2018) 2375.</w:t>
      </w:r>
    </w:p>
  </w:footnote>
  <w:footnote w:id="153">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It should be noted that under The Company Law Directive 2017/1132, the charging regime for business registers is specific. The forthcoming Company Law Package will widen th</w:t>
      </w:r>
      <w:r>
        <w:rPr>
          <w:rFonts w:ascii="Times New Roman" w:hAnsi="Times New Roman"/>
        </w:rPr>
        <w:t xml:space="preserve">e range of data to be provided free of charge. </w:t>
      </w:r>
    </w:p>
  </w:footnote>
  <w:footnote w:id="154">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This order of magnitude is supported by national estimates, see: minutes of the last PSI Group, </w:t>
      </w:r>
      <w:hyperlink r:id="rId54" w:history="1">
        <w:r>
          <w:rPr>
            <w:rStyle w:val="Hyperlink"/>
            <w:rFonts w:ascii="Times New Roman" w:hAnsi="Times New Roman"/>
          </w:rPr>
          <w:t>https://ec.europa.eu/digital-single-market/en/news/public-sector-information-group-main-page</w:t>
        </w:r>
      </w:hyperlink>
      <w:r>
        <w:rPr>
          <w:rFonts w:ascii="Times New Roman" w:hAnsi="Times New Roman"/>
        </w:rPr>
        <w:t xml:space="preserve">   </w:t>
      </w:r>
    </w:p>
  </w:footnote>
  <w:footnote w:id="155">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Ibid.</w:t>
      </w:r>
    </w:p>
  </w:footnote>
  <w:footnote w:id="156">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For example, fewer than 10 public sector bodies charge in the UK, and only 3 in France.</w:t>
      </w:r>
    </w:p>
  </w:footnote>
  <w:footnote w:id="157">
    <w:p w:rsidR="00DF1A33" w:rsidRDefault="00456F01">
      <w:pPr>
        <w:pStyle w:val="FootnoteText"/>
        <w:jc w:val="both"/>
        <w:rPr>
          <w:rFonts w:ascii="Times New Roman" w:hAnsi="Times New Roman"/>
          <w:lang w:val="fr-FR"/>
        </w:rPr>
      </w:pPr>
      <w:r>
        <w:rPr>
          <w:rStyle w:val="FootnoteReference"/>
          <w:rFonts w:ascii="Times New Roman" w:hAnsi="Times New Roman"/>
        </w:rPr>
        <w:footnoteRef/>
      </w:r>
      <w:r>
        <w:rPr>
          <w:rFonts w:ascii="Times New Roman" w:hAnsi="Times New Roman"/>
          <w:lang w:val="fr-FR"/>
        </w:rPr>
        <w:t xml:space="preserve"> http://esamultimedia.esa.int/docs/EarthObservation/Open_Data</w:t>
      </w:r>
      <w:r>
        <w:rPr>
          <w:rFonts w:ascii="Times New Roman" w:hAnsi="Times New Roman"/>
          <w:lang w:val="fr-FR"/>
        </w:rPr>
        <w:t>_Study_Final_Report.pdf, Chapter 2.</w:t>
      </w:r>
    </w:p>
  </w:footnote>
  <w:footnote w:id="158">
    <w:p w:rsidR="00DF1A33" w:rsidRDefault="00456F01">
      <w:pPr>
        <w:pStyle w:val="FootnoteText"/>
        <w:jc w:val="both"/>
        <w:rPr>
          <w:rFonts w:ascii="Times New Roman" w:hAnsi="Times New Roman"/>
          <w:lang w:val="fr-FR"/>
        </w:rPr>
      </w:pPr>
      <w:r>
        <w:rPr>
          <w:rStyle w:val="FootnoteReference"/>
          <w:rFonts w:ascii="Times New Roman" w:hAnsi="Times New Roman"/>
        </w:rPr>
        <w:footnoteRef/>
      </w:r>
      <w:hyperlink r:id="rId55" w:history="1">
        <w:r>
          <w:rPr>
            <w:rStyle w:val="Hyperlink"/>
            <w:rFonts w:ascii="Times New Roman" w:hAnsi="Times New Roman"/>
            <w:lang w:val="fr-FR"/>
          </w:rPr>
          <w:t>https://ec.europa.eu/digital-single-market/en/news/pricing-publi</w:t>
        </w:r>
        <w:r>
          <w:rPr>
            <w:rStyle w:val="Hyperlink"/>
            <w:rFonts w:ascii="Times New Roman" w:hAnsi="Times New Roman"/>
            <w:lang w:val="fr-FR"/>
          </w:rPr>
          <w:t>c-sector-information-study-popsis-models-supply-and-charging-public-sector</w:t>
        </w:r>
      </w:hyperlink>
      <w:r>
        <w:rPr>
          <w:rFonts w:ascii="Times New Roman" w:hAnsi="Times New Roman"/>
          <w:lang w:val="fr-FR"/>
        </w:rPr>
        <w:t xml:space="preserve"> </w:t>
      </w:r>
    </w:p>
  </w:footnote>
  <w:footnote w:id="159">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Marc de Vries, ABOUT GMES AND DATA : GEESE AND GOLDEN EGGS, 2012, p. 35.</w:t>
      </w:r>
    </w:p>
  </w:footnote>
  <w:footnote w:id="160">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C(2018) 2375.</w:t>
      </w:r>
    </w:p>
  </w:footnote>
  <w:footnote w:id="161">
    <w:p w:rsidR="00DF1A33" w:rsidRDefault="00456F01">
      <w:pPr>
        <w:pStyle w:val="FootnoteText"/>
        <w:rPr>
          <w:rFonts w:ascii="Times New Roman" w:hAnsi="Times New Roman"/>
        </w:rPr>
      </w:pPr>
      <w:r>
        <w:rPr>
          <w:rStyle w:val="FootnoteReference"/>
        </w:rPr>
        <w:footnoteRef/>
      </w:r>
      <w:r>
        <w:rPr>
          <w:rFonts w:ascii="Times New Roman" w:hAnsi="Times New Roman"/>
        </w:rPr>
        <w:t>E. Hayden, Technology: The $1,000 genome”. Nature 507, 294–295 (20 March 2014).</w:t>
      </w:r>
    </w:p>
  </w:footnote>
  <w:footnote w:id="162">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Annex 2.</w:t>
      </w:r>
    </w:p>
  </w:footnote>
  <w:footnote w:id="163">
    <w:p w:rsidR="00DF1A33" w:rsidRDefault="00456F01">
      <w:pPr>
        <w:pStyle w:val="FootnoteText"/>
        <w:jc w:val="both"/>
      </w:pPr>
      <w:r>
        <w:rPr>
          <w:rStyle w:val="FootnoteReference"/>
        </w:rPr>
        <w:footnoteRef/>
      </w:r>
      <w:r>
        <w:t xml:space="preserve"> </w:t>
      </w:r>
      <w:r>
        <w:rPr>
          <w:rFonts w:ascii="Times New Roman" w:hAnsi="Times New Roman"/>
        </w:rPr>
        <w:t>Examples of SMEs and start-ups that have successfully launched businesses based on open data can be found in the evaluation report and on the European Open Data Portal.</w:t>
      </w:r>
    </w:p>
  </w:footnote>
  <w:footnote w:id="164">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D6.3 Business models, lessons learned and success stories, ODINE, p. </w:t>
      </w:r>
      <w:r>
        <w:rPr>
          <w:rFonts w:ascii="Times New Roman" w:hAnsi="Times New Roman"/>
        </w:rPr>
        <w:t>40.</w:t>
      </w:r>
    </w:p>
  </w:footnote>
  <w:footnote w:id="165">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Open Data – a 21</w:t>
      </w:r>
      <w:r>
        <w:rPr>
          <w:rFonts w:ascii="Times New Roman" w:hAnsi="Times New Roman"/>
          <w:vertAlign w:val="superscript"/>
        </w:rPr>
        <w:t>st</w:t>
      </w:r>
      <w:r>
        <w:rPr>
          <w:rFonts w:ascii="Times New Roman" w:hAnsi="Times New Roman"/>
        </w:rPr>
        <w:t xml:space="preserve"> Century resource for Small and Medium Enterprises, </w:t>
      </w:r>
      <w:hyperlink r:id="rId56" w:history="1">
        <w:r>
          <w:rPr>
            <w:rStyle w:val="Hyperlink"/>
            <w:rFonts w:ascii="Times New Roman" w:hAnsi="Times New Roman"/>
          </w:rPr>
          <w:t>http://images.thegovlab.org/wordpress/wp-content/uploads/2015/08</w:t>
        </w:r>
        <w:r>
          <w:rPr>
            <w:rStyle w:val="Hyperlink"/>
            <w:rFonts w:ascii="Times New Roman" w:hAnsi="Times New Roman"/>
          </w:rPr>
          <w:t>/OpenData-and-SME-Final-Aug2015.pdf</w:t>
        </w:r>
      </w:hyperlink>
      <w:r>
        <w:rPr>
          <w:rFonts w:ascii="Times New Roman" w:hAnsi="Times New Roman"/>
        </w:rPr>
        <w:t xml:space="preserve"> </w:t>
      </w:r>
    </w:p>
  </w:footnote>
  <w:footnote w:id="166">
    <w:p w:rsidR="00DF1A33" w:rsidRDefault="00456F01">
      <w:pPr>
        <w:pStyle w:val="FootnoteText"/>
        <w:jc w:val="both"/>
        <w:rPr>
          <w:rFonts w:ascii="Times New Roman" w:hAnsi="Times New Roman"/>
        </w:rPr>
      </w:pPr>
      <w:r>
        <w:rPr>
          <w:rStyle w:val="FootnoteReference"/>
        </w:rPr>
        <w:footnoteRef/>
      </w:r>
      <w:r>
        <w:t xml:space="preserve"> </w:t>
      </w:r>
      <w:r>
        <w:rPr>
          <w:rFonts w:ascii="Times New Roman" w:hAnsi="Times New Roman"/>
        </w:rPr>
        <w:t>See for example: « Does Marginal Cost Pricing of Public Sector Information Spur Firms Growth ? », Heli Koski, The Research Institute of the Finnish Economy, 2011.</w:t>
      </w:r>
    </w:p>
  </w:footnote>
  <w:footnote w:id="167">
    <w:p w:rsidR="00DF1A33" w:rsidRDefault="00456F01">
      <w:pPr>
        <w:pStyle w:val="Default"/>
        <w:jc w:val="both"/>
        <w:rPr>
          <w:rFonts w:ascii="Times New Roman" w:hAnsi="Times New Roman" w:cs="Times New Roman"/>
          <w:sz w:val="20"/>
          <w:szCs w:val="20"/>
        </w:rPr>
      </w:pPr>
      <w:r>
        <w:rPr>
          <w:rStyle w:val="FootnoteReference"/>
          <w:rFonts w:ascii="Times New Roman" w:hAnsi="Times New Roman"/>
          <w:sz w:val="20"/>
        </w:rPr>
        <w:footnoteRef/>
      </w:r>
      <w:r>
        <w:rPr>
          <w:rFonts w:ascii="Times New Roman" w:hAnsi="Times New Roman" w:cs="Times New Roman"/>
          <w:sz w:val="20"/>
          <w:szCs w:val="20"/>
        </w:rPr>
        <w:t xml:space="preserve"> </w:t>
      </w:r>
      <w:r>
        <w:rPr>
          <w:rFonts w:ascii="Times New Roman" w:hAnsi="Times New Roman" w:cs="Times New Roman"/>
          <w:color w:val="auto"/>
          <w:sz w:val="20"/>
          <w:szCs w:val="20"/>
        </w:rPr>
        <w:t xml:space="preserve">Granickas, K.(2013), </w:t>
      </w:r>
      <w:r>
        <w:rPr>
          <w:rFonts w:ascii="Times New Roman" w:hAnsi="Times New Roman" w:cs="Times New Roman"/>
          <w:i/>
          <w:color w:val="auto"/>
          <w:sz w:val="20"/>
          <w:szCs w:val="20"/>
        </w:rPr>
        <w:t xml:space="preserve">‘Understanding the Impact of </w:t>
      </w:r>
      <w:r>
        <w:rPr>
          <w:rFonts w:ascii="Times New Roman" w:hAnsi="Times New Roman" w:cs="Times New Roman"/>
          <w:i/>
          <w:color w:val="auto"/>
          <w:sz w:val="20"/>
          <w:szCs w:val="20"/>
        </w:rPr>
        <w:t>Releasing and re-Using Open Government Da</w:t>
      </w:r>
      <w:r>
        <w:rPr>
          <w:rFonts w:ascii="Times New Roman" w:hAnsi="Times New Roman" w:cs="Times New Roman"/>
          <w:i/>
          <w:color w:val="auto"/>
          <w:sz w:val="20"/>
        </w:rPr>
        <w:t xml:space="preserve">ta’. </w:t>
      </w:r>
      <w:r>
        <w:rPr>
          <w:rFonts w:ascii="Times New Roman" w:hAnsi="Times New Roman" w:cs="Times New Roman"/>
          <w:color w:val="auto"/>
          <w:sz w:val="20"/>
        </w:rPr>
        <w:t xml:space="preserve">ePSI Platform Topic Report No. 2013/08, August 2013. </w:t>
      </w:r>
    </w:p>
  </w:footnote>
  <w:footnote w:id="168">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Creating Value through Open Data report, European Data Portal, November 2015.</w:t>
      </w:r>
    </w:p>
  </w:footnote>
  <w:footnote w:id="169">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Including 1,7 billion EUR cost savings for EU28 public administrations.</w:t>
      </w:r>
    </w:p>
  </w:footnote>
  <w:footnote w:id="170">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Creating Value through Open Data report, European Data Portal, November 2015.</w:t>
      </w:r>
    </w:p>
  </w:footnote>
  <w:footnote w:id="171">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Granickas, K.(2013), </w:t>
      </w:r>
      <w:r>
        <w:rPr>
          <w:rFonts w:ascii="Times New Roman" w:hAnsi="Times New Roman"/>
          <w:i/>
        </w:rPr>
        <w:t xml:space="preserve">‘Understanding the Impact of Releasing and re-Using Open Government Data’. </w:t>
      </w:r>
      <w:r>
        <w:rPr>
          <w:rFonts w:ascii="Times New Roman" w:hAnsi="Times New Roman"/>
        </w:rPr>
        <w:t>ePSI Platform Topic Report No. 2013/08, August 2013. p. 13.</w:t>
      </w:r>
    </w:p>
  </w:footnote>
  <w:footnote w:id="172">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For example: </w:t>
      </w:r>
      <w:hyperlink r:id="rId57" w:history="1">
        <w:r>
          <w:rPr>
            <w:rStyle w:val="Hyperlink"/>
            <w:rFonts w:ascii="Times New Roman" w:hAnsi="Times New Roman"/>
          </w:rPr>
          <w:t>http://dataportal.opendataforafrica.org/</w:t>
        </w:r>
      </w:hyperlink>
      <w:r>
        <w:rPr>
          <w:rFonts w:ascii="Times New Roman" w:hAnsi="Times New Roman"/>
        </w:rPr>
        <w:t xml:space="preserve"> </w:t>
      </w:r>
    </w:p>
  </w:footnote>
  <w:footnote w:id="173">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Ibid.</w:t>
      </w:r>
    </w:p>
  </w:footnote>
  <w:footnote w:id="174">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Ibid.</w:t>
      </w:r>
    </w:p>
  </w:footnote>
  <w:footnote w:id="175">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lang w:val="en-US"/>
        </w:rPr>
        <w:t xml:space="preserve"> It is for example estimated that the time it takes to go from lab to medicine can be cut by 10-15 years with Open Notebook Science, Impact Asses</w:t>
      </w:r>
      <w:r>
        <w:rPr>
          <w:rFonts w:ascii="Times New Roman" w:hAnsi="Times New Roman"/>
          <w:lang w:val="en-US"/>
        </w:rPr>
        <w:t>sment Support Study, Deloitte, SMART 2017/0061.</w:t>
      </w:r>
    </w:p>
  </w:footnote>
  <w:footnote w:id="176">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58" w:history="1">
        <w:r>
          <w:rPr>
            <w:rStyle w:val="Hyperlink"/>
            <w:rFonts w:ascii="Times New Roman" w:hAnsi="Times New Roman"/>
          </w:rPr>
          <w:t>https://www.theguardian.com/sustainable-business/2014/sep/11/climate-</w:t>
        </w:r>
        <w:r>
          <w:rPr>
            <w:rStyle w:val="Hyperlink"/>
            <w:rFonts w:ascii="Times New Roman" w:hAnsi="Times New Roman"/>
          </w:rPr>
          <w:t>change-open-data-apps-government-environment-agency</w:t>
        </w:r>
      </w:hyperlink>
      <w:r>
        <w:rPr>
          <w:rFonts w:ascii="Times New Roman" w:hAnsi="Times New Roman"/>
        </w:rPr>
        <w:t xml:space="preserve">  </w:t>
      </w:r>
    </w:p>
  </w:footnote>
  <w:footnote w:id="177">
    <w:p w:rsidR="00DF1A33" w:rsidRDefault="00456F01">
      <w:pPr>
        <w:pStyle w:val="FootnoteText"/>
        <w:jc w:val="both"/>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hyperlink r:id="rId59" w:history="1">
        <w:r>
          <w:rPr>
            <w:rStyle w:val="Hyperlink"/>
            <w:rFonts w:ascii="Times New Roman" w:hAnsi="Times New Roman"/>
            <w:lang w:val="en-US"/>
          </w:rPr>
          <w:t>https://ec.europa.eu/info/sites/info/files/better-regulation-guidelines.pdf</w:t>
        </w:r>
      </w:hyperlink>
      <w:r>
        <w:rPr>
          <w:rFonts w:ascii="Times New Roman" w:hAnsi="Times New Roman"/>
          <w:lang w:val="en-US"/>
        </w:rPr>
        <w:t xml:space="preserve">  </w:t>
      </w:r>
    </w:p>
  </w:footnote>
  <w:footnote w:id="178">
    <w:p w:rsidR="00DF1A33" w:rsidRDefault="00456F01">
      <w:pPr>
        <w:pStyle w:val="FootnoteText"/>
        <w:jc w:val="both"/>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hyperlink r:id="rId60" w:history="1">
        <w:r>
          <w:rPr>
            <w:rStyle w:val="Hyperlink"/>
            <w:rFonts w:ascii="Times New Roman" w:hAnsi="Times New Roman"/>
            <w:lang w:val="en-US"/>
          </w:rPr>
          <w:t>https://ec.europa.eu/info/sites/info/files/better-regulation-toolbox_1.pdf</w:t>
        </w:r>
      </w:hyperlink>
      <w:r>
        <w:rPr>
          <w:rFonts w:ascii="Times New Roman" w:hAnsi="Times New Roman"/>
          <w:lang w:val="en-US"/>
        </w:rPr>
        <w:t xml:space="preserve">  </w:t>
      </w:r>
    </w:p>
  </w:footnote>
  <w:footnote w:id="179">
    <w:p w:rsidR="00DF1A33" w:rsidRDefault="00456F01">
      <w:pPr>
        <w:pStyle w:val="FootnoteText"/>
        <w:jc w:val="both"/>
      </w:pPr>
      <w:r>
        <w:rPr>
          <w:rStyle w:val="FootnoteReference"/>
          <w:rFonts w:ascii="Times New Roman" w:hAnsi="Times New Roman"/>
        </w:rPr>
        <w:footnoteRef/>
      </w:r>
      <w:r>
        <w:rPr>
          <w:rFonts w:ascii="Times New Roman" w:hAnsi="Times New Roman"/>
        </w:rPr>
        <w:t xml:space="preserve"> The results of the multi-criteria analysis are available in the Impact Assessment Suppor</w:t>
      </w:r>
      <w:r>
        <w:rPr>
          <w:rFonts w:ascii="Times New Roman" w:hAnsi="Times New Roman"/>
        </w:rPr>
        <w:t>t Study, Deloitte, SMART 2017/0061.</w:t>
      </w:r>
    </w:p>
  </w:footnote>
  <w:footnote w:id="180">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A prime example is the list of 'open by default datasets'.</w:t>
      </w:r>
    </w:p>
  </w:footnote>
  <w:footnote w:id="181">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 results of the multi-criteria analysis are available in the Impact Assessment Support Study, Deloitte, SMART 2017/0061.</w:t>
      </w:r>
    </w:p>
  </w:footnote>
  <w:footnote w:id="182">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C(2018) 2375.</w:t>
      </w:r>
    </w:p>
  </w:footnote>
  <w:footnote w:id="183">
    <w:p w:rsidR="00DF1A33" w:rsidRDefault="00456F01">
      <w:pPr>
        <w:pStyle w:val="FootnoteText"/>
        <w:rPr>
          <w:rFonts w:ascii="Times New Roman" w:hAnsi="Times New Roman"/>
        </w:rPr>
      </w:pPr>
      <w:r>
        <w:rPr>
          <w:rStyle w:val="FootnoteReference"/>
        </w:rPr>
        <w:footnoteRef/>
      </w:r>
      <w:r>
        <w:t xml:space="preserve"> </w:t>
      </w:r>
      <w:r>
        <w:rPr>
          <w:rFonts w:ascii="Times New Roman" w:hAnsi="Times New Roman"/>
        </w:rPr>
        <w:t>Impact Assessme</w:t>
      </w:r>
      <w:r>
        <w:rPr>
          <w:rFonts w:ascii="Times New Roman" w:hAnsi="Times New Roman"/>
        </w:rPr>
        <w:t>nt Support Study, Deloitte, SMART 2017/0061.</w:t>
      </w:r>
    </w:p>
  </w:footnote>
  <w:footnote w:id="184">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Considering that API use might decrease the need to process the number of requests roughly by a half, an EU-wide benefit could reach 375 EUR (15h x 25 EUR) per institution per request multiplied by the number </w:t>
      </w:r>
      <w:r>
        <w:rPr>
          <w:rFonts w:ascii="Times New Roman" w:hAnsi="Times New Roman"/>
        </w:rPr>
        <w:t>of requests which will no longer be needed.</w:t>
      </w:r>
    </w:p>
  </w:footnote>
  <w:footnote w:id="185">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The direct saving for 28 Member States was estimated given that a) the elaboration of the most complete report required around 100 man/days, b) the elaboration of a medium quality report would take 50 man/days </w:t>
      </w:r>
      <w:r>
        <w:rPr>
          <w:rFonts w:ascii="Times New Roman" w:hAnsi="Times New Roman"/>
        </w:rPr>
        <w:t>and c) the average labour costs per day are 200 EUR (25x8).</w:t>
      </w:r>
    </w:p>
  </w:footnote>
  <w:footnote w:id="186">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The portal operates as a digital service infrastructure under the Connecting Europe Facility. It is funded by the European Commission: </w:t>
      </w:r>
      <w:hyperlink r:id="rId61" w:history="1">
        <w:r>
          <w:rPr>
            <w:rStyle w:val="Hyperlink"/>
            <w:rFonts w:ascii="Times New Roman" w:hAnsi="Times New Roman"/>
          </w:rPr>
          <w:t>www.europe</w:t>
        </w:r>
        <w:r>
          <w:rPr>
            <w:rStyle w:val="Hyperlink"/>
            <w:rFonts w:ascii="Times New Roman" w:hAnsi="Times New Roman"/>
          </w:rPr>
          <w:t>andataportal.eu</w:t>
        </w:r>
      </w:hyperlink>
      <w:r>
        <w:rPr>
          <w:rStyle w:val="Hyperlink"/>
          <w:rFonts w:ascii="Times New Roman" w:hAnsi="Times New Roman"/>
        </w:rPr>
        <w:t>.</w:t>
      </w:r>
      <w:r>
        <w:rPr>
          <w:rFonts w:ascii="Times New Roman" w:hAnsi="Times New Roman"/>
        </w:rPr>
        <w:t xml:space="preserve"> </w:t>
      </w:r>
    </w:p>
  </w:footnote>
  <w:footnote w:id="187">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The expert group meets twice a year and reports to the Commission on the progress of open data policy and legislation.</w:t>
      </w:r>
    </w:p>
  </w:footnote>
  <w:footnote w:id="188">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62" w:history="1">
        <w:r>
          <w:rPr>
            <w:rStyle w:val="Hyperlink"/>
            <w:rFonts w:ascii="Times New Roman" w:hAnsi="Times New Roman"/>
          </w:rPr>
          <w:t>http://www.psimonitor.eu/index.php/en/</w:t>
        </w:r>
      </w:hyperlink>
      <w:r>
        <w:rPr>
          <w:rFonts w:ascii="Times New Roman" w:hAnsi="Times New Roman"/>
        </w:rPr>
        <w:t xml:space="preserve">  </w:t>
      </w:r>
    </w:p>
  </w:footnote>
  <w:footnote w:id="189">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COM(2018) 234.</w:t>
      </w:r>
    </w:p>
  </w:footnote>
  <w:footnote w:id="190">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SEC(2018) 206.</w:t>
      </w:r>
    </w:p>
  </w:footnote>
  <w:footnote w:id="191">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SWD(2018) 145.</w:t>
      </w:r>
    </w:p>
  </w:footnote>
  <w:footnote w:id="192">
    <w:p w:rsidR="00DF1A33" w:rsidRDefault="00456F01">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Impact Assessment support study, </w:t>
      </w:r>
      <w:r>
        <w:rPr>
          <w:rFonts w:ascii="Times New Roman" w:hAnsi="Times New Roman"/>
          <w:lang w:val="en-US"/>
        </w:rPr>
        <w:t xml:space="preserve">Deloitte, 2018, </w:t>
      </w:r>
      <w:r>
        <w:rPr>
          <w:rFonts w:ascii="Times New Roman" w:hAnsi="Times New Roman"/>
        </w:rPr>
        <w:t>SMART 2017/0061</w:t>
      </w:r>
      <w:r>
        <w:rPr>
          <w:rFonts w:ascii="Times New Roman" w:hAnsi="Times New Roman"/>
          <w:lang w:val="en-US"/>
        </w:rPr>
        <w:t>.</w:t>
      </w:r>
    </w:p>
  </w:footnote>
  <w:footnote w:id="193">
    <w:p w:rsidR="00DF1A33" w:rsidRDefault="00456F01">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Ibid.</w:t>
      </w:r>
    </w:p>
  </w:footnote>
  <w:footnote w:id="194">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An example cost of implementing an API for a medium sized application. However, this cost would be optional, since there would be no hard obligat</w:t>
      </w:r>
      <w:r>
        <w:rPr>
          <w:rFonts w:ascii="Times New Roman" w:hAnsi="Times New Roman"/>
        </w:rPr>
        <w:t>ion to use APIs for most datasets. A hard obligation to use APIs would only apply to a certain number of high-value datasets.</w:t>
      </w:r>
    </w:p>
  </w:footnote>
  <w:footnote w:id="195">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The maximum cost of making available 14 categories of high-value datasets in all Member States via APIs (see p. 28 of the Impact</w:t>
      </w:r>
      <w:r>
        <w:rPr>
          <w:rFonts w:ascii="Times New Roman" w:hAnsi="Times New Roman"/>
        </w:rPr>
        <w:t xml:space="preserve"> Assessment)</w:t>
      </w:r>
    </w:p>
  </w:footnote>
  <w:footnote w:id="196">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It is estimated that by eliminating some of the exceptions to the marginal cost principle and making some of the high-value datasets free by default, the overall loss of income for public sector bodies will be approximately a half of the amount that would</w:t>
      </w:r>
      <w:r>
        <w:rPr>
          <w:rFonts w:ascii="Times New Roman" w:hAnsi="Times New Roman"/>
        </w:rPr>
        <w:t xml:space="preserve"> they would lose if charging was abolished entirely (300 million EUR – see. p. 30 of the Impact Assessment).</w:t>
      </w:r>
    </w:p>
  </w:footnote>
  <w:footnote w:id="197">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This would only apply to </w:t>
      </w:r>
      <w:r>
        <w:rPr>
          <w:rFonts w:ascii="Times New Roman" w:hAnsi="Times New Roman"/>
          <w:lang w:val="en-US"/>
        </w:rPr>
        <w:t>those public undertakings that are trading information that is produced as a side-product of their main activity.</w:t>
      </w:r>
    </w:p>
  </w:footnote>
  <w:footnote w:id="198">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Ther</w:t>
      </w:r>
      <w:r>
        <w:rPr>
          <w:rFonts w:ascii="Times New Roman" w:hAnsi="Times New Roman"/>
        </w:rPr>
        <w:t>e are approximately 1,500 open science repositories currently in the EU.</w:t>
      </w:r>
    </w:p>
  </w:footnote>
  <w:footnote w:id="199">
    <w:p w:rsidR="00DF1A33" w:rsidRDefault="00456F0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Based on the assumption that max 20 cases per year per Member State would need to undergo an ex-ante check, which would require 40 man-days split between the public sector body conc</w:t>
      </w:r>
      <w:r>
        <w:rPr>
          <w:rFonts w:ascii="Times New Roman" w:hAnsi="Times New Roman"/>
        </w:rPr>
        <w:t xml:space="preserve">erned and the national competition authority (so max. 160,000 EUR per Member State per year). The number of such cases is moreover expected to decline over time, due to the preventive effect that the inclusion of the new legislative provision will have on </w:t>
      </w:r>
      <w:r>
        <w:rPr>
          <w:rFonts w:ascii="Times New Roman" w:hAnsi="Times New Roman"/>
        </w:rPr>
        <w:t>the public sector bodies, as has been the case with the exclusive agreements targeted by article 11 of the Directive.</w:t>
      </w:r>
    </w:p>
  </w:footnote>
  <w:footnote w:id="200">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Open Government Data: Assessing demand around the world - A report from The Economist Intelligence Unit, 2017, p. 9</w:t>
      </w:r>
    </w:p>
  </w:footnote>
  <w:footnote w:id="201">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Open Data: Unlocki</w:t>
      </w:r>
      <w:r>
        <w:rPr>
          <w:rFonts w:ascii="Times New Roman" w:hAnsi="Times New Roman"/>
        </w:rPr>
        <w:t>ng innovation and performance with liquid information, 2013, p. 6</w:t>
      </w:r>
    </w:p>
  </w:footnote>
  <w:footnote w:id="202">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https://www.gov.uk/government/publications/open-data-charter/g8-open-data-charter-and-technical-annex</w:t>
      </w:r>
    </w:p>
  </w:footnote>
  <w:footnote w:id="203">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63" w:history="1">
        <w:r>
          <w:rPr>
            <w:rStyle w:val="Hyperlink"/>
            <w:rFonts w:ascii="Times New Roman" w:hAnsi="Times New Roman"/>
          </w:rPr>
          <w:t>https://opendatacharter.net/</w:t>
        </w:r>
      </w:hyperlink>
      <w:r>
        <w:rPr>
          <w:rFonts w:ascii="Times New Roman" w:hAnsi="Times New Roman"/>
        </w:rPr>
        <w:t xml:space="preserve"> </w:t>
      </w:r>
    </w:p>
  </w:footnote>
  <w:footnote w:id="204">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64" w:history="1">
        <w:r>
          <w:rPr>
            <w:rStyle w:val="Hyperlink"/>
            <w:rFonts w:ascii="Times New Roman" w:hAnsi="Times New Roman"/>
          </w:rPr>
          <w:t>https://ec.europa.eu/digital-single-market/en/news/eu-implementation-g8-open-data-charter</w:t>
        </w:r>
      </w:hyperlink>
      <w:r>
        <w:rPr>
          <w:rFonts w:ascii="Times New Roman" w:hAnsi="Times New Roman"/>
        </w:rPr>
        <w:t xml:space="preserve"> </w:t>
      </w:r>
    </w:p>
  </w:footnote>
  <w:footnote w:id="205">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65" w:history="1">
        <w:r>
          <w:rPr>
            <w:rStyle w:val="Hyperlink"/>
            <w:rFonts w:ascii="Times New Roman" w:hAnsi="Times New Roman"/>
          </w:rPr>
          <w:t>www.opengovpar</w:t>
        </w:r>
        <w:r>
          <w:rPr>
            <w:rStyle w:val="Hyperlink"/>
            <w:rFonts w:ascii="Times New Roman" w:hAnsi="Times New Roman"/>
          </w:rPr>
          <w:t>tnership.org</w:t>
        </w:r>
      </w:hyperlink>
      <w:r>
        <w:rPr>
          <w:rFonts w:ascii="Times New Roman" w:hAnsi="Times New Roman"/>
          <w:shd w:val="clear" w:color="auto" w:fill="FFFFFF"/>
        </w:rPr>
        <w:t xml:space="preserve"> </w:t>
      </w:r>
    </w:p>
  </w:footnote>
  <w:footnote w:id="206">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i/>
        </w:rPr>
        <w:t>Memorandum for the Heads of the Executive Departments and Agencies</w:t>
      </w:r>
      <w:r>
        <w:rPr>
          <w:rFonts w:ascii="Times New Roman" w:hAnsi="Times New Roman"/>
        </w:rPr>
        <w:t xml:space="preserve">, May 9, 2013: </w:t>
      </w:r>
      <w:hyperlink r:id="rId66" w:history="1">
        <w:r>
          <w:rPr>
            <w:rStyle w:val="Hyperlink"/>
            <w:rFonts w:ascii="Times New Roman" w:hAnsi="Times New Roman"/>
          </w:rPr>
          <w:t>https://www.whitehouse.gov/sites/default/files/omb/memoranda/2013</w:t>
        </w:r>
        <w:r>
          <w:rPr>
            <w:rStyle w:val="Hyperlink"/>
            <w:rFonts w:ascii="Times New Roman" w:hAnsi="Times New Roman"/>
          </w:rPr>
          <w:t>/m-13-13.pdf</w:t>
        </w:r>
      </w:hyperlink>
      <w:r>
        <w:rPr>
          <w:rFonts w:ascii="Times New Roman" w:hAnsi="Times New Roman"/>
        </w:rPr>
        <w:t xml:space="preserve"> </w:t>
      </w:r>
    </w:p>
  </w:footnote>
  <w:footnote w:id="207">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i/>
        </w:rPr>
        <w:t>Executive Order – Making Open and Machine Readable the New Default for Government Information</w:t>
      </w:r>
      <w:r>
        <w:rPr>
          <w:rFonts w:ascii="Times New Roman" w:hAnsi="Times New Roman"/>
        </w:rPr>
        <w:t xml:space="preserve">, May 9, 2013: </w:t>
      </w:r>
      <w:hyperlink r:id="rId67" w:history="1">
        <w:r>
          <w:rPr>
            <w:rStyle w:val="Hyperlink"/>
            <w:rFonts w:ascii="Times New Roman" w:hAnsi="Times New Roman"/>
          </w:rPr>
          <w:t>https://www.whitehouse.gov/the-press-office/2013/05/09/executive-order-making-open-and-machine-readable-new-default-government-</w:t>
        </w:r>
      </w:hyperlink>
      <w:r>
        <w:rPr>
          <w:rFonts w:ascii="Times New Roman" w:hAnsi="Times New Roman"/>
        </w:rPr>
        <w:t xml:space="preserve"> </w:t>
      </w:r>
    </w:p>
  </w:footnote>
  <w:footnote w:id="208">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i/>
        </w:rPr>
        <w:t>US Open data Action plan 2014-2015</w:t>
      </w:r>
      <w:r>
        <w:rPr>
          <w:rFonts w:ascii="Times New Roman" w:hAnsi="Times New Roman"/>
        </w:rPr>
        <w:t xml:space="preserve"> </w:t>
      </w:r>
      <w:hyperlink r:id="rId68" w:history="1">
        <w:r>
          <w:rPr>
            <w:rStyle w:val="Hyperlink"/>
            <w:rFonts w:ascii="Times New Roman" w:hAnsi="Times New Roman"/>
            <w:lang w:val="en-US"/>
          </w:rPr>
          <w:t>http://www.whitehouse.gov/sites/default/files/microsites/ostp/us_open_data_action_plan.pdf</w:t>
        </w:r>
      </w:hyperlink>
    </w:p>
  </w:footnote>
  <w:footnote w:id="209">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i/>
        </w:rPr>
        <w:t>The Power of Open data to Solve Old Problems in New Ways</w:t>
      </w:r>
      <w:r>
        <w:rPr>
          <w:rFonts w:ascii="Times New Roman" w:hAnsi="Times New Roman"/>
        </w:rPr>
        <w:t>, blog post at opening session of the 3</w:t>
      </w:r>
      <w:r>
        <w:rPr>
          <w:rFonts w:ascii="Times New Roman" w:hAnsi="Times New Roman"/>
          <w:vertAlign w:val="superscript"/>
        </w:rPr>
        <w:t>rd</w:t>
      </w:r>
      <w:r>
        <w:rPr>
          <w:rFonts w:ascii="Times New Roman" w:hAnsi="Times New Roman"/>
        </w:rPr>
        <w:t xml:space="preserve"> International Open Data Conference 2015: </w:t>
      </w:r>
      <w:hyperlink r:id="rId69" w:history="1">
        <w:r>
          <w:rPr>
            <w:rStyle w:val="Hyperlink"/>
            <w:rFonts w:ascii="Times New Roman" w:hAnsi="Times New Roman"/>
          </w:rPr>
          <w:t>http://opendatacon.org/the-power-of-open-data-to-solve-old-problems-in-new-ways/</w:t>
        </w:r>
      </w:hyperlink>
      <w:r>
        <w:rPr>
          <w:rFonts w:ascii="Times New Roman" w:hAnsi="Times New Roman"/>
        </w:rPr>
        <w:t xml:space="preserve"> .</w:t>
      </w:r>
    </w:p>
  </w:footnote>
  <w:footnote w:id="210">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https://project-open-data.cio.go</w:t>
      </w:r>
      <w:r>
        <w:rPr>
          <w:rFonts w:ascii="Times New Roman" w:hAnsi="Times New Roman"/>
        </w:rPr>
        <w:t>v/policy-memo/</w:t>
      </w:r>
    </w:p>
  </w:footnote>
  <w:footnote w:id="211">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https://www.oaic.gov.au/information-policy/information-policy-resources/principles-on-open-public-sector-information</w:t>
      </w:r>
    </w:p>
  </w:footnote>
  <w:footnote w:id="212">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https://www.legislation.gov.au/Series/C2004A02562</w:t>
      </w:r>
    </w:p>
  </w:footnote>
  <w:footnote w:id="213">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70" w:history="1">
        <w:r>
          <w:rPr>
            <w:rStyle w:val="Hyperlink"/>
            <w:rFonts w:ascii="Times New Roman" w:hAnsi="Times New Roman"/>
          </w:rPr>
          <w:t>http://www.pc.gov.au/inquiries/completed/data-access/report</w:t>
        </w:r>
      </w:hyperlink>
      <w:r>
        <w:rPr>
          <w:rFonts w:ascii="Times New Roman" w:hAnsi="Times New Roman"/>
        </w:rPr>
        <w:t xml:space="preserve"> </w:t>
      </w:r>
    </w:p>
  </w:footnote>
  <w:footnote w:id="214">
    <w:p w:rsidR="00DF1A33" w:rsidRDefault="00456F01">
      <w:pPr>
        <w:spacing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lang w:val="en-US"/>
        </w:rPr>
        <w:t xml:space="preserve"> </w:t>
      </w:r>
      <w:r>
        <w:rPr>
          <w:rFonts w:ascii="Times New Roman" w:hAnsi="Times New Roman" w:cs="Times New Roman"/>
          <w:sz w:val="20"/>
          <w:szCs w:val="20"/>
        </w:rPr>
        <w:t>The data collected through the implementation of the above tools will be analysed through the application of the following analytical methods and processes: Legal analysis; Triangulatio</w:t>
      </w:r>
      <w:r>
        <w:rPr>
          <w:rFonts w:ascii="Times New Roman" w:hAnsi="Times New Roman" w:cs="Times New Roman"/>
          <w:sz w:val="20"/>
          <w:szCs w:val="20"/>
        </w:rPr>
        <w:t>n; Analysis of costs and benefits; and Multi-Criteria-Analysis.</w:t>
      </w:r>
    </w:p>
  </w:footnote>
  <w:footnote w:id="215">
    <w:p w:rsidR="00DF1A33" w:rsidRDefault="00456F01">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See: https://ec.europa.eu/info/consultations/public-consultation-review-directive-re-use-public-sector-information-psi-directive_en</w:t>
      </w:r>
    </w:p>
  </w:footnote>
  <w:footnote w:id="216">
    <w:p w:rsidR="00DF1A33" w:rsidRDefault="00456F01">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hyperlink r:id="rId71" w:history="1">
        <w:r>
          <w:rPr>
            <w:rStyle w:val="Hyperlink"/>
            <w:rFonts w:ascii="Times New Roman" w:hAnsi="Times New Roman"/>
            <w:lang w:val="en-US"/>
          </w:rPr>
          <w:t>http://data-reuse.eu/</w:t>
        </w:r>
      </w:hyperlink>
      <w:r>
        <w:rPr>
          <w:rFonts w:ascii="Times New Roman" w:hAnsi="Times New Roman"/>
          <w:lang w:val="en-US"/>
        </w:rPr>
        <w:t xml:space="preserve"> </w:t>
      </w:r>
    </w:p>
  </w:footnote>
  <w:footnote w:id="217">
    <w:p w:rsidR="00DF1A33" w:rsidRDefault="00456F01">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hyperlink r:id="rId72" w:history="1">
        <w:r>
          <w:rPr>
            <w:rStyle w:val="Hyperlink"/>
            <w:rFonts w:ascii="Times New Roman" w:hAnsi="Times New Roman"/>
            <w:lang w:val="en-US"/>
          </w:rPr>
          <w:t>https://www.kl.nl/en/people/paul-keller/</w:t>
        </w:r>
      </w:hyperlink>
      <w:r>
        <w:rPr>
          <w:rFonts w:ascii="Times New Roman" w:hAnsi="Times New Roman"/>
          <w:lang w:val="en-US"/>
        </w:rPr>
        <w:t xml:space="preserve"> </w:t>
      </w:r>
    </w:p>
  </w:footnote>
  <w:footnote w:id="218">
    <w:p w:rsidR="00DF1A33" w:rsidRDefault="00456F01">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See: https://ec.europa.eu/eusurvey/runner/culturaldataPSI</w:t>
      </w:r>
    </w:p>
  </w:footnote>
  <w:footnote w:id="219">
    <w:p w:rsidR="00DF1A33" w:rsidRDefault="00456F01">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See: https://ec.europa.eu/eusurvey/runner/ResearchSurvey</w:t>
      </w:r>
    </w:p>
  </w:footnote>
  <w:footnote w:id="220">
    <w:p w:rsidR="00DF1A33" w:rsidRDefault="00456F01">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See: https://ec.europa.eu/eusurvey/runner/PSIReusersSurvey</w:t>
      </w:r>
    </w:p>
  </w:footnote>
  <w:footnote w:id="221">
    <w:p w:rsidR="00DF1A33" w:rsidRDefault="00456F01">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See: https://ec.europa.eu/info/consultations/public-consultation-review-directive-re-use-public-sector-information-psi-directive_en</w:t>
      </w:r>
    </w:p>
  </w:footnote>
  <w:footnote w:id="222">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Powernext manages the natural gas activities and renders ser</w:t>
      </w:r>
      <w:r>
        <w:rPr>
          <w:rFonts w:ascii="Times New Roman" w:hAnsi="Times New Roman"/>
        </w:rPr>
        <w:t xml:space="preserve">vices to the energy sector and operates the National Registry for electricity guarantees of origin in France. </w:t>
      </w:r>
    </w:p>
  </w:footnote>
  <w:footnote w:id="223">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73" w:anchor="2017" w:history="1">
        <w:r>
          <w:rPr>
            <w:rStyle w:val="Hyperlink"/>
            <w:rFonts w:ascii="Times New Roman" w:hAnsi="Times New Roman"/>
          </w:rPr>
          <w:t>https://www.europeandataportal.eu/en/dashboard#2017</w:t>
        </w:r>
      </w:hyperlink>
      <w:r>
        <w:rPr>
          <w:rFonts w:ascii="Times New Roman" w:hAnsi="Times New Roman"/>
        </w:rPr>
        <w:t xml:space="preserve"> </w:t>
      </w:r>
    </w:p>
  </w:footnote>
  <w:footnote w:id="224">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Public Transpor</w:t>
      </w:r>
      <w:r>
        <w:rPr>
          <w:rFonts w:ascii="Times New Roman" w:hAnsi="Times New Roman"/>
        </w:rPr>
        <w:t>t Information System (PTIS)</w:t>
      </w:r>
      <w:r>
        <w:rPr>
          <w:rStyle w:val="FootnoteReference"/>
          <w:rFonts w:ascii="Times New Roman" w:hAnsi="Times New Roman"/>
        </w:rPr>
        <w:footnoteRef/>
      </w:r>
      <w:r>
        <w:rPr>
          <w:rFonts w:ascii="Times New Roman" w:hAnsi="Times New Roman"/>
        </w:rPr>
        <w:t xml:space="preserve"> groups together information to plan, manage, supervise and use public transport services. It was created with the help of the European Economic Area and Norwegian Financial Mechanisms.</w:t>
      </w:r>
    </w:p>
  </w:footnote>
  <w:footnote w:id="225">
    <w:p w:rsidR="00DF1A33" w:rsidRDefault="00456F0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Its business is influenced by the fact t</w:t>
      </w:r>
      <w:r>
        <w:rPr>
          <w:rFonts w:ascii="Times New Roman" w:hAnsi="Times New Roman"/>
        </w:rPr>
        <w:t>hat it has a regulated public task to administer and maintain energy networks. It is important to notice that, under the Energy Act 1998, network administrators are obligated to share and exchange their own data between network administrators and the trans</w:t>
      </w:r>
      <w:r>
        <w:rPr>
          <w:rFonts w:ascii="Times New Roman" w:hAnsi="Times New Roman"/>
        </w:rPr>
        <w:t>mission systems operators. However, there is no legal requirement to disseminate data to the general public.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F01" w:rsidRPr="00456F01" w:rsidRDefault="00456F01" w:rsidP="00456F0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33" w:rsidRDefault="00DF1A3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33" w:rsidRDefault="00DF1A3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33" w:rsidRDefault="00DF1A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F01" w:rsidRPr="00456F01" w:rsidRDefault="00456F01" w:rsidP="00456F01">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F01" w:rsidRPr="00456F01" w:rsidRDefault="00456F01" w:rsidP="00456F01">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33" w:rsidRDefault="00DF1A3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33" w:rsidRDefault="00DF1A3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33" w:rsidRDefault="00DF1A3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33" w:rsidRDefault="00DF1A3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33" w:rsidRDefault="00DF1A3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33" w:rsidRDefault="00DF1A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B2D"/>
    <w:multiLevelType w:val="hybridMultilevel"/>
    <w:tmpl w:val="ED022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146DA0"/>
    <w:multiLevelType w:val="hybridMultilevel"/>
    <w:tmpl w:val="C74C55EC"/>
    <w:lvl w:ilvl="0" w:tplc="0809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09AF25CF"/>
    <w:multiLevelType w:val="hybridMultilevel"/>
    <w:tmpl w:val="6AACD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050C71"/>
    <w:multiLevelType w:val="hybridMultilevel"/>
    <w:tmpl w:val="0526FE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F734306"/>
    <w:multiLevelType w:val="multilevel"/>
    <w:tmpl w:val="D266108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720"/>
        </w:tabs>
        <w:ind w:left="720" w:hanging="720"/>
      </w:pPr>
    </w:lvl>
    <w:lvl w:ilvl="2">
      <w:start w:val="1"/>
      <w:numFmt w:val="decimal"/>
      <w:pStyle w:val="Heading3"/>
      <w:lvlText w:val="%1.%2.%3."/>
      <w:lvlJc w:val="left"/>
      <w:pPr>
        <w:tabs>
          <w:tab w:val="num" w:pos="1004"/>
        </w:tabs>
        <w:ind w:left="1004"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FA53F58"/>
    <w:multiLevelType w:val="hybridMultilevel"/>
    <w:tmpl w:val="10F49C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0AF1DAF"/>
    <w:multiLevelType w:val="hybridMultilevel"/>
    <w:tmpl w:val="153E36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511838"/>
    <w:multiLevelType w:val="hybridMultilevel"/>
    <w:tmpl w:val="C5BC68BC"/>
    <w:lvl w:ilvl="0" w:tplc="0809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248070C4"/>
    <w:multiLevelType w:val="hybridMultilevel"/>
    <w:tmpl w:val="B44A1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F93612F"/>
    <w:multiLevelType w:val="hybridMultilevel"/>
    <w:tmpl w:val="4240DE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30E91B15"/>
    <w:multiLevelType w:val="hybridMultilevel"/>
    <w:tmpl w:val="723CEA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3786605B"/>
    <w:multiLevelType w:val="hybridMultilevel"/>
    <w:tmpl w:val="7B40C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494AE4"/>
    <w:multiLevelType w:val="hybridMultilevel"/>
    <w:tmpl w:val="864EFE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B88064C"/>
    <w:multiLevelType w:val="hybridMultilevel"/>
    <w:tmpl w:val="744C19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C107E78"/>
    <w:multiLevelType w:val="hybridMultilevel"/>
    <w:tmpl w:val="2558085E"/>
    <w:lvl w:ilvl="0" w:tplc="993644E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6">
    <w:nsid w:val="3E9E799B"/>
    <w:multiLevelType w:val="hybridMultilevel"/>
    <w:tmpl w:val="13201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D156846"/>
    <w:multiLevelType w:val="hybridMultilevel"/>
    <w:tmpl w:val="42D2C6A6"/>
    <w:lvl w:ilvl="0" w:tplc="B896F8E4">
      <w:start w:val="1"/>
      <w:numFmt w:val="bullet"/>
      <w:lvlText w:val=""/>
      <w:lvlJc w:val="left"/>
      <w:pPr>
        <w:ind w:left="720" w:hanging="360"/>
      </w:pPr>
      <w:rPr>
        <w:rFonts w:ascii="Wingdings" w:hAnsi="Wingdings" w:hint="default"/>
        <w:strike w:val="0"/>
        <w:dstrike w:val="0"/>
        <w:sz w:val="24"/>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9">
    <w:nsid w:val="61F42B3F"/>
    <w:multiLevelType w:val="hybridMultilevel"/>
    <w:tmpl w:val="6A98C71E"/>
    <w:lvl w:ilvl="0" w:tplc="43B03EFC">
      <w:start w:val="1"/>
      <w:numFmt w:val="bullet"/>
      <w:lvlText w:val=""/>
      <w:lvlJc w:val="left"/>
      <w:pPr>
        <w:ind w:left="786" w:hanging="360"/>
      </w:pPr>
      <w:rPr>
        <w:rFonts w:ascii="Symbol" w:hAnsi="Symbol" w:hint="default"/>
        <w:color w:val="auto"/>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20">
    <w:nsid w:val="63C53C43"/>
    <w:multiLevelType w:val="hybridMultilevel"/>
    <w:tmpl w:val="45E004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69261AC7"/>
    <w:multiLevelType w:val="hybridMultilevel"/>
    <w:tmpl w:val="1526D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A162CEF"/>
    <w:multiLevelType w:val="multilevel"/>
    <w:tmpl w:val="F55E9B26"/>
    <w:lvl w:ilvl="0">
      <w:start w:val="1"/>
      <w:numFmt w:val="bullet"/>
      <w:pStyle w:val="BulletPSP"/>
      <w:lvlText w:val=""/>
      <w:lvlJc w:val="left"/>
      <w:pPr>
        <w:ind w:left="567" w:hanging="283"/>
      </w:pPr>
      <w:rPr>
        <w:rFonts w:ascii="Symbol" w:hAnsi="Symbol" w:hint="default"/>
        <w:color w:val="4F81BD" w:themeColor="accent1"/>
      </w:rPr>
    </w:lvl>
    <w:lvl w:ilvl="1">
      <w:start w:val="1"/>
      <w:numFmt w:val="bullet"/>
      <w:lvlText w:val=""/>
      <w:lvlJc w:val="left"/>
      <w:pPr>
        <w:ind w:left="709" w:hanging="283"/>
      </w:pPr>
      <w:rPr>
        <w:rFonts w:ascii="Symbol" w:hAnsi="Symbol" w:hint="default"/>
        <w:color w:val="1F497D" w:themeColor="text2"/>
      </w:rPr>
    </w:lvl>
    <w:lvl w:ilvl="2">
      <w:start w:val="1"/>
      <w:numFmt w:val="bullet"/>
      <w:lvlText w:val=""/>
      <w:lvlJc w:val="left"/>
      <w:pPr>
        <w:ind w:left="1135" w:hanging="283"/>
      </w:pPr>
      <w:rPr>
        <w:rFonts w:ascii="Symbol" w:hAnsi="Symbol" w:hint="default"/>
        <w:color w:val="4BACC6" w:themeColor="accent5"/>
      </w:rPr>
    </w:lvl>
    <w:lvl w:ilvl="3">
      <w:start w:val="1"/>
      <w:numFmt w:val="bullet"/>
      <w:lvlText w:val=""/>
      <w:lvlJc w:val="left"/>
      <w:pPr>
        <w:ind w:left="1419" w:hanging="283"/>
      </w:pPr>
      <w:rPr>
        <w:rFonts w:ascii="Symbol" w:hAnsi="Symbol" w:hint="default"/>
        <w:color w:val="C0504D" w:themeColor="accent2"/>
      </w:rPr>
    </w:lvl>
    <w:lvl w:ilvl="4">
      <w:start w:val="1"/>
      <w:numFmt w:val="bullet"/>
      <w:lvlText w:val=""/>
      <w:lvlJc w:val="left"/>
      <w:pPr>
        <w:ind w:left="1703" w:hanging="283"/>
      </w:pPr>
      <w:rPr>
        <w:rFonts w:ascii="Symbol" w:hAnsi="Symbol" w:hint="default"/>
        <w:color w:val="000000" w:themeColor="text1"/>
      </w:rPr>
    </w:lvl>
    <w:lvl w:ilvl="5">
      <w:start w:val="1"/>
      <w:numFmt w:val="bullet"/>
      <w:lvlText w:val=""/>
      <w:lvlJc w:val="left"/>
      <w:pPr>
        <w:ind w:left="1987" w:hanging="283"/>
      </w:pPr>
      <w:rPr>
        <w:rFonts w:ascii="Symbol" w:hAnsi="Symbol" w:hint="default"/>
        <w:color w:val="8064A2" w:themeColor="accent4"/>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Times New Roman" w:hint="default"/>
      </w:rPr>
    </w:lvl>
    <w:lvl w:ilvl="8">
      <w:start w:val="1"/>
      <w:numFmt w:val="bullet"/>
      <w:lvlText w:val=""/>
      <w:lvlJc w:val="left"/>
      <w:pPr>
        <w:ind w:left="2839" w:hanging="283"/>
      </w:pPr>
      <w:rPr>
        <w:rFonts w:ascii="Wingdings" w:hAnsi="Wingdings" w:hint="default"/>
      </w:rPr>
    </w:lvl>
  </w:abstractNum>
  <w:abstractNum w:abstractNumId="23">
    <w:nsid w:val="6B2E1864"/>
    <w:multiLevelType w:val="hybridMultilevel"/>
    <w:tmpl w:val="891C6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CCA3F5F"/>
    <w:multiLevelType w:val="hybridMultilevel"/>
    <w:tmpl w:val="07C686DA"/>
    <w:lvl w:ilvl="0" w:tplc="08090001">
      <w:start w:val="1"/>
      <w:numFmt w:val="bullet"/>
      <w:lvlText w:val=""/>
      <w:lvlJc w:val="left"/>
      <w:pPr>
        <w:ind w:left="360" w:hanging="360"/>
      </w:pPr>
      <w:rPr>
        <w:rFonts w:ascii="Symbol" w:hAnsi="Symbol" w:hint="default"/>
      </w:rPr>
    </w:lvl>
    <w:lvl w:ilvl="1" w:tplc="B2C0F324">
      <w:numFmt w:val="bullet"/>
      <w:lvlText w:val="•"/>
      <w:lvlJc w:val="left"/>
      <w:pPr>
        <w:ind w:left="1440" w:hanging="720"/>
      </w:pPr>
      <w:rPr>
        <w:rFonts w:ascii="Times New Roman" w:eastAsiaTheme="minorHAnsi" w:hAnsi="Times New Roman" w:cs="Times New Roman" w:hint="default"/>
      </w:rPr>
    </w:lvl>
    <w:lvl w:ilvl="2" w:tplc="0809001B">
      <w:start w:val="1"/>
      <w:numFmt w:val="lowerRoman"/>
      <w:lvlText w:val="%3."/>
      <w:lvlJc w:val="right"/>
      <w:pPr>
        <w:ind w:left="1800" w:hanging="180"/>
      </w:pPr>
    </w:lvl>
    <w:lvl w:ilvl="3" w:tplc="08090001">
      <w:start w:val="1"/>
      <w:numFmt w:val="bullet"/>
      <w:lvlText w:val=""/>
      <w:lvlJc w:val="left"/>
      <w:pPr>
        <w:ind w:left="2520" w:hanging="360"/>
      </w:pPr>
      <w:rPr>
        <w:rFonts w:ascii="Symbol" w:hAnsi="Symbol"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793B23A8"/>
    <w:multiLevelType w:val="hybridMultilevel"/>
    <w:tmpl w:val="42564AC4"/>
    <w:lvl w:ilvl="0" w:tplc="90241F9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20"/>
  </w:num>
  <w:num w:numId="7">
    <w:abstractNumId w:val="12"/>
  </w:num>
  <w:num w:numId="8">
    <w:abstractNumId w:val="14"/>
  </w:num>
  <w:num w:numId="9">
    <w:abstractNumId w:val="23"/>
  </w:num>
  <w:num w:numId="10">
    <w:abstractNumId w:val="2"/>
  </w:num>
  <w:num w:numId="11">
    <w:abstractNumId w:val="6"/>
  </w:num>
  <w:num w:numId="12">
    <w:abstractNumId w:val="10"/>
  </w:num>
  <w:num w:numId="13">
    <w:abstractNumId w:val="11"/>
  </w:num>
  <w:num w:numId="14">
    <w:abstractNumId w:val="25"/>
  </w:num>
  <w:num w:numId="15">
    <w:abstractNumId w:val="16"/>
  </w:num>
  <w:num w:numId="16">
    <w:abstractNumId w:val="5"/>
  </w:num>
  <w:num w:numId="17">
    <w:abstractNumId w:val="3"/>
  </w:num>
  <w:num w:numId="18">
    <w:abstractNumId w:val="21"/>
  </w:num>
  <w:num w:numId="19">
    <w:abstractNumId w:val="0"/>
  </w:num>
  <w:num w:numId="20">
    <w:abstractNumId w:val="13"/>
  </w:num>
  <w:num w:numId="21">
    <w:abstractNumId w:val="8"/>
  </w:num>
  <w:num w:numId="22">
    <w:abstractNumId w:val="19"/>
  </w:num>
  <w:num w:numId="23">
    <w:abstractNumId w:val="9"/>
  </w:num>
  <w:num w:numId="24">
    <w:abstractNumId w:val="7"/>
  </w:num>
  <w:num w:numId="25">
    <w:abstractNumId w:val="17"/>
  </w:num>
  <w:num w:numId="26">
    <w:abstractNumId w:val="1"/>
  </w:num>
  <w:num w:numId="27">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C6E03C41-2920-4EBB-8CAC-8B9ABACDFD47"/>
    <w:docVar w:name="LW_COVERPAGE_TYPE" w:val="1"/>
    <w:docVar w:name="LW_CROSSREFERENCE" w:val="{COM(2018) 234 final}_x000d__x000a_{SWD(2018) 128 final}_x000d_"/>
    <w:docVar w:name="LW_DocType" w:val="NORMAL"/>
    <w:docVar w:name="LW_EMISSION" w:val="25.4.2018"/>
    <w:docVar w:name="LW_EMISSION_ISODATE" w:val="2018-04-25"/>
    <w:docVar w:name="LW_EMISSION_LOCATION" w:val="BRX"/>
    <w:docVar w:name="LW_EMISSION_PREFIX" w:val="Brussels,"/>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lt;UNUSED&gt;"/>
    <w:docVar w:name="LW_PART_NBR" w:val="1"/>
    <w:docVar w:name="LW_PART_NBR_TOTAL" w:val="1"/>
    <w:docVar w:name="LW_REF.INST.NEW" w:val="SWD"/>
    <w:docVar w:name="LW_REF.INST.NEW_ADOPTED" w:val="final"/>
    <w:docVar w:name="LW_REF.INST.NEW_TEXT" w:val="(2018) 12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Directive of the European Parliament and of the Council on the re-use of public sector information"/>
  </w:docVars>
  <w:rsids>
    <w:rsidRoot w:val="00DF1A33"/>
    <w:rsid w:val="00456F01"/>
    <w:rsid w:val="00DF1A3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uiPriority w:val="9"/>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uiPriority w:val="9"/>
    <w:qFormat/>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uiPriority w:val="9"/>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uiPriority w:val="9"/>
    <w:unhideWhenUsed/>
    <w:qFormat/>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rPr>
      <w:rFonts w:ascii="Times New Roman" w:eastAsia="Times New Roman" w:hAnsi="Times New Roman" w:cs="Times New Roman"/>
      <w:i/>
      <w:sz w:val="24"/>
      <w:szCs w:val="20"/>
    </w:rPr>
  </w:style>
  <w:style w:type="character" w:customStyle="1" w:styleId="Heading4Char">
    <w:name w:val="Heading 4 Char"/>
    <w:basedOn w:val="DefaultParagraphFont"/>
    <w:link w:val="Heading4"/>
    <w:uiPriority w:val="9"/>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Deloitte"/>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ListParagraph">
    <w:name w:val="List Paragraph"/>
    <w:aliases w:val="List,Normal bullet 2,Bullet list,Numbered List,List Paragraph1,1st level - Bullet List Paragraph,Lettre d'introduction,Paragrafo elenco,Colorful List - Accent 11,List1,Medium Grid 1 - Accent 21,List Paragraph11,FooterText,List11"/>
    <w:basedOn w:val="Normal"/>
    <w:link w:val="ListParagraphChar"/>
    <w:uiPriority w:val="34"/>
    <w:qFormat/>
    <w:pPr>
      <w:ind w:left="720"/>
      <w:contextualSpacing/>
    </w:p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o,AF Fußnotentext"/>
    <w:basedOn w:val="Normal"/>
    <w:link w:val="FootnoteTextChar"/>
    <w:uiPriority w:val="99"/>
    <w:unhideWhenUsed/>
    <w:qFormat/>
    <w:pPr>
      <w:spacing w:after="0" w:line="240" w:lineRule="auto"/>
    </w:pPr>
    <w:rPr>
      <w:rFonts w:ascii="Calibri" w:hAnsi="Calibri" w:cs="Times New Roman"/>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Calibri" w:hAnsi="Calibri" w:cs="Times New Roman"/>
      <w:sz w:val="20"/>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FR,styli"/>
    <w:basedOn w:val="DefaultParagraphFont"/>
    <w:link w:val="FootnotesymbolCarZchn"/>
    <w:uiPriority w:val="99"/>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jc w:val="both"/>
    </w:pPr>
    <w:rPr>
      <w:vertAlign w:val="superscript"/>
    </w:rPr>
  </w:style>
  <w:style w:type="paragraph" w:customStyle="1" w:styleId="Default">
    <w:name w:val="Default"/>
    <w:pPr>
      <w:autoSpaceDE w:val="0"/>
      <w:autoSpaceDN w:val="0"/>
      <w:adjustRightInd w:val="0"/>
      <w:spacing w:after="0" w:line="240" w:lineRule="auto"/>
    </w:pPr>
    <w:rPr>
      <w:rFonts w:ascii="Ubuntu Light" w:hAnsi="Ubuntu Light" w:cs="Ubuntu Light"/>
      <w:color w:val="000000"/>
      <w:sz w:val="24"/>
      <w:szCs w:val="24"/>
    </w:rPr>
  </w:style>
  <w:style w:type="character" w:customStyle="1" w:styleId="A16">
    <w:name w:val="A16"/>
    <w:uiPriority w:val="99"/>
    <w:rPr>
      <w:color w:val="000000"/>
      <w:sz w:val="16"/>
      <w:szCs w:val="16"/>
    </w:rPr>
  </w:style>
  <w:style w:type="paragraph" w:styleId="Caption">
    <w:name w:val="caption"/>
    <w:aliases w:val="Char Char Char,Caption1 Char Char Char Char Char Char Char Char,Caption1 Char Char Char Char Char Char Char Char Tegn Tegn Tegn Tegn Tegn,Caption1 Char Char Char Char Char Char Char Char Tegn Tegn Tegn,Char Car,Caption - Centre Graphic,Ch,C"/>
    <w:basedOn w:val="Normal"/>
    <w:next w:val="Normal"/>
    <w:unhideWhenUsed/>
    <w:qFormat/>
    <w:pPr>
      <w:spacing w:line="240" w:lineRule="auto"/>
    </w:pPr>
    <w:rPr>
      <w:rFonts w:ascii="Calibri" w:eastAsia="Times New Roman" w:hAnsi="Calibri" w:cs="Times New Roman"/>
      <w:b/>
      <w:bCs/>
      <w:color w:val="4F81BD" w:themeColor="accent1"/>
      <w:sz w:val="18"/>
      <w:szCs w:val="18"/>
      <w:lang w:eastAsia="nl-NL"/>
    </w:rPr>
  </w:style>
  <w:style w:type="paragraph" w:styleId="EndnoteText">
    <w:name w:val="endnote text"/>
    <w:basedOn w:val="Normal"/>
    <w:link w:val="EndnoteTextChar"/>
    <w:uiPriority w:val="99"/>
    <w:unhideWhenUsed/>
    <w:pPr>
      <w:spacing w:after="0" w:line="240" w:lineRule="auto"/>
    </w:pPr>
    <w:rPr>
      <w:rFonts w:ascii="Calibri" w:eastAsia="Times New Roman" w:hAnsi="Calibri" w:cs="Times New Roman"/>
      <w:sz w:val="20"/>
      <w:szCs w:val="20"/>
      <w:lang w:eastAsia="nl-NL"/>
    </w:rPr>
  </w:style>
  <w:style w:type="character" w:customStyle="1" w:styleId="EndnoteTextChar">
    <w:name w:val="Endnote Text Char"/>
    <w:basedOn w:val="DefaultParagraphFont"/>
    <w:link w:val="EndnoteText"/>
    <w:uiPriority w:val="99"/>
    <w:qFormat/>
    <w:rPr>
      <w:rFonts w:ascii="Calibri" w:eastAsia="Times New Roman" w:hAnsi="Calibri" w:cs="Times New Roman"/>
      <w:sz w:val="20"/>
      <w:szCs w:val="20"/>
      <w:lang w:eastAsia="nl-NL"/>
    </w:rPr>
  </w:style>
  <w:style w:type="character" w:customStyle="1" w:styleId="ListParagraphChar">
    <w:name w:val="List Paragraph Char"/>
    <w:aliases w:val="List Char,Normal bullet 2 Char,Bullet list Char,Numbered List Char,List Paragraph1 Char,1st level - Bullet List Paragraph Char,Lettre d'introduction Char,Paragrafo elenco Char,Colorful List - Accent 11 Char,List1 Char,FooterText Char"/>
    <w:basedOn w:val="DefaultParagraphFont"/>
    <w:link w:val="ListParagraph"/>
    <w:uiPriority w:val="34"/>
    <w:qFormat/>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table" w:customStyle="1" w:styleId="TableGrid4">
    <w:name w:val="Table Grid4"/>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pPr>
      <w:tabs>
        <w:tab w:val="left" w:pos="1320"/>
        <w:tab w:val="right" w:leader="dot" w:pos="8608"/>
      </w:tabs>
      <w:spacing w:after="100"/>
      <w:ind w:left="709"/>
    </w:pPr>
    <w:rPr>
      <w:rFonts w:ascii="Times New Roman" w:hAnsi="Times New Roman" w:cs="Times New Roman"/>
      <w:b/>
      <w:noProof/>
    </w:rPr>
  </w:style>
  <w:style w:type="paragraph" w:styleId="Revision">
    <w:name w:val="Revision"/>
    <w:hidden/>
    <w:uiPriority w:val="99"/>
    <w:semiHidden/>
    <w:pPr>
      <w:spacing w:after="0" w:line="240" w:lineRule="auto"/>
    </w:p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uiPriority w:val="99"/>
    <w:pPr>
      <w:spacing w:after="160" w:line="240" w:lineRule="exact"/>
    </w:pPr>
    <w:rPr>
      <w:vertAlign w:val="superscript"/>
      <w:lang w:val="nl-B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1">
    <w:name w:val="st1"/>
    <w:basedOn w:val="DefaultParagraphFont"/>
  </w:style>
  <w:style w:type="table" w:customStyle="1" w:styleId="Deloitte6">
    <w:name w:val="Deloitte6"/>
    <w:basedOn w:val="TableNormal"/>
    <w:next w:val="TableGrid"/>
    <w:uiPriority w:val="39"/>
    <w:pPr>
      <w:spacing w:after="0" w:line="240" w:lineRule="auto"/>
    </w:pPr>
    <w:rPr>
      <w:rFonts w:eastAsiaTheme="minorEastAsia"/>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numPr>
        <w:ilvl w:val="1"/>
      </w:numPr>
      <w:spacing w:before="120" w:after="160" w:line="259" w:lineRule="auto"/>
    </w:pPr>
    <w:rPr>
      <w:rFonts w:ascii="Calibri" w:eastAsiaTheme="minorEastAsia" w:hAnsi="Calibri"/>
      <w:color w:val="4F81BD" w:themeColor="accent1"/>
      <w:spacing w:val="15"/>
      <w:sz w:val="40"/>
      <w:lang w:val="nl-BE"/>
    </w:rPr>
  </w:style>
  <w:style w:type="character" w:customStyle="1" w:styleId="SubtitleChar">
    <w:name w:val="Subtitle Char"/>
    <w:basedOn w:val="DefaultParagraphFont"/>
    <w:link w:val="Subtitle"/>
    <w:uiPriority w:val="11"/>
    <w:rPr>
      <w:rFonts w:ascii="Calibri" w:eastAsiaTheme="minorEastAsia" w:hAnsi="Calibri"/>
      <w:color w:val="4F81BD" w:themeColor="accent1"/>
      <w:spacing w:val="15"/>
      <w:sz w:val="40"/>
      <w:lang w:val="nl-BE"/>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customStyle="1" w:styleId="m-5707567040959589615msolistparagraph">
    <w:name w:val="m_-5707567040959589615msolistparagraph"/>
    <w:basedOn w:val="Normal"/>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Pr>
      <w:b/>
      <w:bCs/>
    </w:rPr>
  </w:style>
  <w:style w:type="character" w:customStyle="1" w:styleId="notranslate">
    <w:name w:val="notranslate"/>
    <w:basedOn w:val="DefaultParagraphFont"/>
  </w:style>
  <w:style w:type="paragraph" w:customStyle="1" w:styleId="Title2ndpage">
    <w:name w:val="Title (2nd page)"/>
    <w:basedOn w:val="Normal"/>
    <w:link w:val="Title2ndpageChar"/>
    <w:pPr>
      <w:framePr w:hSpace="141" w:wrap="around" w:vAnchor="page" w:hAnchor="margin" w:xAlign="center" w:y="3756"/>
      <w:autoSpaceDE w:val="0"/>
      <w:autoSpaceDN w:val="0"/>
      <w:adjustRightInd w:val="0"/>
      <w:spacing w:before="120" w:after="160" w:line="240" w:lineRule="auto"/>
    </w:pPr>
    <w:rPr>
      <w:rFonts w:ascii="Times New Roman" w:eastAsiaTheme="minorEastAsia" w:hAnsi="Times New Roman"/>
      <w:b/>
      <w:bCs/>
      <w:sz w:val="28"/>
      <w:szCs w:val="28"/>
      <w:lang w:val="nl-BE"/>
    </w:rPr>
  </w:style>
  <w:style w:type="character" w:customStyle="1" w:styleId="Title2ndpageChar">
    <w:name w:val="Title (2nd page) Char"/>
    <w:basedOn w:val="DefaultParagraphFont"/>
    <w:link w:val="Title2ndpage"/>
    <w:rPr>
      <w:rFonts w:ascii="Times New Roman" w:eastAsiaTheme="minorEastAsia" w:hAnsi="Times New Roman"/>
      <w:b/>
      <w:bCs/>
      <w:sz w:val="28"/>
      <w:szCs w:val="28"/>
      <w:lang w:val="nl-BE"/>
    </w:rPr>
  </w:style>
  <w:style w:type="table" w:customStyle="1" w:styleId="Deloitte1">
    <w:name w:val="Deloitte1"/>
    <w:basedOn w:val="TableNormal"/>
    <w:next w:val="TableGrid"/>
    <w:uiPriority w:val="39"/>
    <w:pPr>
      <w:spacing w:after="0" w:line="240" w:lineRule="auto"/>
    </w:pPr>
    <w:rPr>
      <w:rFonts w:eastAsia="Times New Roman"/>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2">
    <w:name w:val="Deloitte2"/>
    <w:basedOn w:val="TableNormal"/>
    <w:next w:val="TableGrid"/>
    <w:uiPriority w:val="39"/>
    <w:pPr>
      <w:spacing w:after="0" w:line="240" w:lineRule="auto"/>
    </w:pPr>
    <w:rPr>
      <w:rFonts w:eastAsia="Times New Roman"/>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pPr>
      <w:spacing w:line="191" w:lineRule="atLeast"/>
    </w:pPr>
    <w:rPr>
      <w:rFonts w:cstheme="minorBidi"/>
      <w:color w:val="auto"/>
    </w:rPr>
  </w:style>
  <w:style w:type="paragraph" w:customStyle="1" w:styleId="Pa3">
    <w:name w:val="Pa3"/>
    <w:basedOn w:val="Default"/>
    <w:next w:val="Default"/>
    <w:uiPriority w:val="99"/>
    <w:pPr>
      <w:spacing w:line="191" w:lineRule="atLeast"/>
    </w:pPr>
    <w:rPr>
      <w:rFonts w:cstheme="minorBidi"/>
      <w:color w:val="auto"/>
    </w:rPr>
  </w:style>
  <w:style w:type="character" w:customStyle="1" w:styleId="A7">
    <w:name w:val="A7"/>
    <w:uiPriority w:val="99"/>
    <w:rPr>
      <w:rFonts w:ascii="PQOLMC+ZapfDingbatsITC" w:eastAsia="PQOLMC+ZapfDingbatsITC" w:cs="PQOLMC+ZapfDingbatsITC"/>
      <w:color w:val="000000"/>
      <w:sz w:val="15"/>
      <w:szCs w:val="15"/>
    </w:rPr>
  </w:style>
  <w:style w:type="character" w:customStyle="1" w:styleId="BulletPSPChar">
    <w:name w:val="Bullet PSP Char"/>
    <w:basedOn w:val="DefaultParagraphFont"/>
    <w:link w:val="BulletPSP"/>
    <w:qFormat/>
    <w:locked/>
    <w:rPr>
      <w:rFonts w:ascii="Calibri" w:eastAsiaTheme="minorEastAsia" w:hAnsi="Calibri"/>
      <w:color w:val="000000"/>
      <w:sz w:val="24"/>
    </w:rPr>
  </w:style>
  <w:style w:type="paragraph" w:customStyle="1" w:styleId="BulletPSP">
    <w:name w:val="Bullet PSP"/>
    <w:basedOn w:val="Normal"/>
    <w:link w:val="BulletPSPChar"/>
    <w:qFormat/>
    <w:pPr>
      <w:numPr>
        <w:numId w:val="27"/>
      </w:numPr>
      <w:spacing w:before="120" w:after="160" w:line="256" w:lineRule="auto"/>
      <w:contextualSpacing/>
      <w:jc w:val="both"/>
    </w:pPr>
    <w:rPr>
      <w:rFonts w:ascii="Calibri" w:eastAsiaTheme="minorEastAsia" w:hAnsi="Calibri"/>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uiPriority w:val="9"/>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uiPriority w:val="9"/>
    <w:qFormat/>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uiPriority w:val="9"/>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uiPriority w:val="9"/>
    <w:unhideWhenUsed/>
    <w:qFormat/>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rPr>
      <w:rFonts w:ascii="Times New Roman" w:eastAsia="Times New Roman" w:hAnsi="Times New Roman" w:cs="Times New Roman"/>
      <w:i/>
      <w:sz w:val="24"/>
      <w:szCs w:val="20"/>
    </w:rPr>
  </w:style>
  <w:style w:type="character" w:customStyle="1" w:styleId="Heading4Char">
    <w:name w:val="Heading 4 Char"/>
    <w:basedOn w:val="DefaultParagraphFont"/>
    <w:link w:val="Heading4"/>
    <w:uiPriority w:val="9"/>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Deloitte"/>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ListParagraph">
    <w:name w:val="List Paragraph"/>
    <w:aliases w:val="List,Normal bullet 2,Bullet list,Numbered List,List Paragraph1,1st level - Bullet List Paragraph,Lettre d'introduction,Paragrafo elenco,Colorful List - Accent 11,List1,Medium Grid 1 - Accent 21,List Paragraph11,FooterText,List11"/>
    <w:basedOn w:val="Normal"/>
    <w:link w:val="ListParagraphChar"/>
    <w:uiPriority w:val="34"/>
    <w:qFormat/>
    <w:pPr>
      <w:ind w:left="720"/>
      <w:contextualSpacing/>
    </w:p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o,AF Fußnotentext"/>
    <w:basedOn w:val="Normal"/>
    <w:link w:val="FootnoteTextChar"/>
    <w:uiPriority w:val="99"/>
    <w:unhideWhenUsed/>
    <w:qFormat/>
    <w:pPr>
      <w:spacing w:after="0" w:line="240" w:lineRule="auto"/>
    </w:pPr>
    <w:rPr>
      <w:rFonts w:ascii="Calibri" w:hAnsi="Calibri" w:cs="Times New Roman"/>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Calibri" w:hAnsi="Calibri" w:cs="Times New Roman"/>
      <w:sz w:val="20"/>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FR,styli"/>
    <w:basedOn w:val="DefaultParagraphFont"/>
    <w:link w:val="FootnotesymbolCarZchn"/>
    <w:uiPriority w:val="99"/>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jc w:val="both"/>
    </w:pPr>
    <w:rPr>
      <w:vertAlign w:val="superscript"/>
    </w:rPr>
  </w:style>
  <w:style w:type="paragraph" w:customStyle="1" w:styleId="Default">
    <w:name w:val="Default"/>
    <w:pPr>
      <w:autoSpaceDE w:val="0"/>
      <w:autoSpaceDN w:val="0"/>
      <w:adjustRightInd w:val="0"/>
      <w:spacing w:after="0" w:line="240" w:lineRule="auto"/>
    </w:pPr>
    <w:rPr>
      <w:rFonts w:ascii="Ubuntu Light" w:hAnsi="Ubuntu Light" w:cs="Ubuntu Light"/>
      <w:color w:val="000000"/>
      <w:sz w:val="24"/>
      <w:szCs w:val="24"/>
    </w:rPr>
  </w:style>
  <w:style w:type="character" w:customStyle="1" w:styleId="A16">
    <w:name w:val="A16"/>
    <w:uiPriority w:val="99"/>
    <w:rPr>
      <w:color w:val="000000"/>
      <w:sz w:val="16"/>
      <w:szCs w:val="16"/>
    </w:rPr>
  </w:style>
  <w:style w:type="paragraph" w:styleId="Caption">
    <w:name w:val="caption"/>
    <w:aliases w:val="Char Char Char,Caption1 Char Char Char Char Char Char Char Char,Caption1 Char Char Char Char Char Char Char Char Tegn Tegn Tegn Tegn Tegn,Caption1 Char Char Char Char Char Char Char Char Tegn Tegn Tegn,Char Car,Caption - Centre Graphic,Ch,C"/>
    <w:basedOn w:val="Normal"/>
    <w:next w:val="Normal"/>
    <w:unhideWhenUsed/>
    <w:qFormat/>
    <w:pPr>
      <w:spacing w:line="240" w:lineRule="auto"/>
    </w:pPr>
    <w:rPr>
      <w:rFonts w:ascii="Calibri" w:eastAsia="Times New Roman" w:hAnsi="Calibri" w:cs="Times New Roman"/>
      <w:b/>
      <w:bCs/>
      <w:color w:val="4F81BD" w:themeColor="accent1"/>
      <w:sz w:val="18"/>
      <w:szCs w:val="18"/>
      <w:lang w:eastAsia="nl-NL"/>
    </w:rPr>
  </w:style>
  <w:style w:type="paragraph" w:styleId="EndnoteText">
    <w:name w:val="endnote text"/>
    <w:basedOn w:val="Normal"/>
    <w:link w:val="EndnoteTextChar"/>
    <w:uiPriority w:val="99"/>
    <w:unhideWhenUsed/>
    <w:pPr>
      <w:spacing w:after="0" w:line="240" w:lineRule="auto"/>
    </w:pPr>
    <w:rPr>
      <w:rFonts w:ascii="Calibri" w:eastAsia="Times New Roman" w:hAnsi="Calibri" w:cs="Times New Roman"/>
      <w:sz w:val="20"/>
      <w:szCs w:val="20"/>
      <w:lang w:eastAsia="nl-NL"/>
    </w:rPr>
  </w:style>
  <w:style w:type="character" w:customStyle="1" w:styleId="EndnoteTextChar">
    <w:name w:val="Endnote Text Char"/>
    <w:basedOn w:val="DefaultParagraphFont"/>
    <w:link w:val="EndnoteText"/>
    <w:uiPriority w:val="99"/>
    <w:qFormat/>
    <w:rPr>
      <w:rFonts w:ascii="Calibri" w:eastAsia="Times New Roman" w:hAnsi="Calibri" w:cs="Times New Roman"/>
      <w:sz w:val="20"/>
      <w:szCs w:val="20"/>
      <w:lang w:eastAsia="nl-NL"/>
    </w:rPr>
  </w:style>
  <w:style w:type="character" w:customStyle="1" w:styleId="ListParagraphChar">
    <w:name w:val="List Paragraph Char"/>
    <w:aliases w:val="List Char,Normal bullet 2 Char,Bullet list Char,Numbered List Char,List Paragraph1 Char,1st level - Bullet List Paragraph Char,Lettre d'introduction Char,Paragrafo elenco Char,Colorful List - Accent 11 Char,List1 Char,FooterText Char"/>
    <w:basedOn w:val="DefaultParagraphFont"/>
    <w:link w:val="ListParagraph"/>
    <w:uiPriority w:val="34"/>
    <w:qFormat/>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table" w:customStyle="1" w:styleId="TableGrid4">
    <w:name w:val="Table Grid4"/>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pPr>
      <w:tabs>
        <w:tab w:val="left" w:pos="1320"/>
        <w:tab w:val="right" w:leader="dot" w:pos="8608"/>
      </w:tabs>
      <w:spacing w:after="100"/>
      <w:ind w:left="709"/>
    </w:pPr>
    <w:rPr>
      <w:rFonts w:ascii="Times New Roman" w:hAnsi="Times New Roman" w:cs="Times New Roman"/>
      <w:b/>
      <w:noProof/>
    </w:rPr>
  </w:style>
  <w:style w:type="paragraph" w:styleId="Revision">
    <w:name w:val="Revision"/>
    <w:hidden/>
    <w:uiPriority w:val="99"/>
    <w:semiHidden/>
    <w:pPr>
      <w:spacing w:after="0" w:line="240" w:lineRule="auto"/>
    </w:p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uiPriority w:val="99"/>
    <w:pPr>
      <w:spacing w:after="160" w:line="240" w:lineRule="exact"/>
    </w:pPr>
    <w:rPr>
      <w:vertAlign w:val="superscript"/>
      <w:lang w:val="nl-B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1">
    <w:name w:val="st1"/>
    <w:basedOn w:val="DefaultParagraphFont"/>
  </w:style>
  <w:style w:type="table" w:customStyle="1" w:styleId="Deloitte6">
    <w:name w:val="Deloitte6"/>
    <w:basedOn w:val="TableNormal"/>
    <w:next w:val="TableGrid"/>
    <w:uiPriority w:val="39"/>
    <w:pPr>
      <w:spacing w:after="0" w:line="240" w:lineRule="auto"/>
    </w:pPr>
    <w:rPr>
      <w:rFonts w:eastAsiaTheme="minorEastAsia"/>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numPr>
        <w:ilvl w:val="1"/>
      </w:numPr>
      <w:spacing w:before="120" w:after="160" w:line="259" w:lineRule="auto"/>
    </w:pPr>
    <w:rPr>
      <w:rFonts w:ascii="Calibri" w:eastAsiaTheme="minorEastAsia" w:hAnsi="Calibri"/>
      <w:color w:val="4F81BD" w:themeColor="accent1"/>
      <w:spacing w:val="15"/>
      <w:sz w:val="40"/>
      <w:lang w:val="nl-BE"/>
    </w:rPr>
  </w:style>
  <w:style w:type="character" w:customStyle="1" w:styleId="SubtitleChar">
    <w:name w:val="Subtitle Char"/>
    <w:basedOn w:val="DefaultParagraphFont"/>
    <w:link w:val="Subtitle"/>
    <w:uiPriority w:val="11"/>
    <w:rPr>
      <w:rFonts w:ascii="Calibri" w:eastAsiaTheme="minorEastAsia" w:hAnsi="Calibri"/>
      <w:color w:val="4F81BD" w:themeColor="accent1"/>
      <w:spacing w:val="15"/>
      <w:sz w:val="40"/>
      <w:lang w:val="nl-BE"/>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customStyle="1" w:styleId="m-5707567040959589615msolistparagraph">
    <w:name w:val="m_-5707567040959589615msolistparagraph"/>
    <w:basedOn w:val="Normal"/>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Pr>
      <w:b/>
      <w:bCs/>
    </w:rPr>
  </w:style>
  <w:style w:type="character" w:customStyle="1" w:styleId="notranslate">
    <w:name w:val="notranslate"/>
    <w:basedOn w:val="DefaultParagraphFont"/>
  </w:style>
  <w:style w:type="paragraph" w:customStyle="1" w:styleId="Title2ndpage">
    <w:name w:val="Title (2nd page)"/>
    <w:basedOn w:val="Normal"/>
    <w:link w:val="Title2ndpageChar"/>
    <w:pPr>
      <w:framePr w:hSpace="141" w:wrap="around" w:vAnchor="page" w:hAnchor="margin" w:xAlign="center" w:y="3756"/>
      <w:autoSpaceDE w:val="0"/>
      <w:autoSpaceDN w:val="0"/>
      <w:adjustRightInd w:val="0"/>
      <w:spacing w:before="120" w:after="160" w:line="240" w:lineRule="auto"/>
    </w:pPr>
    <w:rPr>
      <w:rFonts w:ascii="Times New Roman" w:eastAsiaTheme="minorEastAsia" w:hAnsi="Times New Roman"/>
      <w:b/>
      <w:bCs/>
      <w:sz w:val="28"/>
      <w:szCs w:val="28"/>
      <w:lang w:val="nl-BE"/>
    </w:rPr>
  </w:style>
  <w:style w:type="character" w:customStyle="1" w:styleId="Title2ndpageChar">
    <w:name w:val="Title (2nd page) Char"/>
    <w:basedOn w:val="DefaultParagraphFont"/>
    <w:link w:val="Title2ndpage"/>
    <w:rPr>
      <w:rFonts w:ascii="Times New Roman" w:eastAsiaTheme="minorEastAsia" w:hAnsi="Times New Roman"/>
      <w:b/>
      <w:bCs/>
      <w:sz w:val="28"/>
      <w:szCs w:val="28"/>
      <w:lang w:val="nl-BE"/>
    </w:rPr>
  </w:style>
  <w:style w:type="table" w:customStyle="1" w:styleId="Deloitte1">
    <w:name w:val="Deloitte1"/>
    <w:basedOn w:val="TableNormal"/>
    <w:next w:val="TableGrid"/>
    <w:uiPriority w:val="39"/>
    <w:pPr>
      <w:spacing w:after="0" w:line="240" w:lineRule="auto"/>
    </w:pPr>
    <w:rPr>
      <w:rFonts w:eastAsia="Times New Roman"/>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2">
    <w:name w:val="Deloitte2"/>
    <w:basedOn w:val="TableNormal"/>
    <w:next w:val="TableGrid"/>
    <w:uiPriority w:val="39"/>
    <w:pPr>
      <w:spacing w:after="0" w:line="240" w:lineRule="auto"/>
    </w:pPr>
    <w:rPr>
      <w:rFonts w:eastAsia="Times New Roman"/>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pPr>
      <w:spacing w:line="191" w:lineRule="atLeast"/>
    </w:pPr>
    <w:rPr>
      <w:rFonts w:cstheme="minorBidi"/>
      <w:color w:val="auto"/>
    </w:rPr>
  </w:style>
  <w:style w:type="paragraph" w:customStyle="1" w:styleId="Pa3">
    <w:name w:val="Pa3"/>
    <w:basedOn w:val="Default"/>
    <w:next w:val="Default"/>
    <w:uiPriority w:val="99"/>
    <w:pPr>
      <w:spacing w:line="191" w:lineRule="atLeast"/>
    </w:pPr>
    <w:rPr>
      <w:rFonts w:cstheme="minorBidi"/>
      <w:color w:val="auto"/>
    </w:rPr>
  </w:style>
  <w:style w:type="character" w:customStyle="1" w:styleId="A7">
    <w:name w:val="A7"/>
    <w:uiPriority w:val="99"/>
    <w:rPr>
      <w:rFonts w:ascii="PQOLMC+ZapfDingbatsITC" w:eastAsia="PQOLMC+ZapfDingbatsITC" w:cs="PQOLMC+ZapfDingbatsITC"/>
      <w:color w:val="000000"/>
      <w:sz w:val="15"/>
      <w:szCs w:val="15"/>
    </w:rPr>
  </w:style>
  <w:style w:type="character" w:customStyle="1" w:styleId="BulletPSPChar">
    <w:name w:val="Bullet PSP Char"/>
    <w:basedOn w:val="DefaultParagraphFont"/>
    <w:link w:val="BulletPSP"/>
    <w:qFormat/>
    <w:locked/>
    <w:rPr>
      <w:rFonts w:ascii="Calibri" w:eastAsiaTheme="minorEastAsia" w:hAnsi="Calibri"/>
      <w:color w:val="000000"/>
      <w:sz w:val="24"/>
    </w:rPr>
  </w:style>
  <w:style w:type="paragraph" w:customStyle="1" w:styleId="BulletPSP">
    <w:name w:val="Bullet PSP"/>
    <w:basedOn w:val="Normal"/>
    <w:link w:val="BulletPSPChar"/>
    <w:qFormat/>
    <w:pPr>
      <w:numPr>
        <w:numId w:val="27"/>
      </w:numPr>
      <w:spacing w:before="120" w:after="160" w:line="256" w:lineRule="auto"/>
      <w:contextualSpacing/>
      <w:jc w:val="both"/>
    </w:pPr>
    <w:rPr>
      <w:rFonts w:ascii="Calibri" w:eastAsiaTheme="minorEastAsia" w:hAnsi="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0248">
      <w:bodyDiv w:val="1"/>
      <w:marLeft w:val="0"/>
      <w:marRight w:val="0"/>
      <w:marTop w:val="0"/>
      <w:marBottom w:val="0"/>
      <w:divBdr>
        <w:top w:val="none" w:sz="0" w:space="0" w:color="auto"/>
        <w:left w:val="none" w:sz="0" w:space="0" w:color="auto"/>
        <w:bottom w:val="none" w:sz="0" w:space="0" w:color="auto"/>
        <w:right w:val="none" w:sz="0" w:space="0" w:color="auto"/>
      </w:divBdr>
    </w:div>
    <w:div w:id="43338229">
      <w:bodyDiv w:val="1"/>
      <w:marLeft w:val="0"/>
      <w:marRight w:val="0"/>
      <w:marTop w:val="0"/>
      <w:marBottom w:val="0"/>
      <w:divBdr>
        <w:top w:val="none" w:sz="0" w:space="0" w:color="auto"/>
        <w:left w:val="none" w:sz="0" w:space="0" w:color="auto"/>
        <w:bottom w:val="none" w:sz="0" w:space="0" w:color="auto"/>
        <w:right w:val="none" w:sz="0" w:space="0" w:color="auto"/>
      </w:divBdr>
    </w:div>
    <w:div w:id="140125919">
      <w:bodyDiv w:val="1"/>
      <w:marLeft w:val="0"/>
      <w:marRight w:val="0"/>
      <w:marTop w:val="0"/>
      <w:marBottom w:val="0"/>
      <w:divBdr>
        <w:top w:val="none" w:sz="0" w:space="0" w:color="auto"/>
        <w:left w:val="none" w:sz="0" w:space="0" w:color="auto"/>
        <w:bottom w:val="none" w:sz="0" w:space="0" w:color="auto"/>
        <w:right w:val="none" w:sz="0" w:space="0" w:color="auto"/>
      </w:divBdr>
    </w:div>
    <w:div w:id="204635118">
      <w:bodyDiv w:val="1"/>
      <w:marLeft w:val="0"/>
      <w:marRight w:val="0"/>
      <w:marTop w:val="0"/>
      <w:marBottom w:val="0"/>
      <w:divBdr>
        <w:top w:val="none" w:sz="0" w:space="0" w:color="auto"/>
        <w:left w:val="none" w:sz="0" w:space="0" w:color="auto"/>
        <w:bottom w:val="none" w:sz="0" w:space="0" w:color="auto"/>
        <w:right w:val="none" w:sz="0" w:space="0" w:color="auto"/>
      </w:divBdr>
    </w:div>
    <w:div w:id="224217336">
      <w:bodyDiv w:val="1"/>
      <w:marLeft w:val="0"/>
      <w:marRight w:val="0"/>
      <w:marTop w:val="0"/>
      <w:marBottom w:val="0"/>
      <w:divBdr>
        <w:top w:val="none" w:sz="0" w:space="0" w:color="auto"/>
        <w:left w:val="none" w:sz="0" w:space="0" w:color="auto"/>
        <w:bottom w:val="none" w:sz="0" w:space="0" w:color="auto"/>
        <w:right w:val="none" w:sz="0" w:space="0" w:color="auto"/>
      </w:divBdr>
    </w:div>
    <w:div w:id="235167377">
      <w:bodyDiv w:val="1"/>
      <w:marLeft w:val="0"/>
      <w:marRight w:val="0"/>
      <w:marTop w:val="0"/>
      <w:marBottom w:val="0"/>
      <w:divBdr>
        <w:top w:val="none" w:sz="0" w:space="0" w:color="auto"/>
        <w:left w:val="none" w:sz="0" w:space="0" w:color="auto"/>
        <w:bottom w:val="none" w:sz="0" w:space="0" w:color="auto"/>
        <w:right w:val="none" w:sz="0" w:space="0" w:color="auto"/>
      </w:divBdr>
    </w:div>
    <w:div w:id="375129771">
      <w:bodyDiv w:val="1"/>
      <w:marLeft w:val="0"/>
      <w:marRight w:val="0"/>
      <w:marTop w:val="0"/>
      <w:marBottom w:val="0"/>
      <w:divBdr>
        <w:top w:val="none" w:sz="0" w:space="0" w:color="auto"/>
        <w:left w:val="none" w:sz="0" w:space="0" w:color="auto"/>
        <w:bottom w:val="none" w:sz="0" w:space="0" w:color="auto"/>
        <w:right w:val="none" w:sz="0" w:space="0" w:color="auto"/>
      </w:divBdr>
    </w:div>
    <w:div w:id="462237361">
      <w:bodyDiv w:val="1"/>
      <w:marLeft w:val="0"/>
      <w:marRight w:val="0"/>
      <w:marTop w:val="0"/>
      <w:marBottom w:val="0"/>
      <w:divBdr>
        <w:top w:val="none" w:sz="0" w:space="0" w:color="auto"/>
        <w:left w:val="none" w:sz="0" w:space="0" w:color="auto"/>
        <w:bottom w:val="none" w:sz="0" w:space="0" w:color="auto"/>
        <w:right w:val="none" w:sz="0" w:space="0" w:color="auto"/>
      </w:divBdr>
    </w:div>
    <w:div w:id="529147321">
      <w:bodyDiv w:val="1"/>
      <w:marLeft w:val="0"/>
      <w:marRight w:val="0"/>
      <w:marTop w:val="0"/>
      <w:marBottom w:val="0"/>
      <w:divBdr>
        <w:top w:val="none" w:sz="0" w:space="0" w:color="auto"/>
        <w:left w:val="none" w:sz="0" w:space="0" w:color="auto"/>
        <w:bottom w:val="none" w:sz="0" w:space="0" w:color="auto"/>
        <w:right w:val="none" w:sz="0" w:space="0" w:color="auto"/>
      </w:divBdr>
    </w:div>
    <w:div w:id="577404173">
      <w:bodyDiv w:val="1"/>
      <w:marLeft w:val="0"/>
      <w:marRight w:val="0"/>
      <w:marTop w:val="0"/>
      <w:marBottom w:val="0"/>
      <w:divBdr>
        <w:top w:val="none" w:sz="0" w:space="0" w:color="auto"/>
        <w:left w:val="none" w:sz="0" w:space="0" w:color="auto"/>
        <w:bottom w:val="none" w:sz="0" w:space="0" w:color="auto"/>
        <w:right w:val="none" w:sz="0" w:space="0" w:color="auto"/>
      </w:divBdr>
    </w:div>
    <w:div w:id="752241937">
      <w:bodyDiv w:val="1"/>
      <w:marLeft w:val="0"/>
      <w:marRight w:val="0"/>
      <w:marTop w:val="0"/>
      <w:marBottom w:val="0"/>
      <w:divBdr>
        <w:top w:val="none" w:sz="0" w:space="0" w:color="auto"/>
        <w:left w:val="none" w:sz="0" w:space="0" w:color="auto"/>
        <w:bottom w:val="none" w:sz="0" w:space="0" w:color="auto"/>
        <w:right w:val="none" w:sz="0" w:space="0" w:color="auto"/>
      </w:divBdr>
    </w:div>
    <w:div w:id="914053197">
      <w:bodyDiv w:val="1"/>
      <w:marLeft w:val="0"/>
      <w:marRight w:val="0"/>
      <w:marTop w:val="0"/>
      <w:marBottom w:val="0"/>
      <w:divBdr>
        <w:top w:val="none" w:sz="0" w:space="0" w:color="auto"/>
        <w:left w:val="none" w:sz="0" w:space="0" w:color="auto"/>
        <w:bottom w:val="none" w:sz="0" w:space="0" w:color="auto"/>
        <w:right w:val="none" w:sz="0" w:space="0" w:color="auto"/>
      </w:divBdr>
    </w:div>
    <w:div w:id="920724794">
      <w:bodyDiv w:val="1"/>
      <w:marLeft w:val="0"/>
      <w:marRight w:val="0"/>
      <w:marTop w:val="0"/>
      <w:marBottom w:val="0"/>
      <w:divBdr>
        <w:top w:val="none" w:sz="0" w:space="0" w:color="auto"/>
        <w:left w:val="none" w:sz="0" w:space="0" w:color="auto"/>
        <w:bottom w:val="none" w:sz="0" w:space="0" w:color="auto"/>
        <w:right w:val="none" w:sz="0" w:space="0" w:color="auto"/>
      </w:divBdr>
    </w:div>
    <w:div w:id="1045299611">
      <w:bodyDiv w:val="1"/>
      <w:marLeft w:val="0"/>
      <w:marRight w:val="0"/>
      <w:marTop w:val="0"/>
      <w:marBottom w:val="0"/>
      <w:divBdr>
        <w:top w:val="none" w:sz="0" w:space="0" w:color="auto"/>
        <w:left w:val="none" w:sz="0" w:space="0" w:color="auto"/>
        <w:bottom w:val="none" w:sz="0" w:space="0" w:color="auto"/>
        <w:right w:val="none" w:sz="0" w:space="0" w:color="auto"/>
      </w:divBdr>
    </w:div>
    <w:div w:id="1068308627">
      <w:bodyDiv w:val="1"/>
      <w:marLeft w:val="0"/>
      <w:marRight w:val="0"/>
      <w:marTop w:val="0"/>
      <w:marBottom w:val="0"/>
      <w:divBdr>
        <w:top w:val="none" w:sz="0" w:space="0" w:color="auto"/>
        <w:left w:val="none" w:sz="0" w:space="0" w:color="auto"/>
        <w:bottom w:val="none" w:sz="0" w:space="0" w:color="auto"/>
        <w:right w:val="none" w:sz="0" w:space="0" w:color="auto"/>
      </w:divBdr>
    </w:div>
    <w:div w:id="1268807598">
      <w:bodyDiv w:val="1"/>
      <w:marLeft w:val="0"/>
      <w:marRight w:val="0"/>
      <w:marTop w:val="0"/>
      <w:marBottom w:val="0"/>
      <w:divBdr>
        <w:top w:val="none" w:sz="0" w:space="0" w:color="auto"/>
        <w:left w:val="none" w:sz="0" w:space="0" w:color="auto"/>
        <w:bottom w:val="none" w:sz="0" w:space="0" w:color="auto"/>
        <w:right w:val="none" w:sz="0" w:space="0" w:color="auto"/>
      </w:divBdr>
    </w:div>
    <w:div w:id="1475416261">
      <w:bodyDiv w:val="1"/>
      <w:marLeft w:val="0"/>
      <w:marRight w:val="0"/>
      <w:marTop w:val="0"/>
      <w:marBottom w:val="0"/>
      <w:divBdr>
        <w:top w:val="none" w:sz="0" w:space="0" w:color="auto"/>
        <w:left w:val="none" w:sz="0" w:space="0" w:color="auto"/>
        <w:bottom w:val="none" w:sz="0" w:space="0" w:color="auto"/>
        <w:right w:val="none" w:sz="0" w:space="0" w:color="auto"/>
      </w:divBdr>
    </w:div>
    <w:div w:id="1657223679">
      <w:bodyDiv w:val="1"/>
      <w:marLeft w:val="0"/>
      <w:marRight w:val="0"/>
      <w:marTop w:val="0"/>
      <w:marBottom w:val="0"/>
      <w:divBdr>
        <w:top w:val="none" w:sz="0" w:space="0" w:color="auto"/>
        <w:left w:val="none" w:sz="0" w:space="0" w:color="auto"/>
        <w:bottom w:val="none" w:sz="0" w:space="0" w:color="auto"/>
        <w:right w:val="none" w:sz="0" w:space="0" w:color="auto"/>
      </w:divBdr>
    </w:div>
    <w:div w:id="1838181010">
      <w:bodyDiv w:val="1"/>
      <w:marLeft w:val="0"/>
      <w:marRight w:val="0"/>
      <w:marTop w:val="0"/>
      <w:marBottom w:val="0"/>
      <w:divBdr>
        <w:top w:val="none" w:sz="0" w:space="0" w:color="auto"/>
        <w:left w:val="none" w:sz="0" w:space="0" w:color="auto"/>
        <w:bottom w:val="none" w:sz="0" w:space="0" w:color="auto"/>
        <w:right w:val="none" w:sz="0" w:space="0" w:color="auto"/>
      </w:divBdr>
    </w:div>
    <w:div w:id="1927152648">
      <w:bodyDiv w:val="1"/>
      <w:marLeft w:val="0"/>
      <w:marRight w:val="0"/>
      <w:marTop w:val="0"/>
      <w:marBottom w:val="0"/>
      <w:divBdr>
        <w:top w:val="none" w:sz="0" w:space="0" w:color="auto"/>
        <w:left w:val="none" w:sz="0" w:space="0" w:color="auto"/>
        <w:bottom w:val="none" w:sz="0" w:space="0" w:color="auto"/>
        <w:right w:val="none" w:sz="0" w:space="0" w:color="auto"/>
      </w:divBdr>
    </w:div>
    <w:div w:id="1971130786">
      <w:bodyDiv w:val="1"/>
      <w:marLeft w:val="0"/>
      <w:marRight w:val="0"/>
      <w:marTop w:val="0"/>
      <w:marBottom w:val="0"/>
      <w:divBdr>
        <w:top w:val="none" w:sz="0" w:space="0" w:color="auto"/>
        <w:left w:val="none" w:sz="0" w:space="0" w:color="auto"/>
        <w:bottom w:val="none" w:sz="0" w:space="0" w:color="auto"/>
        <w:right w:val="none" w:sz="0" w:space="0" w:color="auto"/>
      </w:divBdr>
    </w:div>
    <w:div w:id="2123260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eader" Target="header3.xml"/><Relationship Id="rId26" Type="http://schemas.openxmlformats.org/officeDocument/2006/relationships/image" Target="media/image2.png"/><Relationship Id="rId39" Type="http://schemas.openxmlformats.org/officeDocument/2006/relationships/hyperlink" Target="https://ec.europa.eu/info/law/better-regulation/initiatives/ares-2017-4540429/feedback_en" TargetMode="External"/><Relationship Id="rId21" Type="http://schemas.openxmlformats.org/officeDocument/2006/relationships/header" Target="header5.xml"/><Relationship Id="rId34" Type="http://schemas.openxmlformats.org/officeDocument/2006/relationships/footer" Target="footer8.xml"/><Relationship Id="rId42" Type="http://schemas.openxmlformats.org/officeDocument/2006/relationships/hyperlink" Target="http://ec.europa.eu/transparency/regexpert/index.cfm?do=groupDetail.groupMeetingDoc&amp;docid=8604" TargetMode="External"/><Relationship Id="rId47" Type="http://schemas.openxmlformats.org/officeDocument/2006/relationships/hyperlink" Target="https://ec.europa.eu/digital-single-market/en/news/synopsis-report-public-consultation-building-european-data-economy" TargetMode="External"/><Relationship Id="rId50" Type="http://schemas.openxmlformats.org/officeDocument/2006/relationships/image" Target="media/image8.png"/><Relationship Id="rId55" Type="http://schemas.openxmlformats.org/officeDocument/2006/relationships/image" Target="media/image13.png"/><Relationship Id="rId63" Type="http://schemas.openxmlformats.org/officeDocument/2006/relationships/hyperlink" Target="https://cropti.com/" TargetMode="External"/><Relationship Id="rId68" Type="http://schemas.openxmlformats.org/officeDocument/2006/relationships/hyperlink" Target="https://datasparks.ie/index.php/retrofit/" TargetMode="External"/><Relationship Id="rId76" Type="http://schemas.openxmlformats.org/officeDocument/2006/relationships/hyperlink" Target="http://www.energieinbeeld.nl/" TargetMode="External"/><Relationship Id="rId84" Type="http://schemas.openxmlformats.org/officeDocument/2006/relationships/footer" Target="footer11.xml"/><Relationship Id="rId7" Type="http://schemas.openxmlformats.org/officeDocument/2006/relationships/styles" Target="styles.xml"/><Relationship Id="rId71" Type="http://schemas.openxmlformats.org/officeDocument/2006/relationships/hyperlink" Target="https://www.viomedo.de/"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1.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hyperlink" Target="http://eur-lex.europa.eu/legal-content/EN/TXT/?qid=1520333003933&amp;uri=CELEX:32003L0098" TargetMode="External"/><Relationship Id="rId40" Type="http://schemas.openxmlformats.org/officeDocument/2006/relationships/hyperlink" Target="http://ec.europa.eu/information_society/newsroom/image/document/2017-28/final_-_report_from_reverse_psi_workshop_B7FA94EE-FA15-1929-8BBA2754D0D2FBE9_45916.pdf" TargetMode="External"/><Relationship Id="rId45" Type="http://schemas.openxmlformats.org/officeDocument/2006/relationships/hyperlink" Target="https://ec.europa.eu/digital-single-market/en/news/public-hearing-review-directive-reuse-public-sector-information" TargetMode="External"/><Relationship Id="rId53" Type="http://schemas.openxmlformats.org/officeDocument/2006/relationships/image" Target="media/image11.png"/><Relationship Id="rId58" Type="http://schemas.openxmlformats.org/officeDocument/2006/relationships/image" Target="media/image16.jpeg"/><Relationship Id="rId66" Type="http://schemas.openxmlformats.org/officeDocument/2006/relationships/hyperlink" Target="https://www.datasparkanalytics.com/" TargetMode="External"/><Relationship Id="rId74" Type="http://schemas.openxmlformats.org/officeDocument/2006/relationships/hyperlink" Target="https://www.liander.nl/over-liander/innovatie/open-data/data" TargetMode="External"/><Relationship Id="rId79" Type="http://schemas.openxmlformats.org/officeDocument/2006/relationships/hyperlink" Target="https://data.sncf.com/explore/" TargetMode="External"/><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18.jpeg"/><Relationship Id="rId82" Type="http://schemas.openxmlformats.org/officeDocument/2006/relationships/header" Target="header11.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eader" Target="header9.xml"/><Relationship Id="rId43" Type="http://schemas.openxmlformats.org/officeDocument/2006/relationships/hyperlink" Target="https://ec.europa.eu/digital-single-market/en/news/summary-report-workshop-open-research-data-within-context-directive-reuse-public-sector" TargetMode="External"/><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hyperlink" Target="https://crop.live/" TargetMode="External"/><Relationship Id="rId69" Type="http://schemas.openxmlformats.org/officeDocument/2006/relationships/hyperlink" Target="http://www.go-ov.nl/" TargetMode="External"/><Relationship Id="rId77" Type="http://schemas.openxmlformats.org/officeDocument/2006/relationships/hyperlink" Target="https://tfl.gov.uk/" TargetMode="External"/><Relationship Id="rId8" Type="http://schemas.microsoft.com/office/2007/relationships/stylesWithEffects" Target="stylesWithEffects.xml"/><Relationship Id="rId51" Type="http://schemas.openxmlformats.org/officeDocument/2006/relationships/image" Target="media/image9.png"/><Relationship Id="rId72" Type="http://schemas.openxmlformats.org/officeDocument/2006/relationships/hyperlink" Target="https://www.mnt.ee/eng/organization/estonian-road-administration" TargetMode="External"/><Relationship Id="rId80" Type="http://schemas.openxmlformats.org/officeDocument/2006/relationships/hyperlink" Target="https://opendata.swiss/en/organization/schweizerische-bundesbahnen-sbb" TargetMode="External"/><Relationship Id="rId85"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7.xml"/><Relationship Id="rId38" Type="http://schemas.openxmlformats.org/officeDocument/2006/relationships/hyperlink" Target="http://ec.europa.eu/info/law/better-regulation/initiatives/ares-2017-4540429" TargetMode="External"/><Relationship Id="rId46" Type="http://schemas.openxmlformats.org/officeDocument/2006/relationships/hyperlink" Target="https://ec.europa.eu/digital-single-market/en/news/summary-report-public-consultation-building-european-data-economy." TargetMode="External"/><Relationship Id="rId59" Type="http://schemas.openxmlformats.org/officeDocument/2006/relationships/hyperlink" Target="https://en.wikipedia.org/wiki/Expenditures_in_the_United_States_federal_budget" TargetMode="External"/><Relationship Id="rId67" Type="http://schemas.openxmlformats.org/officeDocument/2006/relationships/hyperlink" Target="https://derilinx.com/" TargetMode="External"/><Relationship Id="rId20" Type="http://schemas.openxmlformats.org/officeDocument/2006/relationships/header" Target="header4.xml"/><Relationship Id="rId41" Type="http://schemas.openxmlformats.org/officeDocument/2006/relationships/hyperlink" Target="https://ec.europa.eu/digital-single-market/en/news/public-sector-information-group-main-page" TargetMode="External"/><Relationship Id="rId54" Type="http://schemas.openxmlformats.org/officeDocument/2006/relationships/image" Target="media/image12.png"/><Relationship Id="rId62" Type="http://schemas.openxmlformats.org/officeDocument/2006/relationships/hyperlink" Target="https://commoprices.com/en" TargetMode="External"/><Relationship Id="rId70" Type="http://schemas.openxmlformats.org/officeDocument/2006/relationships/hyperlink" Target="https://greencitysolutions.de/en/" TargetMode="External"/><Relationship Id="rId75" Type="http://schemas.openxmlformats.org/officeDocument/2006/relationships/hyperlink" Target="http://www.liander.nl/opendata" TargetMode="External"/><Relationship Id="rId83" Type="http://schemas.openxmlformats.org/officeDocument/2006/relationships/footer" Target="footer10.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4.png"/><Relationship Id="rId36" Type="http://schemas.openxmlformats.org/officeDocument/2006/relationships/footer" Target="footer9.xml"/><Relationship Id="rId49" Type="http://schemas.openxmlformats.org/officeDocument/2006/relationships/image" Target="media/image7.png"/><Relationship Id="rId57" Type="http://schemas.openxmlformats.org/officeDocument/2006/relationships/image" Target="media/image15.png"/><Relationship Id="rId10" Type="http://schemas.openxmlformats.org/officeDocument/2006/relationships/webSettings" Target="webSettings.xml"/><Relationship Id="rId31" Type="http://schemas.openxmlformats.org/officeDocument/2006/relationships/header" Target="header7.xml"/><Relationship Id="rId44" Type="http://schemas.openxmlformats.org/officeDocument/2006/relationships/hyperlink" Target="https://ec.europa.eu/digital-single-market/en/news/summary-report-high-level-round-table-discussion-public-sector-information-re-use" TargetMode="External"/><Relationship Id="rId52" Type="http://schemas.openxmlformats.org/officeDocument/2006/relationships/image" Target="media/image10.png"/><Relationship Id="rId60" Type="http://schemas.openxmlformats.org/officeDocument/2006/relationships/image" Target="media/image17.jpeg"/><Relationship Id="rId65" Type="http://schemas.openxmlformats.org/officeDocument/2006/relationships/hyperlink" Target="http://www.esa.int/ESA" TargetMode="External"/><Relationship Id="rId73" Type="http://schemas.openxmlformats.org/officeDocument/2006/relationships/hyperlink" Target="https://eteenindus.mnt.ee/main.jsf" TargetMode="External"/><Relationship Id="rId78" Type="http://schemas.openxmlformats.org/officeDocument/2006/relationships/hyperlink" Target="https://dbmindbox.com/de/" TargetMode="External"/><Relationship Id="rId81" Type="http://schemas.openxmlformats.org/officeDocument/2006/relationships/header" Target="header10.xml"/><Relationship Id="rId86" Type="http://schemas.openxmlformats.org/officeDocument/2006/relationships/footer" Target="footer12.xml"/></Relationships>
</file>

<file path=word/_rels/footnotes.xml.rels><?xml version="1.0" encoding="UTF-8" standalone="yes"?>
<Relationships xmlns="http://schemas.openxmlformats.org/package/2006/relationships"><Relationship Id="rId13" Type="http://schemas.openxmlformats.org/officeDocument/2006/relationships/hyperlink" Target="http://nordicapis.com/tracking-the-growth-of-the-api-economy" TargetMode="External"/><Relationship Id="rId18" Type="http://schemas.openxmlformats.org/officeDocument/2006/relationships/hyperlink" Target="https://ec.europa.eu/digital-single-market/en/news/summary-report-public-consultation-building-european-data-economy" TargetMode="External"/><Relationship Id="rId26" Type="http://schemas.openxmlformats.org/officeDocument/2006/relationships/hyperlink" Target="https://data.fingrid.fi/en/about" TargetMode="External"/><Relationship Id="rId39" Type="http://schemas.openxmlformats.org/officeDocument/2006/relationships/hyperlink" Target="https://joinup.ec.europa.eu/sites/default/files/document/2016-07/dg_digit_study_big_data_analytics_for_policy_making.pdf" TargetMode="External"/><Relationship Id="rId21" Type="http://schemas.openxmlformats.org/officeDocument/2006/relationships/hyperlink" Target="https://developers.italia.it/en/datigov/" TargetMode="External"/><Relationship Id="rId34" Type="http://schemas.openxmlformats.org/officeDocument/2006/relationships/hyperlink" Target="https://figshare.com/blog/2015_The_year_of_open_data_mandates/143" TargetMode="External"/><Relationship Id="rId42" Type="http://schemas.openxmlformats.org/officeDocument/2006/relationships/hyperlink" Target="https://vng.nl/files/vng/20171211_-_notitie_uitvoeringskosten_who_-_def.pdf" TargetMode="External"/><Relationship Id="rId47" Type="http://schemas.openxmlformats.org/officeDocument/2006/relationships/hyperlink" Target="https://www.legifrance.gouv.fr/affichLoiPubliee.do?idDocument=JORFDOLE000031589829&amp;type=general&amp;legislature=14" TargetMode="External"/><Relationship Id="rId50" Type="http://schemas.openxmlformats.org/officeDocument/2006/relationships/hyperlink" Target="https://ec.europa.eu/digital-single-market/en/news/public-sector-information-group-main-page" TargetMode="External"/><Relationship Id="rId55" Type="http://schemas.openxmlformats.org/officeDocument/2006/relationships/hyperlink" Target="https://ec.europa.eu/digital-single-market/en/news/pricing-public-sector-information-study-popsis-models-supply-and-charging-public-sector" TargetMode="External"/><Relationship Id="rId63" Type="http://schemas.openxmlformats.org/officeDocument/2006/relationships/hyperlink" Target="https://opendatacharter.net/" TargetMode="External"/><Relationship Id="rId68" Type="http://schemas.openxmlformats.org/officeDocument/2006/relationships/hyperlink" Target="http://www.whitehouse.gov/sites/default/files/microsites/ostp/us_open_data_action_plan.pdf" TargetMode="External"/><Relationship Id="rId7" Type="http://schemas.openxmlformats.org/officeDocument/2006/relationships/hyperlink" Target="https://ec.europa.eu/digital-single-market/en/news/eu-implementation-g8-open-data-charter" TargetMode="External"/><Relationship Id="rId71" Type="http://schemas.openxmlformats.org/officeDocument/2006/relationships/hyperlink" Target="http://data-reuse.eu/" TargetMode="External"/><Relationship Id="rId2" Type="http://schemas.openxmlformats.org/officeDocument/2006/relationships/hyperlink" Target="https://ec.europa.eu/digital-single-market/en/news/public-sector-information-group-main-page" TargetMode="External"/><Relationship Id="rId16" Type="http://schemas.openxmlformats.org/officeDocument/2006/relationships/hyperlink" Target="https://ec.europa.eu/digital-single-market/en/news/commission-staff-working-paper-impact-assessment-accompanying-document-proposal-directive" TargetMode="External"/><Relationship Id="rId29" Type="http://schemas.openxmlformats.org/officeDocument/2006/relationships/hyperlink" Target="http://eur-lex.europa.eu/legal-content/EN/TXT/?uri=CELEX:52016PC0864R%2801%29" TargetMode="External"/><Relationship Id="rId11" Type="http://schemas.openxmlformats.org/officeDocument/2006/relationships/hyperlink" Target="https://www.techuk.org/insights/opinions/item/10708-guest-blog-peter-wells-odi-access-to-data-is-key-to-a-competitive-ai-market" TargetMode="External"/><Relationship Id="rId24" Type="http://schemas.openxmlformats.org/officeDocument/2006/relationships/hyperlink" Target="https://www.tmrow.com/" TargetMode="External"/><Relationship Id="rId32" Type="http://schemas.openxmlformats.org/officeDocument/2006/relationships/hyperlink" Target="https://ec.europa.eu/digital-single-market/en/news/summary-report-workshop-open-research-data-within-context-directive-reuse-public-sector" TargetMode="External"/><Relationship Id="rId37" Type="http://schemas.openxmlformats.org/officeDocument/2006/relationships/hyperlink" Target="https://www.force11.org/group/fairgroup/fairprinciples" TargetMode="External"/><Relationship Id="rId40" Type="http://schemas.openxmlformats.org/officeDocument/2006/relationships/hyperlink" Target="https://www.seagate.com/files/www-content/our-story/trends/files/Seagate-WP-DataAge2025-March-2017.pdf" TargetMode="External"/><Relationship Id="rId45" Type="http://schemas.openxmlformats.org/officeDocument/2006/relationships/hyperlink" Target="https://www.lvm.fi/en/-/good-and-flexible-transport-services-through-a-new-act-933155?utm_source=POLITICO.EU&amp;utm_campaign=d68add07e7-EMAIL_CAMPAIGN_2017_12_04&amp;utm_medium=email&amp;utm_term=0_10959edeb5-d68add07e7-190041537" TargetMode="External"/><Relationship Id="rId53" Type="http://schemas.openxmlformats.org/officeDocument/2006/relationships/hyperlink" Target="https://www.gov.uk/government/publications/open-data-charter/g8-open-data-charter-and-technical-annex" TargetMode="External"/><Relationship Id="rId58" Type="http://schemas.openxmlformats.org/officeDocument/2006/relationships/hyperlink" Target="https://www.theguardian.com/sustainable-business/2014/sep/11/climate-change-open-data-apps-government-environment-agency" TargetMode="External"/><Relationship Id="rId66" Type="http://schemas.openxmlformats.org/officeDocument/2006/relationships/hyperlink" Target="https://www.whitehouse.gov/sites/default/files/omb/memoranda/2013/m-13-13.pdf" TargetMode="External"/><Relationship Id="rId5" Type="http://schemas.openxmlformats.org/officeDocument/2006/relationships/hyperlink" Target="https://one.oecd.org/document/C(2006)184/en/pdf" TargetMode="External"/><Relationship Id="rId15" Type="http://schemas.openxmlformats.org/officeDocument/2006/relationships/hyperlink" Target="http://www.berr.gov.uk/files/file45136.pdf" TargetMode="External"/><Relationship Id="rId23" Type="http://schemas.openxmlformats.org/officeDocument/2006/relationships/hyperlink" Target="https://www.databusiness.fi/content/uploads/2017/10/20171109_HarmonisedSmartCityAPIs_WEB.pdf" TargetMode="External"/><Relationship Id="rId28" Type="http://schemas.openxmlformats.org/officeDocument/2006/relationships/hyperlink" Target="http://eur-lex.europa.eu/eli/reg_del/2017/1926/oj" TargetMode="External"/><Relationship Id="rId36" Type="http://schemas.openxmlformats.org/officeDocument/2006/relationships/hyperlink" Target="https://ec.europa.eu/digital-single-market/en/news/summary-report-workshop-open-research-data-within-context-directive-reuse-public-sector" TargetMode="External"/><Relationship Id="rId49" Type="http://schemas.openxmlformats.org/officeDocument/2006/relationships/hyperlink" Target="https://www.europeandataportal.eu/en/highlights/open-data-maturity-europe" TargetMode="External"/><Relationship Id="rId57" Type="http://schemas.openxmlformats.org/officeDocument/2006/relationships/hyperlink" Target="http://dataportal.opendataforafrica.org/" TargetMode="External"/><Relationship Id="rId61" Type="http://schemas.openxmlformats.org/officeDocument/2006/relationships/hyperlink" Target="http://www.europeandataportal.eu" TargetMode="External"/><Relationship Id="rId10" Type="http://schemas.openxmlformats.org/officeDocument/2006/relationships/hyperlink" Target="http://opendigital.economist.com/digital-economy" TargetMode="External"/><Relationship Id="rId19" Type="http://schemas.openxmlformats.org/officeDocument/2006/relationships/hyperlink" Target="http://informecotec.es/media/INFORME_REUTILIZACION-DE-DATOS.pdf" TargetMode="External"/><Relationship Id="rId31" Type="http://schemas.openxmlformats.org/officeDocument/2006/relationships/hyperlink" Target="http://ec.europa.eu/programmes/horizon2020/en/h2020-section/open-science-open-access" TargetMode="External"/><Relationship Id="rId44" Type="http://schemas.openxmlformats.org/officeDocument/2006/relationships/hyperlink" Target="https://ec.europa.eu/digital-single-market/en/news/public-hearing-review-directive-reuse-public-sector-information" TargetMode="External"/><Relationship Id="rId52" Type="http://schemas.openxmlformats.org/officeDocument/2006/relationships/hyperlink" Target="http://sdfe.dk/media/2917052/20170317-the-impact-of-the-open-geographical-data-management-summary-version-13-pwc-qrvkvdr.pdf" TargetMode="External"/><Relationship Id="rId60" Type="http://schemas.openxmlformats.org/officeDocument/2006/relationships/hyperlink" Target="https://ec.europa.eu/info/sites/info/files/better-regulation-toolbox_1.pdf" TargetMode="External"/><Relationship Id="rId65" Type="http://schemas.openxmlformats.org/officeDocument/2006/relationships/hyperlink" Target="http://www.opengovpartnership.org" TargetMode="External"/><Relationship Id="rId73" Type="http://schemas.openxmlformats.org/officeDocument/2006/relationships/hyperlink" Target="https://www.europeandataportal.eu/en/dashboard" TargetMode="External"/><Relationship Id="rId4" Type="http://schemas.openxmlformats.org/officeDocument/2006/relationships/hyperlink" Target="https://one.oecd.org/document/C(2008)36/en/pdf" TargetMode="External"/><Relationship Id="rId9" Type="http://schemas.openxmlformats.org/officeDocument/2006/relationships/hyperlink" Target="http://eur-lex.europa.eu/legal-content/EN/TXT/?uri=CELEX%3A31996L0009" TargetMode="External"/><Relationship Id="rId14" Type="http://schemas.openxmlformats.org/officeDocument/2006/relationships/hyperlink" Target="http://www.oecd.org/sti/ieconomy/data-driven-innovation.html" TargetMode="External"/><Relationship Id="rId22" Type="http://schemas.openxmlformats.org/officeDocument/2006/relationships/hyperlink" Target="https://www.europeandataportal.eu/en/dashboard" TargetMode="External"/><Relationship Id="rId27" Type="http://schemas.openxmlformats.org/officeDocument/2006/relationships/hyperlink" Target="https://opendata.reseaux-energies.fr/pages/accueil/" TargetMode="External"/><Relationship Id="rId30" Type="http://schemas.openxmlformats.org/officeDocument/2006/relationships/hyperlink" Target="http://ec.europa.eu/environment/water/water-drink/review_en.html" TargetMode="External"/><Relationship Id="rId35" Type="http://schemas.openxmlformats.org/officeDocument/2006/relationships/hyperlink" Target="http://www.openaire.eu" TargetMode="External"/><Relationship Id="rId43" Type="http://schemas.openxmlformats.org/officeDocument/2006/relationships/hyperlink" Target="https://www.jisc.ac.uk/rd/projects/freedom-of-information-research" TargetMode="External"/><Relationship Id="rId48" Type="http://schemas.openxmlformats.org/officeDocument/2006/relationships/hyperlink" Target="https://www.digst.dk/~/media/Files/English/Fact_sheet_BasicData_pdf.pdf" TargetMode="External"/><Relationship Id="rId56" Type="http://schemas.openxmlformats.org/officeDocument/2006/relationships/hyperlink" Target="http://images.thegovlab.org/wordpress/wp-content/uploads/2015/08/OpenData-and-SME-Final-Aug2015.pdf" TargetMode="External"/><Relationship Id="rId64" Type="http://schemas.openxmlformats.org/officeDocument/2006/relationships/hyperlink" Target="https://ec.europa.eu/digital-single-market/en/news/eu-implementation-g8-open-data-charter" TargetMode="External"/><Relationship Id="rId69" Type="http://schemas.openxmlformats.org/officeDocument/2006/relationships/hyperlink" Target="http://opendatacon.org/the-power-of-open-data-to-solve-old-problems-in-new-ways/" TargetMode="External"/><Relationship Id="rId8" Type="http://schemas.openxmlformats.org/officeDocument/2006/relationships/hyperlink" Target="https://ec.europa.eu/digital-single-market/en/news/consultation-guidelines-recommended-standard-licences-datasets-and-charging-re-use-public" TargetMode="External"/><Relationship Id="rId51" Type="http://schemas.openxmlformats.org/officeDocument/2006/relationships/hyperlink" Target="http://eur-lex.europa.eu/legal-content/EN/TXT/?uri=uriserv:OJ.C_.2014.240.01.0001.01.ENG" TargetMode="External"/><Relationship Id="rId72" Type="http://schemas.openxmlformats.org/officeDocument/2006/relationships/hyperlink" Target="https://www.kl.nl/en/people/paul-keller/" TargetMode="External"/><Relationship Id="rId3" Type="http://schemas.openxmlformats.org/officeDocument/2006/relationships/hyperlink" Target="http://www.europeandataportal.eu" TargetMode="External"/><Relationship Id="rId12" Type="http://schemas.openxmlformats.org/officeDocument/2006/relationships/hyperlink" Target="https://www.theatlas.com/charts/BJsmCFAl" TargetMode="External"/><Relationship Id="rId17" Type="http://schemas.openxmlformats.org/officeDocument/2006/relationships/hyperlink" Target="https://www.linkedin.com/pulse/reuse-open-data-opportunity-spain-alberto-abella" TargetMode="External"/><Relationship Id="rId25" Type="http://schemas.openxmlformats.org/officeDocument/2006/relationships/hyperlink" Target="https://tfl.gov.uk/" TargetMode="External"/><Relationship Id="rId33" Type="http://schemas.openxmlformats.org/officeDocument/2006/relationships/hyperlink" Target="https://ec.europa.eu/digital-single-market/en/news/public-hearing-review-directive-reuse-public-sector-information" TargetMode="External"/><Relationship Id="rId38" Type="http://schemas.openxmlformats.org/officeDocument/2006/relationships/hyperlink" Target="https://ec.europa.eu/digital-single-market/en/news/summary-report-high-level-round-table-discussion-public-sector-information-re-use" TargetMode="External"/><Relationship Id="rId46" Type="http://schemas.openxmlformats.org/officeDocument/2006/relationships/hyperlink" Target="https://www.lvm.fi/documents/20181/937315/Factsheet+57-2017+Act+on+Transport+Services.pdf/bd002762-a6a0-4867-bb49-5c1b86069380" TargetMode="External"/><Relationship Id="rId59" Type="http://schemas.openxmlformats.org/officeDocument/2006/relationships/hyperlink" Target="https://ec.europa.eu/info/sites/info/files/better-regulation-guidelines.pdf" TargetMode="External"/><Relationship Id="rId67" Type="http://schemas.openxmlformats.org/officeDocument/2006/relationships/hyperlink" Target="https://www.whitehouse.gov/the-press-office/2013/05/09/executive-order-making-open-and-machine-readable-new-default-government-" TargetMode="External"/><Relationship Id="rId20" Type="http://schemas.openxmlformats.org/officeDocument/2006/relationships/hyperlink" Target="https://www.dati.gov.it" TargetMode="External"/><Relationship Id="rId41" Type="http://schemas.openxmlformats.org/officeDocument/2006/relationships/hyperlink" Target="https://ec.europa.eu/digital-single-market/en/news/ministerial-declaration-egovernment-tallinn-declaration" TargetMode="External"/><Relationship Id="rId54" Type="http://schemas.openxmlformats.org/officeDocument/2006/relationships/hyperlink" Target="https://ec.europa.eu/digital-single-market/en/news/public-sector-information-group-main-page" TargetMode="External"/><Relationship Id="rId62" Type="http://schemas.openxmlformats.org/officeDocument/2006/relationships/hyperlink" Target="http://www.psimonitor.eu/index.php/en/" TargetMode="External"/><Relationship Id="rId70" Type="http://schemas.openxmlformats.org/officeDocument/2006/relationships/hyperlink" Target="http://www.pc.gov.au/inquiries/completed/data-access/report" TargetMode="External"/><Relationship Id="rId1" Type="http://schemas.openxmlformats.org/officeDocument/2006/relationships/hyperlink" Target="https://ec.europa.eu/digital-single-market/en/news/new-study-egovernment-services-europe-improving-cross-border-availability-services" TargetMode="External"/><Relationship Id="rId6" Type="http://schemas.openxmlformats.org/officeDocument/2006/relationships/hyperlink" Target="https://www.gov.uk/government/publications/open-data-charter/g8-open-data-charter-and-technical-anne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flinz\Desktop\Projekte\DG%20CNECT%20PSI%20Directive\Quantification%20&amp;%20Modelling\Excel%20model\PSI_Quantification_v1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153368766192636"/>
          <c:y val="8.4843810258387969E-2"/>
          <c:w val="0.76977535634903604"/>
          <c:h val="0.55978877110087422"/>
        </c:manualLayout>
      </c:layout>
      <c:lineChart>
        <c:grouping val="standard"/>
        <c:varyColors val="0"/>
        <c:ser>
          <c:idx val="0"/>
          <c:order val="0"/>
          <c:tx>
            <c:strRef>
              <c:f>'PO Total Economic Value'!$A$1</c:f>
              <c:strCache>
                <c:ptCount val="1"/>
                <c:pt idx="0">
                  <c:v>Baseline Scenario</c:v>
                </c:pt>
              </c:strCache>
            </c:strRef>
          </c:tx>
          <c:spPr>
            <a:ln w="28575" cap="rnd">
              <a:solidFill>
                <a:schemeClr val="accent1"/>
              </a:solidFill>
              <a:round/>
            </a:ln>
            <a:effectLst/>
          </c:spPr>
          <c:marker>
            <c:symbol val="none"/>
          </c:marker>
          <c:cat>
            <c:numRef>
              <c:f>'PO Total Economic Value'!$J$2:$V$2</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'PO Direct Economic Value'!$J$31:$V$31</c:f>
              <c:numCache>
                <c:formatCode>_-* #,##0\ [$€-407]_-;\-* #,##0\ [$€-407]_-;_-* "-"??\ [$€-407]_-;_-@_-</c:formatCode>
                <c:ptCount val="13"/>
                <c:pt idx="0">
                  <c:v>52373944723.051361</c:v>
                </c:pt>
                <c:pt idx="1">
                  <c:v>57013276715.677353</c:v>
                </c:pt>
                <c:pt idx="2">
                  <c:v>63012674351.378349</c:v>
                </c:pt>
                <c:pt idx="3">
                  <c:v>70567475131.952957</c:v>
                </c:pt>
                <c:pt idx="4">
                  <c:v>79789414408.208847</c:v>
                </c:pt>
                <c:pt idx="5">
                  <c:v>90621509572.762238</c:v>
                </c:pt>
                <c:pt idx="6">
                  <c:v>102737917761.61542</c:v>
                </c:pt>
                <c:pt idx="7">
                  <c:v>115462804945.10176</c:v>
                </c:pt>
                <c:pt idx="8">
                  <c:v>127762714814.16837</c:v>
                </c:pt>
                <c:pt idx="9">
                  <c:v>138364743384.50839</c:v>
                </c:pt>
                <c:pt idx="10">
                  <c:v>146009055708.30035</c:v>
                </c:pt>
                <c:pt idx="11">
                  <c:v>149767587876.29193</c:v>
                </c:pt>
                <c:pt idx="12">
                  <c:v>149299670876.09964</c:v>
                </c:pt>
              </c:numCache>
            </c:numRef>
          </c:val>
          <c:smooth val="0"/>
          <c:extLst xmlns:c16r2="http://schemas.microsoft.com/office/drawing/2015/06/chart">
            <c:ext xmlns:c16="http://schemas.microsoft.com/office/drawing/2014/chart" uri="{C3380CC4-5D6E-409C-BE32-E72D297353CC}">
              <c16:uniqueId val="{00000000-F966-4EAE-9428-7200DDA9A97E}"/>
            </c:ext>
          </c:extLst>
        </c:ser>
        <c:ser>
          <c:idx val="1"/>
          <c:order val="1"/>
          <c:tx>
            <c:strRef>
              <c:f>'PO Total Economic Value'!$A$34</c:f>
              <c:strCache>
                <c:ptCount val="1"/>
                <c:pt idx="0">
                  <c:v>Policy Option 1</c:v>
                </c:pt>
              </c:strCache>
            </c:strRef>
          </c:tx>
          <c:spPr>
            <a:ln w="28575" cap="rnd">
              <a:solidFill>
                <a:schemeClr val="accent5"/>
              </a:solidFill>
              <a:prstDash val="sysDash"/>
              <a:round/>
            </a:ln>
            <a:effectLst/>
          </c:spPr>
          <c:marker>
            <c:symbol val="none"/>
          </c:marker>
          <c:cat>
            <c:numRef>
              <c:f>'PO Total Economic Value'!$J$2:$V$2</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'PO Direct Economic Value'!$J$64:$V$64</c:f>
              <c:numCache>
                <c:formatCode>_-* #,##0\ [$€-407]_-;\-* #,##0\ [$€-407]_-;_-* "-"??\ [$€-407]_-;_-@_-</c:formatCode>
                <c:ptCount val="13"/>
                <c:pt idx="0">
                  <c:v>52373944723.051361</c:v>
                </c:pt>
                <c:pt idx="1">
                  <c:v>57013276715.677353</c:v>
                </c:pt>
                <c:pt idx="2">
                  <c:v>63012674351.378349</c:v>
                </c:pt>
                <c:pt idx="3">
                  <c:v>90767084063.973526</c:v>
                </c:pt>
                <c:pt idx="4">
                  <c:v>106631606908.70322</c:v>
                </c:pt>
                <c:pt idx="5">
                  <c:v>124606557123.48842</c:v>
                </c:pt>
                <c:pt idx="6">
                  <c:v>143679582350.30115</c:v>
                </c:pt>
                <c:pt idx="7">
                  <c:v>162261836432.71579</c:v>
                </c:pt>
                <c:pt idx="8">
                  <c:v>178243765197.30283</c:v>
                </c:pt>
                <c:pt idx="9">
                  <c:v>189342441154.78192</c:v>
                </c:pt>
                <c:pt idx="10">
                  <c:v>193775571628.48721</c:v>
                </c:pt>
                <c:pt idx="11">
                  <c:v>190999268400.5726</c:v>
                </c:pt>
                <c:pt idx="12">
                  <c:v>182002642113.78165</c:v>
                </c:pt>
              </c:numCache>
            </c:numRef>
          </c:val>
          <c:smooth val="0"/>
          <c:extLst xmlns:c16r2="http://schemas.microsoft.com/office/drawing/2015/06/chart">
            <c:ext xmlns:c16="http://schemas.microsoft.com/office/drawing/2014/chart" uri="{C3380CC4-5D6E-409C-BE32-E72D297353CC}">
              <c16:uniqueId val="{00000001-F966-4EAE-9428-7200DDA9A97E}"/>
            </c:ext>
          </c:extLst>
        </c:ser>
        <c:ser>
          <c:idx val="3"/>
          <c:order val="2"/>
          <c:tx>
            <c:strRef>
              <c:f>'PO Total Economic Value'!$AU$34</c:f>
              <c:strCache>
                <c:ptCount val="1"/>
                <c:pt idx="0">
                  <c:v>Policy Option 2</c:v>
                </c:pt>
              </c:strCache>
            </c:strRef>
          </c:tx>
          <c:spPr>
            <a:ln w="28575" cap="rnd">
              <a:solidFill>
                <a:schemeClr val="accent4"/>
              </a:solidFill>
              <a:prstDash val="sysDash"/>
              <a:round/>
            </a:ln>
            <a:effectLst/>
          </c:spPr>
          <c:marker>
            <c:symbol val="none"/>
          </c:marker>
          <c:cat>
            <c:numRef>
              <c:f>'PO Total Economic Value'!$J$2:$V$2</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'PO Direct Economic Value'!$BD$64:$BP$64</c:f>
              <c:numCache>
                <c:formatCode>_-* #,##0\ [$€-407]_-;\-* #,##0\ [$€-407]_-;_-* "-"??\ [$€-407]_-;_-@_-</c:formatCode>
                <c:ptCount val="13"/>
                <c:pt idx="0">
                  <c:v>52373944723.051361</c:v>
                </c:pt>
                <c:pt idx="1">
                  <c:v>57013276715.677353</c:v>
                </c:pt>
                <c:pt idx="2">
                  <c:v>63012674351.378349</c:v>
                </c:pt>
                <c:pt idx="3">
                  <c:v>99871133160.09549</c:v>
                </c:pt>
                <c:pt idx="4">
                  <c:v>118729496486.39078</c:v>
                </c:pt>
                <c:pt idx="5">
                  <c:v>139923761653.39313</c:v>
                </c:pt>
                <c:pt idx="6">
                  <c:v>162132163573.37073</c:v>
                </c:pt>
                <c:pt idx="7">
                  <c:v>183354357666.56998</c:v>
                </c:pt>
                <c:pt idx="8">
                  <c:v>200995787905.19446</c:v>
                </c:pt>
                <c:pt idx="9">
                  <c:v>212318304938.5672</c:v>
                </c:pt>
                <c:pt idx="10">
                  <c:v>215304142184.06433</c:v>
                </c:pt>
                <c:pt idx="11">
                  <c:v>209582561031.23428</c:v>
                </c:pt>
                <c:pt idx="12">
                  <c:v>196742009432.17355</c:v>
                </c:pt>
              </c:numCache>
            </c:numRef>
          </c:val>
          <c:smooth val="0"/>
          <c:extLst xmlns:c16r2="http://schemas.microsoft.com/office/drawing/2015/06/chart">
            <c:ext xmlns:c16="http://schemas.microsoft.com/office/drawing/2014/chart" uri="{C3380CC4-5D6E-409C-BE32-E72D297353CC}">
              <c16:uniqueId val="{00000002-F966-4EAE-9428-7200DDA9A97E}"/>
            </c:ext>
          </c:extLst>
        </c:ser>
        <c:dLbls>
          <c:showLegendKey val="0"/>
          <c:showVal val="0"/>
          <c:showCatName val="0"/>
          <c:showSerName val="0"/>
          <c:showPercent val="0"/>
          <c:showBubbleSize val="0"/>
        </c:dLbls>
        <c:marker val="1"/>
        <c:smooth val="0"/>
        <c:axId val="79961088"/>
        <c:axId val="96859648"/>
        <c:extLst xmlns:c16r2="http://schemas.microsoft.com/office/drawing/2015/06/chart"/>
      </c:lineChart>
      <c:catAx>
        <c:axId val="7996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859648"/>
        <c:crosses val="autoZero"/>
        <c:auto val="1"/>
        <c:lblAlgn val="ctr"/>
        <c:lblOffset val="100"/>
        <c:noMultiLvlLbl val="0"/>
      </c:catAx>
      <c:valAx>
        <c:axId val="96859648"/>
        <c:scaling>
          <c:orientation val="minMax"/>
          <c:min val="50000000000"/>
        </c:scaling>
        <c:delete val="0"/>
        <c:axPos val="l"/>
        <c:majorGridlines>
          <c:spPr>
            <a:ln w="9525" cap="flat" cmpd="sng" algn="ctr">
              <a:solidFill>
                <a:schemeClr val="tx1">
                  <a:lumMod val="15000"/>
                  <a:lumOff val="85000"/>
                </a:schemeClr>
              </a:solidFill>
              <a:round/>
            </a:ln>
            <a:effectLst/>
          </c:spPr>
        </c:majorGridlines>
        <c:numFmt formatCode="_-* #,##0\ [$€-407]_-;\-* #,##0\ [$€-407]_-;_-* &quot;-&quot;??\ [$€-407]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61088"/>
        <c:crosses val="autoZero"/>
        <c:crossBetween val="between"/>
        <c:majorUnit val="25000000000"/>
        <c:dispUnits>
          <c:builtInUnit val="b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66aabb8-7ec2-447a-a7ff-f911015037e7">UVNUSV5RWJH5-815657195-509</_dlc_DocId>
    <_dlc_DocIdUrl xmlns="866aabb8-7ec2-447a-a7ff-f911015037e7">
      <Url>https://myintracomm-collab.ec.europa.eu/dg/CONNECT/directorateG/UnitG1/_layouts/15/DocIdRedir.aspx?ID=UVNUSV5RWJH5-815657195-509</Url>
      <Description>UVNUSV5RWJH5-815657195-509</Description>
    </_dlc_DocIdUrl>
    <EC_Collab_Reference xmlns="8a4779a7-a821-41bc-9264-6a7285c3b1da" xsi:nil="true"/>
    <EC_Collab_DocumentLanguage xmlns="8a4779a7-a821-41bc-9264-6a7285c3b1da">EN</EC_Collab_DocumentLanguag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33CE8E76DF1EC14FB803D6FF12E6DEFF" ma:contentTypeVersion="9" ma:contentTypeDescription="Create a new document." ma:contentTypeScope="" ma:versionID="bce2b482114eb32cf30f053350693ec4">
  <xsd:schema xmlns:xsd="http://www.w3.org/2001/XMLSchema" xmlns:xs="http://www.w3.org/2001/XMLSchema" xmlns:p="http://schemas.microsoft.com/office/2006/metadata/properties" xmlns:ns3="8a4779a7-a821-41bc-9264-6a7285c3b1da" xmlns:ns4="866aabb8-7ec2-447a-a7ff-f911015037e7" targetNamespace="http://schemas.microsoft.com/office/2006/metadata/properties" ma:root="true" ma:fieldsID="4838d94350bd37eefc22bf8610b88a32" ns3:_="" ns4:_="">
    <xsd:import namespace="8a4779a7-a821-41bc-9264-6a7285c3b1da"/>
    <xsd:import namespace="866aabb8-7ec2-447a-a7ff-f911015037e7"/>
    <xsd:element name="properties">
      <xsd:complexType>
        <xsd:sequence>
          <xsd:element name="documentManagement">
            <xsd:complexType>
              <xsd:all>
                <xsd:element ref="ns3:EC_Collab_Reference" minOccurs="0"/>
                <xsd:element ref="ns3:EC_Collab_DocumentLanguag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779a7-a821-41bc-9264-6a7285c3b1d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nillable="true" ma:displayName="Language" ma:default="EN"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schema>
  <xsd:schema xmlns:xsd="http://www.w3.org/2001/XMLSchema" xmlns:xs="http://www.w3.org/2001/XMLSchema" xmlns:dms="http://schemas.microsoft.com/office/2006/documentManagement/types" xmlns:pc="http://schemas.microsoft.com/office/infopath/2007/PartnerControls" targetNamespace="866aabb8-7ec2-447a-a7ff-f911015037e7"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E30D9-A914-4EDE-9E6F-B239D5E4899F}">
  <ds:schemaRefs>
    <ds:schemaRef ds:uri="http://schemas.microsoft.com/office/2006/documentManagement/types"/>
    <ds:schemaRef ds:uri="http://purl.org/dc/terms/"/>
    <ds:schemaRef ds:uri="http://www.w3.org/XML/1998/namespace"/>
    <ds:schemaRef ds:uri="http://purl.org/dc/dcmitype/"/>
    <ds:schemaRef ds:uri="http://schemas.microsoft.com/office/infopath/2007/PartnerControls"/>
    <ds:schemaRef ds:uri="http://purl.org/dc/elements/1.1/"/>
    <ds:schemaRef ds:uri="8a4779a7-a821-41bc-9264-6a7285c3b1da"/>
    <ds:schemaRef ds:uri="http://schemas.openxmlformats.org/package/2006/metadata/core-properties"/>
    <ds:schemaRef ds:uri="866aabb8-7ec2-447a-a7ff-f911015037e7"/>
    <ds:schemaRef ds:uri="http://schemas.microsoft.com/office/2006/metadata/properties"/>
  </ds:schemaRefs>
</ds:datastoreItem>
</file>

<file path=customXml/itemProps2.xml><?xml version="1.0" encoding="utf-8"?>
<ds:datastoreItem xmlns:ds="http://schemas.openxmlformats.org/officeDocument/2006/customXml" ds:itemID="{901993DF-29D2-4B37-8F26-FEAD077B9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779a7-a821-41bc-9264-6a7285c3b1da"/>
    <ds:schemaRef ds:uri="866aabb8-7ec2-447a-a7ff-f911015037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68517A-A7CA-4553-8D96-5056A73C0479}">
  <ds:schemaRefs>
    <ds:schemaRef ds:uri="http://schemas.microsoft.com/sharepoint/v3/contenttype/forms"/>
  </ds:schemaRefs>
</ds:datastoreItem>
</file>

<file path=customXml/itemProps4.xml><?xml version="1.0" encoding="utf-8"?>
<ds:datastoreItem xmlns:ds="http://schemas.openxmlformats.org/officeDocument/2006/customXml" ds:itemID="{946AB597-18BE-4A44-A14C-4915D0E72CAB}">
  <ds:schemaRefs>
    <ds:schemaRef ds:uri="http://schemas.microsoft.com/sharepoint/events"/>
  </ds:schemaRefs>
</ds:datastoreItem>
</file>

<file path=customXml/itemProps5.xml><?xml version="1.0" encoding="utf-8"?>
<ds:datastoreItem xmlns:ds="http://schemas.openxmlformats.org/officeDocument/2006/customXml" ds:itemID="{17EB8465-3F52-4DFD-9EB3-9937B6093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40273</Words>
  <Characters>218282</Characters>
  <Application>Microsoft Office Word</Application>
  <DocSecurity>0</DocSecurity>
  <Lines>4365</Lines>
  <Paragraphs>1503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257052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17</cp:revision>
  <cp:lastPrinted>2018-04-19T09:38:00Z</cp:lastPrinted>
  <dcterms:created xsi:type="dcterms:W3CDTF">2018-04-20T10:37:00Z</dcterms:created>
  <dcterms:modified xsi:type="dcterms:W3CDTF">2018-04-24T12:00:00Z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Level of sensitivity">
    <vt:lpwstr>Standard treatment</vt:lpwstr>
  </property>
  <property fmtid="{D5CDD505-2E9C-101B-9397-08002B2CF9AE}" pid="5" name="ContentTypeId">
    <vt:lpwstr>0x010100258AA79CEB83498886A3A086811232500033CE8E76DF1EC14FB803D6FF12E6DEFF</vt:lpwstr>
  </property>
  <property fmtid="{D5CDD505-2E9C-101B-9397-08002B2CF9AE}" pid="6" name="_dlc_DocIdItemGuid">
    <vt:lpwstr>29f41e94-e65b-4a9a-8005-11c8a2fcc088</vt:lpwstr>
  </property>
  <property fmtid="{D5CDD505-2E9C-101B-9397-08002B2CF9AE}" pid="7" name="DocStatus">
    <vt:lpwstr>Green</vt:lpwstr>
  </property>
</Properties>
</file>