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66B" w:rsidRDefault="003232A6" w:rsidP="003232A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E8EAE73-0710-43D2-BC84-A7D701557915" style="width:451pt;height:334pt">
            <v:imagedata r:id="rId13" o:title=""/>
          </v:shape>
        </w:pict>
      </w:r>
    </w:p>
    <w:bookmarkEnd w:id="0"/>
    <w:p w:rsidR="00A7566B" w:rsidRDefault="00A7566B">
      <w:pPr>
        <w:rPr>
          <w:rFonts w:ascii="Times New Roman" w:hAnsi="Times New Roman" w:cs="Times New Roman"/>
          <w:noProof/>
        </w:rPr>
        <w:sectPr w:rsidR="00A7566B" w:rsidSect="003232A6">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rsidR="00A7566B" w:rsidRDefault="003232A6">
      <w:pPr>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 xml:space="preserve">1) Introduction </w:t>
      </w:r>
    </w:p>
    <w:p w:rsidR="00A7566B" w:rsidRDefault="003232A6">
      <w:pPr>
        <w:jc w:val="both"/>
        <w:rPr>
          <w:rFonts w:ascii="Times New Roman" w:hAnsi="Times New Roman" w:cs="Times New Roman"/>
          <w:noProof/>
          <w:sz w:val="24"/>
          <w:szCs w:val="24"/>
        </w:rPr>
      </w:pPr>
      <w:r>
        <w:rPr>
          <w:rFonts w:ascii="Times New Roman" w:hAnsi="Times New Roman" w:cs="Times New Roman"/>
          <w:noProof/>
          <w:sz w:val="24"/>
          <w:szCs w:val="24"/>
        </w:rPr>
        <w:t xml:space="preserve">Data-driven innovation is a key driver of growth and jobs that can significantly boost European competitiveness in the global market. </w:t>
      </w:r>
      <w:r>
        <w:rPr>
          <w:rFonts w:ascii="Times New Roman" w:hAnsi="Times New Roman" w:cs="Times New Roman"/>
          <w:noProof/>
          <w:sz w:val="24"/>
          <w:szCs w:val="24"/>
        </w:rPr>
        <w:t>If the right framework conditions are put in place, the European data economy could double by 2020.</w:t>
      </w:r>
      <w:r>
        <w:rPr>
          <w:rFonts w:ascii="Times New Roman" w:hAnsi="Times New Roman" w:cs="Times New Roman"/>
          <w:noProof/>
          <w:sz w:val="24"/>
          <w:szCs w:val="24"/>
          <w:vertAlign w:val="superscript"/>
        </w:rPr>
        <w:footnoteReference w:id="2"/>
      </w:r>
    </w:p>
    <w:p w:rsidR="00A7566B" w:rsidRDefault="003232A6">
      <w:pPr>
        <w:jc w:val="both"/>
        <w:rPr>
          <w:rFonts w:ascii="Times New Roman" w:hAnsi="Times New Roman" w:cs="Times New Roman"/>
          <w:noProof/>
          <w:sz w:val="24"/>
          <w:szCs w:val="24"/>
        </w:rPr>
      </w:pPr>
      <w:r>
        <w:rPr>
          <w:rFonts w:ascii="Times New Roman" w:hAnsi="Times New Roman" w:cs="Times New Roman"/>
          <w:noProof/>
          <w:sz w:val="24"/>
          <w:szCs w:val="24"/>
        </w:rPr>
        <w:t>The Commission has already implemented key measures to improve the framework conditions for data-intensive industries. With the General Data Protection Reg</w:t>
      </w:r>
      <w:r>
        <w:rPr>
          <w:rFonts w:ascii="Times New Roman" w:hAnsi="Times New Roman" w:cs="Times New Roman"/>
          <w:noProof/>
          <w:sz w:val="24"/>
          <w:szCs w:val="24"/>
        </w:rPr>
        <w:t>ulation</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rPr>
        <w:t>, the EU has created a solid framework for digital trust, a precondition for the sustainable development of the data economy. The General Data Protection Regulation guarantees a high level of data protection. All those affected by the new rules, wh</w:t>
      </w:r>
      <w:r>
        <w:rPr>
          <w:rFonts w:ascii="Times New Roman" w:hAnsi="Times New Roman" w:cs="Times New Roman"/>
          <w:noProof/>
          <w:sz w:val="24"/>
          <w:szCs w:val="24"/>
        </w:rPr>
        <w:t>ich will come into force on 25 May 2018, will need to ensure full compliance. To lay the foundations for a future competitive advantage based on trusted and accepted data technologies, the free movement of personal data within the EU granted by EU data pro</w:t>
      </w:r>
      <w:r>
        <w:rPr>
          <w:rFonts w:ascii="Times New Roman" w:hAnsi="Times New Roman" w:cs="Times New Roman"/>
          <w:noProof/>
          <w:sz w:val="24"/>
          <w:szCs w:val="24"/>
        </w:rPr>
        <w:t>tection rules will be complemented by the free flow of non-personal data under a proposal for Regulation put forward in September 2017.</w:t>
      </w:r>
      <w:r>
        <w:rPr>
          <w:rStyle w:val="FootnoteReference"/>
          <w:rFonts w:ascii="Times New Roman" w:hAnsi="Times New Roman" w:cs="Times New Roman"/>
          <w:noProof/>
          <w:sz w:val="24"/>
          <w:szCs w:val="24"/>
        </w:rPr>
        <w:footnoteReference w:id="4"/>
      </w:r>
    </w:p>
    <w:p w:rsidR="00A7566B" w:rsidRDefault="003232A6">
      <w:pPr>
        <w:jc w:val="both"/>
        <w:rPr>
          <w:rFonts w:ascii="Times New Roman" w:hAnsi="Times New Roman"/>
          <w:noProof/>
          <w:sz w:val="24"/>
        </w:rPr>
      </w:pPr>
      <w:r>
        <w:rPr>
          <w:rFonts w:ascii="Times New Roman" w:hAnsi="Times New Roman" w:cs="Times New Roman"/>
          <w:noProof/>
          <w:sz w:val="24"/>
          <w:szCs w:val="24"/>
        </w:rPr>
        <w:t>However, further action is needed in order to improve the efficient use of data across the EU. As part of its Digital S</w:t>
      </w:r>
      <w:r>
        <w:rPr>
          <w:rFonts w:ascii="Times New Roman" w:hAnsi="Times New Roman" w:cs="Times New Roman"/>
          <w:noProof/>
          <w:sz w:val="24"/>
          <w:szCs w:val="24"/>
        </w:rPr>
        <w:t>ingle Market strategy, the Commission has taken important steps in this direction. In January 2017, it published the Communication ʻBuilding a European Data Economyʼ</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rPr>
        <w:t>, which launched an extensive stakeholder consultation, including a public online consulta</w:t>
      </w:r>
      <w:r>
        <w:rPr>
          <w:rFonts w:ascii="Times New Roman" w:hAnsi="Times New Roman" w:cs="Times New Roman"/>
          <w:noProof/>
          <w:sz w:val="24"/>
          <w:szCs w:val="24"/>
        </w:rPr>
        <w:t>tion</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The subsequent mid-term review of the Digital Single Market strategy</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announced initiatives </w:t>
      </w:r>
      <w:r>
        <w:rPr>
          <w:rFonts w:ascii="Times New Roman" w:hAnsi="Times New Roman"/>
          <w:noProof/>
          <w:sz w:val="24"/>
        </w:rPr>
        <w:t xml:space="preserve">on the free flow of non-personal data and on accessibility and re-use of public and publicly funded data. It also indicated further measures in the area of </w:t>
      </w:r>
      <w:r>
        <w:rPr>
          <w:rFonts w:ascii="Times New Roman" w:hAnsi="Times New Roman"/>
          <w:noProof/>
          <w:sz w:val="24"/>
        </w:rPr>
        <w:t>private sector data that are of public interest.</w:t>
      </w:r>
    </w:p>
    <w:p w:rsidR="00A7566B" w:rsidRDefault="003232A6">
      <w:pPr>
        <w:jc w:val="both"/>
        <w:rPr>
          <w:rFonts w:ascii="Times New Roman" w:hAnsi="Times New Roman" w:cs="Times New Roman"/>
          <w:noProof/>
          <w:sz w:val="24"/>
          <w:szCs w:val="24"/>
        </w:rPr>
      </w:pPr>
      <w:r>
        <w:rPr>
          <w:rFonts w:ascii="Times New Roman" w:hAnsi="Times New Roman" w:cs="Times New Roman"/>
          <w:noProof/>
          <w:sz w:val="24"/>
          <w:szCs w:val="24"/>
        </w:rPr>
        <w:t xml:space="preserve">Building on the data protection legislation in force, the Commission is now proposing a package of measures as a key step towards </w:t>
      </w:r>
      <w:r>
        <w:rPr>
          <w:rFonts w:ascii="Times New Roman" w:hAnsi="Times New Roman"/>
          <w:b/>
          <w:noProof/>
          <w:sz w:val="24"/>
        </w:rPr>
        <w:t>a common data space in the EU -</w:t>
      </w:r>
      <w:r>
        <w:rPr>
          <w:rFonts w:ascii="Times New Roman" w:hAnsi="Times New Roman" w:cs="Times New Roman"/>
          <w:noProof/>
          <w:sz w:val="24"/>
          <w:szCs w:val="24"/>
        </w:rPr>
        <w:t xml:space="preserve"> a seamless digital area with the scale that w</w:t>
      </w:r>
      <w:r>
        <w:rPr>
          <w:rFonts w:ascii="Times New Roman" w:hAnsi="Times New Roman" w:cs="Times New Roman"/>
          <w:noProof/>
          <w:sz w:val="24"/>
          <w:szCs w:val="24"/>
        </w:rPr>
        <w:t xml:space="preserve">ill enable the development of new products and services based on data. The measures put forward along with this Communication include: </w:t>
      </w:r>
    </w:p>
    <w:p w:rsidR="00A7566B" w:rsidRDefault="003232A6">
      <w:pPr>
        <w:pStyle w:val="ListParagraph"/>
        <w:numPr>
          <w:ilvl w:val="0"/>
          <w:numId w:val="35"/>
        </w:numPr>
        <w:jc w:val="both"/>
        <w:rPr>
          <w:rFonts w:ascii="Times New Roman" w:hAnsi="Times New Roman" w:cs="Times New Roman"/>
          <w:noProof/>
          <w:sz w:val="24"/>
          <w:szCs w:val="24"/>
        </w:rPr>
      </w:pPr>
      <w:r>
        <w:rPr>
          <w:rFonts w:ascii="Times New Roman" w:hAnsi="Times New Roman" w:cs="Times New Roman"/>
          <w:noProof/>
          <w:sz w:val="24"/>
          <w:szCs w:val="24"/>
        </w:rPr>
        <w:t>a proposal for a review of the Directive on the re-use of public sector information (PSI Directive</w:t>
      </w:r>
      <w:r>
        <w:rPr>
          <w:rFonts w:ascii="Times New Roman" w:hAnsi="Times New Roman"/>
          <w:noProof/>
          <w:sz w:val="24"/>
        </w:rPr>
        <w:t>)</w:t>
      </w:r>
      <w:r>
        <w:rPr>
          <w:rStyle w:val="FootnoteReference"/>
          <w:rFonts w:ascii="Times New Roman" w:hAnsi="Times New Roman"/>
          <w:noProof/>
          <w:sz w:val="24"/>
        </w:rPr>
        <w:t xml:space="preserve"> </w:t>
      </w:r>
      <w:r>
        <w:rPr>
          <w:rStyle w:val="FootnoteReference"/>
          <w:rFonts w:ascii="Times New Roman" w:hAnsi="Times New Roman"/>
          <w:noProof/>
          <w:sz w:val="24"/>
        </w:rPr>
        <w:footnoteReference w:id="8"/>
      </w:r>
      <w:r>
        <w:rPr>
          <w:rFonts w:ascii="Times New Roman" w:hAnsi="Times New Roman" w:cs="Times New Roman"/>
          <w:noProof/>
          <w:sz w:val="24"/>
          <w:szCs w:val="24"/>
        </w:rPr>
        <w:t>;</w:t>
      </w:r>
    </w:p>
    <w:p w:rsidR="00A7566B" w:rsidRDefault="003232A6">
      <w:pPr>
        <w:pStyle w:val="ListParagraph"/>
        <w:numPr>
          <w:ilvl w:val="0"/>
          <w:numId w:val="35"/>
        </w:numPr>
        <w:jc w:val="both"/>
        <w:rPr>
          <w:rFonts w:ascii="Times New Roman" w:hAnsi="Times New Roman" w:cs="Times New Roman"/>
          <w:noProof/>
          <w:sz w:val="24"/>
          <w:szCs w:val="24"/>
        </w:rPr>
      </w:pPr>
      <w:r>
        <w:rPr>
          <w:rFonts w:ascii="Times New Roman" w:hAnsi="Times New Roman" w:cs="Times New Roman"/>
          <w:noProof/>
          <w:sz w:val="24"/>
          <w:szCs w:val="24"/>
        </w:rPr>
        <w:t xml:space="preserve">an update of the </w:t>
      </w:r>
      <w:r>
        <w:rPr>
          <w:rFonts w:ascii="Times New Roman" w:hAnsi="Times New Roman" w:cs="Times New Roman"/>
          <w:noProof/>
          <w:sz w:val="24"/>
          <w:szCs w:val="24"/>
        </w:rPr>
        <w:t>Recommendation on access to and preservation of scientific information</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and</w:t>
      </w:r>
    </w:p>
    <w:p w:rsidR="00A7566B" w:rsidRDefault="003232A6">
      <w:pPr>
        <w:pStyle w:val="ListParagraph"/>
        <w:numPr>
          <w:ilvl w:val="0"/>
          <w:numId w:val="35"/>
        </w:numPr>
        <w:jc w:val="both"/>
        <w:rPr>
          <w:rFonts w:ascii="Times New Roman" w:hAnsi="Times New Roman" w:cs="Times New Roman"/>
          <w:noProof/>
          <w:sz w:val="24"/>
          <w:szCs w:val="24"/>
        </w:rPr>
      </w:pPr>
      <w:r>
        <w:rPr>
          <w:rFonts w:ascii="Times New Roman" w:hAnsi="Times New Roman" w:cs="Times New Roman"/>
          <w:noProof/>
          <w:sz w:val="24"/>
          <w:szCs w:val="24"/>
        </w:rPr>
        <w:t>guidance on sharing private sector data</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w:t>
      </w:r>
    </w:p>
    <w:p w:rsidR="00A7566B" w:rsidRDefault="003232A6">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This guidance builds on the principles for data sharing between businesses and between businesses and the public sector, which are laid </w:t>
      </w:r>
      <w:r>
        <w:rPr>
          <w:rFonts w:ascii="Times New Roman" w:hAnsi="Times New Roman" w:cs="Times New Roman"/>
          <w:noProof/>
          <w:sz w:val="24"/>
          <w:szCs w:val="24"/>
        </w:rPr>
        <w:t>down in this Communication. The envisaged measures cover different types of data and therefore have different levels of intensity. At the same time, they all work towards the broader goal of bringing together data, as a key source of innovation and growth,</w:t>
      </w:r>
      <w:r>
        <w:rPr>
          <w:rFonts w:ascii="Times New Roman" w:hAnsi="Times New Roman" w:cs="Times New Roman"/>
          <w:noProof/>
          <w:sz w:val="24"/>
          <w:szCs w:val="24"/>
        </w:rPr>
        <w:t xml:space="preserve"> from different sectors, countries and disciplines into a common data space. </w:t>
      </w:r>
    </w:p>
    <w:p w:rsidR="00A7566B" w:rsidRDefault="003232A6">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2) Reaping the socio-economic benefits of data-driven innovation </w:t>
      </w:r>
    </w:p>
    <w:p w:rsidR="00A7566B" w:rsidRDefault="003232A6">
      <w:pPr>
        <w:jc w:val="both"/>
        <w:rPr>
          <w:rFonts w:ascii="Times New Roman" w:hAnsi="Times New Roman" w:cs="Times New Roman"/>
          <w:noProof/>
          <w:sz w:val="24"/>
          <w:szCs w:val="24"/>
        </w:rPr>
      </w:pPr>
      <w:r>
        <w:rPr>
          <w:rFonts w:ascii="Times New Roman" w:hAnsi="Times New Roman" w:cs="Times New Roman"/>
          <w:noProof/>
          <w:sz w:val="24"/>
          <w:szCs w:val="24"/>
        </w:rPr>
        <w:t>Data is the raw material of the Digital Single Market. It can revolutionise our lives and create new opportunities for growth, including for small and medium-sized enterprises. The availability of huge quantities of data, much of which is generated by mach</w:t>
      </w:r>
      <w:r>
        <w:rPr>
          <w:rFonts w:ascii="Times New Roman" w:hAnsi="Times New Roman" w:cs="Times New Roman"/>
          <w:noProof/>
          <w:sz w:val="24"/>
          <w:szCs w:val="24"/>
        </w:rPr>
        <w:t>ines and sensors, has an impact on all of us. In fact, there are few areas of our lives that have not already been affected by the ongoing data revolution. Optimal use of data can help us live healthier and longer lives that are also less stressful and mor</w:t>
      </w:r>
      <w:r>
        <w:rPr>
          <w:rFonts w:ascii="Times New Roman" w:hAnsi="Times New Roman" w:cs="Times New Roman"/>
          <w:noProof/>
          <w:sz w:val="24"/>
          <w:szCs w:val="24"/>
        </w:rPr>
        <w:t xml:space="preserve">e environmentally friendly. It can also help our scientists to develop better models to predict climate change and natural catastrophes. </w:t>
      </w:r>
    </w:p>
    <w:p w:rsidR="00A7566B" w:rsidRDefault="003232A6">
      <w:pPr>
        <w:jc w:val="both"/>
        <w:rPr>
          <w:rFonts w:ascii="Times New Roman" w:hAnsi="Times New Roman" w:cs="Times New Roman"/>
          <w:noProof/>
          <w:sz w:val="24"/>
          <w:szCs w:val="24"/>
        </w:rPr>
      </w:pPr>
      <w:r>
        <w:rPr>
          <w:rFonts w:ascii="Times New Roman" w:hAnsi="Times New Roman" w:cs="Times New Roman"/>
          <w:noProof/>
          <w:sz w:val="24"/>
          <w:szCs w:val="24"/>
        </w:rPr>
        <w:t>The smart use of data has a transformative effect on all sectors of the economy and the public sector:</w:t>
      </w:r>
    </w:p>
    <w:p w:rsidR="00A7566B" w:rsidRDefault="003232A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i/>
          <w:noProof/>
          <w:sz w:val="24"/>
        </w:rPr>
      </w:pPr>
      <w:r>
        <w:rPr>
          <w:rFonts w:ascii="Times New Roman" w:hAnsi="Times New Roman"/>
          <w:i/>
          <w:noProof/>
          <w:sz w:val="24"/>
        </w:rPr>
        <w:t>For instance, i</w:t>
      </w:r>
      <w:r>
        <w:rPr>
          <w:rFonts w:ascii="Times New Roman" w:hAnsi="Times New Roman"/>
          <w:i/>
          <w:noProof/>
          <w:sz w:val="24"/>
        </w:rPr>
        <w:t>n the agricultural sector, analysis of up-to-date weather or soil moisture data can help maximise crop production. In manufacturing, real-time sensor data supports predictive maintenance.</w:t>
      </w:r>
    </w:p>
    <w:p w:rsidR="00A7566B" w:rsidRDefault="003232A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i/>
          <w:noProof/>
          <w:sz w:val="24"/>
          <w:szCs w:val="24"/>
        </w:rPr>
      </w:pPr>
      <w:r>
        <w:rPr>
          <w:rFonts w:ascii="Times New Roman" w:hAnsi="Times New Roman" w:cs="Times New Roman"/>
          <w:i/>
          <w:noProof/>
          <w:sz w:val="24"/>
          <w:szCs w:val="24"/>
        </w:rPr>
        <w:t>Data-driven innovation can also improve public policy-making, public</w:t>
      </w:r>
      <w:r>
        <w:rPr>
          <w:rFonts w:ascii="Times New Roman" w:hAnsi="Times New Roman" w:cs="Times New Roman"/>
          <w:i/>
          <w:noProof/>
          <w:sz w:val="24"/>
          <w:szCs w:val="24"/>
        </w:rPr>
        <w:t xml:space="preserve"> service provision and ease the administrative burden. It can help with crisis management and in developing environmental and financial policies. Sharing research data on the outbreak of epidemics can advance relevant research much faster and contribute to</w:t>
      </w:r>
      <w:r>
        <w:rPr>
          <w:rFonts w:ascii="Times New Roman" w:hAnsi="Times New Roman" w:cs="Times New Roman"/>
          <w:i/>
          <w:noProof/>
          <w:sz w:val="24"/>
          <w:szCs w:val="24"/>
        </w:rPr>
        <w:t xml:space="preserve"> a more timely response.</w:t>
      </w:r>
    </w:p>
    <w:p w:rsidR="00A7566B" w:rsidRDefault="003232A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i/>
          <w:noProof/>
          <w:sz w:val="24"/>
        </w:rPr>
      </w:pPr>
      <w:r>
        <w:rPr>
          <w:rFonts w:ascii="Times New Roman" w:hAnsi="Times New Roman" w:cs="Times New Roman"/>
          <w:i/>
          <w:noProof/>
          <w:sz w:val="24"/>
          <w:szCs w:val="24"/>
        </w:rPr>
        <w:t xml:space="preserve">High-resolution satellite data from Copernicus Sentinel satellites contributes to the real-time monitoring of natural water resources to prevent drought or pollution. Such data holds considerable benefits for public authorities, </w:t>
      </w:r>
      <w:r>
        <w:rPr>
          <w:rFonts w:ascii="Times New Roman" w:hAnsi="Times New Roman" w:cs="Times New Roman"/>
          <w:i/>
          <w:noProof/>
          <w:sz w:val="24"/>
          <w:szCs w:val="24"/>
        </w:rPr>
        <w:t>researchers and private companies in terms of providing innovative services.</w:t>
      </w:r>
    </w:p>
    <w:p w:rsidR="00A7566B" w:rsidRDefault="003232A6">
      <w:pPr>
        <w:jc w:val="both"/>
        <w:rPr>
          <w:rFonts w:ascii="Times New Roman" w:hAnsi="Times New Roman" w:cs="Times New Roman"/>
          <w:noProof/>
          <w:sz w:val="24"/>
          <w:szCs w:val="24"/>
        </w:rPr>
      </w:pPr>
      <w:r>
        <w:rPr>
          <w:rFonts w:ascii="Times New Roman" w:hAnsi="Times New Roman"/>
          <w:noProof/>
          <w:sz w:val="24"/>
        </w:rPr>
        <w:t>The economic impact of data is huge</w:t>
      </w:r>
      <w:r>
        <w:rPr>
          <w:rFonts w:ascii="Times New Roman" w:hAnsi="Times New Roman" w:cs="Times New Roman"/>
          <w:noProof/>
          <w:sz w:val="24"/>
          <w:szCs w:val="24"/>
        </w:rPr>
        <w:t>. In 2016, there were 254,850 data companies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across the EU, a figure that could increase to some 360,000 by 2020 under a high growth scenario.</w:t>
      </w:r>
    </w:p>
    <w:p w:rsidR="00A7566B" w:rsidRDefault="003232A6">
      <w:pPr>
        <w:jc w:val="both"/>
        <w:rPr>
          <w:rFonts w:ascii="Times New Roman" w:hAnsi="Times New Roman" w:cs="Times New Roman"/>
          <w:noProof/>
          <w:sz w:val="24"/>
          <w:szCs w:val="24"/>
        </w:rPr>
      </w:pPr>
      <w:r>
        <w:rPr>
          <w:rFonts w:ascii="Times New Roman" w:hAnsi="Times New Roman" w:cs="Times New Roman"/>
          <w:noProof/>
          <w:sz w:val="24"/>
          <w:szCs w:val="24"/>
        </w:rPr>
        <w:t xml:space="preserve">Generally speaking, the capability to analyse and learn from </w:t>
      </w:r>
      <w:r>
        <w:rPr>
          <w:rFonts w:ascii="Times New Roman" w:hAnsi="Times New Roman"/>
          <w:noProof/>
          <w:sz w:val="24"/>
        </w:rPr>
        <w:t>data is rapidly becoming a key ingredient in business success and government efficiency.</w:t>
      </w:r>
      <w:r>
        <w:rPr>
          <w:rFonts w:ascii="Times New Roman" w:hAnsi="Times New Roman" w:cs="Times New Roman"/>
          <w:noProof/>
          <w:sz w:val="24"/>
          <w:szCs w:val="24"/>
        </w:rPr>
        <w:t xml:space="preserve"> Companies with huge amounts of data at their disposal, and with the technical capacity and skilled employe</w:t>
      </w:r>
      <w:r>
        <w:rPr>
          <w:rFonts w:ascii="Times New Roman" w:hAnsi="Times New Roman" w:cs="Times New Roman"/>
          <w:noProof/>
          <w:sz w:val="24"/>
          <w:szCs w:val="24"/>
        </w:rPr>
        <w:t>es to analyse the data, will gain a competitive advantage.</w:t>
      </w:r>
      <w:r>
        <w:rPr>
          <w:rStyle w:val="FootnoteReference"/>
          <w:rFonts w:ascii="Times New Roman" w:hAnsi="Times New Roman"/>
          <w:noProof/>
          <w:sz w:val="24"/>
        </w:rPr>
        <w:footnoteReference w:id="12"/>
      </w:r>
      <w:r>
        <w:rPr>
          <w:rFonts w:ascii="Times New Roman" w:hAnsi="Times New Roman" w:cs="Times New Roman"/>
          <w:noProof/>
          <w:sz w:val="24"/>
          <w:szCs w:val="24"/>
        </w:rPr>
        <w:t xml:space="preserve"> </w:t>
      </w:r>
    </w:p>
    <w:p w:rsidR="00A7566B" w:rsidRDefault="003232A6">
      <w:pPr>
        <w:jc w:val="both"/>
        <w:rPr>
          <w:rFonts w:ascii="Times New Roman" w:hAnsi="Times New Roman" w:cs="Times New Roman"/>
          <w:noProof/>
          <w:sz w:val="24"/>
          <w:szCs w:val="24"/>
        </w:rPr>
      </w:pPr>
      <w:r>
        <w:rPr>
          <w:rFonts w:ascii="Times New Roman" w:hAnsi="Times New Roman" w:cs="Times New Roman"/>
          <w:noProof/>
          <w:sz w:val="24"/>
          <w:szCs w:val="24"/>
        </w:rPr>
        <w:t>Data is also recognised as an increasingly critical asset for the development of new technologies such as Artificial Intelligence (AI) and the Internet of Things (IoT). AI solutions hold remarkab</w:t>
      </w:r>
      <w:r>
        <w:rPr>
          <w:rFonts w:ascii="Times New Roman" w:hAnsi="Times New Roman" w:cs="Times New Roman"/>
          <w:noProof/>
          <w:sz w:val="24"/>
          <w:szCs w:val="24"/>
        </w:rPr>
        <w:t xml:space="preserve">le potential benefits for both the public and the private sector. The use of Artificial Intelligence </w:t>
      </w:r>
      <w:r>
        <w:rPr>
          <w:rFonts w:ascii="Times New Roman" w:hAnsi="Times New Roman"/>
          <w:noProof/>
          <w:sz w:val="24"/>
        </w:rPr>
        <w:t>technologies</w:t>
      </w:r>
      <w:r>
        <w:rPr>
          <w:rFonts w:ascii="Times New Roman" w:hAnsi="Times New Roman" w:cs="Times New Roman"/>
          <w:noProof/>
          <w:sz w:val="24"/>
          <w:szCs w:val="24"/>
        </w:rPr>
        <w:t xml:space="preserve"> supports productivity and competitiveness in a wide range of sectors. It also helps to address societal and environmental challenges, while ad</w:t>
      </w:r>
      <w:r>
        <w:rPr>
          <w:rFonts w:ascii="Times New Roman" w:hAnsi="Times New Roman" w:cs="Times New Roman"/>
          <w:noProof/>
          <w:sz w:val="24"/>
          <w:szCs w:val="24"/>
        </w:rPr>
        <w:t xml:space="preserve">dressing its own challenges at the same time. </w:t>
      </w:r>
      <w:r>
        <w:rPr>
          <w:rFonts w:ascii="Times New Roman" w:hAnsi="Times New Roman"/>
          <w:noProof/>
          <w:sz w:val="24"/>
        </w:rPr>
        <w:t xml:space="preserve">In this context, in </w:t>
      </w:r>
      <w:r>
        <w:rPr>
          <w:rFonts w:ascii="Times New Roman" w:hAnsi="Times New Roman" w:cs="Times New Roman"/>
          <w:noProof/>
          <w:sz w:val="24"/>
          <w:szCs w:val="24"/>
        </w:rPr>
        <w:t>parallel with this data package</w:t>
      </w:r>
      <w:r>
        <w:rPr>
          <w:rFonts w:ascii="Times New Roman" w:hAnsi="Times New Roman"/>
          <w:noProof/>
          <w:sz w:val="24"/>
        </w:rPr>
        <w:t xml:space="preserve"> the Commission is adopting </w:t>
      </w:r>
      <w:r>
        <w:rPr>
          <w:rFonts w:ascii="Times New Roman" w:hAnsi="Times New Roman" w:cs="Times New Roman"/>
          <w:noProof/>
          <w:sz w:val="24"/>
          <w:szCs w:val="24"/>
        </w:rPr>
        <w:t>the Communication ʻMaximising the benefits of Artificial Intelligence for Europeʼ, which outlines the EU strategy on Artificial Int</w:t>
      </w:r>
      <w:r>
        <w:rPr>
          <w:rFonts w:ascii="Times New Roman" w:hAnsi="Times New Roman" w:cs="Times New Roman"/>
          <w:noProof/>
          <w:sz w:val="24"/>
          <w:szCs w:val="24"/>
        </w:rPr>
        <w:t>elligence. The strategy has three dimensions: boosting Europe's technology and industrial capacity, preparing for socio-economic changes, and ensuring an appropriate ethical and legal framework. One of the main goals is to democratise Artificial Intelligen</w:t>
      </w:r>
      <w:r>
        <w:rPr>
          <w:rFonts w:ascii="Times New Roman" w:hAnsi="Times New Roman" w:cs="Times New Roman"/>
          <w:noProof/>
          <w:sz w:val="24"/>
          <w:szCs w:val="24"/>
        </w:rPr>
        <w:t xml:space="preserve">ce technology, in order to support not only Artificial Intelligence start-ups but also Artificial Intelligence users, including non-tech companies of any size. In 2019, the Commission will launch an AI-on-demand platform to facilitate access, for European </w:t>
      </w:r>
      <w:r>
        <w:rPr>
          <w:rFonts w:ascii="Times New Roman" w:hAnsi="Times New Roman" w:cs="Times New Roman"/>
          <w:noProof/>
          <w:sz w:val="24"/>
          <w:szCs w:val="24"/>
        </w:rPr>
        <w:t>researchers and companies, to high-quality Artificial Intelligence tools, data and services.</w:t>
      </w:r>
    </w:p>
    <w:p w:rsidR="00A7566B" w:rsidRDefault="003232A6">
      <w:pPr>
        <w:jc w:val="both"/>
        <w:rPr>
          <w:rFonts w:ascii="Times New Roman" w:hAnsi="Times New Roman" w:cs="Times New Roman"/>
          <w:noProof/>
          <w:sz w:val="24"/>
          <w:szCs w:val="24"/>
        </w:rPr>
      </w:pPr>
      <w:r>
        <w:rPr>
          <w:rFonts w:ascii="Times New Roman" w:hAnsi="Times New Roman" w:cs="Times New Roman"/>
          <w:noProof/>
          <w:sz w:val="24"/>
          <w:szCs w:val="24"/>
        </w:rPr>
        <w:t>Together with this data package, the Commission is also adopting one more initiative that is important for the data economy – the "Communication on enabling the di</w:t>
      </w:r>
      <w:r>
        <w:rPr>
          <w:rFonts w:ascii="Times New Roman" w:hAnsi="Times New Roman" w:cs="Times New Roman"/>
          <w:noProof/>
          <w:sz w:val="24"/>
          <w:szCs w:val="24"/>
        </w:rPr>
        <w:t>gital transformation of health and care in the Digital Single Market empowering citizens and building a healthier society", which concerns the potential of data as a key enabler for digital transformation in health and care. Data can increase the well-bein</w:t>
      </w:r>
      <w:r>
        <w:rPr>
          <w:rFonts w:ascii="Times New Roman" w:hAnsi="Times New Roman" w:cs="Times New Roman"/>
          <w:noProof/>
          <w:sz w:val="24"/>
          <w:szCs w:val="24"/>
        </w:rPr>
        <w:t>g of millions of citizens and change the way health and care services are delivered, including personalised medicine, early detection of infectious outbreaks and accelerated development of medicines and medical devices.</w:t>
      </w:r>
      <w:r>
        <w:rPr>
          <w:rFonts w:ascii="Times New Roman" w:hAnsi="Times New Roman"/>
          <w:noProof/>
          <w:sz w:val="24"/>
        </w:rPr>
        <w:t xml:space="preserve"> </w:t>
      </w:r>
    </w:p>
    <w:p w:rsidR="00A7566B" w:rsidRDefault="003232A6">
      <w:pPr>
        <w:autoSpaceDE w:val="0"/>
        <w:autoSpaceDN w:val="0"/>
        <w:adjustRightInd w:val="0"/>
        <w:spacing w:after="240"/>
        <w:jc w:val="both"/>
        <w:rPr>
          <w:rFonts w:ascii="Times New Roman" w:hAnsi="Times New Roman"/>
          <w:noProof/>
          <w:sz w:val="24"/>
        </w:rPr>
      </w:pPr>
      <w:r>
        <w:rPr>
          <w:rFonts w:ascii="Times New Roman" w:hAnsi="Times New Roman"/>
          <w:noProof/>
          <w:sz w:val="24"/>
        </w:rPr>
        <w:t>To unlock this potential in the dat</w:t>
      </w:r>
      <w:r>
        <w:rPr>
          <w:rFonts w:ascii="Times New Roman" w:hAnsi="Times New Roman"/>
          <w:noProof/>
          <w:sz w:val="24"/>
        </w:rPr>
        <w:t xml:space="preserve">a economy, the EU must take its opportunities to stimulate innovation in healthcare solutions such as telemedicine and mobile health applications, as stated in the mid-term review of the </w:t>
      </w:r>
      <w:r>
        <w:rPr>
          <w:rFonts w:ascii="Times New Roman" w:hAnsi="Times New Roman" w:cs="Times New Roman"/>
          <w:noProof/>
          <w:sz w:val="24"/>
          <w:szCs w:val="24"/>
        </w:rPr>
        <w:t>Digital Single Market, and in full compliance with data protection le</w:t>
      </w:r>
      <w:r>
        <w:rPr>
          <w:rFonts w:ascii="Times New Roman" w:hAnsi="Times New Roman" w:cs="Times New Roman"/>
          <w:noProof/>
          <w:sz w:val="24"/>
          <w:szCs w:val="24"/>
        </w:rPr>
        <w:t>gislation</w:t>
      </w:r>
      <w:r>
        <w:rPr>
          <w:rFonts w:ascii="Times New Roman" w:hAnsi="Times New Roman"/>
          <w:noProof/>
          <w:sz w:val="24"/>
        </w:rPr>
        <w:t>. Three key areas have been identified:</w:t>
      </w:r>
    </w:p>
    <w:p w:rsidR="00A7566B" w:rsidRDefault="003232A6">
      <w:pPr>
        <w:pStyle w:val="ListParagraph"/>
        <w:numPr>
          <w:ilvl w:val="0"/>
          <w:numId w:val="32"/>
        </w:numPr>
        <w:autoSpaceDE w:val="0"/>
        <w:autoSpaceDN w:val="0"/>
        <w:adjustRightInd w:val="0"/>
        <w:spacing w:after="240" w:line="240" w:lineRule="auto"/>
        <w:contextualSpacing w:val="0"/>
        <w:jc w:val="both"/>
        <w:rPr>
          <w:rFonts w:ascii="Times New Roman" w:hAnsi="Times New Roman"/>
          <w:noProof/>
          <w:sz w:val="24"/>
        </w:rPr>
      </w:pPr>
      <w:r>
        <w:rPr>
          <w:rFonts w:ascii="Times New Roman" w:hAnsi="Times New Roman"/>
          <w:noProof/>
          <w:sz w:val="24"/>
        </w:rPr>
        <w:t>citizens' secure access to and sharing of health data;</w:t>
      </w:r>
    </w:p>
    <w:p w:rsidR="00A7566B" w:rsidRDefault="003232A6">
      <w:pPr>
        <w:pStyle w:val="ListParagraph"/>
        <w:numPr>
          <w:ilvl w:val="0"/>
          <w:numId w:val="32"/>
        </w:numPr>
        <w:autoSpaceDE w:val="0"/>
        <w:autoSpaceDN w:val="0"/>
        <w:adjustRightInd w:val="0"/>
        <w:spacing w:after="240" w:line="240" w:lineRule="auto"/>
        <w:contextualSpacing w:val="0"/>
        <w:jc w:val="both"/>
        <w:rPr>
          <w:rFonts w:ascii="Times New Roman" w:hAnsi="Times New Roman"/>
          <w:noProof/>
          <w:sz w:val="24"/>
        </w:rPr>
      </w:pPr>
      <w:r>
        <w:rPr>
          <w:rFonts w:ascii="Times New Roman" w:hAnsi="Times New Roman"/>
          <w:noProof/>
          <w:sz w:val="24"/>
        </w:rPr>
        <w:t>better data to promote research, disease prevention and personalised health and care;</w:t>
      </w:r>
    </w:p>
    <w:p w:rsidR="00A7566B" w:rsidRDefault="003232A6">
      <w:pPr>
        <w:pStyle w:val="ListParagraph"/>
        <w:numPr>
          <w:ilvl w:val="0"/>
          <w:numId w:val="32"/>
        </w:numPr>
        <w:autoSpaceDE w:val="0"/>
        <w:autoSpaceDN w:val="0"/>
        <w:adjustRightInd w:val="0"/>
        <w:spacing w:after="240" w:line="240" w:lineRule="auto"/>
        <w:contextualSpacing w:val="0"/>
        <w:jc w:val="both"/>
        <w:rPr>
          <w:rFonts w:ascii="Times New Roman" w:hAnsi="Times New Roman"/>
          <w:noProof/>
          <w:sz w:val="24"/>
        </w:rPr>
      </w:pPr>
      <w:r>
        <w:rPr>
          <w:rFonts w:ascii="Times New Roman" w:hAnsi="Times New Roman"/>
          <w:noProof/>
          <w:sz w:val="24"/>
        </w:rPr>
        <w:t>digital tools for citizen empowerment and for person-centred care.</w:t>
      </w:r>
    </w:p>
    <w:p w:rsidR="00A7566B" w:rsidRDefault="003232A6">
      <w:pPr>
        <w:jc w:val="both"/>
        <w:rPr>
          <w:rFonts w:ascii="Times New Roman" w:hAnsi="Times New Roman"/>
          <w:noProof/>
          <w:sz w:val="24"/>
        </w:rPr>
      </w:pPr>
      <w:r>
        <w:rPr>
          <w:rFonts w:ascii="Times New Roman" w:hAnsi="Times New Roman" w:cs="Times New Roman"/>
          <w:noProof/>
          <w:sz w:val="24"/>
          <w:szCs w:val="24"/>
        </w:rPr>
        <w:t xml:space="preserve">In the abovementioned Communication the Commission has outlined actions to be taken in all three areas. </w:t>
      </w:r>
      <w:r>
        <w:rPr>
          <w:rFonts w:ascii="Times New Roman" w:hAnsi="Times New Roman"/>
          <w:noProof/>
          <w:sz w:val="24"/>
        </w:rPr>
        <w:t>They include a recommendation on a European exchange format for electronic health records, a mechanism for voluntary coordination in sharing data inclu</w:t>
      </w:r>
      <w:r>
        <w:rPr>
          <w:rFonts w:ascii="Times New Roman" w:hAnsi="Times New Roman"/>
          <w:noProof/>
          <w:sz w:val="24"/>
        </w:rPr>
        <w:t>ding genomic data for prevention and personalised medicine research, as well as proposals on the exchange of innovative and best practices, capacity building and technical assistance for health and care authorities.</w:t>
      </w:r>
    </w:p>
    <w:p w:rsidR="00A7566B" w:rsidRDefault="003232A6">
      <w:pPr>
        <w:jc w:val="both"/>
        <w:rPr>
          <w:rFonts w:ascii="Times New Roman" w:hAnsi="Times New Roman"/>
          <w:b/>
          <w:noProof/>
          <w:sz w:val="24"/>
        </w:rPr>
      </w:pPr>
      <w:r>
        <w:rPr>
          <w:rFonts w:ascii="Times New Roman" w:hAnsi="Times New Roman"/>
          <w:noProof/>
          <w:sz w:val="24"/>
        </w:rPr>
        <w:t xml:space="preserve">The above measures are </w:t>
      </w:r>
      <w:r>
        <w:rPr>
          <w:rFonts w:ascii="Times New Roman" w:hAnsi="Times New Roman" w:cs="Times New Roman"/>
          <w:noProof/>
          <w:sz w:val="24"/>
          <w:szCs w:val="24"/>
        </w:rPr>
        <w:t xml:space="preserve">also </w:t>
      </w:r>
      <w:r>
        <w:rPr>
          <w:rFonts w:ascii="Times New Roman" w:hAnsi="Times New Roman"/>
          <w:noProof/>
          <w:sz w:val="24"/>
        </w:rPr>
        <w:t xml:space="preserve">accompanied </w:t>
      </w:r>
      <w:r>
        <w:rPr>
          <w:rFonts w:ascii="Times New Roman" w:hAnsi="Times New Roman"/>
          <w:noProof/>
          <w:sz w:val="24"/>
        </w:rPr>
        <w:t>by a preliminary analysis of issues raised in regard to safety and liability</w:t>
      </w:r>
      <w:r>
        <w:rPr>
          <w:rStyle w:val="FootnoteReference"/>
          <w:rFonts w:ascii="Times New Roman" w:hAnsi="Times New Roman"/>
          <w:noProof/>
          <w:sz w:val="24"/>
        </w:rPr>
        <w:footnoteReference w:id="13"/>
      </w:r>
      <w:r>
        <w:rPr>
          <w:rFonts w:ascii="Times New Roman" w:hAnsi="Times New Roman"/>
          <w:noProof/>
          <w:sz w:val="24"/>
        </w:rPr>
        <w:t xml:space="preserve"> arising from emerging data-driven digital technologies, to ensure an environment of trust and accountability through a predictable legal environment for businesses and investors </w:t>
      </w:r>
      <w:r>
        <w:rPr>
          <w:rFonts w:ascii="Times New Roman" w:hAnsi="Times New Roman"/>
          <w:noProof/>
          <w:sz w:val="24"/>
        </w:rPr>
        <w:t xml:space="preserve">and safeguard protecting the rights of consumers and citizens. Together with the relevant initiatives put in place under the </w:t>
      </w:r>
      <w:r>
        <w:rPr>
          <w:rFonts w:ascii="Times New Roman" w:hAnsi="Times New Roman" w:cs="Times New Roman"/>
          <w:noProof/>
          <w:sz w:val="24"/>
          <w:szCs w:val="24"/>
        </w:rPr>
        <w:t>Digital Single Market strategy</w:t>
      </w:r>
      <w:r>
        <w:rPr>
          <w:rFonts w:ascii="Times New Roman" w:hAnsi="Times New Roman"/>
          <w:noProof/>
          <w:sz w:val="24"/>
        </w:rPr>
        <w:t xml:space="preserve"> so far, these measures will bring the EU into a unique position to benefit from the opportunities of</w:t>
      </w:r>
      <w:r>
        <w:rPr>
          <w:rFonts w:ascii="Times New Roman" w:hAnsi="Times New Roman"/>
          <w:noProof/>
          <w:sz w:val="24"/>
        </w:rPr>
        <w:t>fered by the data revolution and to develop a thriving, sustainable and secure data economy, building on the scale of the internal market, the innovative capacity of European companies, and with full respect of European values</w:t>
      </w:r>
      <w:r>
        <w:rPr>
          <w:rFonts w:ascii="Times New Roman" w:hAnsi="Times New Roman" w:cs="Times New Roman"/>
          <w:noProof/>
          <w:sz w:val="24"/>
          <w:szCs w:val="24"/>
        </w:rPr>
        <w:t>.</w:t>
      </w:r>
    </w:p>
    <w:p w:rsidR="00A7566B" w:rsidRDefault="003232A6">
      <w:pPr>
        <w:jc w:val="both"/>
        <w:rPr>
          <w:rFonts w:ascii="Times New Roman" w:hAnsi="Times New Roman"/>
          <w:b/>
          <w:noProof/>
          <w:sz w:val="24"/>
        </w:rPr>
      </w:pPr>
      <w:r>
        <w:rPr>
          <w:rFonts w:ascii="Times New Roman" w:hAnsi="Times New Roman"/>
          <w:b/>
          <w:noProof/>
          <w:sz w:val="24"/>
        </w:rPr>
        <w:t>3) Public and publicly funde</w:t>
      </w:r>
      <w:r>
        <w:rPr>
          <w:rFonts w:ascii="Times New Roman" w:hAnsi="Times New Roman"/>
          <w:b/>
          <w:noProof/>
          <w:sz w:val="24"/>
        </w:rPr>
        <w:t xml:space="preserve">d data at the service of data-driven innovation </w:t>
      </w:r>
    </w:p>
    <w:p w:rsidR="00A7566B" w:rsidRDefault="003232A6">
      <w:pPr>
        <w:jc w:val="both"/>
        <w:rPr>
          <w:rFonts w:ascii="Times New Roman" w:hAnsi="Times New Roman"/>
          <w:noProof/>
          <w:sz w:val="24"/>
        </w:rPr>
      </w:pPr>
      <w:r>
        <w:rPr>
          <w:rFonts w:ascii="Times New Roman" w:hAnsi="Times New Roman"/>
          <w:noProof/>
          <w:sz w:val="24"/>
        </w:rPr>
        <w:t xml:space="preserve">Access to and re-use of public and publicly funded data constitute major cornerstones of a common European data space. In the mid-term review of the Digital Single Market strategy, the Commission announced </w:t>
      </w:r>
      <w:r>
        <w:rPr>
          <w:rFonts w:ascii="Times New Roman" w:hAnsi="Times New Roman"/>
          <w:noProof/>
          <w:sz w:val="24"/>
        </w:rPr>
        <w:t>that, based on an evaluation of existing legislation and subject to an impact assessment</w:t>
      </w:r>
      <w:r>
        <w:rPr>
          <w:rStyle w:val="FootnoteReference"/>
          <w:rFonts w:ascii="Times New Roman" w:hAnsi="Times New Roman"/>
          <w:noProof/>
          <w:sz w:val="24"/>
        </w:rPr>
        <w:footnoteReference w:id="14"/>
      </w:r>
      <w:r>
        <w:rPr>
          <w:rFonts w:ascii="Times New Roman" w:hAnsi="Times New Roman"/>
          <w:noProof/>
          <w:sz w:val="24"/>
        </w:rPr>
        <w:t xml:space="preserve">, it would prepare an initiative on accessibility and re-use of public and publicly funded data. This section describes the elements of this initiative. </w:t>
      </w:r>
    </w:p>
    <w:p w:rsidR="00A7566B" w:rsidRDefault="003232A6">
      <w:pPr>
        <w:keepNext/>
        <w:jc w:val="both"/>
        <w:rPr>
          <w:rFonts w:ascii="Times New Roman" w:hAnsi="Times New Roman" w:cs="Times New Roman"/>
          <w:b/>
          <w:noProof/>
          <w:sz w:val="24"/>
          <w:szCs w:val="24"/>
          <w:highlight w:val="green"/>
        </w:rPr>
      </w:pPr>
      <w:r>
        <w:rPr>
          <w:rFonts w:ascii="Times New Roman" w:hAnsi="Times New Roman" w:cs="Times New Roman"/>
          <w:b/>
          <w:noProof/>
          <w:sz w:val="24"/>
          <w:szCs w:val="24"/>
        </w:rPr>
        <w:t xml:space="preserve">a) Re-use of </w:t>
      </w:r>
      <w:r>
        <w:rPr>
          <w:rFonts w:ascii="Times New Roman" w:hAnsi="Times New Roman" w:cs="Times New Roman"/>
          <w:b/>
          <w:noProof/>
          <w:sz w:val="24"/>
          <w:szCs w:val="24"/>
        </w:rPr>
        <w:t xml:space="preserve">public sector information </w:t>
      </w:r>
    </w:p>
    <w:p w:rsidR="00A7566B" w:rsidRDefault="003232A6">
      <w:pPr>
        <w:keepNext/>
        <w:jc w:val="both"/>
        <w:rPr>
          <w:rFonts w:ascii="Times New Roman" w:hAnsi="Times New Roman"/>
          <w:noProof/>
          <w:sz w:val="24"/>
        </w:rPr>
      </w:pPr>
      <w:r>
        <w:rPr>
          <w:rFonts w:ascii="Times New Roman" w:hAnsi="Times New Roman"/>
          <w:noProof/>
          <w:sz w:val="24"/>
        </w:rPr>
        <w:t xml:space="preserve">Public sector bodies produce and collect huge quantities of data, which constitute valuable raw material for the development of innovative digital services and better policy making. </w:t>
      </w:r>
    </w:p>
    <w:p w:rsidR="00A7566B" w:rsidRDefault="003232A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i/>
          <w:noProof/>
          <w:sz w:val="24"/>
        </w:rPr>
      </w:pPr>
      <w:r>
        <w:rPr>
          <w:rFonts w:ascii="Times New Roman" w:hAnsi="Times New Roman"/>
          <w:i/>
          <w:noProof/>
          <w:sz w:val="24"/>
        </w:rPr>
        <w:t xml:space="preserve">Public sector information can be used as the basis for a wide range of products and services. For example, the </w:t>
      </w:r>
      <w:hyperlink r:id="rId20" w:history="1">
        <w:r>
          <w:rPr>
            <w:rStyle w:val="Hyperlink"/>
            <w:rFonts w:ascii="Times New Roman" w:hAnsi="Times New Roman"/>
            <w:i/>
            <w:noProof/>
            <w:sz w:val="24"/>
          </w:rPr>
          <w:t>iMar</w:t>
        </w:r>
      </w:hyperlink>
      <w:r>
        <w:rPr>
          <w:rFonts w:ascii="Times New Roman" w:hAnsi="Times New Roman"/>
          <w:i/>
          <w:noProof/>
          <w:sz w:val="24"/>
        </w:rPr>
        <w:t xml:space="preserve"> application uses information published by state </w:t>
      </w:r>
      <w:r>
        <w:rPr>
          <w:rFonts w:ascii="Times New Roman" w:hAnsi="Times New Roman"/>
          <w:i/>
          <w:noProof/>
          <w:sz w:val="24"/>
        </w:rPr>
        <w:t>owned ports in Spain and combines it with wind forecasts provided by Spain's national weather service. As a result users of the application receive both real-time information as well as shipping forecasts so they can safely plan their trip at sea.</w:t>
      </w:r>
      <w:r>
        <w:rPr>
          <w:noProof/>
        </w:rPr>
        <w:t xml:space="preserve"> </w:t>
      </w:r>
      <w:r>
        <w:rPr>
          <w:rFonts w:ascii="Times New Roman" w:hAnsi="Times New Roman"/>
          <w:i/>
          <w:noProof/>
          <w:sz w:val="24"/>
        </w:rPr>
        <w:t>Similarl</w:t>
      </w:r>
      <w:r>
        <w:rPr>
          <w:rFonts w:ascii="Times New Roman" w:hAnsi="Times New Roman"/>
          <w:i/>
          <w:noProof/>
          <w:sz w:val="24"/>
        </w:rPr>
        <w:t>y, bathymetric data originally collected by national hydrographic agencies for safe navigation have been re-used by the EMODnet partnership into topographic maps to greatly improve storm surge forecasts in the North Sea.</w:t>
      </w:r>
    </w:p>
    <w:p w:rsidR="00A7566B" w:rsidRDefault="003232A6">
      <w:pPr>
        <w:jc w:val="both"/>
        <w:rPr>
          <w:rFonts w:ascii="Times New Roman" w:hAnsi="Times New Roman"/>
          <w:noProof/>
          <w:sz w:val="24"/>
        </w:rPr>
      </w:pPr>
      <w:r>
        <w:rPr>
          <w:rFonts w:ascii="Times New Roman" w:hAnsi="Times New Roman"/>
          <w:noProof/>
          <w:sz w:val="24"/>
        </w:rPr>
        <w:t>The EU has already taken a range of</w:t>
      </w:r>
      <w:r>
        <w:rPr>
          <w:rFonts w:ascii="Times New Roman" w:hAnsi="Times New Roman"/>
          <w:noProof/>
          <w:sz w:val="24"/>
        </w:rPr>
        <w:t xml:space="preserve"> measures to open up government data across the Union as a key asset for the data economy. Directive </w:t>
      </w:r>
      <w:r>
        <w:rPr>
          <w:rFonts w:ascii="Times New Roman" w:hAnsi="Times New Roman" w:cs="Times New Roman"/>
          <w:noProof/>
          <w:sz w:val="24"/>
          <w:szCs w:val="24"/>
        </w:rPr>
        <w:t xml:space="preserve">2003/98/EC </w:t>
      </w:r>
      <w:r>
        <w:rPr>
          <w:rFonts w:ascii="Times New Roman" w:hAnsi="Times New Roman"/>
          <w:noProof/>
          <w:sz w:val="24"/>
        </w:rPr>
        <w:t>on the re-use of public sector information</w:t>
      </w:r>
      <w:r>
        <w:rPr>
          <w:rStyle w:val="FootnoteReference"/>
          <w:rFonts w:ascii="Times New Roman" w:hAnsi="Times New Roman"/>
          <w:noProof/>
          <w:sz w:val="24"/>
        </w:rPr>
        <w:footnoteReference w:id="15"/>
      </w:r>
      <w:r>
        <w:rPr>
          <w:rFonts w:ascii="Times New Roman" w:hAnsi="Times New Roman"/>
          <w:noProof/>
          <w:sz w:val="24"/>
        </w:rPr>
        <w:t xml:space="preserve"> has created an EU-wide framework stimulating the cross-border use of publicly funded data </w:t>
      </w:r>
      <w:r>
        <w:rPr>
          <w:rFonts w:ascii="Times New Roman" w:hAnsi="Times New Roman" w:cs="Times New Roman"/>
          <w:noProof/>
          <w:sz w:val="24"/>
          <w:szCs w:val="24"/>
        </w:rPr>
        <w:t>and help d</w:t>
      </w:r>
      <w:r>
        <w:rPr>
          <w:rFonts w:ascii="Times New Roman" w:hAnsi="Times New Roman" w:cs="Times New Roman"/>
          <w:noProof/>
          <w:sz w:val="24"/>
          <w:szCs w:val="24"/>
        </w:rPr>
        <w:t>evelop of</w:t>
      </w:r>
      <w:r>
        <w:rPr>
          <w:rFonts w:ascii="Times New Roman" w:hAnsi="Times New Roman"/>
          <w:noProof/>
          <w:sz w:val="24"/>
        </w:rPr>
        <w:t xml:space="preserve"> pan-European data services and products. This has been complemented by measures to make it easier to find and use public sector data across borders and languages, such as the launch of the European Open Data Portal</w:t>
      </w:r>
      <w:r>
        <w:rPr>
          <w:rStyle w:val="FootnoteReference"/>
          <w:rFonts w:ascii="Times New Roman" w:hAnsi="Times New Roman"/>
          <w:noProof/>
          <w:sz w:val="24"/>
        </w:rPr>
        <w:footnoteReference w:id="16"/>
      </w:r>
      <w:r>
        <w:rPr>
          <w:rFonts w:ascii="Times New Roman" w:hAnsi="Times New Roman"/>
          <w:noProof/>
          <w:sz w:val="24"/>
        </w:rPr>
        <w:t>. The Commission leads by examp</w:t>
      </w:r>
      <w:r>
        <w:rPr>
          <w:rFonts w:ascii="Times New Roman" w:hAnsi="Times New Roman"/>
          <w:noProof/>
          <w:sz w:val="24"/>
        </w:rPr>
        <w:t>le, with a legal framework for the re-use of its own data</w:t>
      </w:r>
      <w:r>
        <w:rPr>
          <w:rStyle w:val="FootnoteReference"/>
          <w:rFonts w:ascii="Times New Roman" w:hAnsi="Times New Roman"/>
          <w:noProof/>
          <w:sz w:val="24"/>
        </w:rPr>
        <w:footnoteReference w:id="17"/>
      </w:r>
      <w:r>
        <w:rPr>
          <w:rFonts w:ascii="Times New Roman" w:hAnsi="Times New Roman"/>
          <w:noProof/>
          <w:sz w:val="24"/>
        </w:rPr>
        <w:t>. It is complemented by the Open Data portal, which provides access to data from the EU institutions and other EU bodies</w:t>
      </w:r>
      <w:r>
        <w:rPr>
          <w:rStyle w:val="FootnoteReference"/>
          <w:rFonts w:ascii="Times New Roman" w:hAnsi="Times New Roman"/>
          <w:noProof/>
          <w:sz w:val="24"/>
        </w:rPr>
        <w:footnoteReference w:id="18"/>
      </w:r>
      <w:r>
        <w:rPr>
          <w:rFonts w:ascii="Times New Roman" w:hAnsi="Times New Roman"/>
          <w:noProof/>
          <w:sz w:val="24"/>
        </w:rPr>
        <w:t xml:space="preserve">.This framework is one the most advanced re-use regimes in the world, with a </w:t>
      </w:r>
      <w:r>
        <w:rPr>
          <w:rFonts w:ascii="Times New Roman" w:hAnsi="Times New Roman"/>
          <w:noProof/>
          <w:sz w:val="24"/>
        </w:rPr>
        <w:t>default rule whereby re-use of the Commission's data has to be allowed for non-commercial and commercial purposes without the need for an individual application, without charging the re</w:t>
      </w:r>
      <w:r>
        <w:rPr>
          <w:rFonts w:ascii="Times New Roman" w:hAnsi="Times New Roman"/>
          <w:noProof/>
          <w:sz w:val="24"/>
        </w:rPr>
        <w:noBreakHyphen/>
        <w:t>user, without putting conditions on the re-use and without discriminat</w:t>
      </w:r>
      <w:r>
        <w:rPr>
          <w:rFonts w:ascii="Times New Roman" w:hAnsi="Times New Roman"/>
          <w:noProof/>
          <w:sz w:val="24"/>
        </w:rPr>
        <w:t xml:space="preserve">ing between re-users, with only very limited, duly justified exceptions. </w:t>
      </w:r>
    </w:p>
    <w:p w:rsidR="00A7566B" w:rsidRDefault="003232A6">
      <w:pPr>
        <w:jc w:val="both"/>
        <w:rPr>
          <w:rFonts w:ascii="Times New Roman" w:hAnsi="Times New Roman"/>
          <w:noProof/>
          <w:sz w:val="24"/>
        </w:rPr>
      </w:pPr>
      <w:r>
        <w:rPr>
          <w:rFonts w:ascii="Times New Roman" w:hAnsi="Times New Roman"/>
          <w:noProof/>
          <w:sz w:val="24"/>
        </w:rPr>
        <w:t xml:space="preserve">The </w:t>
      </w:r>
      <w:r>
        <w:rPr>
          <w:rFonts w:ascii="Times New Roman" w:hAnsi="Times New Roman"/>
          <w:b/>
          <w:noProof/>
          <w:sz w:val="24"/>
        </w:rPr>
        <w:t>review of the Directive on the re-use of public sector information</w:t>
      </w:r>
      <w:r>
        <w:rPr>
          <w:rStyle w:val="FootnoteReference"/>
          <w:rFonts w:ascii="Times New Roman" w:hAnsi="Times New Roman"/>
          <w:noProof/>
          <w:sz w:val="24"/>
        </w:rPr>
        <w:footnoteReference w:id="19"/>
      </w:r>
      <w:r>
        <w:rPr>
          <w:rFonts w:ascii="Times New Roman" w:hAnsi="Times New Roman"/>
          <w:noProof/>
          <w:sz w:val="24"/>
        </w:rPr>
        <w:t xml:space="preserve">  lies at the heart of the current data package. The proposed changes will make a real difference by making mor</w:t>
      </w:r>
      <w:r>
        <w:rPr>
          <w:rFonts w:ascii="Times New Roman" w:hAnsi="Times New Roman"/>
          <w:noProof/>
          <w:sz w:val="24"/>
        </w:rPr>
        <w:t>e data available and making data more re-usable. The review has the following objectives:</w:t>
      </w:r>
    </w:p>
    <w:p w:rsidR="00A7566B" w:rsidRDefault="003232A6">
      <w:pPr>
        <w:pStyle w:val="ListParagraph"/>
        <w:numPr>
          <w:ilvl w:val="0"/>
          <w:numId w:val="30"/>
        </w:numPr>
        <w:jc w:val="both"/>
        <w:rPr>
          <w:rFonts w:ascii="Times New Roman" w:hAnsi="Times New Roman"/>
          <w:noProof/>
          <w:sz w:val="24"/>
        </w:rPr>
      </w:pPr>
      <w:r>
        <w:rPr>
          <w:rFonts w:ascii="Times New Roman" w:hAnsi="Times New Roman"/>
          <w:noProof/>
          <w:sz w:val="24"/>
        </w:rPr>
        <w:t>reduce market entry barriers, in particular for small and medium-sized enterprises, by lowering charges for the re-use of public sector information;</w:t>
      </w:r>
    </w:p>
    <w:p w:rsidR="00A7566B" w:rsidRDefault="003232A6">
      <w:pPr>
        <w:pStyle w:val="ListParagraph"/>
        <w:numPr>
          <w:ilvl w:val="0"/>
          <w:numId w:val="30"/>
        </w:numPr>
        <w:jc w:val="both"/>
        <w:rPr>
          <w:rFonts w:ascii="Times New Roman" w:hAnsi="Times New Roman"/>
          <w:noProof/>
          <w:sz w:val="24"/>
        </w:rPr>
      </w:pPr>
      <w:r>
        <w:rPr>
          <w:rFonts w:ascii="Times New Roman" w:hAnsi="Times New Roman"/>
          <w:noProof/>
          <w:sz w:val="24"/>
        </w:rPr>
        <w:t>increase the avai</w:t>
      </w:r>
      <w:r>
        <w:rPr>
          <w:rFonts w:ascii="Times New Roman" w:hAnsi="Times New Roman"/>
          <w:noProof/>
          <w:sz w:val="24"/>
        </w:rPr>
        <w:t>lability of data by bringing new types of public and publicly funded data into the scope of the Directive: (i) data held by public undertakings in the utilities and transport sectors, and (ii) research data;</w:t>
      </w:r>
    </w:p>
    <w:p w:rsidR="00A7566B" w:rsidRDefault="003232A6">
      <w:pPr>
        <w:pStyle w:val="ListParagraph"/>
        <w:numPr>
          <w:ilvl w:val="0"/>
          <w:numId w:val="30"/>
        </w:numPr>
        <w:jc w:val="both"/>
        <w:rPr>
          <w:rFonts w:ascii="Times New Roman" w:hAnsi="Times New Roman"/>
          <w:noProof/>
          <w:sz w:val="24"/>
        </w:rPr>
      </w:pPr>
      <w:r>
        <w:rPr>
          <w:rFonts w:ascii="Times New Roman" w:hAnsi="Times New Roman"/>
          <w:noProof/>
          <w:sz w:val="24"/>
        </w:rPr>
        <w:t>minimise the risk of excessive first-mover advan</w:t>
      </w:r>
      <w:r>
        <w:rPr>
          <w:rFonts w:ascii="Times New Roman" w:hAnsi="Times New Roman"/>
          <w:noProof/>
          <w:sz w:val="24"/>
        </w:rPr>
        <w:t>tage, which benefits large companies and thereby limits the number of potential re-users of the data in question, by requiring a more transparent process for the establishment of public-private arrangements;</w:t>
      </w:r>
      <w:r>
        <w:rPr>
          <w:rStyle w:val="FootnoteReference"/>
          <w:rFonts w:ascii="Times New Roman" w:hAnsi="Times New Roman"/>
          <w:noProof/>
          <w:sz w:val="24"/>
        </w:rPr>
        <w:footnoteReference w:id="20"/>
      </w:r>
    </w:p>
    <w:p w:rsidR="00A7566B" w:rsidRDefault="003232A6">
      <w:pPr>
        <w:pStyle w:val="ListParagraph"/>
        <w:numPr>
          <w:ilvl w:val="0"/>
          <w:numId w:val="30"/>
        </w:numPr>
        <w:jc w:val="both"/>
        <w:rPr>
          <w:rFonts w:ascii="Times New Roman" w:hAnsi="Times New Roman"/>
          <w:noProof/>
          <w:sz w:val="24"/>
        </w:rPr>
      </w:pPr>
      <w:r>
        <w:rPr>
          <w:rFonts w:ascii="Times New Roman" w:hAnsi="Times New Roman"/>
          <w:noProof/>
          <w:sz w:val="24"/>
        </w:rPr>
        <w:t xml:space="preserve">increase business opportunities by encouraging </w:t>
      </w:r>
      <w:r>
        <w:rPr>
          <w:rFonts w:ascii="Times New Roman" w:hAnsi="Times New Roman"/>
          <w:noProof/>
          <w:sz w:val="24"/>
        </w:rPr>
        <w:t>the publication of dynamic data and the uptake of application programming interfaces (APIs).</w:t>
      </w:r>
    </w:p>
    <w:p w:rsidR="00A7566B" w:rsidRDefault="003232A6">
      <w:pPr>
        <w:jc w:val="both"/>
        <w:rPr>
          <w:rFonts w:ascii="Times New Roman" w:hAnsi="Times New Roman"/>
          <w:noProof/>
          <w:sz w:val="24"/>
        </w:rPr>
      </w:pPr>
      <w:r>
        <w:rPr>
          <w:rFonts w:ascii="Times New Roman" w:hAnsi="Times New Roman"/>
          <w:noProof/>
          <w:sz w:val="24"/>
        </w:rPr>
        <w:t>Providing access to dynamic data via application programming interfaces is particularly important, as it supports the open data ecosystem, saves time and costs through automation of the download process, and greatly facilitates the re-use of data for a wid</w:t>
      </w:r>
      <w:r>
        <w:rPr>
          <w:rFonts w:ascii="Times New Roman" w:hAnsi="Times New Roman"/>
          <w:noProof/>
          <w:sz w:val="24"/>
        </w:rPr>
        <w:t>e range of new products and services. Sharing data via the correct and secure use of application programming interfaces can generate significant added value for different actors of the data value chain. It can also contribute to the creation of valuable ec</w:t>
      </w:r>
      <w:r>
        <w:rPr>
          <w:rFonts w:ascii="Times New Roman" w:hAnsi="Times New Roman"/>
          <w:noProof/>
          <w:sz w:val="24"/>
        </w:rPr>
        <w:t xml:space="preserve">osystems around data assets whose potential is often unused by data holders.  </w:t>
      </w:r>
    </w:p>
    <w:p w:rsidR="00A7566B" w:rsidRDefault="003232A6">
      <w:pPr>
        <w:jc w:val="both"/>
        <w:rPr>
          <w:rFonts w:ascii="Times New Roman" w:hAnsi="Times New Roman"/>
          <w:noProof/>
          <w:sz w:val="24"/>
        </w:rPr>
      </w:pPr>
      <w:r>
        <w:rPr>
          <w:rFonts w:ascii="Times New Roman" w:hAnsi="Times New Roman"/>
          <w:noProof/>
          <w:sz w:val="24"/>
        </w:rPr>
        <w:t>Currently the use of application programming interfaces by public sector bodies is insufficient, and many documents are still made available as PDFs. This results in a sub-optim</w:t>
      </w:r>
      <w:r>
        <w:rPr>
          <w:rFonts w:ascii="Times New Roman" w:hAnsi="Times New Roman"/>
          <w:noProof/>
          <w:sz w:val="24"/>
        </w:rPr>
        <w:t>al use of dynamic data from the public sector for the creation of value-added services. The proposed changes in the Directive on the re-use of public sector information aim to speed up the move of public sector bodies across Europe towards web-based functi</w:t>
      </w:r>
      <w:r>
        <w:rPr>
          <w:rFonts w:ascii="Times New Roman" w:hAnsi="Times New Roman"/>
          <w:noProof/>
          <w:sz w:val="24"/>
        </w:rPr>
        <w:t>onalities and towards more wide-spread publication of dynamic data and the use of application programming interfaces.</w:t>
      </w:r>
    </w:p>
    <w:p w:rsidR="00A7566B" w:rsidRDefault="003232A6">
      <w:pPr>
        <w:jc w:val="both"/>
        <w:rPr>
          <w:rFonts w:ascii="Times New Roman" w:hAnsi="Times New Roman" w:cs="Times New Roman"/>
          <w:noProof/>
          <w:sz w:val="24"/>
          <w:szCs w:val="24"/>
        </w:rPr>
      </w:pPr>
      <w:r>
        <w:rPr>
          <w:rFonts w:ascii="Times New Roman" w:hAnsi="Times New Roman"/>
          <w:noProof/>
          <w:sz w:val="24"/>
        </w:rPr>
        <w:t xml:space="preserve">The package also contains </w:t>
      </w:r>
      <w:r>
        <w:rPr>
          <w:rFonts w:ascii="Times New Roman" w:hAnsi="Times New Roman" w:cs="Times New Roman"/>
          <w:noProof/>
          <w:sz w:val="24"/>
          <w:szCs w:val="24"/>
        </w:rPr>
        <w:t xml:space="preserve">the results of the evaluation of </w:t>
      </w:r>
      <w:r>
        <w:rPr>
          <w:rFonts w:ascii="Times New Roman" w:hAnsi="Times New Roman"/>
          <w:noProof/>
          <w:sz w:val="24"/>
        </w:rPr>
        <w:t>the</w:t>
      </w:r>
      <w:r>
        <w:rPr>
          <w:rFonts w:ascii="Times New Roman" w:hAnsi="Times New Roman" w:cs="Times New Roman"/>
          <w:b/>
          <w:noProof/>
          <w:sz w:val="24"/>
          <w:szCs w:val="24"/>
        </w:rPr>
        <w:t xml:space="preserve"> Database Directive</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The evaluation</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covers the overall functioning of the </w:t>
      </w:r>
      <w:r>
        <w:rPr>
          <w:rFonts w:ascii="Times New Roman" w:hAnsi="Times New Roman" w:cs="Times New Roman"/>
          <w:noProof/>
          <w:sz w:val="24"/>
          <w:szCs w:val="24"/>
        </w:rPr>
        <w:t xml:space="preserve">two parts of the Directive, copyright and the protection of databases by the </w:t>
      </w:r>
      <w:r>
        <w:rPr>
          <w:rFonts w:ascii="Times New Roman" w:hAnsi="Times New Roman"/>
          <w:i/>
          <w:noProof/>
          <w:sz w:val="24"/>
        </w:rPr>
        <w:t>sui generis</w:t>
      </w:r>
      <w:r>
        <w:rPr>
          <w:rFonts w:ascii="Times New Roman" w:hAnsi="Times New Roman" w:cs="Times New Roman"/>
          <w:noProof/>
          <w:sz w:val="24"/>
          <w:szCs w:val="24"/>
        </w:rPr>
        <w:t xml:space="preserve"> right, with more emphasis on assessing the performance of the latter. This includes the analysis of the relationship between the </w:t>
      </w:r>
      <w:r>
        <w:rPr>
          <w:rFonts w:ascii="Times New Roman" w:hAnsi="Times New Roman" w:cs="Times New Roman"/>
          <w:i/>
          <w:noProof/>
          <w:sz w:val="24"/>
          <w:szCs w:val="24"/>
        </w:rPr>
        <w:t>sui generis</w:t>
      </w:r>
      <w:r>
        <w:rPr>
          <w:rFonts w:ascii="Times New Roman" w:hAnsi="Times New Roman" w:cs="Times New Roman"/>
          <w:noProof/>
          <w:sz w:val="24"/>
          <w:szCs w:val="24"/>
        </w:rPr>
        <w:t xml:space="preserve"> right established in the D</w:t>
      </w:r>
      <w:r>
        <w:rPr>
          <w:rFonts w:ascii="Times New Roman" w:hAnsi="Times New Roman" w:cs="Times New Roman"/>
          <w:noProof/>
          <w:sz w:val="24"/>
          <w:szCs w:val="24"/>
        </w:rPr>
        <w:t xml:space="preserve">irective and the data economy. </w:t>
      </w:r>
    </w:p>
    <w:p w:rsidR="00A7566B" w:rsidRDefault="003232A6">
      <w:pPr>
        <w:jc w:val="both"/>
        <w:rPr>
          <w:rFonts w:ascii="Times New Roman" w:hAnsi="Times New Roman" w:cs="Times New Roman"/>
          <w:noProof/>
          <w:sz w:val="24"/>
          <w:szCs w:val="24"/>
        </w:rPr>
      </w:pPr>
      <w:r>
        <w:rPr>
          <w:rFonts w:ascii="Times New Roman" w:hAnsi="Times New Roman" w:cs="Times New Roman"/>
          <w:noProof/>
          <w:sz w:val="24"/>
          <w:szCs w:val="24"/>
        </w:rPr>
        <w:t xml:space="preserve">One of the main conclusions in the evaluation is that the </w:t>
      </w:r>
      <w:r>
        <w:rPr>
          <w:rFonts w:ascii="Times New Roman" w:hAnsi="Times New Roman"/>
          <w:i/>
          <w:noProof/>
          <w:sz w:val="24"/>
        </w:rPr>
        <w:t>sui generis</w:t>
      </w:r>
      <w:r>
        <w:rPr>
          <w:rFonts w:ascii="Times New Roman" w:hAnsi="Times New Roman" w:cs="Times New Roman"/>
          <w:noProof/>
          <w:sz w:val="24"/>
          <w:szCs w:val="24"/>
        </w:rPr>
        <w:t xml:space="preserve"> right does not systematically cover big data situations and single-source databases</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thus does not prevent problematic cases where certain right-holders </w:t>
      </w:r>
      <w:r>
        <w:rPr>
          <w:rFonts w:ascii="Times New Roman" w:hAnsi="Times New Roman" w:cs="Times New Roman"/>
          <w:noProof/>
          <w:sz w:val="24"/>
          <w:szCs w:val="24"/>
        </w:rPr>
        <w:t>could claim indirect property rights of digital data. Nevertheless, the evaluation indicates that this assumption should be closely tracked in the future as questions have emerged within academic and stakeholders' circles, triggered by occasional court cas</w:t>
      </w:r>
      <w:r>
        <w:rPr>
          <w:rFonts w:ascii="Times New Roman" w:hAnsi="Times New Roman" w:cs="Times New Roman"/>
          <w:noProof/>
          <w:sz w:val="24"/>
          <w:szCs w:val="24"/>
        </w:rPr>
        <w:t xml:space="preserve">es, on whether the </w:t>
      </w:r>
      <w:r>
        <w:rPr>
          <w:rFonts w:ascii="Times New Roman" w:hAnsi="Times New Roman"/>
          <w:i/>
          <w:noProof/>
          <w:sz w:val="24"/>
        </w:rPr>
        <w:t>sui generis</w:t>
      </w:r>
      <w:r>
        <w:rPr>
          <w:rFonts w:ascii="Times New Roman" w:hAnsi="Times New Roman" w:cs="Times New Roman"/>
          <w:noProof/>
          <w:sz w:val="24"/>
          <w:szCs w:val="24"/>
        </w:rPr>
        <w:t xml:space="preserve"> right might in fact apply more broadly than what is generally assumed, for example to machine-generated data. The evaluation of the Database Directive also tackles the possible interactions between the </w:t>
      </w:r>
      <w:r>
        <w:rPr>
          <w:rFonts w:ascii="Times New Roman" w:hAnsi="Times New Roman" w:cs="Times New Roman"/>
          <w:i/>
          <w:noProof/>
          <w:sz w:val="24"/>
          <w:szCs w:val="24"/>
        </w:rPr>
        <w:t>sui generis</w:t>
      </w:r>
      <w:r>
        <w:rPr>
          <w:rFonts w:ascii="Times New Roman" w:hAnsi="Times New Roman" w:cs="Times New Roman"/>
          <w:noProof/>
          <w:sz w:val="24"/>
          <w:szCs w:val="24"/>
        </w:rPr>
        <w:t xml:space="preserve"> right and t</w:t>
      </w:r>
      <w:r>
        <w:rPr>
          <w:rFonts w:ascii="Times New Roman" w:hAnsi="Times New Roman" w:cs="Times New Roman"/>
          <w:noProof/>
          <w:sz w:val="24"/>
          <w:szCs w:val="24"/>
        </w:rPr>
        <w:t xml:space="preserve">he Directive </w:t>
      </w:r>
      <w:r>
        <w:rPr>
          <w:rFonts w:ascii="Times New Roman" w:hAnsi="Times New Roman"/>
          <w:noProof/>
          <w:sz w:val="24"/>
        </w:rPr>
        <w:t>on the re-use of public sector information</w:t>
      </w:r>
      <w:r>
        <w:rPr>
          <w:rFonts w:ascii="Times New Roman" w:hAnsi="Times New Roman" w:cs="Times New Roman"/>
          <w:noProof/>
          <w:sz w:val="24"/>
          <w:szCs w:val="24"/>
        </w:rPr>
        <w:t xml:space="preserve">, an issue that was also covered in the evaluation of the Directive </w:t>
      </w:r>
      <w:r>
        <w:rPr>
          <w:rFonts w:ascii="Times New Roman" w:hAnsi="Times New Roman"/>
          <w:noProof/>
          <w:sz w:val="24"/>
        </w:rPr>
        <w:t>on the re-use of public sector information</w:t>
      </w:r>
      <w:r>
        <w:rPr>
          <w:rStyle w:val="FootnoteReference"/>
          <w:rFonts w:ascii="Times New Roman" w:hAnsi="Times New Roman"/>
          <w:noProof/>
          <w:sz w:val="24"/>
        </w:rPr>
        <w:footnoteReference w:id="24"/>
      </w:r>
      <w:r>
        <w:rPr>
          <w:rFonts w:ascii="Times New Roman" w:hAnsi="Times New Roman" w:cs="Times New Roman"/>
          <w:noProof/>
          <w:sz w:val="24"/>
          <w:szCs w:val="24"/>
        </w:rPr>
        <w:t>. Taking into account that such interaction might occur in practice, the proposed review o</w:t>
      </w:r>
      <w:r>
        <w:rPr>
          <w:rFonts w:ascii="Times New Roman" w:hAnsi="Times New Roman" w:cs="Times New Roman"/>
          <w:noProof/>
          <w:sz w:val="24"/>
          <w:szCs w:val="24"/>
        </w:rPr>
        <w:t xml:space="preserve">f the Directive </w:t>
      </w:r>
      <w:r>
        <w:rPr>
          <w:rFonts w:ascii="Times New Roman" w:hAnsi="Times New Roman"/>
          <w:noProof/>
          <w:sz w:val="24"/>
        </w:rPr>
        <w:t xml:space="preserve">on the re-use of public sector information </w:t>
      </w:r>
      <w:r>
        <w:rPr>
          <w:rFonts w:ascii="Times New Roman" w:hAnsi="Times New Roman" w:cs="Times New Roman"/>
          <w:noProof/>
          <w:sz w:val="24"/>
          <w:szCs w:val="24"/>
        </w:rPr>
        <w:t>aims at clarifying the alignment of the provisions of both instruments.</w:t>
      </w:r>
    </w:p>
    <w:p w:rsidR="00A7566B" w:rsidRDefault="003232A6">
      <w:pPr>
        <w:jc w:val="both"/>
        <w:rPr>
          <w:rFonts w:ascii="Times New Roman" w:hAnsi="Times New Roman" w:cs="Times New Roman"/>
          <w:noProof/>
          <w:sz w:val="24"/>
          <w:szCs w:val="24"/>
          <w:highlight w:val="yellow"/>
        </w:rPr>
      </w:pPr>
      <w:r>
        <w:rPr>
          <w:rFonts w:ascii="Times New Roman" w:hAnsi="Times New Roman" w:cs="Times New Roman"/>
          <w:noProof/>
          <w:sz w:val="24"/>
          <w:szCs w:val="24"/>
        </w:rPr>
        <w:t xml:space="preserve">The proposed review also contains clarifications concerning the relationship between the Directive </w:t>
      </w:r>
      <w:r>
        <w:rPr>
          <w:rFonts w:ascii="Times New Roman" w:hAnsi="Times New Roman"/>
          <w:noProof/>
          <w:sz w:val="24"/>
        </w:rPr>
        <w:t>on the re-use of public se</w:t>
      </w:r>
      <w:r>
        <w:rPr>
          <w:rFonts w:ascii="Times New Roman" w:hAnsi="Times New Roman"/>
          <w:noProof/>
          <w:sz w:val="24"/>
        </w:rPr>
        <w:t>ctor information</w:t>
      </w:r>
      <w:r>
        <w:rPr>
          <w:rFonts w:ascii="Times New Roman" w:hAnsi="Times New Roman" w:cs="Times New Roman"/>
          <w:noProof/>
          <w:sz w:val="24"/>
          <w:szCs w:val="24"/>
        </w:rPr>
        <w:t xml:space="preserve"> and the Directive establishing an Infrastructure for Spatial Information (INSPIRE)</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in order to ensure full coherence between these two legal instruments</w:t>
      </w:r>
    </w:p>
    <w:p w:rsidR="00A7566B" w:rsidRDefault="003232A6">
      <w:pPr>
        <w:keepNext/>
        <w:jc w:val="both"/>
        <w:rPr>
          <w:rFonts w:ascii="Times New Roman" w:hAnsi="Times New Roman" w:cs="Times New Roman"/>
          <w:noProof/>
          <w:sz w:val="24"/>
          <w:szCs w:val="24"/>
        </w:rPr>
      </w:pPr>
      <w:r>
        <w:rPr>
          <w:rFonts w:ascii="Times New Roman" w:hAnsi="Times New Roman" w:cs="Times New Roman"/>
          <w:noProof/>
          <w:sz w:val="24"/>
          <w:szCs w:val="24"/>
        </w:rPr>
        <w:t xml:space="preserve">Additionally, under the </w:t>
      </w:r>
      <w:r>
        <w:rPr>
          <w:rFonts w:ascii="Times New Roman" w:hAnsi="Times New Roman"/>
          <w:noProof/>
          <w:sz w:val="24"/>
        </w:rPr>
        <w:t xml:space="preserve">Connecting Europe Facility </w:t>
      </w:r>
      <w:r>
        <w:rPr>
          <w:rFonts w:ascii="Times New Roman" w:hAnsi="Times New Roman" w:cs="Times New Roman"/>
          <w:noProof/>
          <w:sz w:val="24"/>
          <w:szCs w:val="24"/>
        </w:rPr>
        <w:t xml:space="preserve"> programme, the Commission will co</w:t>
      </w:r>
      <w:r>
        <w:rPr>
          <w:rFonts w:ascii="Times New Roman" w:hAnsi="Times New Roman" w:cs="Times New Roman"/>
          <w:noProof/>
          <w:sz w:val="24"/>
          <w:szCs w:val="24"/>
        </w:rPr>
        <w:t>ntinue to support the deployment of a fully-fledged open data infrastructure as a follow-up to the deployment of the European Open Data Portal</w:t>
      </w:r>
      <w:r>
        <w:rPr>
          <w:rFonts w:ascii="Times New Roman" w:hAnsi="Times New Roman"/>
          <w:noProof/>
          <w:sz w:val="24"/>
          <w:vertAlign w:val="superscript"/>
        </w:rPr>
        <w:footnoteReference w:id="26"/>
      </w:r>
      <w:r>
        <w:rPr>
          <w:rFonts w:ascii="Times New Roman" w:hAnsi="Times New Roman" w:cs="Times New Roman"/>
          <w:noProof/>
          <w:sz w:val="24"/>
          <w:szCs w:val="24"/>
        </w:rPr>
        <w:t xml:space="preserve">. This environment could make available interoperable data and tools, as well as knowledge and support, in order </w:t>
      </w:r>
      <w:r>
        <w:rPr>
          <w:rFonts w:ascii="Times New Roman" w:hAnsi="Times New Roman" w:cs="Times New Roman"/>
          <w:noProof/>
          <w:sz w:val="24"/>
          <w:szCs w:val="24"/>
        </w:rPr>
        <w:t>to maximise the re-use of open data by European public administrations and businesses, notably small and medium-sized enterprises, and to build content capacity for the European Artificial Intelligence development. The Commission has proposed</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that data sh</w:t>
      </w:r>
      <w:r>
        <w:rPr>
          <w:rFonts w:ascii="Times New Roman" w:hAnsi="Times New Roman" w:cs="Times New Roman"/>
          <w:noProof/>
          <w:sz w:val="24"/>
          <w:szCs w:val="24"/>
        </w:rPr>
        <w:t xml:space="preserve">aring by the public sector will also be aided by </w:t>
      </w:r>
      <w:r>
        <w:rPr>
          <w:rFonts w:ascii="Times New Roman" w:hAnsi="Times New Roman"/>
          <w:noProof/>
          <w:sz w:val="24"/>
        </w:rPr>
        <w:t xml:space="preserve">a </w:t>
      </w:r>
      <w:r>
        <w:rPr>
          <w:rFonts w:ascii="Times New Roman" w:hAnsi="Times New Roman"/>
          <w:b/>
          <w:noProof/>
          <w:sz w:val="24"/>
        </w:rPr>
        <w:t>Support Centre for data sharing</w:t>
      </w:r>
      <w:r>
        <w:rPr>
          <w:rFonts w:ascii="Times New Roman" w:hAnsi="Times New Roman"/>
          <w:noProof/>
          <w:sz w:val="24"/>
        </w:rPr>
        <w:t xml:space="preserve"> under the Connecting Europe Facility programme as from 2019 onwards.</w:t>
      </w:r>
    </w:p>
    <w:p w:rsidR="00A7566B" w:rsidRDefault="003232A6">
      <w:pPr>
        <w:keepNext/>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also considering further funding actions to support the availability of public sector </w:t>
      </w:r>
      <w:r>
        <w:rPr>
          <w:rFonts w:ascii="Times New Roman" w:hAnsi="Times New Roman" w:cs="Times New Roman"/>
          <w:noProof/>
          <w:sz w:val="24"/>
          <w:szCs w:val="24"/>
        </w:rPr>
        <w:t>data for re-use after 2020 aimed at establishing a comprehensive common European data space.</w:t>
      </w:r>
    </w:p>
    <w:p w:rsidR="00A7566B" w:rsidRDefault="003232A6">
      <w:pPr>
        <w:jc w:val="both"/>
        <w:rPr>
          <w:rFonts w:ascii="Times New Roman" w:hAnsi="Times New Roman"/>
          <w:noProof/>
          <w:sz w:val="24"/>
        </w:rPr>
      </w:pPr>
      <w:r>
        <w:rPr>
          <w:rFonts w:ascii="Times New Roman" w:hAnsi="Times New Roman" w:cs="Times New Roman"/>
          <w:noProof/>
          <w:sz w:val="24"/>
          <w:szCs w:val="24"/>
        </w:rPr>
        <w:t>Finally, t</w:t>
      </w:r>
      <w:r>
        <w:rPr>
          <w:rFonts w:ascii="Times New Roman" w:hAnsi="Times New Roman"/>
          <w:noProof/>
          <w:sz w:val="24"/>
        </w:rPr>
        <w:t>he principles on the re-use of public sector information are also taken into account when the European Structural and Investment (ESI) Funds</w:t>
      </w:r>
      <w:r>
        <w:rPr>
          <w:rStyle w:val="FootnoteReference"/>
          <w:rFonts w:ascii="Times New Roman" w:hAnsi="Times New Roman"/>
          <w:noProof/>
          <w:sz w:val="24"/>
        </w:rPr>
        <w:footnoteReference w:id="28"/>
      </w:r>
      <w:r>
        <w:rPr>
          <w:rFonts w:ascii="Times New Roman" w:hAnsi="Times New Roman"/>
          <w:noProof/>
          <w:sz w:val="24"/>
        </w:rPr>
        <w:t xml:space="preserve"> support and</w:t>
      </w:r>
      <w:r>
        <w:rPr>
          <w:rFonts w:ascii="Times New Roman" w:hAnsi="Times New Roman"/>
          <w:noProof/>
          <w:sz w:val="24"/>
        </w:rPr>
        <w:t xml:space="preserve"> match local needs leading to efficiency gains thanks to e-government solutions, modernisation of public  information and administration systems.</w:t>
      </w:r>
    </w:p>
    <w:p w:rsidR="00A7566B" w:rsidRDefault="003232A6">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b) Access to and preservation of scientific information </w:t>
      </w:r>
    </w:p>
    <w:p w:rsidR="00A7566B" w:rsidRDefault="003232A6">
      <w:pPr>
        <w:jc w:val="both"/>
        <w:rPr>
          <w:rFonts w:ascii="Times New Roman" w:hAnsi="Times New Roman" w:cs="Times New Roman"/>
          <w:noProof/>
          <w:sz w:val="24"/>
          <w:szCs w:val="24"/>
        </w:rPr>
      </w:pPr>
      <w:r>
        <w:rPr>
          <w:rFonts w:ascii="Times New Roman" w:hAnsi="Times New Roman" w:cs="Times New Roman"/>
          <w:noProof/>
          <w:sz w:val="24"/>
          <w:szCs w:val="24"/>
        </w:rPr>
        <w:t>Open Science has been identified</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in the context of </w:t>
      </w:r>
      <w:r>
        <w:rPr>
          <w:rFonts w:ascii="Times New Roman" w:hAnsi="Times New Roman" w:cs="Times New Roman"/>
          <w:noProof/>
          <w:sz w:val="24"/>
          <w:szCs w:val="24"/>
        </w:rPr>
        <w:t>access to and re-use of publicly funded research results in particular, as a crucial ingredient in advancing science and benefiting society. This was highlighted in the Council conclusions on the transition towards an Open Science system</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in which the Cou</w:t>
      </w:r>
      <w:r>
        <w:rPr>
          <w:rFonts w:ascii="Times New Roman" w:hAnsi="Times New Roman" w:cs="Times New Roman"/>
          <w:noProof/>
          <w:sz w:val="24"/>
          <w:szCs w:val="24"/>
        </w:rPr>
        <w:t>ncil</w:t>
      </w:r>
      <w:r>
        <w:rPr>
          <w:noProof/>
        </w:rPr>
        <w:t xml:space="preserve"> </w:t>
      </w:r>
      <w:r>
        <w:rPr>
          <w:rFonts w:ascii="Times New Roman" w:hAnsi="Times New Roman" w:cs="Times New Roman"/>
          <w:noProof/>
          <w:sz w:val="24"/>
          <w:szCs w:val="24"/>
        </w:rPr>
        <w:t>called on the Commission, in cooperation with the Open Science Policy Platform and in close cooperation with the Member States and stakeholders, to further develop the European Open Science Agenda.  Open Science calls for the research processes conduc</w:t>
      </w:r>
      <w:r>
        <w:rPr>
          <w:rFonts w:ascii="Times New Roman" w:hAnsi="Times New Roman" w:cs="Times New Roman"/>
          <w:noProof/>
          <w:sz w:val="24"/>
          <w:szCs w:val="24"/>
        </w:rPr>
        <w:t>ted by any type of researcher (including citizen scientists) to be open at all stages, from project design, methodologies and workflows  to the dissemination of results, so that research can build on previous research more easily. This increases quality, a</w:t>
      </w:r>
      <w:r>
        <w:rPr>
          <w:rFonts w:ascii="Times New Roman" w:hAnsi="Times New Roman" w:cs="Times New Roman"/>
          <w:noProof/>
          <w:sz w:val="24"/>
          <w:szCs w:val="24"/>
        </w:rPr>
        <w:t>voids duplication and makes re-use easier, which ultimately enhances the impact of science on society. The Commission believes that it is time to put access to and preservation of scientific information in a context of Open Science, building upon its polic</w:t>
      </w:r>
      <w:r>
        <w:rPr>
          <w:rFonts w:ascii="Times New Roman" w:hAnsi="Times New Roman" w:cs="Times New Roman"/>
          <w:noProof/>
          <w:sz w:val="24"/>
          <w:szCs w:val="24"/>
        </w:rPr>
        <w:t>y on open access from 2012.</w:t>
      </w:r>
    </w:p>
    <w:p w:rsidR="00A7566B" w:rsidRDefault="003232A6">
      <w:pPr>
        <w:spacing w:after="0"/>
        <w:jc w:val="both"/>
        <w:rPr>
          <w:rFonts w:ascii="Times New Roman" w:hAnsi="Times New Roman" w:cs="Times New Roman"/>
          <w:noProof/>
          <w:sz w:val="24"/>
          <w:szCs w:val="24"/>
        </w:rPr>
      </w:pPr>
      <w:r>
        <w:rPr>
          <w:rFonts w:ascii="Times New Roman" w:hAnsi="Times New Roman" w:cs="Times New Roman"/>
          <w:noProof/>
          <w:sz w:val="24"/>
          <w:szCs w:val="24"/>
        </w:rPr>
        <w:t>The Commission leads by example on open access policy thanks to its Horizon 2020 programme rules. It also supports the development of tools and services that underpin Open Science, by funding a pan-European portal for the Europe</w:t>
      </w:r>
      <w:r>
        <w:rPr>
          <w:rFonts w:ascii="Times New Roman" w:hAnsi="Times New Roman" w:cs="Times New Roman"/>
          <w:noProof/>
          <w:sz w:val="24"/>
          <w:szCs w:val="24"/>
        </w:rPr>
        <w:t>an Open Science Cloud.</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w:t>
      </w:r>
    </w:p>
    <w:p w:rsidR="00A7566B" w:rsidRDefault="00A7566B">
      <w:pPr>
        <w:spacing w:after="0"/>
        <w:jc w:val="both"/>
        <w:rPr>
          <w:rFonts w:ascii="Times New Roman" w:hAnsi="Times New Roman" w:cs="Times New Roman"/>
          <w:noProof/>
          <w:sz w:val="24"/>
          <w:szCs w:val="24"/>
        </w:rPr>
      </w:pPr>
    </w:p>
    <w:p w:rsidR="00A7566B" w:rsidRDefault="003232A6">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In 2012, the Commission adopted a policy package containing a series of measures to improve access to scientific information produced in the Union. As part of this package, Commission </w:t>
      </w:r>
      <w:r>
        <w:rPr>
          <w:rFonts w:ascii="Times New Roman" w:hAnsi="Times New Roman"/>
          <w:noProof/>
          <w:sz w:val="24"/>
        </w:rPr>
        <w:t>Recommendation 2012/417/EU on access to and pr</w:t>
      </w:r>
      <w:r>
        <w:rPr>
          <w:rFonts w:ascii="Times New Roman" w:hAnsi="Times New Roman"/>
          <w:noProof/>
          <w:sz w:val="24"/>
        </w:rPr>
        <w:t>eservation of scientific information</w:t>
      </w:r>
      <w:r>
        <w:rPr>
          <w:rStyle w:val="FootnoteReference"/>
          <w:noProof/>
        </w:rPr>
        <w:footnoteReference w:id="32"/>
      </w:r>
      <w:r>
        <w:rPr>
          <w:rFonts w:ascii="Times New Roman" w:hAnsi="Times New Roman"/>
          <w:noProof/>
          <w:sz w:val="24"/>
        </w:rPr>
        <w:t xml:space="preserve"> </w:t>
      </w:r>
      <w:r>
        <w:rPr>
          <w:rFonts w:ascii="Times New Roman" w:hAnsi="Times New Roman" w:cs="Times New Roman"/>
          <w:noProof/>
          <w:sz w:val="24"/>
          <w:szCs w:val="24"/>
        </w:rPr>
        <w:t xml:space="preserve">built on the premise that scientific information resulting from public funding should be accessible and re-usable with as few restrictions as possible. </w:t>
      </w:r>
    </w:p>
    <w:p w:rsidR="00A7566B" w:rsidRDefault="00A7566B">
      <w:pPr>
        <w:spacing w:after="0"/>
        <w:jc w:val="both"/>
        <w:rPr>
          <w:rFonts w:ascii="Times New Roman" w:hAnsi="Times New Roman" w:cs="Times New Roman"/>
          <w:noProof/>
          <w:sz w:val="24"/>
          <w:szCs w:val="24"/>
        </w:rPr>
      </w:pPr>
    </w:p>
    <w:p w:rsidR="00A7566B" w:rsidRDefault="003232A6">
      <w:pPr>
        <w:spacing w:after="0"/>
        <w:jc w:val="both"/>
        <w:rPr>
          <w:rFonts w:ascii="Times New Roman" w:hAnsi="Times New Roman" w:cs="Times New Roman"/>
          <w:noProof/>
          <w:sz w:val="24"/>
          <w:szCs w:val="24"/>
        </w:rPr>
      </w:pPr>
      <w:r>
        <w:rPr>
          <w:rFonts w:ascii="Times New Roman" w:hAnsi="Times New Roman"/>
          <w:noProof/>
          <w:sz w:val="24"/>
        </w:rPr>
        <w:t>The evaluation of the Recommendation confirms that it has been a</w:t>
      </w:r>
      <w:r>
        <w:rPr>
          <w:rFonts w:ascii="Times New Roman" w:hAnsi="Times New Roman"/>
          <w:noProof/>
          <w:sz w:val="24"/>
        </w:rPr>
        <w:t xml:space="preserve"> valuable and impactful tool that remains relevant for policy. However, to make it future-proof, a revision is needed to reflect recent developments in research practices, as well as recent EU policy developments. As announced in the European Cloud Initiat</w:t>
      </w:r>
      <w:r>
        <w:rPr>
          <w:rFonts w:ascii="Times New Roman" w:hAnsi="Times New Roman"/>
          <w:noProof/>
          <w:sz w:val="24"/>
        </w:rPr>
        <w:t>ive</w:t>
      </w:r>
      <w:r>
        <w:rPr>
          <w:rStyle w:val="FootnoteReference"/>
          <w:noProof/>
        </w:rPr>
        <w:footnoteReference w:id="33"/>
      </w:r>
      <w:r>
        <w:rPr>
          <w:rFonts w:ascii="Times New Roman" w:hAnsi="Times New Roman"/>
          <w:noProof/>
          <w:sz w:val="24"/>
        </w:rPr>
        <w:t xml:space="preserve"> as part of the European Open Science Cloud and the mid-term review of the DSM strategy</w:t>
      </w:r>
      <w:r>
        <w:rPr>
          <w:rStyle w:val="FootnoteReference"/>
          <w:noProof/>
        </w:rPr>
        <w:footnoteReference w:id="34"/>
      </w:r>
      <w:r>
        <w:rPr>
          <w:rFonts w:ascii="Times New Roman" w:hAnsi="Times New Roman"/>
          <w:noProof/>
          <w:sz w:val="24"/>
        </w:rPr>
        <w:t>, the current data package therefore includes the review of the Recommendation on access to and preservation of scientific information</w:t>
      </w:r>
      <w:r>
        <w:rPr>
          <w:rStyle w:val="FootnoteReference"/>
          <w:rFonts w:ascii="Times New Roman" w:hAnsi="Times New Roman"/>
          <w:noProof/>
          <w:sz w:val="24"/>
        </w:rPr>
        <w:footnoteReference w:id="35"/>
      </w:r>
      <w:r>
        <w:rPr>
          <w:rFonts w:ascii="Times New Roman" w:hAnsi="Times New Roman"/>
          <w:noProof/>
          <w:sz w:val="24"/>
        </w:rPr>
        <w:t xml:space="preserve">. </w:t>
      </w:r>
    </w:p>
    <w:p w:rsidR="00A7566B" w:rsidRDefault="00A7566B">
      <w:pPr>
        <w:spacing w:after="0"/>
        <w:jc w:val="both"/>
        <w:rPr>
          <w:rFonts w:ascii="Times New Roman" w:hAnsi="Times New Roman"/>
          <w:noProof/>
          <w:sz w:val="24"/>
        </w:rPr>
      </w:pPr>
    </w:p>
    <w:p w:rsidR="00A7566B" w:rsidRDefault="003232A6">
      <w:pPr>
        <w:jc w:val="both"/>
        <w:rPr>
          <w:rFonts w:ascii="Times New Roman" w:hAnsi="Times New Roman"/>
          <w:noProof/>
          <w:sz w:val="24"/>
        </w:rPr>
      </w:pPr>
      <w:r>
        <w:rPr>
          <w:rFonts w:ascii="Times New Roman" w:hAnsi="Times New Roman"/>
          <w:noProof/>
          <w:sz w:val="24"/>
        </w:rPr>
        <w:t xml:space="preserve">The review of the </w:t>
      </w:r>
      <w:r>
        <w:rPr>
          <w:rFonts w:ascii="Times New Roman" w:hAnsi="Times New Roman"/>
          <w:noProof/>
          <w:sz w:val="24"/>
        </w:rPr>
        <w:t>Recommendation is presented in parallel with the review of the Directive on the re-use of public sector information</w:t>
      </w:r>
      <w:r>
        <w:rPr>
          <w:rStyle w:val="FootnoteReference"/>
          <w:rFonts w:ascii="Times New Roman" w:hAnsi="Times New Roman"/>
          <w:noProof/>
          <w:sz w:val="24"/>
        </w:rPr>
        <w:footnoteReference w:id="36"/>
      </w:r>
      <w:r>
        <w:rPr>
          <w:rFonts w:ascii="Times New Roman" w:hAnsi="Times New Roman"/>
          <w:noProof/>
          <w:sz w:val="24"/>
        </w:rPr>
        <w:t>, which proposes to extend the scope of the Directive to research data and to ensure the coherence and the complementarity between EU open a</w:t>
      </w:r>
      <w:r>
        <w:rPr>
          <w:rFonts w:ascii="Times New Roman" w:hAnsi="Times New Roman"/>
          <w:noProof/>
          <w:sz w:val="24"/>
        </w:rPr>
        <w:t>ccess and open data policies. This therefore unlocks the potential of public sector information and publicly funded research data at the same time. Based on the proposed revision of the Directive on the re-use of public sector information, Member States wo</w:t>
      </w:r>
      <w:r>
        <w:rPr>
          <w:rFonts w:ascii="Times New Roman" w:hAnsi="Times New Roman"/>
          <w:noProof/>
          <w:sz w:val="24"/>
        </w:rPr>
        <w:t>uld be obliged to develop policies that address the area of open access to public and publicly held research data and the reviewed Recommendation on access to and preservation of scientific information would provide guidance on the implementation of open a</w:t>
      </w:r>
      <w:r>
        <w:rPr>
          <w:rFonts w:ascii="Times New Roman" w:hAnsi="Times New Roman"/>
          <w:noProof/>
          <w:sz w:val="24"/>
        </w:rPr>
        <w:t xml:space="preserve">ccess to public and publicly held research data.  </w:t>
      </w:r>
    </w:p>
    <w:p w:rsidR="00A7566B" w:rsidRDefault="003232A6">
      <w:pPr>
        <w:keepNext/>
        <w:jc w:val="both"/>
        <w:rPr>
          <w:rFonts w:ascii="Times New Roman" w:hAnsi="Times New Roman"/>
          <w:b/>
          <w:noProof/>
          <w:sz w:val="24"/>
        </w:rPr>
      </w:pPr>
      <w:r>
        <w:rPr>
          <w:rFonts w:ascii="Times New Roman" w:hAnsi="Times New Roman"/>
          <w:b/>
          <w:noProof/>
          <w:sz w:val="24"/>
        </w:rPr>
        <w:t xml:space="preserve">4) Private sector data as a key driver of innovation and competitiveness in Europe </w:t>
      </w:r>
    </w:p>
    <w:p w:rsidR="00A7566B" w:rsidRDefault="003232A6">
      <w:pPr>
        <w:jc w:val="both"/>
        <w:rPr>
          <w:rFonts w:ascii="Times New Roman" w:hAnsi="Times New Roman"/>
          <w:noProof/>
          <w:sz w:val="24"/>
        </w:rPr>
      </w:pPr>
      <w:r>
        <w:rPr>
          <w:rFonts w:ascii="Times New Roman" w:hAnsi="Times New Roman"/>
          <w:noProof/>
          <w:sz w:val="24"/>
        </w:rPr>
        <w:t>Access to and re-use of private sector data constitute further major cornerstones of a common European data space. In lin</w:t>
      </w:r>
      <w:r>
        <w:rPr>
          <w:rFonts w:ascii="Times New Roman" w:hAnsi="Times New Roman"/>
          <w:noProof/>
          <w:sz w:val="24"/>
        </w:rPr>
        <w:t>e with the mid-term review of the Digital Single Market strategy, and drawing on the results of the stakeholder consultation a number of principles for private sector data sharing to be taken account of can be defined.</w:t>
      </w:r>
      <w:r>
        <w:rPr>
          <w:rStyle w:val="FootnoteReference"/>
          <w:rFonts w:ascii="Times New Roman" w:hAnsi="Times New Roman"/>
          <w:noProof/>
          <w:sz w:val="24"/>
        </w:rPr>
        <w:footnoteReference w:id="37"/>
      </w:r>
    </w:p>
    <w:p w:rsidR="00A7566B" w:rsidRDefault="003232A6">
      <w:pPr>
        <w:keepNext/>
        <w:jc w:val="both"/>
        <w:rPr>
          <w:rFonts w:ascii="Times New Roman" w:hAnsi="Times New Roman" w:cs="Times New Roman"/>
          <w:b/>
          <w:noProof/>
          <w:sz w:val="24"/>
          <w:szCs w:val="24"/>
        </w:rPr>
      </w:pPr>
      <w:r>
        <w:rPr>
          <w:rFonts w:ascii="Times New Roman" w:hAnsi="Times New Roman" w:cs="Times New Roman"/>
          <w:b/>
          <w:noProof/>
          <w:sz w:val="24"/>
          <w:szCs w:val="24"/>
        </w:rPr>
        <w:t>a) Business-to-business (B2B) data s</w:t>
      </w:r>
      <w:r>
        <w:rPr>
          <w:rFonts w:ascii="Times New Roman" w:hAnsi="Times New Roman" w:cs="Times New Roman"/>
          <w:b/>
          <w:noProof/>
          <w:sz w:val="24"/>
          <w:szCs w:val="24"/>
        </w:rPr>
        <w:t xml:space="preserve">haring </w:t>
      </w:r>
    </w:p>
    <w:p w:rsidR="00A7566B" w:rsidRDefault="003232A6">
      <w:pPr>
        <w:jc w:val="both"/>
        <w:rPr>
          <w:rFonts w:ascii="Times New Roman" w:hAnsi="Times New Roman"/>
          <w:noProof/>
          <w:sz w:val="24"/>
        </w:rPr>
      </w:pPr>
      <w:r>
        <w:rPr>
          <w:rFonts w:ascii="Times New Roman" w:hAnsi="Times New Roman"/>
          <w:noProof/>
          <w:sz w:val="24"/>
        </w:rPr>
        <w:t>The Communication "Building a European Data Economy" raised a number of issues on the ever-increasing amount of data. This is often created in an automated way by machines or processes based on emerging technologies, such as the Internet of Things.</w:t>
      </w:r>
      <w:r>
        <w:rPr>
          <w:rFonts w:ascii="Times New Roman" w:hAnsi="Times New Roman"/>
          <w:noProof/>
          <w:sz w:val="24"/>
        </w:rPr>
        <w:t xml:space="preserve"> To extract maximum value from this and other types of private sector data, market players may need to be able to access and use such data, also across borders in different scenarios. As identified in that Communication, non-personal data generated by Inte</w:t>
      </w:r>
      <w:r>
        <w:rPr>
          <w:rFonts w:ascii="Times New Roman" w:hAnsi="Times New Roman"/>
          <w:noProof/>
          <w:sz w:val="24"/>
        </w:rPr>
        <w:t xml:space="preserve">rnet of Things objects in an automated manner pose specific questions as typically the manufacturers of such objects are in a privileged position to determine access to and usage of the data generated. Depending on the nature of the respective market they </w:t>
      </w:r>
      <w:r>
        <w:rPr>
          <w:rFonts w:ascii="Times New Roman" w:hAnsi="Times New Roman"/>
          <w:noProof/>
          <w:sz w:val="24"/>
        </w:rPr>
        <w:t>may or may not grant access and usage rights to the user of the object who may find himself prevented from the usage of data the generation of which he triggers.</w:t>
      </w:r>
    </w:p>
    <w:p w:rsidR="00A7566B" w:rsidRDefault="003232A6">
      <w:pPr>
        <w:jc w:val="both"/>
        <w:rPr>
          <w:rFonts w:ascii="Times New Roman" w:hAnsi="Times New Roman"/>
          <w:noProof/>
          <w:sz w:val="24"/>
        </w:rPr>
      </w:pPr>
      <w:r>
        <w:rPr>
          <w:rFonts w:ascii="Times New Roman" w:hAnsi="Times New Roman"/>
          <w:noProof/>
          <w:sz w:val="24"/>
        </w:rPr>
        <w:t>The stakeholder dialogue and replies to the online survey</w:t>
      </w:r>
      <w:r>
        <w:rPr>
          <w:rStyle w:val="FootnoteReference"/>
          <w:rFonts w:ascii="Times New Roman" w:hAnsi="Times New Roman"/>
          <w:noProof/>
          <w:sz w:val="24"/>
        </w:rPr>
        <w:footnoteReference w:id="38"/>
      </w:r>
      <w:r>
        <w:rPr>
          <w:rFonts w:ascii="Times New Roman" w:hAnsi="Times New Roman"/>
          <w:noProof/>
          <w:sz w:val="24"/>
        </w:rPr>
        <w:t xml:space="preserve"> showed that stakeholders largely ag</w:t>
      </w:r>
      <w:r>
        <w:rPr>
          <w:rFonts w:ascii="Times New Roman" w:hAnsi="Times New Roman"/>
          <w:noProof/>
          <w:sz w:val="24"/>
        </w:rPr>
        <w:t>ree that more business-to-business data sharing would be beneficial. At the same time, they take the view that, at this stage of the development of the data economy, the existing regulatory framework is fit for purpose and that it is too early for horizont</w:t>
      </w:r>
      <w:r>
        <w:rPr>
          <w:rFonts w:ascii="Times New Roman" w:hAnsi="Times New Roman"/>
          <w:noProof/>
          <w:sz w:val="24"/>
        </w:rPr>
        <w:t xml:space="preserve">al legislation on data sharing in business-to-business relations. </w:t>
      </w:r>
      <w:r>
        <w:rPr>
          <w:rFonts w:ascii="Times New Roman" w:hAnsi="Times New Roman" w:cs="Times New Roman"/>
          <w:noProof/>
          <w:sz w:val="24"/>
          <w:szCs w:val="24"/>
        </w:rPr>
        <w:t>The starting point should be to ensure that data markets have the best possible conditions to develop on their own, with freedom of contract as a cornerstone. In general, businesses should b</w:t>
      </w:r>
      <w:r>
        <w:rPr>
          <w:rFonts w:ascii="Times New Roman" w:hAnsi="Times New Roman" w:cs="Times New Roman"/>
          <w:noProof/>
          <w:sz w:val="24"/>
          <w:szCs w:val="24"/>
        </w:rPr>
        <w:t>e free to decide to whom and under what conditions access can be granted to their non-personal data.</w:t>
      </w:r>
      <w:r>
        <w:rPr>
          <w:rFonts w:ascii="Times New Roman" w:hAnsi="Times New Roman"/>
          <w:noProof/>
          <w:sz w:val="24"/>
        </w:rPr>
        <w:t xml:space="preserve"> In general, stakeholders also do not favour a new 'data ownership' type of right, with a range of inputs indicating that the crucial question in business-t</w:t>
      </w:r>
      <w:r>
        <w:rPr>
          <w:rFonts w:ascii="Times New Roman" w:hAnsi="Times New Roman"/>
          <w:noProof/>
          <w:sz w:val="24"/>
        </w:rPr>
        <w:t xml:space="preserve">o-business sharing is not so much about ownership, but about how access is organised. </w:t>
      </w:r>
    </w:p>
    <w:p w:rsidR="00A7566B" w:rsidRDefault="003232A6">
      <w:pPr>
        <w:jc w:val="both"/>
        <w:rPr>
          <w:rFonts w:ascii="Times New Roman" w:hAnsi="Times New Roman"/>
          <w:noProof/>
          <w:sz w:val="24"/>
        </w:rPr>
      </w:pPr>
      <w:r>
        <w:rPr>
          <w:rFonts w:ascii="Times New Roman" w:hAnsi="Times New Roman"/>
          <w:noProof/>
          <w:sz w:val="24"/>
        </w:rPr>
        <w:t xml:space="preserve">On the other hand, there is strong support from stakeholders for non-regulatory measures, such as (i) fostering the use of APIs for simpler and more automated access to </w:t>
      </w:r>
      <w:r>
        <w:rPr>
          <w:rFonts w:ascii="Times New Roman" w:hAnsi="Times New Roman"/>
          <w:noProof/>
          <w:sz w:val="24"/>
        </w:rPr>
        <w:t xml:space="preserve">and use of datasets; (ii) developing recommended standard contract terms; and (iii) the provision of EU level guidance. </w:t>
      </w:r>
    </w:p>
    <w:p w:rsidR="00A7566B" w:rsidRDefault="003232A6">
      <w:pPr>
        <w:jc w:val="both"/>
        <w:rPr>
          <w:rFonts w:ascii="Times New Roman" w:hAnsi="Times New Roman" w:cs="Times New Roman"/>
          <w:noProof/>
          <w:sz w:val="24"/>
          <w:szCs w:val="24"/>
        </w:rPr>
      </w:pPr>
      <w:r>
        <w:rPr>
          <w:rFonts w:ascii="Times New Roman" w:hAnsi="Times New Roman"/>
          <w:noProof/>
          <w:sz w:val="24"/>
        </w:rPr>
        <w:t xml:space="preserve">Taking into account all the evidence currently available and </w:t>
      </w:r>
      <w:r>
        <w:rPr>
          <w:rFonts w:ascii="Times New Roman" w:hAnsi="Times New Roman" w:cs="Times New Roman"/>
          <w:noProof/>
          <w:sz w:val="24"/>
          <w:szCs w:val="24"/>
        </w:rPr>
        <w:t>building on the principles developed in the Communication ʻBuilding a Euro</w:t>
      </w:r>
      <w:r>
        <w:rPr>
          <w:rFonts w:ascii="Times New Roman" w:hAnsi="Times New Roman" w:cs="Times New Roman"/>
          <w:noProof/>
          <w:sz w:val="24"/>
          <w:szCs w:val="24"/>
        </w:rPr>
        <w:t>pean Data Economyʼ</w:t>
      </w:r>
      <w:r>
        <w:rPr>
          <w:rStyle w:val="FootnoteReference"/>
          <w:rFonts w:ascii="Times New Roman" w:hAnsi="Times New Roman" w:cs="Times New Roman"/>
          <w:noProof/>
          <w:sz w:val="24"/>
          <w:szCs w:val="24"/>
        </w:rPr>
        <w:footnoteReference w:id="39"/>
      </w:r>
      <w:r>
        <w:rPr>
          <w:rFonts w:ascii="Times New Roman" w:hAnsi="Times New Roman"/>
          <w:noProof/>
          <w:sz w:val="24"/>
        </w:rPr>
        <w:t xml:space="preserve">, the Commission considers that it is important to acknowledge the fact that </w:t>
      </w:r>
      <w:r>
        <w:rPr>
          <w:rFonts w:ascii="Times New Roman" w:hAnsi="Times New Roman" w:cs="Times New Roman"/>
          <w:noProof/>
          <w:sz w:val="24"/>
          <w:szCs w:val="24"/>
        </w:rPr>
        <w:t>data can be re-used without a loss in data quality and, in many cases, without losing the competitive edge as the same data can underpin or completely improve d</w:t>
      </w:r>
      <w:r>
        <w:rPr>
          <w:rFonts w:ascii="Times New Roman" w:hAnsi="Times New Roman" w:cs="Times New Roman"/>
          <w:noProof/>
          <w:sz w:val="24"/>
          <w:szCs w:val="24"/>
        </w:rPr>
        <w:t xml:space="preserve">ifferent products or services. This applies in particular to making relevant data available for training Artificial Intelligence applications — a major industrial challenge in Europe. More companies could be encouraged to engage in data partnerships, i.e. </w:t>
      </w:r>
      <w:r>
        <w:rPr>
          <w:rFonts w:ascii="Times New Roman" w:hAnsi="Times New Roman" w:cs="Times New Roman"/>
          <w:noProof/>
          <w:sz w:val="24"/>
          <w:szCs w:val="24"/>
        </w:rPr>
        <w:t xml:space="preserve">arrangements with other companies designed to make the most out of data by as many commercial players as possible. </w:t>
      </w:r>
    </w:p>
    <w:p w:rsidR="00A7566B" w:rsidRDefault="003232A6">
      <w:pPr>
        <w:jc w:val="both"/>
        <w:rPr>
          <w:rFonts w:ascii="Times New Roman" w:hAnsi="Times New Roman" w:cs="Times New Roman"/>
          <w:noProof/>
          <w:sz w:val="24"/>
          <w:szCs w:val="24"/>
        </w:rPr>
      </w:pPr>
      <w:r>
        <w:rPr>
          <w:rFonts w:ascii="Times New Roman" w:hAnsi="Times New Roman"/>
          <w:noProof/>
          <w:sz w:val="24"/>
        </w:rPr>
        <w:t>The Commission also considers that i</w:t>
      </w:r>
      <w:r>
        <w:rPr>
          <w:rFonts w:ascii="Times New Roman" w:hAnsi="Times New Roman" w:cs="Times New Roman"/>
          <w:noProof/>
          <w:sz w:val="24"/>
          <w:szCs w:val="24"/>
        </w:rPr>
        <w:t>n order to ensure fair and competitive markets for the IoT objects and for products and services that re</w:t>
      </w:r>
      <w:r>
        <w:rPr>
          <w:rFonts w:ascii="Times New Roman" w:hAnsi="Times New Roman" w:cs="Times New Roman"/>
          <w:noProof/>
          <w:sz w:val="24"/>
          <w:szCs w:val="24"/>
        </w:rPr>
        <w:t xml:space="preserve">ly on </w:t>
      </w:r>
      <w:r>
        <w:rPr>
          <w:rFonts w:ascii="Times New Roman" w:hAnsi="Times New Roman"/>
          <w:b/>
          <w:noProof/>
          <w:sz w:val="24"/>
        </w:rPr>
        <w:t>non-personal machine-generated data</w:t>
      </w:r>
      <w:r>
        <w:rPr>
          <w:rFonts w:ascii="Times New Roman" w:hAnsi="Times New Roman" w:cs="Times New Roman"/>
          <w:noProof/>
          <w:sz w:val="24"/>
          <w:szCs w:val="24"/>
        </w:rPr>
        <w:t xml:space="preserve"> created by such objects, the following </w:t>
      </w:r>
      <w:r>
        <w:rPr>
          <w:rFonts w:ascii="Times New Roman" w:hAnsi="Times New Roman" w:cs="Times New Roman"/>
          <w:b/>
          <w:noProof/>
          <w:sz w:val="24"/>
          <w:szCs w:val="24"/>
        </w:rPr>
        <w:t>key</w:t>
      </w:r>
      <w:r>
        <w:rPr>
          <w:rFonts w:ascii="Times New Roman" w:hAnsi="Times New Roman" w:cs="Times New Roman"/>
          <w:noProof/>
          <w:sz w:val="24"/>
          <w:szCs w:val="24"/>
        </w:rPr>
        <w:t xml:space="preserve"> </w:t>
      </w:r>
      <w:r>
        <w:rPr>
          <w:rFonts w:ascii="Times New Roman" w:hAnsi="Times New Roman" w:cs="Times New Roman"/>
          <w:b/>
          <w:noProof/>
          <w:sz w:val="24"/>
          <w:szCs w:val="24"/>
        </w:rPr>
        <w:t>principles</w:t>
      </w:r>
      <w:r>
        <w:rPr>
          <w:rFonts w:ascii="Times New Roman" w:hAnsi="Times New Roman" w:cs="Times New Roman"/>
          <w:noProof/>
          <w:sz w:val="24"/>
          <w:szCs w:val="24"/>
        </w:rPr>
        <w:t xml:space="preserve"> should be respected in contractual agreements: </w:t>
      </w:r>
    </w:p>
    <w:p w:rsidR="00A7566B" w:rsidRDefault="003232A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a)</w:t>
      </w:r>
      <w:r>
        <w:rPr>
          <w:rFonts w:ascii="Times New Roman" w:hAnsi="Times New Roman"/>
          <w:noProof/>
          <w:sz w:val="24"/>
        </w:rPr>
        <w:tab/>
      </w:r>
      <w:r>
        <w:rPr>
          <w:rFonts w:ascii="Times New Roman" w:hAnsi="Times New Roman"/>
          <w:b/>
          <w:noProof/>
          <w:sz w:val="24"/>
        </w:rPr>
        <w:t>Transparency</w:t>
      </w:r>
      <w:r>
        <w:rPr>
          <w:rFonts w:ascii="Times New Roman" w:hAnsi="Times New Roman"/>
          <w:noProof/>
          <w:sz w:val="24"/>
        </w:rPr>
        <w:t xml:space="preserve">: The relevant contractual agreements should identify in a transparent and understandable manner </w:t>
      </w:r>
      <w:r>
        <w:rPr>
          <w:rFonts w:ascii="Times New Roman" w:hAnsi="Times New Roman"/>
          <w:noProof/>
          <w:sz w:val="24"/>
        </w:rPr>
        <w:t xml:space="preserve">(i) the persons or entities that will have access to the data that the product or service generates, the type of such data, and at which level of detail; and (ii) the purposes for using such data. </w:t>
      </w:r>
    </w:p>
    <w:p w:rsidR="00A7566B" w:rsidRDefault="003232A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b)</w:t>
      </w:r>
      <w:r>
        <w:rPr>
          <w:rFonts w:ascii="Times New Roman" w:hAnsi="Times New Roman"/>
          <w:noProof/>
          <w:sz w:val="24"/>
        </w:rPr>
        <w:tab/>
      </w:r>
      <w:r>
        <w:rPr>
          <w:rFonts w:ascii="Times New Roman" w:hAnsi="Times New Roman"/>
          <w:b/>
          <w:noProof/>
          <w:sz w:val="24"/>
        </w:rPr>
        <w:t>Shared value creation</w:t>
      </w:r>
      <w:r>
        <w:rPr>
          <w:rFonts w:ascii="Times New Roman" w:hAnsi="Times New Roman"/>
          <w:noProof/>
          <w:sz w:val="24"/>
        </w:rPr>
        <w:t>: The relevant contractual agreeme</w:t>
      </w:r>
      <w:r>
        <w:rPr>
          <w:rFonts w:ascii="Times New Roman" w:hAnsi="Times New Roman"/>
          <w:noProof/>
          <w:sz w:val="24"/>
        </w:rPr>
        <w:t xml:space="preserve">nts should recognise that, where data is generated as a by-product of using a product or service, several parties have contributed to creating the data. </w:t>
      </w:r>
    </w:p>
    <w:p w:rsidR="00A7566B" w:rsidRDefault="003232A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c)</w:t>
      </w:r>
      <w:r>
        <w:rPr>
          <w:rFonts w:ascii="Times New Roman" w:hAnsi="Times New Roman"/>
          <w:noProof/>
          <w:sz w:val="24"/>
        </w:rPr>
        <w:tab/>
      </w:r>
      <w:r>
        <w:rPr>
          <w:rFonts w:ascii="Times New Roman" w:hAnsi="Times New Roman"/>
          <w:b/>
          <w:noProof/>
          <w:sz w:val="24"/>
        </w:rPr>
        <w:t>Respect for each other's commercial interests</w:t>
      </w:r>
      <w:r>
        <w:rPr>
          <w:rFonts w:ascii="Times New Roman" w:hAnsi="Times New Roman"/>
          <w:noProof/>
          <w:sz w:val="24"/>
        </w:rPr>
        <w:t xml:space="preserve">: The relevant contractual agreements should address </w:t>
      </w:r>
      <w:r>
        <w:rPr>
          <w:rFonts w:ascii="Times New Roman" w:hAnsi="Times New Roman"/>
          <w:noProof/>
          <w:sz w:val="24"/>
        </w:rPr>
        <w:t>the need to protect both the commercial interests and secrets of data holders and data users.</w:t>
      </w:r>
    </w:p>
    <w:p w:rsidR="00A7566B" w:rsidRDefault="003232A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d)</w:t>
      </w:r>
      <w:r>
        <w:rPr>
          <w:rFonts w:ascii="Times New Roman" w:hAnsi="Times New Roman"/>
          <w:noProof/>
          <w:sz w:val="24"/>
        </w:rPr>
        <w:tab/>
      </w:r>
      <w:r>
        <w:rPr>
          <w:rFonts w:ascii="Times New Roman" w:hAnsi="Times New Roman"/>
          <w:b/>
          <w:noProof/>
          <w:sz w:val="24"/>
        </w:rPr>
        <w:t>Ensure undistorted competition</w:t>
      </w:r>
      <w:r>
        <w:rPr>
          <w:rFonts w:ascii="Times New Roman" w:hAnsi="Times New Roman"/>
          <w:noProof/>
          <w:sz w:val="24"/>
        </w:rPr>
        <w:t>: The relevant contractual agreements should address the need to ensure undistorted competition when exchanging commercially sens</w:t>
      </w:r>
      <w:r>
        <w:rPr>
          <w:rFonts w:ascii="Times New Roman" w:hAnsi="Times New Roman"/>
          <w:noProof/>
          <w:sz w:val="24"/>
        </w:rPr>
        <w:t>itive data.</w:t>
      </w:r>
    </w:p>
    <w:p w:rsidR="00A7566B" w:rsidRDefault="003232A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e)</w:t>
      </w:r>
      <w:r>
        <w:rPr>
          <w:rFonts w:ascii="Times New Roman" w:hAnsi="Times New Roman"/>
          <w:noProof/>
          <w:sz w:val="24"/>
        </w:rPr>
        <w:tab/>
      </w:r>
      <w:r>
        <w:rPr>
          <w:rFonts w:ascii="Times New Roman" w:hAnsi="Times New Roman"/>
          <w:b/>
          <w:noProof/>
          <w:sz w:val="24"/>
        </w:rPr>
        <w:t>Minimised data lock-in</w:t>
      </w:r>
      <w:r>
        <w:rPr>
          <w:rFonts w:ascii="Times New Roman" w:hAnsi="Times New Roman"/>
          <w:noProof/>
          <w:sz w:val="24"/>
        </w:rPr>
        <w:t>: Companies offering a product or service that generates data as a by-product should allow and enable data portability as much as possible</w:t>
      </w:r>
      <w:r>
        <w:rPr>
          <w:rStyle w:val="FootnoteReference"/>
          <w:rFonts w:ascii="Times New Roman" w:hAnsi="Times New Roman"/>
          <w:noProof/>
          <w:sz w:val="24"/>
        </w:rPr>
        <w:footnoteReference w:id="40"/>
      </w:r>
      <w:r>
        <w:rPr>
          <w:rFonts w:ascii="Times New Roman" w:hAnsi="Times New Roman"/>
          <w:noProof/>
          <w:sz w:val="24"/>
        </w:rPr>
        <w:t>. They should also consider, where possible and in line with the characteristics</w:t>
      </w:r>
      <w:r>
        <w:rPr>
          <w:rFonts w:ascii="Times New Roman" w:hAnsi="Times New Roman"/>
          <w:noProof/>
          <w:sz w:val="24"/>
        </w:rPr>
        <w:t xml:space="preserve"> of the market they operate on, offering the same product or service without or with only limited data transfers alongside products or services that include such data transfers. </w:t>
      </w:r>
    </w:p>
    <w:p w:rsidR="00A7566B" w:rsidRDefault="003232A6">
      <w:pPr>
        <w:jc w:val="both"/>
        <w:rPr>
          <w:rFonts w:ascii="Times New Roman" w:hAnsi="Times New Roman"/>
          <w:noProof/>
        </w:rPr>
      </w:pPr>
      <w:r>
        <w:rPr>
          <w:rFonts w:ascii="Times New Roman" w:hAnsi="Times New Roman" w:cs="Times New Roman"/>
          <w:noProof/>
          <w:sz w:val="24"/>
          <w:szCs w:val="24"/>
        </w:rPr>
        <w:t>As the debate on business-to-business data sharing is ongoing and more experi</w:t>
      </w:r>
      <w:r>
        <w:rPr>
          <w:rFonts w:ascii="Times New Roman" w:hAnsi="Times New Roman" w:cs="Times New Roman"/>
          <w:noProof/>
          <w:sz w:val="24"/>
          <w:szCs w:val="24"/>
        </w:rPr>
        <w:t>ence is garnered over time, this Communication will launch a further consultation process with stakeholders. Based on the analysis of the information gathered, these principles may evolve further. The Commission will continue to assess whether such amended</w:t>
      </w:r>
      <w:r>
        <w:rPr>
          <w:rFonts w:ascii="Times New Roman" w:hAnsi="Times New Roman" w:cs="Times New Roman"/>
          <w:noProof/>
          <w:sz w:val="24"/>
          <w:szCs w:val="24"/>
        </w:rPr>
        <w:t xml:space="preserve"> principles and possible codes of conduct prove to be sufficient in order to maintain fair and open markets and will address the situation if necessary by taking appropriate action. As a result of the difference in structure of individual markets, they may</w:t>
      </w:r>
      <w:r>
        <w:rPr>
          <w:rFonts w:ascii="Times New Roman" w:hAnsi="Times New Roman" w:cs="Times New Roman"/>
          <w:noProof/>
          <w:sz w:val="24"/>
          <w:szCs w:val="24"/>
        </w:rPr>
        <w:t xml:space="preserve"> need to be complemented by sector-specific measures.</w:t>
      </w:r>
    </w:p>
    <w:p w:rsidR="00A7566B" w:rsidRDefault="003232A6">
      <w:pPr>
        <w:keepNext/>
        <w:jc w:val="both"/>
        <w:rPr>
          <w:rFonts w:ascii="Times New Roman" w:hAnsi="Times New Roman"/>
          <w:noProof/>
          <w:sz w:val="24"/>
        </w:rPr>
      </w:pPr>
      <w:r>
        <w:rPr>
          <w:rFonts w:ascii="Times New Roman" w:hAnsi="Times New Roman"/>
          <w:noProof/>
          <w:sz w:val="24"/>
        </w:rPr>
        <w:t>As part of the Digitising European Industry</w:t>
      </w:r>
      <w:r>
        <w:rPr>
          <w:rStyle w:val="FootnoteReference"/>
          <w:rFonts w:ascii="Times New Roman" w:hAnsi="Times New Roman"/>
          <w:noProof/>
          <w:sz w:val="24"/>
        </w:rPr>
        <w:footnoteReference w:id="41"/>
      </w:r>
      <w:r>
        <w:rPr>
          <w:rFonts w:ascii="Times New Roman" w:hAnsi="Times New Roman"/>
          <w:noProof/>
          <w:sz w:val="24"/>
        </w:rPr>
        <w:t xml:space="preserve"> initiative, the Commission has already taken action to support industry, among other things by giving financial assistance to industrial data platforms and i</w:t>
      </w:r>
      <w:r>
        <w:rPr>
          <w:rFonts w:ascii="Times New Roman" w:hAnsi="Times New Roman"/>
          <w:noProof/>
          <w:sz w:val="24"/>
        </w:rPr>
        <w:t>nnovation hubs under the Horizon 2020 programme. As a continuation of these efforts, the research and innovation measures under Horizon 2020 in 2018-2020</w:t>
      </w:r>
      <w:r>
        <w:rPr>
          <w:rFonts w:ascii="Times New Roman" w:hAnsi="Times New Roman"/>
          <w:noProof/>
          <w:sz w:val="24"/>
          <w:vertAlign w:val="superscript"/>
        </w:rPr>
        <w:footnoteReference w:id="42"/>
      </w:r>
      <w:r>
        <w:rPr>
          <w:rFonts w:ascii="Times New Roman" w:hAnsi="Times New Roman"/>
          <w:noProof/>
          <w:sz w:val="24"/>
        </w:rPr>
        <w:t xml:space="preserve"> (in particular the </w:t>
      </w:r>
      <w:r>
        <w:rPr>
          <w:rFonts w:ascii="Times New Roman" w:hAnsi="Times New Roman" w:cs="Times New Roman"/>
          <w:noProof/>
          <w:sz w:val="24"/>
        </w:rPr>
        <w:t>ʻ</w:t>
      </w:r>
      <w:r>
        <w:rPr>
          <w:rFonts w:ascii="Times New Roman" w:hAnsi="Times New Roman"/>
          <w:noProof/>
          <w:sz w:val="24"/>
        </w:rPr>
        <w:t>industrial and personal data platforms</w:t>
      </w:r>
      <w:r>
        <w:rPr>
          <w:rFonts w:ascii="Times New Roman" w:hAnsi="Times New Roman" w:cs="Times New Roman"/>
          <w:noProof/>
          <w:sz w:val="24"/>
        </w:rPr>
        <w:t>ʼ</w:t>
      </w:r>
      <w:r>
        <w:rPr>
          <w:rFonts w:ascii="Times New Roman" w:hAnsi="Times New Roman"/>
          <w:noProof/>
          <w:sz w:val="24"/>
        </w:rPr>
        <w:t>) promote the development of trusted and s</w:t>
      </w:r>
      <w:r>
        <w:rPr>
          <w:rFonts w:ascii="Times New Roman" w:hAnsi="Times New Roman"/>
          <w:noProof/>
          <w:sz w:val="24"/>
        </w:rPr>
        <w:t>ecure platforms and privacy-aware analytics methods for the secure sharing of proprietary industrial data and personal data explicitly, while facilitating compliance with relevant legislation (such as data protection legislation).</w:t>
      </w:r>
    </w:p>
    <w:p w:rsidR="00A7566B" w:rsidRDefault="003232A6">
      <w:pPr>
        <w:jc w:val="both"/>
        <w:rPr>
          <w:rFonts w:ascii="Times New Roman" w:hAnsi="Times New Roman"/>
          <w:noProof/>
          <w:sz w:val="24"/>
        </w:rPr>
      </w:pPr>
      <w:r>
        <w:rPr>
          <w:rFonts w:ascii="Times New Roman" w:hAnsi="Times New Roman"/>
          <w:noProof/>
          <w:sz w:val="24"/>
        </w:rPr>
        <w:t xml:space="preserve">The </w:t>
      </w:r>
      <w:r>
        <w:rPr>
          <w:rFonts w:ascii="Times New Roman" w:hAnsi="Times New Roman"/>
          <w:b/>
          <w:noProof/>
          <w:sz w:val="24"/>
        </w:rPr>
        <w:t>Support Centre for da</w:t>
      </w:r>
      <w:r>
        <w:rPr>
          <w:rFonts w:ascii="Times New Roman" w:hAnsi="Times New Roman"/>
          <w:b/>
          <w:noProof/>
          <w:sz w:val="24"/>
        </w:rPr>
        <w:t>ta sharing</w:t>
      </w:r>
      <w:r>
        <w:rPr>
          <w:rFonts w:ascii="Times New Roman" w:hAnsi="Times New Roman"/>
          <w:noProof/>
          <w:sz w:val="24"/>
        </w:rPr>
        <w:t xml:space="preserve"> under the Connecting Europe Facility programme will put in place a set of measures to make it easier to share private sector data in addition to public sector data. It will offer know-how and assistance on data sharing by providing best practice</w:t>
      </w:r>
      <w:r>
        <w:rPr>
          <w:rFonts w:ascii="Times New Roman" w:hAnsi="Times New Roman"/>
          <w:noProof/>
          <w:sz w:val="24"/>
        </w:rPr>
        <w:t xml:space="preserve"> examples and information on APIs, existing model contracts and other legal and technical aspects. It will also help in further developing the guidance set out in the staff working document accompanying this communication</w:t>
      </w:r>
      <w:r>
        <w:rPr>
          <w:rStyle w:val="FootnoteReference"/>
          <w:rFonts w:ascii="Times New Roman" w:hAnsi="Times New Roman"/>
          <w:noProof/>
          <w:sz w:val="24"/>
        </w:rPr>
        <w:footnoteReference w:id="43"/>
      </w:r>
      <w:r>
        <w:rPr>
          <w:rFonts w:ascii="Times New Roman" w:hAnsi="Times New Roman"/>
          <w:noProof/>
          <w:sz w:val="24"/>
        </w:rPr>
        <w:t>; checklists and, if it is conside</w:t>
      </w:r>
      <w:r>
        <w:rPr>
          <w:rFonts w:ascii="Times New Roman" w:hAnsi="Times New Roman"/>
          <w:noProof/>
          <w:sz w:val="24"/>
        </w:rPr>
        <w:t>red useful, model contract clauses could be developed. The work will take into account the results of the Interoperability Programme for the period 2016-2020 (ISA</w:t>
      </w:r>
      <w:r>
        <w:rPr>
          <w:rFonts w:ascii="Times New Roman" w:hAnsi="Times New Roman"/>
          <w:noProof/>
          <w:sz w:val="24"/>
          <w:vertAlign w:val="superscript"/>
        </w:rPr>
        <w:t>2</w:t>
      </w:r>
      <w:r>
        <w:rPr>
          <w:rFonts w:ascii="Times New Roman" w:hAnsi="Times New Roman"/>
          <w:noProof/>
          <w:sz w:val="24"/>
        </w:rPr>
        <w:t>).</w:t>
      </w:r>
    </w:p>
    <w:p w:rsidR="00A7566B" w:rsidRDefault="003232A6">
      <w:pPr>
        <w:jc w:val="both"/>
        <w:rPr>
          <w:rFonts w:ascii="Times New Roman" w:hAnsi="Times New Roman"/>
          <w:noProof/>
          <w:sz w:val="24"/>
        </w:rPr>
      </w:pPr>
      <w:r>
        <w:rPr>
          <w:rFonts w:ascii="Times New Roman" w:hAnsi="Times New Roman"/>
          <w:noProof/>
          <w:sz w:val="24"/>
        </w:rPr>
        <w:t xml:space="preserve">The Commission will also explore further the </w:t>
      </w:r>
      <w:r>
        <w:rPr>
          <w:rFonts w:ascii="Times New Roman" w:hAnsi="Times New Roman"/>
          <w:b/>
          <w:noProof/>
          <w:sz w:val="24"/>
        </w:rPr>
        <w:t>fostering of application programming interfac</w:t>
      </w:r>
      <w:r>
        <w:rPr>
          <w:rFonts w:ascii="Times New Roman" w:hAnsi="Times New Roman"/>
          <w:b/>
          <w:noProof/>
          <w:sz w:val="24"/>
        </w:rPr>
        <w:t>es</w:t>
      </w:r>
      <w:r>
        <w:rPr>
          <w:rFonts w:ascii="Times New Roman" w:hAnsi="Times New Roman"/>
          <w:noProof/>
          <w:sz w:val="24"/>
        </w:rPr>
        <w:t xml:space="preserve"> in, for example, e-government and actions surrounding the use of the once only principle. Today, many companies have large assets of unused data and they do not have the resources or the capacity to analyse the data or to create commercially interesting</w:t>
      </w:r>
      <w:r>
        <w:rPr>
          <w:rFonts w:ascii="Times New Roman" w:hAnsi="Times New Roman"/>
          <w:noProof/>
          <w:sz w:val="24"/>
        </w:rPr>
        <w:t xml:space="preserve"> services around their data. With a suitable use of application programming interfaces, this may open up for the creation of start-up ecosystems, drawing value from an unused asset and helping the host companies to create new services and products. This ha</w:t>
      </w:r>
      <w:r>
        <w:rPr>
          <w:rFonts w:ascii="Times New Roman" w:hAnsi="Times New Roman"/>
          <w:noProof/>
          <w:sz w:val="24"/>
        </w:rPr>
        <w:t>s been the case in the financial sector where the access to certain bank data, via the use of well designed application programming interfaces, has opened up for a whole new ecosystem of financial services like personalised advice on daily spending pattern</w:t>
      </w:r>
      <w:r>
        <w:rPr>
          <w:rFonts w:ascii="Times New Roman" w:hAnsi="Times New Roman"/>
          <w:noProof/>
          <w:sz w:val="24"/>
        </w:rPr>
        <w:t>s, all under the control and management of the financial institutions that would not, otherwise, offer such services. The set-up and use of application programming interfaces needs to be based on several principles: stability, maintenance over the lifecycl</w:t>
      </w:r>
      <w:r>
        <w:rPr>
          <w:rFonts w:ascii="Times New Roman" w:hAnsi="Times New Roman"/>
          <w:noProof/>
          <w:sz w:val="24"/>
        </w:rPr>
        <w:t>e, uniformity of use and standards, user-friendliness as well as security.</w:t>
      </w:r>
    </w:p>
    <w:p w:rsidR="00A7566B" w:rsidRDefault="003232A6">
      <w:pPr>
        <w:jc w:val="both"/>
        <w:rPr>
          <w:rFonts w:ascii="Times New Roman" w:hAnsi="Times New Roman"/>
          <w:noProof/>
          <w:sz w:val="24"/>
        </w:rPr>
      </w:pPr>
      <w:r>
        <w:rPr>
          <w:rFonts w:ascii="Times New Roman" w:hAnsi="Times New Roman"/>
          <w:noProof/>
          <w:sz w:val="24"/>
        </w:rPr>
        <w:t xml:space="preserve">Finally, the Commission will continue to facilitate </w:t>
      </w:r>
      <w:r>
        <w:rPr>
          <w:rFonts w:ascii="Times New Roman" w:hAnsi="Times New Roman"/>
          <w:b/>
          <w:noProof/>
          <w:sz w:val="24"/>
        </w:rPr>
        <w:t>tests</w:t>
      </w:r>
      <w:r>
        <w:rPr>
          <w:rFonts w:ascii="Times New Roman" w:hAnsi="Times New Roman"/>
          <w:noProof/>
          <w:sz w:val="24"/>
        </w:rPr>
        <w:t xml:space="preserve"> and </w:t>
      </w:r>
      <w:r>
        <w:rPr>
          <w:rFonts w:ascii="Times New Roman" w:hAnsi="Times New Roman"/>
          <w:b/>
          <w:noProof/>
          <w:sz w:val="24"/>
        </w:rPr>
        <w:t>demonstrations</w:t>
      </w:r>
      <w:r>
        <w:rPr>
          <w:rFonts w:ascii="Times New Roman" w:hAnsi="Times New Roman"/>
          <w:noProof/>
          <w:sz w:val="24"/>
        </w:rPr>
        <w:t xml:space="preserve"> in selected areas, for example for the large-scale deployment of connected and automated mobility on dig</w:t>
      </w:r>
      <w:r>
        <w:rPr>
          <w:rFonts w:ascii="Times New Roman" w:hAnsi="Times New Roman"/>
          <w:noProof/>
          <w:sz w:val="24"/>
        </w:rPr>
        <w:t xml:space="preserve">ital cross-border corridors. The work on these corridors results from the Letter of Intent signed by 29 Member States and EEA countries, the Frankfurt Round Table with industry and Member States and the Digital Day 2018, where EU and EEA Member States and </w:t>
      </w:r>
      <w:r>
        <w:rPr>
          <w:rFonts w:ascii="Times New Roman" w:hAnsi="Times New Roman"/>
          <w:noProof/>
          <w:sz w:val="24"/>
        </w:rPr>
        <w:t xml:space="preserve">relevant industry stakeholders signed up for these actions.  The experience on these corridors will </w:t>
      </w:r>
      <w:r>
        <w:rPr>
          <w:rFonts w:ascii="Times New Roman" w:hAnsi="Times New Roman"/>
          <w:i/>
          <w:noProof/>
          <w:sz w:val="24"/>
        </w:rPr>
        <w:t>inter alia</w:t>
      </w:r>
      <w:r>
        <w:rPr>
          <w:rFonts w:ascii="Times New Roman" w:hAnsi="Times New Roman"/>
          <w:noProof/>
          <w:sz w:val="24"/>
        </w:rPr>
        <w:t xml:space="preserve"> test the technical and legal means of access to and reuse of in-vehicle data and other commercial relevant data in the connected and automated mo</w:t>
      </w:r>
      <w:r>
        <w:rPr>
          <w:rFonts w:ascii="Times New Roman" w:hAnsi="Times New Roman"/>
          <w:noProof/>
          <w:sz w:val="24"/>
        </w:rPr>
        <w:t xml:space="preserve">bility eco-system and the experiences may contribute to further EU guidance addressing this aspect of the Digital Single Market. </w:t>
      </w:r>
    </w:p>
    <w:p w:rsidR="00A7566B" w:rsidRDefault="003232A6">
      <w:pPr>
        <w:keepNext/>
        <w:jc w:val="both"/>
        <w:rPr>
          <w:rFonts w:ascii="Times New Roman" w:hAnsi="Times New Roman" w:cs="Times New Roman"/>
          <w:b/>
          <w:noProof/>
          <w:sz w:val="24"/>
          <w:szCs w:val="24"/>
        </w:rPr>
      </w:pPr>
      <w:r>
        <w:rPr>
          <w:rFonts w:ascii="Times New Roman" w:hAnsi="Times New Roman" w:cs="Times New Roman"/>
          <w:b/>
          <w:noProof/>
          <w:sz w:val="24"/>
          <w:szCs w:val="24"/>
        </w:rPr>
        <w:t>b) Access to private sector data for public interest purposes – business-to-government (B2G) data sharing</w:t>
      </w:r>
    </w:p>
    <w:p w:rsidR="00A7566B" w:rsidRDefault="003232A6">
      <w:pPr>
        <w:jc w:val="both"/>
        <w:rPr>
          <w:rFonts w:ascii="Times New Roman" w:hAnsi="Times New Roman" w:cs="Times New Roman"/>
          <w:noProof/>
          <w:sz w:val="24"/>
          <w:szCs w:val="24"/>
        </w:rPr>
      </w:pPr>
      <w:r>
        <w:rPr>
          <w:rFonts w:ascii="Times New Roman" w:hAnsi="Times New Roman" w:cs="Times New Roman"/>
          <w:noProof/>
          <w:sz w:val="24"/>
          <w:szCs w:val="24"/>
        </w:rPr>
        <w:t>The Commission is also examining data sharing between businesses and the public sector. Public sector bodies have started to assess the potential of data analytics to guide policy decisions or improve public services by deploying a significant number of pi</w:t>
      </w:r>
      <w:r>
        <w:rPr>
          <w:rFonts w:ascii="Times New Roman" w:hAnsi="Times New Roman" w:cs="Times New Roman"/>
          <w:noProof/>
          <w:sz w:val="24"/>
          <w:szCs w:val="24"/>
        </w:rPr>
        <w:t xml:space="preserve">lots. </w:t>
      </w:r>
    </w:p>
    <w:p w:rsidR="00A7566B" w:rsidRDefault="003232A6">
      <w:pPr>
        <w:jc w:val="both"/>
        <w:rPr>
          <w:rFonts w:ascii="Times New Roman" w:hAnsi="Times New Roman"/>
          <w:noProof/>
          <w:sz w:val="24"/>
        </w:rPr>
      </w:pPr>
      <w:r>
        <w:rPr>
          <w:rFonts w:ascii="Times New Roman" w:hAnsi="Times New Roman"/>
          <w:noProof/>
          <w:sz w:val="24"/>
        </w:rPr>
        <w:t>Data held by companies, such as telecoms operators, online platforms, car manufacturers, retailers or social media is highly relevant in this context. Its use can, for example, lead to a more targeted response to epidemics, better urban planning, im</w:t>
      </w:r>
      <w:r>
        <w:rPr>
          <w:rFonts w:ascii="Times New Roman" w:hAnsi="Times New Roman"/>
          <w:noProof/>
          <w:sz w:val="24"/>
        </w:rPr>
        <w:t>proved road safety and traffic management, as well as better environmental protection, market monitoring or consumer protection.</w:t>
      </w:r>
    </w:p>
    <w:p w:rsidR="00A7566B" w:rsidRDefault="003232A6">
      <w:pPr>
        <w:jc w:val="both"/>
        <w:rPr>
          <w:rFonts w:ascii="Times New Roman" w:hAnsi="Times New Roman" w:cs="Times New Roman"/>
          <w:noProof/>
          <w:sz w:val="24"/>
          <w:szCs w:val="24"/>
        </w:rPr>
      </w:pPr>
      <w:r>
        <w:rPr>
          <w:rFonts w:ascii="Times New Roman" w:hAnsi="Times New Roman"/>
          <w:noProof/>
          <w:sz w:val="24"/>
        </w:rPr>
        <w:t>When compiling official statistics, analysis of such data can be more cost-efficient and produce faster outcomes on aspects suc</w:t>
      </w:r>
      <w:r>
        <w:rPr>
          <w:rFonts w:ascii="Times New Roman" w:hAnsi="Times New Roman"/>
          <w:noProof/>
          <w:sz w:val="24"/>
        </w:rPr>
        <w:t xml:space="preserve">h as population movements, prices, inflation, the </w:t>
      </w:r>
      <w:r>
        <w:rPr>
          <w:rFonts w:ascii="Times New Roman" w:hAnsi="Times New Roman" w:cs="Times New Roman"/>
          <w:noProof/>
          <w:sz w:val="24"/>
          <w:szCs w:val="24"/>
        </w:rPr>
        <w:t>internet</w:t>
      </w:r>
      <w:r>
        <w:rPr>
          <w:rFonts w:ascii="Times New Roman" w:hAnsi="Times New Roman"/>
          <w:noProof/>
          <w:sz w:val="24"/>
        </w:rPr>
        <w:t xml:space="preserve"> economy, energy or traffic. This can also lower the burden on  companies and citizens by avoiding survey questionnaires. </w:t>
      </w:r>
      <w:r>
        <w:rPr>
          <w:rFonts w:ascii="Times New Roman" w:hAnsi="Times New Roman" w:cs="Times New Roman"/>
          <w:noProof/>
          <w:sz w:val="24"/>
          <w:szCs w:val="24"/>
        </w:rPr>
        <w:t>The 2017 Communication ʻBuilding a European Data Economyʼ</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discussed these o</w:t>
      </w:r>
      <w:r>
        <w:rPr>
          <w:rFonts w:ascii="Times New Roman" w:hAnsi="Times New Roman" w:cs="Times New Roman"/>
          <w:noProof/>
          <w:sz w:val="24"/>
          <w:szCs w:val="24"/>
        </w:rPr>
        <w:t xml:space="preserve">pportunities, and in the mid-term review of the Digital Single Market strategy the Commission committed to exploring this issue further. </w:t>
      </w:r>
    </w:p>
    <w:p w:rsidR="00A7566B" w:rsidRDefault="003232A6">
      <w:pPr>
        <w:jc w:val="both"/>
        <w:rPr>
          <w:rFonts w:ascii="Times New Roman" w:hAnsi="Times New Roman" w:cs="Times New Roman"/>
          <w:noProof/>
          <w:sz w:val="24"/>
          <w:szCs w:val="24"/>
        </w:rPr>
      </w:pPr>
      <w:r>
        <w:rPr>
          <w:rFonts w:ascii="Times New Roman" w:hAnsi="Times New Roman" w:cs="Times New Roman"/>
          <w:noProof/>
          <w:sz w:val="24"/>
          <w:szCs w:val="24"/>
        </w:rPr>
        <w:t>The results of the consultation undertaken in the context of the review of the Directive on re</w:t>
      </w:r>
      <w:r>
        <w:rPr>
          <w:rFonts w:ascii="Times New Roman" w:hAnsi="Times New Roman" w:cs="Times New Roman"/>
          <w:noProof/>
          <w:sz w:val="24"/>
          <w:szCs w:val="24"/>
        </w:rPr>
        <w:noBreakHyphen/>
        <w:t>use of public sector in</w:t>
      </w:r>
      <w:r>
        <w:rPr>
          <w:rFonts w:ascii="Times New Roman" w:hAnsi="Times New Roman" w:cs="Times New Roman"/>
          <w:noProof/>
          <w:sz w:val="24"/>
          <w:szCs w:val="24"/>
        </w:rPr>
        <w:t>formation</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showed support for the idea of improving access to private sector data for public authorities and scientific purposes in general. However, data holders pointed to the need to address a number of issues, including compensation, allowing to recove</w:t>
      </w:r>
      <w:r>
        <w:rPr>
          <w:rFonts w:ascii="Times New Roman" w:hAnsi="Times New Roman" w:cs="Times New Roman"/>
          <w:noProof/>
          <w:sz w:val="24"/>
          <w:szCs w:val="24"/>
        </w:rPr>
        <w:t>r the investments made into collecting or adapting the data.</w:t>
      </w:r>
    </w:p>
    <w:p w:rsidR="00A7566B" w:rsidRDefault="003232A6">
      <w:pPr>
        <w:jc w:val="both"/>
        <w:rPr>
          <w:rFonts w:ascii="Times New Roman" w:hAnsi="Times New Roman"/>
          <w:noProof/>
          <w:sz w:val="24"/>
        </w:rPr>
      </w:pPr>
      <w:r>
        <w:rPr>
          <w:rFonts w:ascii="Times New Roman" w:hAnsi="Times New Roman"/>
          <w:noProof/>
          <w:sz w:val="24"/>
        </w:rPr>
        <w:t>Any action taken in this respect shall be fully compliant with the legislation on the protection of personal data.</w:t>
      </w:r>
    </w:p>
    <w:p w:rsidR="00A7566B" w:rsidRDefault="003232A6">
      <w:pPr>
        <w:jc w:val="both"/>
        <w:rPr>
          <w:rFonts w:ascii="Times New Roman" w:hAnsi="Times New Roman"/>
          <w:noProof/>
          <w:sz w:val="24"/>
        </w:rPr>
      </w:pPr>
      <w:r>
        <w:rPr>
          <w:rFonts w:ascii="Times New Roman" w:hAnsi="Times New Roman" w:cs="Times New Roman"/>
          <w:noProof/>
          <w:sz w:val="24"/>
          <w:szCs w:val="24"/>
        </w:rPr>
        <w:t xml:space="preserve">Taking into account the existing experience and the results of the consultation </w:t>
      </w:r>
      <w:r>
        <w:rPr>
          <w:rFonts w:ascii="Times New Roman" w:hAnsi="Times New Roman" w:cs="Times New Roman"/>
          <w:noProof/>
          <w:sz w:val="24"/>
          <w:szCs w:val="24"/>
        </w:rPr>
        <w:t xml:space="preserve">of stakeholders, the Commission considers </w:t>
      </w:r>
      <w:r>
        <w:rPr>
          <w:rFonts w:ascii="Times New Roman" w:hAnsi="Times New Roman"/>
          <w:noProof/>
          <w:sz w:val="24"/>
        </w:rPr>
        <w:t xml:space="preserve">that the respect of the following </w:t>
      </w:r>
      <w:r>
        <w:rPr>
          <w:rFonts w:ascii="Times New Roman" w:hAnsi="Times New Roman"/>
          <w:b/>
          <w:noProof/>
          <w:sz w:val="24"/>
        </w:rPr>
        <w:t>key principles</w:t>
      </w:r>
      <w:r>
        <w:rPr>
          <w:rFonts w:ascii="Times New Roman" w:hAnsi="Times New Roman"/>
          <w:noProof/>
          <w:sz w:val="24"/>
        </w:rPr>
        <w:t xml:space="preserve"> could support the supply of private sector data to public sector bodies under preferential conditions for re-use. </w:t>
      </w:r>
    </w:p>
    <w:p w:rsidR="00A7566B" w:rsidRDefault="003232A6">
      <w:pPr>
        <w:pBdr>
          <w:top w:val="single" w:sz="4" w:space="1" w:color="auto"/>
          <w:left w:val="single" w:sz="4" w:space="4" w:color="auto"/>
          <w:bottom w:val="single" w:sz="4" w:space="2"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a)</w:t>
      </w:r>
      <w:r>
        <w:rPr>
          <w:rFonts w:ascii="Times New Roman" w:hAnsi="Times New Roman"/>
          <w:noProof/>
          <w:sz w:val="24"/>
        </w:rPr>
        <w:tab/>
      </w:r>
      <w:r>
        <w:rPr>
          <w:rFonts w:ascii="Times New Roman" w:hAnsi="Times New Roman"/>
          <w:b/>
          <w:noProof/>
          <w:sz w:val="24"/>
        </w:rPr>
        <w:t>Proportionality in the use of private sector da</w:t>
      </w:r>
      <w:r>
        <w:rPr>
          <w:rFonts w:ascii="Times New Roman" w:hAnsi="Times New Roman"/>
          <w:b/>
          <w:noProof/>
          <w:sz w:val="24"/>
        </w:rPr>
        <w:t>ta:</w:t>
      </w:r>
      <w:r>
        <w:rPr>
          <w:rFonts w:ascii="Times New Roman" w:hAnsi="Times New Roman"/>
          <w:noProof/>
          <w:sz w:val="24"/>
        </w:rPr>
        <w:t xml:space="preserve"> Requests for supply of private sector data under preferential conditions for re-use should be justified by clear and demonstrable public interest. The request for private sector data should be adequate and relevant to the intended public interest purpo</w:t>
      </w:r>
      <w:r>
        <w:rPr>
          <w:rFonts w:ascii="Times New Roman" w:hAnsi="Times New Roman"/>
          <w:noProof/>
          <w:sz w:val="24"/>
        </w:rPr>
        <w:t>se and be proportionate in terms of details, relevance and data protection. The cost and effort required for the supply and re-use of private sector data should be reasonable compared with the expected public benefits.</w:t>
      </w:r>
    </w:p>
    <w:p w:rsidR="00A7566B" w:rsidRDefault="003232A6">
      <w:pPr>
        <w:pBdr>
          <w:top w:val="single" w:sz="4" w:space="1" w:color="auto"/>
          <w:left w:val="single" w:sz="4" w:space="4" w:color="auto"/>
          <w:bottom w:val="single" w:sz="4" w:space="2"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b)</w:t>
      </w:r>
      <w:r>
        <w:rPr>
          <w:rFonts w:ascii="Times New Roman" w:hAnsi="Times New Roman"/>
          <w:noProof/>
          <w:sz w:val="24"/>
        </w:rPr>
        <w:tab/>
      </w:r>
      <w:r>
        <w:rPr>
          <w:rFonts w:ascii="Times New Roman" w:hAnsi="Times New Roman"/>
          <w:b/>
          <w:noProof/>
          <w:sz w:val="24"/>
        </w:rPr>
        <w:t>Purpose limitation</w:t>
      </w:r>
      <w:r>
        <w:rPr>
          <w:rFonts w:ascii="Times New Roman" w:hAnsi="Times New Roman"/>
          <w:noProof/>
          <w:sz w:val="24"/>
        </w:rPr>
        <w:t>: The use of pri</w:t>
      </w:r>
      <w:r>
        <w:rPr>
          <w:rFonts w:ascii="Times New Roman" w:hAnsi="Times New Roman"/>
          <w:noProof/>
          <w:sz w:val="24"/>
        </w:rPr>
        <w:t>vate sector data should be clearly limited for one or several purposes to be specified as clearly as possible in the contractual provisions that establish the business-to-government collaboration. These may include a limitation of duration for the use of t</w:t>
      </w:r>
      <w:r>
        <w:rPr>
          <w:rFonts w:ascii="Times New Roman" w:hAnsi="Times New Roman"/>
          <w:noProof/>
          <w:sz w:val="24"/>
        </w:rPr>
        <w:t>hese data. The private sector company should receive specific assurances that the data obtained will not be used for unrelated administrative or judicial procedures;  the strict legal and ethical provisions governing statistical confidentiality in the Euro</w:t>
      </w:r>
      <w:r>
        <w:rPr>
          <w:rFonts w:ascii="Times New Roman" w:hAnsi="Times New Roman"/>
          <w:noProof/>
          <w:sz w:val="24"/>
        </w:rPr>
        <w:t>pean Statistical System could serve as a model in this regard.</w:t>
      </w:r>
    </w:p>
    <w:p w:rsidR="00A7566B" w:rsidRDefault="003232A6">
      <w:pPr>
        <w:pBdr>
          <w:top w:val="single" w:sz="4" w:space="1" w:color="auto"/>
          <w:left w:val="single" w:sz="4" w:space="4" w:color="auto"/>
          <w:bottom w:val="single" w:sz="4" w:space="2"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c)</w:t>
      </w:r>
      <w:r>
        <w:rPr>
          <w:rFonts w:ascii="Times New Roman" w:hAnsi="Times New Roman"/>
          <w:noProof/>
          <w:sz w:val="24"/>
        </w:rPr>
        <w:tab/>
      </w:r>
      <w:r>
        <w:rPr>
          <w:rFonts w:ascii="Times New Roman" w:hAnsi="Times New Roman" w:cs="Times New Roman"/>
          <w:b/>
          <w:noProof/>
          <w:sz w:val="24"/>
        </w:rPr>
        <w:t>ʻ</w:t>
      </w:r>
      <w:r>
        <w:rPr>
          <w:rFonts w:ascii="Times New Roman" w:hAnsi="Times New Roman"/>
          <w:b/>
          <w:noProof/>
          <w:sz w:val="24"/>
        </w:rPr>
        <w:t>Do no harm</w:t>
      </w:r>
      <w:r>
        <w:rPr>
          <w:rFonts w:ascii="Times New Roman" w:hAnsi="Times New Roman" w:cs="Times New Roman"/>
          <w:b/>
          <w:noProof/>
          <w:sz w:val="24"/>
        </w:rPr>
        <w:t>ʼ</w:t>
      </w:r>
      <w:r>
        <w:rPr>
          <w:rFonts w:ascii="Times New Roman" w:hAnsi="Times New Roman"/>
          <w:b/>
          <w:noProof/>
          <w:sz w:val="24"/>
        </w:rPr>
        <w:t>:</w:t>
      </w:r>
      <w:r>
        <w:rPr>
          <w:rFonts w:ascii="Times New Roman" w:hAnsi="Times New Roman"/>
          <w:noProof/>
          <w:sz w:val="24"/>
        </w:rPr>
        <w:t xml:space="preserve"> Business-to-government data collaboration must ensure that legitimate interests, notably the protection of trade secrets and other commercially sensitive information, are respe</w:t>
      </w:r>
      <w:r>
        <w:rPr>
          <w:rFonts w:ascii="Times New Roman" w:hAnsi="Times New Roman"/>
          <w:noProof/>
          <w:sz w:val="24"/>
        </w:rPr>
        <w:t xml:space="preserve">cted. Business-to-government data collaboration should allow companies to continue being able to monetise the insights derived from the data in question with respect to other interested parties. </w:t>
      </w:r>
    </w:p>
    <w:p w:rsidR="00A7566B" w:rsidRDefault="003232A6">
      <w:pPr>
        <w:pBdr>
          <w:top w:val="single" w:sz="4" w:space="1" w:color="auto"/>
          <w:left w:val="single" w:sz="4" w:space="4" w:color="auto"/>
          <w:bottom w:val="single" w:sz="4" w:space="2"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d)</w:t>
      </w:r>
      <w:r>
        <w:rPr>
          <w:rFonts w:ascii="Times New Roman" w:hAnsi="Times New Roman"/>
          <w:noProof/>
          <w:sz w:val="24"/>
        </w:rPr>
        <w:tab/>
      </w:r>
      <w:r>
        <w:rPr>
          <w:rFonts w:ascii="Times New Roman" w:hAnsi="Times New Roman"/>
          <w:b/>
          <w:noProof/>
          <w:sz w:val="24"/>
        </w:rPr>
        <w:t>Conditions for data re-use:</w:t>
      </w:r>
      <w:r>
        <w:rPr>
          <w:rFonts w:ascii="Times New Roman" w:hAnsi="Times New Roman"/>
          <w:noProof/>
          <w:sz w:val="24"/>
        </w:rPr>
        <w:t xml:space="preserve"> business-to-government data c</w:t>
      </w:r>
      <w:r>
        <w:rPr>
          <w:rFonts w:ascii="Times New Roman" w:hAnsi="Times New Roman"/>
          <w:noProof/>
          <w:sz w:val="24"/>
        </w:rPr>
        <w:t xml:space="preserve">ollaboration agreements should seek to be mutually beneficial while acknowledging the public interest goal by giving the public sector body preferential treatment over other customers. </w:t>
      </w:r>
    </w:p>
    <w:p w:rsidR="00A7566B" w:rsidRDefault="003232A6">
      <w:pPr>
        <w:pBdr>
          <w:top w:val="single" w:sz="4" w:space="1" w:color="auto"/>
          <w:left w:val="single" w:sz="4" w:space="4" w:color="auto"/>
          <w:bottom w:val="single" w:sz="4" w:space="2"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This should be reflected in particular in the level of compensation ag</w:t>
      </w:r>
      <w:r>
        <w:rPr>
          <w:rFonts w:ascii="Times New Roman" w:hAnsi="Times New Roman"/>
          <w:noProof/>
          <w:sz w:val="24"/>
        </w:rPr>
        <w:t xml:space="preserve">reed, the level of which could be linked to the public interest purpose pursued. </w:t>
      </w:r>
    </w:p>
    <w:p w:rsidR="00A7566B" w:rsidRDefault="003232A6">
      <w:pPr>
        <w:pBdr>
          <w:top w:val="single" w:sz="4" w:space="1" w:color="auto"/>
          <w:left w:val="single" w:sz="4" w:space="4" w:color="auto"/>
          <w:bottom w:val="single" w:sz="4" w:space="2"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Business-to-government data collaboration agreements that involve the same public authorities performing the same functions should be treated in a non-discriminatory way.</w:t>
      </w:r>
    </w:p>
    <w:p w:rsidR="00A7566B" w:rsidRDefault="003232A6">
      <w:pPr>
        <w:pBdr>
          <w:top w:val="single" w:sz="4" w:space="1" w:color="auto"/>
          <w:left w:val="single" w:sz="4" w:space="4" w:color="auto"/>
          <w:bottom w:val="single" w:sz="4" w:space="2"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Bus</w:t>
      </w:r>
      <w:r>
        <w:rPr>
          <w:rFonts w:ascii="Times New Roman" w:hAnsi="Times New Roman"/>
          <w:noProof/>
          <w:sz w:val="24"/>
        </w:rPr>
        <w:t xml:space="preserve">iness-to-government data collaboration agreements should reduce the need for other types of data collection such as surveys. This should reduce the overall burden on citizens and companies. </w:t>
      </w:r>
    </w:p>
    <w:p w:rsidR="00A7566B" w:rsidRDefault="003232A6">
      <w:pPr>
        <w:pBdr>
          <w:top w:val="single" w:sz="4" w:space="1" w:color="auto"/>
          <w:left w:val="single" w:sz="4" w:space="4" w:color="auto"/>
          <w:bottom w:val="single" w:sz="4" w:space="2"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e)</w:t>
      </w:r>
      <w:r>
        <w:rPr>
          <w:rFonts w:ascii="Times New Roman" w:hAnsi="Times New Roman"/>
          <w:noProof/>
          <w:sz w:val="24"/>
        </w:rPr>
        <w:tab/>
      </w:r>
      <w:r>
        <w:rPr>
          <w:rFonts w:ascii="Times New Roman" w:hAnsi="Times New Roman"/>
          <w:b/>
          <w:noProof/>
          <w:sz w:val="24"/>
        </w:rPr>
        <w:t>Mitigate limitations of private sector data:</w:t>
      </w:r>
      <w:r>
        <w:rPr>
          <w:rFonts w:ascii="Times New Roman" w:hAnsi="Times New Roman"/>
          <w:noProof/>
          <w:sz w:val="24"/>
        </w:rPr>
        <w:t xml:space="preserve"> To address the po</w:t>
      </w:r>
      <w:r>
        <w:rPr>
          <w:rFonts w:ascii="Times New Roman" w:hAnsi="Times New Roman"/>
          <w:noProof/>
          <w:sz w:val="24"/>
        </w:rPr>
        <w:t xml:space="preserve">tential limitations of private sector data, including potential inherent bias, companies supplying the data should offer reasonable and proportionate support to help assess the quality of the data for the stated purposes, including through the possibility </w:t>
      </w:r>
      <w:r>
        <w:rPr>
          <w:rFonts w:ascii="Times New Roman" w:hAnsi="Times New Roman"/>
          <w:noProof/>
          <w:sz w:val="24"/>
        </w:rPr>
        <w:t>to audit or otherwise verify the data wherever appropriate. Companies should not be required to improve the quality of the data in question. Public bodies, in turn, should ensure that data coming from different sources is processed in such a way to avoid p</w:t>
      </w:r>
      <w:r>
        <w:rPr>
          <w:rFonts w:ascii="Times New Roman" w:hAnsi="Times New Roman"/>
          <w:noProof/>
          <w:sz w:val="24"/>
        </w:rPr>
        <w:t xml:space="preserve">ossible </w:t>
      </w:r>
      <w:r>
        <w:rPr>
          <w:rFonts w:ascii="Times New Roman" w:hAnsi="Times New Roman" w:cs="Times New Roman"/>
          <w:noProof/>
          <w:sz w:val="24"/>
        </w:rPr>
        <w:t>ʻ</w:t>
      </w:r>
      <w:r>
        <w:rPr>
          <w:rFonts w:ascii="Times New Roman" w:hAnsi="Times New Roman"/>
          <w:noProof/>
          <w:sz w:val="24"/>
        </w:rPr>
        <w:t>selection bias</w:t>
      </w:r>
      <w:r>
        <w:rPr>
          <w:rFonts w:ascii="Times New Roman" w:hAnsi="Times New Roman" w:cs="Times New Roman"/>
          <w:noProof/>
          <w:sz w:val="24"/>
        </w:rPr>
        <w:t>ʼ</w:t>
      </w:r>
      <w:r>
        <w:rPr>
          <w:rFonts w:ascii="Times New Roman" w:hAnsi="Times New Roman"/>
          <w:noProof/>
          <w:sz w:val="24"/>
        </w:rPr>
        <w:t xml:space="preserve">. </w:t>
      </w:r>
    </w:p>
    <w:p w:rsidR="00A7566B" w:rsidRDefault="003232A6">
      <w:pPr>
        <w:pBdr>
          <w:top w:val="single" w:sz="4" w:space="1" w:color="auto"/>
          <w:left w:val="single" w:sz="4" w:space="4" w:color="auto"/>
          <w:bottom w:val="single" w:sz="4" w:space="2" w:color="auto"/>
          <w:right w:val="single" w:sz="4" w:space="4" w:color="auto"/>
        </w:pBdr>
        <w:shd w:val="clear" w:color="auto" w:fill="D9D9D9" w:themeFill="background1" w:themeFillShade="D9"/>
        <w:jc w:val="both"/>
        <w:rPr>
          <w:rFonts w:ascii="Times New Roman" w:hAnsi="Times New Roman"/>
          <w:noProof/>
          <w:sz w:val="24"/>
        </w:rPr>
      </w:pPr>
      <w:r>
        <w:rPr>
          <w:rFonts w:ascii="Times New Roman" w:hAnsi="Times New Roman"/>
          <w:noProof/>
          <w:sz w:val="24"/>
        </w:rPr>
        <w:t>f)</w:t>
      </w:r>
      <w:r>
        <w:rPr>
          <w:rFonts w:ascii="Times New Roman" w:hAnsi="Times New Roman"/>
          <w:noProof/>
          <w:sz w:val="24"/>
        </w:rPr>
        <w:tab/>
      </w:r>
      <w:r>
        <w:rPr>
          <w:rFonts w:ascii="Times New Roman" w:hAnsi="Times New Roman"/>
          <w:b/>
          <w:noProof/>
          <w:sz w:val="24"/>
        </w:rPr>
        <w:t>Transparency and societal participation:</w:t>
      </w:r>
      <w:r>
        <w:rPr>
          <w:rFonts w:ascii="Times New Roman" w:hAnsi="Times New Roman"/>
          <w:noProof/>
          <w:sz w:val="24"/>
        </w:rPr>
        <w:t xml:space="preserve"> business-to-government collaboration should be transparent about the parties to the agreement and their objectives. Public bodies’ insights and best practices of business-to-government collaboration should be made publicly available as long as they do not</w:t>
      </w:r>
      <w:r>
        <w:rPr>
          <w:rFonts w:ascii="Times New Roman" w:hAnsi="Times New Roman"/>
          <w:noProof/>
          <w:sz w:val="24"/>
        </w:rPr>
        <w:t xml:space="preserve"> compromise the confidentiality of the data. </w:t>
      </w:r>
    </w:p>
    <w:p w:rsidR="00A7566B" w:rsidRDefault="003232A6">
      <w:pPr>
        <w:jc w:val="both"/>
        <w:rPr>
          <w:noProof/>
        </w:rPr>
      </w:pPr>
      <w:r>
        <w:rPr>
          <w:rFonts w:ascii="Times New Roman" w:hAnsi="Times New Roman" w:cs="Times New Roman"/>
          <w:noProof/>
          <w:sz w:val="24"/>
          <w:szCs w:val="24"/>
        </w:rPr>
        <w:t xml:space="preserve">The Commission will </w:t>
      </w:r>
      <w:r>
        <w:rPr>
          <w:rFonts w:ascii="Times New Roman" w:hAnsi="Times New Roman" w:cs="Times New Roman"/>
          <w:b/>
          <w:noProof/>
          <w:sz w:val="24"/>
          <w:szCs w:val="24"/>
        </w:rPr>
        <w:t>organise a high-level round table on access to private sector data for public interest reasons</w:t>
      </w:r>
      <w:r>
        <w:rPr>
          <w:rFonts w:ascii="Times New Roman" w:hAnsi="Times New Roman"/>
          <w:noProof/>
          <w:sz w:val="24"/>
        </w:rPr>
        <w:t xml:space="preserve"> </w:t>
      </w:r>
      <w:r>
        <w:rPr>
          <w:rFonts w:ascii="Times New Roman" w:hAnsi="Times New Roman" w:cs="Times New Roman"/>
          <w:noProof/>
          <w:sz w:val="24"/>
          <w:szCs w:val="24"/>
        </w:rPr>
        <w:t xml:space="preserve">to further reflect on this topic. Due </w:t>
      </w:r>
      <w:r>
        <w:rPr>
          <w:rFonts w:ascii="Times New Roman" w:hAnsi="Times New Roman"/>
          <w:noProof/>
          <w:sz w:val="24"/>
        </w:rPr>
        <w:t>attention will be paid to the advanced degree of maturity</w:t>
      </w:r>
      <w:r>
        <w:rPr>
          <w:rFonts w:ascii="Times New Roman" w:hAnsi="Times New Roman"/>
          <w:noProof/>
          <w:sz w:val="24"/>
        </w:rPr>
        <w:t xml:space="preserve"> of the discussion in some domains (e.g. the re-use of such data for official statistics).</w:t>
      </w:r>
      <w:r>
        <w:rPr>
          <w:rFonts w:ascii="Times New Roman" w:hAnsi="Times New Roman" w:cs="Times New Roman"/>
          <w:noProof/>
          <w:sz w:val="24"/>
          <w:szCs w:val="24"/>
        </w:rPr>
        <w:t xml:space="preserve"> The principles above will be proposed as the basis for further discussions with stakeholders. The Commission will continue to assess whether these measures prove to </w:t>
      </w:r>
      <w:r>
        <w:rPr>
          <w:rFonts w:ascii="Times New Roman" w:hAnsi="Times New Roman" w:cs="Times New Roman"/>
          <w:noProof/>
          <w:sz w:val="24"/>
          <w:szCs w:val="24"/>
        </w:rPr>
        <w:t xml:space="preserve">be sufficient in facilitating </w:t>
      </w:r>
      <w:r>
        <w:rPr>
          <w:rFonts w:ascii="Times New Roman" w:hAnsi="Times New Roman"/>
          <w:noProof/>
          <w:sz w:val="24"/>
        </w:rPr>
        <w:t>business-to-government</w:t>
      </w:r>
      <w:r>
        <w:rPr>
          <w:rFonts w:ascii="Times New Roman" w:hAnsi="Times New Roman" w:cs="Times New Roman"/>
          <w:noProof/>
          <w:sz w:val="24"/>
          <w:szCs w:val="24"/>
        </w:rPr>
        <w:t xml:space="preserve"> data sharing and it will address the situation if necessary by taking appropriate action, including possible measures in specific sectors.</w:t>
      </w:r>
    </w:p>
    <w:p w:rsidR="00A7566B" w:rsidRDefault="003232A6">
      <w:pPr>
        <w:keepNext/>
        <w:jc w:val="both"/>
        <w:rPr>
          <w:rFonts w:ascii="Times New Roman" w:hAnsi="Times New Roman" w:cs="Times New Roman"/>
          <w:b/>
          <w:noProof/>
          <w:sz w:val="24"/>
          <w:szCs w:val="24"/>
        </w:rPr>
      </w:pPr>
      <w:r>
        <w:rPr>
          <w:rFonts w:ascii="Times New Roman" w:hAnsi="Times New Roman" w:cs="Times New Roman"/>
          <w:b/>
          <w:noProof/>
          <w:sz w:val="24"/>
          <w:szCs w:val="24"/>
        </w:rPr>
        <w:t xml:space="preserve">5) Conclusion </w:t>
      </w:r>
    </w:p>
    <w:p w:rsidR="00A7566B" w:rsidRDefault="003232A6">
      <w:pPr>
        <w:keepNext/>
        <w:jc w:val="both"/>
        <w:rPr>
          <w:rFonts w:ascii="Times New Roman" w:hAnsi="Times New Roman" w:cs="Times New Roman"/>
          <w:b/>
          <w:noProof/>
          <w:sz w:val="24"/>
          <w:szCs w:val="24"/>
        </w:rPr>
      </w:pPr>
      <w:r>
        <w:rPr>
          <w:rFonts w:ascii="Times New Roman" w:hAnsi="Times New Roman" w:cs="Times New Roman"/>
          <w:noProof/>
          <w:sz w:val="24"/>
          <w:szCs w:val="24"/>
        </w:rPr>
        <w:t>In this Communication the Commission has presente</w:t>
      </w:r>
      <w:r>
        <w:rPr>
          <w:rFonts w:ascii="Times New Roman" w:hAnsi="Times New Roman" w:cs="Times New Roman"/>
          <w:noProof/>
          <w:sz w:val="24"/>
          <w:szCs w:val="24"/>
        </w:rPr>
        <w:t>d measures that will make it easier for businesses and the public sector to access and re-use data coming from different sources, sectors and disciplines in the EU. Together with the initiatives that are already in place, such as the new regulatory framewo</w:t>
      </w:r>
      <w:r>
        <w:rPr>
          <w:rFonts w:ascii="Times New Roman" w:hAnsi="Times New Roman" w:cs="Times New Roman"/>
          <w:noProof/>
          <w:sz w:val="24"/>
          <w:szCs w:val="24"/>
        </w:rPr>
        <w:t>rk for the protection of personal data that enters into force in May 2018, the proposal on the free flow of non-personal data and the initiatives on boosting connectivity and encouraging high-performance computing, these measures will create a truly Europe</w:t>
      </w:r>
      <w:r>
        <w:rPr>
          <w:rFonts w:ascii="Times New Roman" w:hAnsi="Times New Roman" w:cs="Times New Roman"/>
          <w:noProof/>
          <w:sz w:val="24"/>
          <w:szCs w:val="24"/>
        </w:rPr>
        <w:t>an common data space supported by both EU-wide policy measures and targeted research and innovation funding. These are essential for EU economic growth and competitiveness.</w:t>
      </w:r>
    </w:p>
    <w:p w:rsidR="00A7566B" w:rsidRDefault="003232A6">
      <w:pPr>
        <w:jc w:val="both"/>
        <w:rPr>
          <w:rFonts w:ascii="Times New Roman" w:hAnsi="Times New Roman"/>
          <w:noProof/>
          <w:sz w:val="24"/>
        </w:rPr>
      </w:pPr>
      <w:r>
        <w:rPr>
          <w:rFonts w:ascii="Times New Roman" w:hAnsi="Times New Roman" w:cs="Times New Roman"/>
          <w:noProof/>
          <w:sz w:val="24"/>
          <w:szCs w:val="24"/>
        </w:rPr>
        <w:t xml:space="preserve">The Commission calls on the co-legislators to work towards a rapid adoption of the </w:t>
      </w:r>
      <w:r>
        <w:rPr>
          <w:rFonts w:ascii="Times New Roman" w:hAnsi="Times New Roman" w:cs="Times New Roman"/>
          <w:noProof/>
          <w:sz w:val="24"/>
          <w:szCs w:val="24"/>
        </w:rPr>
        <w:t>legislative element of the proposed data package</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to ensure that the EU can fully benefit from the opportunities offered by the data economy. </w:t>
      </w:r>
      <w:r>
        <w:rPr>
          <w:rFonts w:ascii="Times New Roman" w:hAnsi="Times New Roman"/>
          <w:noProof/>
          <w:sz w:val="24"/>
        </w:rPr>
        <w:t xml:space="preserve">It also calls on the </w:t>
      </w:r>
      <w:r>
        <w:rPr>
          <w:rFonts w:ascii="Times New Roman" w:hAnsi="Times New Roman" w:cs="Times New Roman"/>
          <w:noProof/>
          <w:sz w:val="24"/>
          <w:szCs w:val="24"/>
        </w:rPr>
        <w:t>Member States and all other stakeholders to contribute to the announced measures and initiati</w:t>
      </w:r>
      <w:r>
        <w:rPr>
          <w:rFonts w:ascii="Times New Roman" w:hAnsi="Times New Roman" w:cs="Times New Roman"/>
          <w:noProof/>
          <w:sz w:val="24"/>
          <w:szCs w:val="24"/>
        </w:rPr>
        <w:t>ves.</w:t>
      </w:r>
    </w:p>
    <w:p w:rsidR="00A7566B" w:rsidRDefault="00A7566B">
      <w:pPr>
        <w:jc w:val="both"/>
        <w:rPr>
          <w:rFonts w:ascii="Times New Roman" w:hAnsi="Times New Roman" w:cs="Times New Roman"/>
          <w:b/>
          <w:noProof/>
          <w:sz w:val="24"/>
          <w:szCs w:val="24"/>
        </w:rPr>
      </w:pPr>
    </w:p>
    <w:sectPr w:rsidR="00A7566B">
      <w:headerReference w:type="even" r:id="rId21"/>
      <w:headerReference w:type="default" r:id="rId22"/>
      <w:footerReference w:type="even" r:id="rId23"/>
      <w:footerReference w:type="default" r:id="rId24"/>
      <w:headerReference w:type="first" r:id="rId25"/>
      <w:footerReference w:type="first" r:id="rId26"/>
      <w:pgSz w:w="11906" w:h="16838"/>
      <w:pgMar w:top="1920"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66B" w:rsidRDefault="003232A6">
      <w:pPr>
        <w:spacing w:after="0" w:line="240" w:lineRule="auto"/>
      </w:pPr>
      <w:r>
        <w:separator/>
      </w:r>
    </w:p>
  </w:endnote>
  <w:endnote w:type="continuationSeparator" w:id="0">
    <w:p w:rsidR="00A7566B" w:rsidRDefault="003232A6">
      <w:pPr>
        <w:spacing w:after="0" w:line="240" w:lineRule="auto"/>
      </w:pPr>
      <w:r>
        <w:continuationSeparator/>
      </w:r>
    </w:p>
  </w:endnote>
  <w:endnote w:type="continuationNotice" w:id="1">
    <w:p w:rsidR="00A7566B" w:rsidRDefault="00A756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A6" w:rsidRPr="003232A6" w:rsidRDefault="003232A6" w:rsidP="003232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A6" w:rsidRPr="003232A6" w:rsidRDefault="003232A6" w:rsidP="003232A6">
    <w:pPr>
      <w:pStyle w:val="FooterCoverPage"/>
      <w:rPr>
        <w:rFonts w:ascii="Arial" w:hAnsi="Arial" w:cs="Arial"/>
        <w:b/>
        <w:sz w:val="48"/>
      </w:rPr>
    </w:pPr>
    <w:r w:rsidRPr="003232A6">
      <w:rPr>
        <w:rFonts w:ascii="Arial" w:hAnsi="Arial" w:cs="Arial"/>
        <w:b/>
        <w:sz w:val="48"/>
      </w:rPr>
      <w:t>EN</w:t>
    </w:r>
    <w:r w:rsidRPr="003232A6">
      <w:rPr>
        <w:rFonts w:ascii="Arial" w:hAnsi="Arial" w:cs="Arial"/>
        <w:b/>
        <w:sz w:val="48"/>
      </w:rPr>
      <w:tab/>
    </w:r>
    <w:r w:rsidRPr="003232A6">
      <w:rPr>
        <w:rFonts w:ascii="Arial" w:hAnsi="Arial" w:cs="Arial"/>
        <w:b/>
        <w:sz w:val="48"/>
      </w:rPr>
      <w:tab/>
    </w:r>
    <w:r w:rsidRPr="003232A6">
      <w:tab/>
    </w:r>
    <w:proofErr w:type="spellStart"/>
    <w:r w:rsidRPr="003232A6">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A6" w:rsidRPr="003232A6" w:rsidRDefault="003232A6" w:rsidP="003232A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6B" w:rsidRDefault="00A7566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780906"/>
      <w:docPartObj>
        <w:docPartGallery w:val="Page Numbers (Bottom of Page)"/>
        <w:docPartUnique/>
      </w:docPartObj>
    </w:sdtPr>
    <w:sdtEndPr>
      <w:rPr>
        <w:noProof/>
      </w:rPr>
    </w:sdtEndPr>
    <w:sdtContent>
      <w:p w:rsidR="00A7566B" w:rsidRDefault="003232A6">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A7566B" w:rsidRDefault="00A7566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6B" w:rsidRDefault="00A75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66B" w:rsidRDefault="003232A6">
      <w:pPr>
        <w:spacing w:after="0" w:line="240" w:lineRule="auto"/>
      </w:pPr>
      <w:r>
        <w:separator/>
      </w:r>
    </w:p>
  </w:footnote>
  <w:footnote w:type="continuationSeparator" w:id="0">
    <w:p w:rsidR="00A7566B" w:rsidRDefault="003232A6">
      <w:pPr>
        <w:spacing w:after="0" w:line="240" w:lineRule="auto"/>
      </w:pPr>
      <w:r>
        <w:continuationSeparator/>
      </w:r>
    </w:p>
  </w:footnote>
  <w:footnote w:type="continuationNotice" w:id="1">
    <w:p w:rsidR="00A7566B" w:rsidRDefault="00A7566B">
      <w:pPr>
        <w:spacing w:after="0" w:line="240" w:lineRule="auto"/>
      </w:pPr>
    </w:p>
  </w:footnote>
  <w:footnote w:id="2">
    <w:p w:rsidR="00A7566B" w:rsidRDefault="003232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From 1.99% of EU GDP in 2016 to 4% in 2020, IDC 2017, European Data Market Study, Final Report. </w:t>
      </w:r>
    </w:p>
  </w:footnote>
  <w:footnote w:id="3">
    <w:p w:rsidR="00A7566B" w:rsidRDefault="003232A6">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OJ L 119, 4.5.2016, p. 1.</w:t>
      </w:r>
    </w:p>
  </w:footnote>
  <w:footnote w:id="4">
    <w:p w:rsidR="00A7566B" w:rsidRDefault="003232A6">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proofErr w:type="gramStart"/>
      <w:r>
        <w:rPr>
          <w:rFonts w:ascii="Times New Roman" w:hAnsi="Times New Roman" w:cs="Times New Roman"/>
          <w:lang w:val="pt-PT"/>
        </w:rPr>
        <w:t>COM(2017</w:t>
      </w:r>
      <w:proofErr w:type="gramEnd"/>
      <w:r>
        <w:rPr>
          <w:rFonts w:ascii="Times New Roman" w:hAnsi="Times New Roman" w:cs="Times New Roman"/>
          <w:lang w:val="pt-PT"/>
        </w:rPr>
        <w:t>) 495 final.</w:t>
      </w:r>
    </w:p>
  </w:footnote>
  <w:footnote w:id="5">
    <w:p w:rsidR="00A7566B" w:rsidRDefault="003232A6">
      <w:pPr>
        <w:pStyle w:val="FootnoteText"/>
        <w:tabs>
          <w:tab w:val="left" w:pos="3662"/>
        </w:tabs>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proofErr w:type="gramStart"/>
      <w:r>
        <w:rPr>
          <w:rFonts w:ascii="Times New Roman" w:hAnsi="Times New Roman" w:cs="Times New Roman"/>
          <w:lang w:val="pt-PT"/>
        </w:rPr>
        <w:t>COM(2017</w:t>
      </w:r>
      <w:proofErr w:type="gramEnd"/>
      <w:r>
        <w:rPr>
          <w:rFonts w:ascii="Times New Roman" w:hAnsi="Times New Roman" w:cs="Times New Roman"/>
          <w:lang w:val="pt-PT"/>
        </w:rPr>
        <w:t>) 9 final.</w:t>
      </w:r>
    </w:p>
  </w:footnote>
  <w:footnote w:id="6">
    <w:p w:rsidR="00A7566B" w:rsidRDefault="003232A6">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hyperlink r:id="rId1" w:history="1">
        <w:r>
          <w:rPr>
            <w:rStyle w:val="Hyperlink"/>
            <w:rFonts w:ascii="Times New Roman" w:hAnsi="Times New Roman" w:cs="Times New Roman"/>
            <w:lang w:val="pt-PT"/>
          </w:rPr>
          <w:t>https://ec.europa.eu/digital-single-market/en/news/public-consultation-building-european-data-economy</w:t>
        </w:r>
      </w:hyperlink>
      <w:r>
        <w:rPr>
          <w:rFonts w:ascii="Times New Roman" w:hAnsi="Times New Roman" w:cs="Times New Roman"/>
          <w:lang w:val="pt-PT"/>
        </w:rPr>
        <w:t xml:space="preserve"> </w:t>
      </w:r>
    </w:p>
  </w:footnote>
  <w:footnote w:id="7">
    <w:p w:rsidR="00A7566B" w:rsidRDefault="003232A6">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proofErr w:type="gramStart"/>
      <w:r>
        <w:rPr>
          <w:rFonts w:ascii="Times New Roman" w:hAnsi="Times New Roman" w:cs="Times New Roman"/>
          <w:lang w:val="pt-PT"/>
        </w:rPr>
        <w:t>COM(2017</w:t>
      </w:r>
      <w:proofErr w:type="gramEnd"/>
      <w:r>
        <w:rPr>
          <w:rFonts w:ascii="Times New Roman" w:hAnsi="Times New Roman" w:cs="Times New Roman"/>
          <w:lang w:val="pt-PT"/>
        </w:rPr>
        <w:t>) 228 final.</w:t>
      </w:r>
    </w:p>
  </w:footnote>
  <w:footnote w:id="8">
    <w:p w:rsidR="00A7566B" w:rsidRDefault="003232A6">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proofErr w:type="gramStart"/>
      <w:r>
        <w:rPr>
          <w:rFonts w:ascii="Times New Roman" w:hAnsi="Times New Roman" w:cs="Times New Roman"/>
          <w:lang w:val="pt-PT"/>
        </w:rPr>
        <w:t>COM(2018</w:t>
      </w:r>
      <w:proofErr w:type="gramEnd"/>
      <w:r>
        <w:rPr>
          <w:rFonts w:ascii="Times New Roman" w:hAnsi="Times New Roman" w:cs="Times New Roman"/>
          <w:lang w:val="pt-PT"/>
        </w:rPr>
        <w:t>) 23</w:t>
      </w:r>
      <w:r>
        <w:rPr>
          <w:rFonts w:ascii="Times New Roman" w:hAnsi="Times New Roman" w:cs="Times New Roman"/>
          <w:lang w:val="pt-PT"/>
        </w:rPr>
        <w:t>4.</w:t>
      </w:r>
    </w:p>
  </w:footnote>
  <w:footnote w:id="9">
    <w:p w:rsidR="00A7566B" w:rsidRDefault="003232A6">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proofErr w:type="gramStart"/>
      <w:r>
        <w:rPr>
          <w:rFonts w:ascii="Times New Roman" w:hAnsi="Times New Roman" w:cs="Times New Roman"/>
          <w:lang w:val="pt-PT"/>
        </w:rPr>
        <w:t>C(2018</w:t>
      </w:r>
      <w:proofErr w:type="gramEnd"/>
      <w:r>
        <w:rPr>
          <w:rFonts w:ascii="Times New Roman" w:hAnsi="Times New Roman" w:cs="Times New Roman"/>
          <w:lang w:val="pt-PT"/>
        </w:rPr>
        <w:t>) 2375.</w:t>
      </w:r>
    </w:p>
  </w:footnote>
  <w:footnote w:id="10">
    <w:p w:rsidR="00A7566B" w:rsidRDefault="003232A6">
      <w:pPr>
        <w:pStyle w:val="FootnoteText"/>
        <w:rPr>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proofErr w:type="gramStart"/>
      <w:r>
        <w:rPr>
          <w:rFonts w:ascii="Times New Roman" w:hAnsi="Times New Roman" w:cs="Times New Roman"/>
          <w:lang w:val="pt-PT"/>
        </w:rPr>
        <w:t>SWD(2018</w:t>
      </w:r>
      <w:proofErr w:type="gramEnd"/>
      <w:r>
        <w:rPr>
          <w:rFonts w:ascii="Times New Roman" w:hAnsi="Times New Roman" w:cs="Times New Roman"/>
          <w:lang w:val="pt-PT"/>
        </w:rPr>
        <w:t>) 125.</w:t>
      </w:r>
    </w:p>
  </w:footnote>
  <w:footnote w:id="11">
    <w:p w:rsidR="00A7566B" w:rsidRDefault="003232A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Organisations whose main activity is producing data-related products, services, and technologies.</w:t>
      </w:r>
      <w:proofErr w:type="gramEnd"/>
    </w:p>
  </w:footnote>
  <w:footnote w:id="12">
    <w:p w:rsidR="00A7566B" w:rsidRDefault="003232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OECD, Data-driven innovation.</w:t>
      </w:r>
      <w:proofErr w:type="gramEnd"/>
      <w:r>
        <w:rPr>
          <w:rFonts w:ascii="Times New Roman" w:hAnsi="Times New Roman" w:cs="Times New Roman"/>
        </w:rPr>
        <w:t xml:space="preserve"> </w:t>
      </w:r>
      <w:proofErr w:type="gramStart"/>
      <w:r>
        <w:rPr>
          <w:rFonts w:ascii="Times New Roman" w:hAnsi="Times New Roman" w:cs="Times New Roman"/>
        </w:rPr>
        <w:t>Big Data for Growth and Well-being, 2015.</w:t>
      </w:r>
      <w:proofErr w:type="gramEnd"/>
    </w:p>
  </w:footnote>
  <w:footnote w:id="13">
    <w:p w:rsidR="00A7566B" w:rsidRDefault="003232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Staff Working Documents on the evaluations o</w:t>
      </w:r>
      <w:r>
        <w:rPr>
          <w:rFonts w:ascii="Times New Roman" w:hAnsi="Times New Roman" w:cs="Times New Roman"/>
        </w:rPr>
        <w:t>f both the Machinery Directive and the Product Liability Directive and a Staff Working Document on liability for emerging digital technologies.</w:t>
      </w:r>
      <w:proofErr w:type="gramEnd"/>
    </w:p>
  </w:footnote>
  <w:footnote w:id="14">
    <w:p w:rsidR="00A7566B" w:rsidRDefault="003232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SWD(</w:t>
      </w:r>
      <w:proofErr w:type="gramEnd"/>
      <w:r>
        <w:rPr>
          <w:rFonts w:ascii="Times New Roman" w:hAnsi="Times New Roman" w:cs="Times New Roman"/>
        </w:rPr>
        <w:t>2018) 127.</w:t>
      </w:r>
    </w:p>
  </w:footnote>
  <w:footnote w:id="15">
    <w:p w:rsidR="00A7566B" w:rsidRDefault="003232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 w:history="1">
        <w:proofErr w:type="gramStart"/>
        <w:r>
          <w:rPr>
            <w:rStyle w:val="Hyperlink"/>
            <w:rFonts w:ascii="Times New Roman" w:hAnsi="Times New Roman" w:cs="Times New Roman"/>
          </w:rPr>
          <w:t>Directive</w:t>
        </w:r>
        <w:r>
          <w:rPr>
            <w:rStyle w:val="Hyperlink"/>
            <w:rFonts w:ascii="Times New Roman" w:hAnsi="Times New Roman" w:cs="Times New Roman"/>
          </w:rPr>
          <w:t xml:space="preserve"> 2003/98/EC of the European Parliament and of the Council of 17 November 2003 on the re-use of public sector information</w:t>
        </w:r>
      </w:hyperlink>
      <w:r>
        <w:rPr>
          <w:rFonts w:ascii="Times New Roman" w:hAnsi="Times New Roman" w:cs="Times New Roman"/>
        </w:rPr>
        <w:t>.</w:t>
      </w:r>
      <w:proofErr w:type="gramEnd"/>
    </w:p>
  </w:footnote>
  <w:footnote w:id="16">
    <w:p w:rsidR="00A7566B" w:rsidRDefault="003232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 w:history="1">
        <w:r>
          <w:rPr>
            <w:rStyle w:val="Hyperlink"/>
            <w:rFonts w:ascii="Times New Roman" w:hAnsi="Times New Roman" w:cs="Times New Roman"/>
          </w:rPr>
          <w:t>https://www.europeandataportal.eu/</w:t>
        </w:r>
      </w:hyperlink>
      <w:r>
        <w:rPr>
          <w:rFonts w:ascii="Times New Roman" w:hAnsi="Times New Roman" w:cs="Times New Roman"/>
        </w:rPr>
        <w:t xml:space="preserve"> </w:t>
      </w:r>
    </w:p>
  </w:footnote>
  <w:footnote w:id="17">
    <w:p w:rsidR="00A7566B" w:rsidRDefault="003232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4" w:history="1">
        <w:proofErr w:type="gramStart"/>
        <w:r>
          <w:rPr>
            <w:rStyle w:val="Hyperlink"/>
            <w:rFonts w:ascii="Times New Roman" w:hAnsi="Times New Roman" w:cs="Times New Roman"/>
          </w:rPr>
          <w:t>Commission Decision 2011/833/EU on the re-use of Commission documents</w:t>
        </w:r>
      </w:hyperlink>
      <w:r>
        <w:rPr>
          <w:rFonts w:ascii="Times New Roman" w:hAnsi="Times New Roman" w:cs="Times New Roman"/>
        </w:rPr>
        <w:t>.</w:t>
      </w:r>
      <w:proofErr w:type="gramEnd"/>
    </w:p>
  </w:footnote>
  <w:footnote w:id="18">
    <w:p w:rsidR="00A7566B" w:rsidRDefault="003232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5" w:history="1">
        <w:r>
          <w:rPr>
            <w:rStyle w:val="Hyperlink"/>
            <w:rFonts w:ascii="Times New Roman" w:hAnsi="Times New Roman" w:cs="Times New Roman"/>
          </w:rPr>
          <w:t>https://data.europa.eu/euodp/en/home</w:t>
        </w:r>
      </w:hyperlink>
      <w:r>
        <w:rPr>
          <w:rFonts w:ascii="Times New Roman" w:hAnsi="Times New Roman" w:cs="Times New Roman"/>
        </w:rPr>
        <w:t xml:space="preserve"> </w:t>
      </w:r>
    </w:p>
  </w:footnote>
  <w:footnote w:id="19">
    <w:p w:rsidR="00A7566B" w:rsidRDefault="003232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COM(</w:t>
      </w:r>
      <w:proofErr w:type="gramEnd"/>
      <w:r>
        <w:rPr>
          <w:rFonts w:ascii="Times New Roman" w:hAnsi="Times New Roman" w:cs="Times New Roman"/>
        </w:rPr>
        <w:t>2018) 234.</w:t>
      </w:r>
    </w:p>
  </w:footnote>
  <w:footnote w:id="20">
    <w:p w:rsidR="00A7566B" w:rsidRDefault="003232A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main problem of such arrangements is that they lead to one or very few re-users exploiting the data in practice and that this limited re-use is due not to the specifics of the market but to the way in which the public-private arrangement was concluded</w:t>
      </w:r>
      <w:r>
        <w:rPr>
          <w:rFonts w:ascii="Times New Roman" w:hAnsi="Times New Roman" w:cs="Times New Roman"/>
        </w:rPr>
        <w:t xml:space="preserve">. The increased transparency of the process aims at limiting the 'excessive first-mover advantage' by a) allowing any company to learn about the data being available and b) increasing the chance of a wider range of re-users actually exploiting the data in </w:t>
      </w:r>
      <w:r>
        <w:rPr>
          <w:rFonts w:ascii="Times New Roman" w:hAnsi="Times New Roman" w:cs="Times New Roman"/>
        </w:rPr>
        <w:t>question.</w:t>
      </w:r>
    </w:p>
  </w:footnote>
  <w:footnote w:id="21">
    <w:p w:rsidR="00A7566B" w:rsidRDefault="003232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6" w:history="1">
        <w:proofErr w:type="gramStart"/>
        <w:r>
          <w:rPr>
            <w:rStyle w:val="Hyperlink"/>
            <w:rFonts w:ascii="Times New Roman" w:hAnsi="Times New Roman" w:cs="Times New Roman"/>
          </w:rPr>
          <w:t>Directive 96/9/EC of the European Parliament and of the Council of 11 March 1996 on the legal protection of databases</w:t>
        </w:r>
      </w:hyperlink>
      <w:r>
        <w:rPr>
          <w:rFonts w:ascii="Times New Roman" w:hAnsi="Times New Roman" w:cs="Times New Roman"/>
        </w:rPr>
        <w:t>.</w:t>
      </w:r>
      <w:proofErr w:type="gramEnd"/>
    </w:p>
  </w:footnote>
  <w:footnote w:id="22">
    <w:p w:rsidR="00A7566B" w:rsidRDefault="003232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SWD(</w:t>
      </w:r>
      <w:proofErr w:type="gramEnd"/>
      <w:r>
        <w:rPr>
          <w:rFonts w:ascii="Times New Roman" w:hAnsi="Times New Roman" w:cs="Times New Roman"/>
        </w:rPr>
        <w:t>2018) 146.</w:t>
      </w:r>
    </w:p>
  </w:footnote>
  <w:footnote w:id="23">
    <w:p w:rsidR="00A7566B" w:rsidRDefault="003232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single-source data</w:t>
      </w:r>
      <w:r>
        <w:rPr>
          <w:rFonts w:ascii="Times New Roman" w:hAnsi="Times New Roman" w:cs="Times New Roman"/>
        </w:rPr>
        <w:t>base means that there is no other source to data than by relying on the one database.</w:t>
      </w:r>
    </w:p>
  </w:footnote>
  <w:footnote w:id="24">
    <w:p w:rsidR="00A7566B" w:rsidRDefault="003232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SWD(</w:t>
      </w:r>
      <w:proofErr w:type="gramEnd"/>
      <w:r>
        <w:rPr>
          <w:rFonts w:ascii="Times New Roman" w:hAnsi="Times New Roman" w:cs="Times New Roman"/>
        </w:rPr>
        <w:t>2018) 145.</w:t>
      </w:r>
    </w:p>
  </w:footnote>
  <w:footnote w:id="25">
    <w:p w:rsidR="00A7566B" w:rsidRDefault="003232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7" w:history="1">
        <w:r>
          <w:rPr>
            <w:rStyle w:val="Hyperlink"/>
            <w:rFonts w:ascii="Times New Roman" w:hAnsi="Times New Roman" w:cs="Times New Roman"/>
          </w:rPr>
          <w:t>Directive 2007/2/EC of the European Parliament and the Council of 1</w:t>
        </w:r>
        <w:r>
          <w:rPr>
            <w:rStyle w:val="Hyperlink"/>
            <w:rFonts w:ascii="Times New Roman" w:hAnsi="Times New Roman" w:cs="Times New Roman"/>
          </w:rPr>
          <w:t>4 March 2007</w:t>
        </w:r>
      </w:hyperlink>
      <w:r>
        <w:rPr>
          <w:rFonts w:ascii="Times New Roman" w:hAnsi="Times New Roman" w:cs="Times New Roman"/>
        </w:rPr>
        <w:t>.</w:t>
      </w:r>
    </w:p>
  </w:footnote>
  <w:footnote w:id="26">
    <w:p w:rsidR="00A7566B" w:rsidRDefault="003232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8" w:history="1">
        <w:r>
          <w:rPr>
            <w:rStyle w:val="Hyperlink"/>
            <w:rFonts w:ascii="Times New Roman" w:hAnsi="Times New Roman" w:cs="Times New Roman"/>
            <w:lang w:eastAsia="en-GB"/>
          </w:rPr>
          <w:t>http://data.europa.eu/europeandataportal</w:t>
        </w:r>
      </w:hyperlink>
      <w:r>
        <w:rPr>
          <w:rStyle w:val="Hyperlink"/>
          <w:rFonts w:ascii="Times New Roman" w:hAnsi="Times New Roman" w:cs="Times New Roman"/>
          <w:lang w:eastAsia="en-GB"/>
        </w:rPr>
        <w:t>.</w:t>
      </w:r>
    </w:p>
  </w:footnote>
  <w:footnote w:id="27">
    <w:p w:rsidR="00A7566B" w:rsidRDefault="003232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9" w:history="1">
        <w:r>
          <w:rPr>
            <w:rStyle w:val="Hyperlink"/>
            <w:rFonts w:ascii="Times New Roman" w:hAnsi="Times New Roman" w:cs="Times New Roman"/>
          </w:rPr>
          <w:t>https</w:t>
        </w:r>
        <w:r>
          <w:rPr>
            <w:rStyle w:val="Hyperlink"/>
            <w:rFonts w:ascii="Times New Roman" w:hAnsi="Times New Roman" w:cs="Times New Roman"/>
          </w:rPr>
          <w:t>://ec.europa.eu/digital-single-market/en/news/connecting-europe-facility-cef-telecom-work-programme-2018-adopted</w:t>
        </w:r>
      </w:hyperlink>
      <w:r>
        <w:rPr>
          <w:rFonts w:ascii="Times New Roman" w:hAnsi="Times New Roman" w:cs="Times New Roman"/>
        </w:rPr>
        <w:t>.</w:t>
      </w:r>
    </w:p>
  </w:footnote>
  <w:footnote w:id="28">
    <w:p w:rsidR="00A7566B" w:rsidRDefault="003232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0" w:history="1">
        <w:r>
          <w:rPr>
            <w:rStyle w:val="Hyperlink"/>
            <w:rFonts w:ascii="Times New Roman" w:hAnsi="Times New Roman" w:cs="Times New Roman"/>
          </w:rPr>
          <w:t>https://cohesiondata.ec.europa.eu</w:t>
        </w:r>
      </w:hyperlink>
      <w:r>
        <w:rPr>
          <w:rFonts w:ascii="Times New Roman" w:hAnsi="Times New Roman" w:cs="Times New Roman"/>
        </w:rPr>
        <w:t>.</w:t>
      </w:r>
    </w:p>
  </w:footnote>
  <w:footnote w:id="29">
    <w:p w:rsidR="00A7566B" w:rsidRDefault="003232A6">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proofErr w:type="gramStart"/>
      <w:r>
        <w:rPr>
          <w:rFonts w:ascii="Times New Roman" w:hAnsi="Times New Roman" w:cs="Times New Roman"/>
          <w:lang w:val="pt-PT"/>
        </w:rPr>
        <w:t>COM(2018</w:t>
      </w:r>
      <w:proofErr w:type="gramEnd"/>
      <w:r>
        <w:rPr>
          <w:rFonts w:ascii="Times New Roman" w:hAnsi="Times New Roman" w:cs="Times New Roman"/>
          <w:lang w:val="pt-PT"/>
        </w:rPr>
        <w:t>) 22 final.</w:t>
      </w:r>
    </w:p>
  </w:footnote>
  <w:footnote w:id="30">
    <w:p w:rsidR="00A7566B" w:rsidRDefault="003232A6">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proofErr w:type="gramStart"/>
      <w:r>
        <w:rPr>
          <w:rFonts w:ascii="Times New Roman" w:hAnsi="Times New Roman" w:cs="Times New Roman"/>
          <w:lang w:val="pt-PT"/>
        </w:rPr>
        <w:t>http:</w:t>
      </w:r>
      <w:proofErr w:type="gramEnd"/>
      <w:r>
        <w:rPr>
          <w:rFonts w:ascii="Times New Roman" w:hAnsi="Times New Roman" w:cs="Times New Roman"/>
          <w:lang w:val="pt-PT"/>
        </w:rPr>
        <w:t>//data.consilium.europa.eu</w:t>
      </w:r>
      <w:r>
        <w:rPr>
          <w:rFonts w:ascii="Times New Roman" w:hAnsi="Times New Roman" w:cs="Times New Roman"/>
          <w:lang w:val="pt-PT"/>
        </w:rPr>
        <w:t>/doc/document/ST-9526-2016-INIT/en/pdf.</w:t>
      </w:r>
    </w:p>
  </w:footnote>
  <w:footnote w:id="31">
    <w:p w:rsidR="00A7566B" w:rsidRDefault="003232A6">
      <w:pPr>
        <w:pStyle w:val="Default"/>
        <w:rPr>
          <w:rFonts w:ascii="Times New Roman" w:hAnsi="Times New Roman" w:cs="Times New Roman"/>
          <w:lang w:val="pt-PT"/>
        </w:rPr>
      </w:pPr>
      <w:r>
        <w:rPr>
          <w:rStyle w:val="FootnoteReference"/>
          <w:rFonts w:ascii="Times New Roman" w:hAnsi="Times New Roman" w:cs="Times New Roman"/>
          <w:color w:val="auto"/>
          <w:sz w:val="20"/>
          <w:szCs w:val="20"/>
        </w:rPr>
        <w:footnoteRef/>
      </w:r>
      <w:r>
        <w:rPr>
          <w:rStyle w:val="FootnoteReference"/>
          <w:rFonts w:ascii="Times New Roman" w:hAnsi="Times New Roman" w:cs="Times New Roman"/>
          <w:lang w:val="pt-PT"/>
        </w:rPr>
        <w:t xml:space="preserve"> </w:t>
      </w:r>
      <w:proofErr w:type="gramStart"/>
      <w:r>
        <w:rPr>
          <w:rFonts w:ascii="Times New Roman" w:hAnsi="Times New Roman" w:cs="Times New Roman"/>
          <w:color w:val="auto"/>
          <w:sz w:val="20"/>
          <w:lang w:val="pt-PT"/>
        </w:rPr>
        <w:t>SWD(2018</w:t>
      </w:r>
      <w:proofErr w:type="gramEnd"/>
      <w:r>
        <w:rPr>
          <w:rFonts w:ascii="Times New Roman" w:hAnsi="Times New Roman" w:cs="Times New Roman"/>
          <w:color w:val="auto"/>
          <w:sz w:val="20"/>
          <w:lang w:val="pt-PT"/>
        </w:rPr>
        <w:t>)</w:t>
      </w:r>
      <w:r>
        <w:rPr>
          <w:rFonts w:ascii="Times New Roman" w:hAnsi="Times New Roman" w:cs="Times New Roman"/>
          <w:color w:val="auto"/>
          <w:sz w:val="20"/>
          <w:szCs w:val="20"/>
          <w:lang w:val="pt-PT"/>
        </w:rPr>
        <w:t xml:space="preserve"> </w:t>
      </w:r>
      <w:r>
        <w:rPr>
          <w:rFonts w:ascii="Times New Roman" w:hAnsi="Times New Roman" w:cs="Times New Roman"/>
          <w:color w:val="auto"/>
          <w:sz w:val="20"/>
          <w:lang w:val="pt-PT"/>
        </w:rPr>
        <w:t>83 final</w:t>
      </w:r>
      <w:r>
        <w:rPr>
          <w:rFonts w:ascii="Times New Roman" w:hAnsi="Times New Roman" w:cs="Times New Roman"/>
          <w:color w:val="auto"/>
          <w:sz w:val="20"/>
          <w:szCs w:val="20"/>
          <w:lang w:val="pt-PT"/>
        </w:rPr>
        <w:t>.</w:t>
      </w:r>
    </w:p>
  </w:footnote>
  <w:footnote w:id="32">
    <w:p w:rsidR="00A7566B" w:rsidRDefault="003232A6">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proofErr w:type="gramStart"/>
      <w:r>
        <w:rPr>
          <w:rFonts w:ascii="Times New Roman" w:hAnsi="Times New Roman" w:cs="Times New Roman"/>
          <w:lang w:val="pt-PT"/>
        </w:rPr>
        <w:t>C(2012</w:t>
      </w:r>
      <w:proofErr w:type="gramEnd"/>
      <w:r>
        <w:rPr>
          <w:rFonts w:ascii="Times New Roman" w:hAnsi="Times New Roman" w:cs="Times New Roman"/>
          <w:lang w:val="pt-PT"/>
        </w:rPr>
        <w:t>) 4890 final.</w:t>
      </w:r>
    </w:p>
  </w:footnote>
  <w:footnote w:id="33">
    <w:p w:rsidR="00A7566B" w:rsidRDefault="003232A6">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proofErr w:type="gramStart"/>
      <w:r>
        <w:rPr>
          <w:rFonts w:ascii="Times New Roman" w:hAnsi="Times New Roman" w:cs="Times New Roman"/>
          <w:lang w:val="pt-PT"/>
        </w:rPr>
        <w:t>COM(2016</w:t>
      </w:r>
      <w:proofErr w:type="gramEnd"/>
      <w:r>
        <w:rPr>
          <w:rFonts w:ascii="Times New Roman" w:hAnsi="Times New Roman" w:cs="Times New Roman"/>
          <w:lang w:val="pt-PT"/>
        </w:rPr>
        <w:t>) 178 final.</w:t>
      </w:r>
    </w:p>
  </w:footnote>
  <w:footnote w:id="34">
    <w:p w:rsidR="00A7566B" w:rsidRDefault="003232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COM(</w:t>
      </w:r>
      <w:proofErr w:type="gramEnd"/>
      <w:r>
        <w:rPr>
          <w:rFonts w:ascii="Times New Roman" w:hAnsi="Times New Roman" w:cs="Times New Roman"/>
        </w:rPr>
        <w:t>2017) 228 final.</w:t>
      </w:r>
    </w:p>
  </w:footnote>
  <w:footnote w:id="35">
    <w:p w:rsidR="00A7566B" w:rsidRDefault="003232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C(</w:t>
      </w:r>
      <w:proofErr w:type="gramEnd"/>
      <w:r>
        <w:rPr>
          <w:rFonts w:ascii="Times New Roman" w:hAnsi="Times New Roman" w:cs="Times New Roman"/>
        </w:rPr>
        <w:t>2018) 2375.</w:t>
      </w:r>
    </w:p>
  </w:footnote>
  <w:footnote w:id="36">
    <w:p w:rsidR="00A7566B" w:rsidRDefault="003232A6">
      <w:pPr>
        <w:pStyle w:val="FootnoteText"/>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COM(</w:t>
      </w:r>
      <w:proofErr w:type="gramEnd"/>
      <w:r>
        <w:rPr>
          <w:rFonts w:ascii="Times New Roman" w:hAnsi="Times New Roman" w:cs="Times New Roman"/>
        </w:rPr>
        <w:t>2018) 234</w:t>
      </w:r>
      <w:r>
        <w:t>.</w:t>
      </w:r>
    </w:p>
  </w:footnote>
  <w:footnote w:id="37">
    <w:p w:rsidR="00A7566B" w:rsidRDefault="003232A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SWD(</w:t>
      </w:r>
      <w:proofErr w:type="gramEnd"/>
      <w:r>
        <w:rPr>
          <w:rFonts w:ascii="Times New Roman" w:hAnsi="Times New Roman" w:cs="Times New Roman"/>
        </w:rPr>
        <w:t>2018) 125  "Guidance on sharing private sector data in the European data economy" consisting of two parts: one dealing with data sharing in business-to-business (B2B) relations, and one addressing data sharing in business-to-government (B2G) contexts.</w:t>
      </w:r>
    </w:p>
  </w:footnote>
  <w:footnote w:id="38">
    <w:p w:rsidR="00A7566B" w:rsidRDefault="003232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1" w:history="1">
        <w:r>
          <w:rPr>
            <w:rStyle w:val="Hyperlink"/>
            <w:rFonts w:ascii="Times New Roman" w:hAnsi="Times New Roman" w:cs="Times New Roman"/>
          </w:rPr>
          <w:t>https://ec.europa.eu/digital-single-market/en/news/public-consultation-building-european-data-economy</w:t>
        </w:r>
      </w:hyperlink>
      <w:r>
        <w:rPr>
          <w:rFonts w:ascii="Times New Roman" w:hAnsi="Times New Roman" w:cs="Times New Roman"/>
        </w:rPr>
        <w:t xml:space="preserve"> </w:t>
      </w:r>
    </w:p>
  </w:footnote>
  <w:footnote w:id="39">
    <w:p w:rsidR="00A7566B" w:rsidRDefault="003232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COM(</w:t>
      </w:r>
      <w:proofErr w:type="gramEnd"/>
      <w:r>
        <w:rPr>
          <w:rFonts w:ascii="Times New Roman" w:hAnsi="Times New Roman" w:cs="Times New Roman"/>
        </w:rPr>
        <w:t>2017) 9 final, p. 11.</w:t>
      </w:r>
    </w:p>
  </w:footnote>
  <w:footnote w:id="40">
    <w:p w:rsidR="00A7566B" w:rsidRDefault="003232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w:t>
      </w:r>
      <w:r>
        <w:rPr>
          <w:rFonts w:ascii="Times New Roman" w:hAnsi="Times New Roman" w:cs="Times New Roman"/>
        </w:rPr>
        <w:t>g. data produced by robots in the context of industrial processes, relevant for provision of after-sales services (e.g. repair and maintenance), or data on the rating of service providers.</w:t>
      </w:r>
    </w:p>
  </w:footnote>
  <w:footnote w:id="41">
    <w:p w:rsidR="00A7566B" w:rsidRDefault="003232A6">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proofErr w:type="gramStart"/>
      <w:r>
        <w:rPr>
          <w:rFonts w:ascii="Times New Roman" w:hAnsi="Times New Roman" w:cs="Times New Roman"/>
          <w:lang w:val="pt-PT"/>
        </w:rPr>
        <w:t>COM(2016</w:t>
      </w:r>
      <w:proofErr w:type="gramEnd"/>
      <w:r>
        <w:rPr>
          <w:rFonts w:ascii="Times New Roman" w:hAnsi="Times New Roman" w:cs="Times New Roman"/>
          <w:lang w:val="pt-PT"/>
        </w:rPr>
        <w:t>) 180 final.</w:t>
      </w:r>
    </w:p>
  </w:footnote>
  <w:footnote w:id="42">
    <w:p w:rsidR="00A7566B" w:rsidRDefault="003232A6">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hyperlink r:id="rId12" w:history="1">
        <w:r>
          <w:rPr>
            <w:rStyle w:val="Hyperlink"/>
            <w:rFonts w:ascii="Times New Roman" w:hAnsi="Times New Roman" w:cs="Times New Roman"/>
            <w:lang w:val="pt-PT"/>
          </w:rPr>
          <w:t>http://ec.europa.eu/research/participants/data/ref/h2020/wp/2018-2020/main/h2020-wp1820-leit-ict_en.pdf</w:t>
        </w:r>
      </w:hyperlink>
      <w:r>
        <w:rPr>
          <w:rFonts w:ascii="Times New Roman" w:hAnsi="Times New Roman" w:cs="Times New Roman"/>
          <w:lang w:val="pt-PT"/>
        </w:rPr>
        <w:t>.</w:t>
      </w:r>
    </w:p>
  </w:footnote>
  <w:footnote w:id="43">
    <w:p w:rsidR="00A7566B" w:rsidRDefault="003232A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SWD(</w:t>
      </w:r>
      <w:proofErr w:type="gramEnd"/>
      <w:r>
        <w:rPr>
          <w:rFonts w:ascii="Times New Roman" w:hAnsi="Times New Roman" w:cs="Times New Roman"/>
        </w:rPr>
        <w:t>2018) 125.</w:t>
      </w:r>
    </w:p>
  </w:footnote>
  <w:footnote w:id="44">
    <w:p w:rsidR="00A7566B" w:rsidRDefault="003232A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also: Commission Staff Working Document </w:t>
      </w:r>
      <w:proofErr w:type="gramStart"/>
      <w:r>
        <w:rPr>
          <w:rFonts w:ascii="Times New Roman" w:hAnsi="Times New Roman" w:cs="Times New Roman"/>
        </w:rPr>
        <w:t>SWD(</w:t>
      </w:r>
      <w:proofErr w:type="gramEnd"/>
      <w:r>
        <w:rPr>
          <w:rFonts w:ascii="Times New Roman" w:hAnsi="Times New Roman" w:cs="Times New Roman"/>
        </w:rPr>
        <w:t>2017) 2 final.</w:t>
      </w:r>
    </w:p>
  </w:footnote>
  <w:footnote w:id="45">
    <w:p w:rsidR="00A7566B" w:rsidRDefault="003232A6">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fr-BE"/>
        </w:rPr>
        <w:t>COM(2018) 234.</w:t>
      </w:r>
    </w:p>
  </w:footnote>
  <w:footnote w:id="46">
    <w:p w:rsidR="00A7566B" w:rsidRDefault="003232A6">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fr-BE"/>
        </w:rPr>
        <w:t>COM(2018) 234.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A6" w:rsidRPr="003232A6" w:rsidRDefault="003232A6" w:rsidP="003232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A6" w:rsidRPr="003232A6" w:rsidRDefault="003232A6" w:rsidP="003232A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A6" w:rsidRPr="003232A6" w:rsidRDefault="003232A6" w:rsidP="003232A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6B" w:rsidRDefault="00A7566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6B" w:rsidRDefault="00A7566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66B" w:rsidRDefault="00A756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DD224C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Times New Roman" w:hAnsi="Times New Roman" w:cs="Times New Roman" w:hint="default"/>
        <w:b/>
        <w:i w:val="0"/>
        <w:sz w:val="24"/>
        <w:szCs w:val="24"/>
      </w:rPr>
    </w:lvl>
    <w:lvl w:ilvl="2">
      <w:start w:val="1"/>
      <w:numFmt w:val="decimal"/>
      <w:lvlText w:val="%2.%3"/>
      <w:lvlJc w:val="left"/>
      <w:pPr>
        <w:tabs>
          <w:tab w:val="num" w:pos="720"/>
        </w:tabs>
        <w:ind w:left="720" w:hanging="720"/>
      </w:pPr>
      <w:rPr>
        <w:rFonts w:ascii="Times New Roman" w:hAnsi="Times New Roman" w:cs="Times New Roman" w:hint="default"/>
        <w:b/>
        <w:i/>
        <w:sz w:val="24"/>
        <w:szCs w:val="24"/>
      </w:rPr>
    </w:lvl>
    <w:lvl w:ilvl="3">
      <w:start w:val="1"/>
      <w:numFmt w:val="bullet"/>
      <w:pStyle w:val="Heading4"/>
      <w:lvlText w:val=""/>
      <w:lvlJc w:val="left"/>
      <w:pPr>
        <w:tabs>
          <w:tab w:val="num" w:pos="1440"/>
        </w:tabs>
        <w:ind w:left="1440" w:hanging="720"/>
      </w:pPr>
      <w:rPr>
        <w:rFonts w:ascii="Symbol" w:hAnsi="Symbol" w:hint="default"/>
        <w:b w:val="0"/>
        <w:i w:val="0"/>
        <w:sz w:val="24"/>
        <w:szCs w:val="24"/>
      </w:rPr>
    </w:lvl>
    <w:lvl w:ilvl="4">
      <w:start w:val="1"/>
      <w:numFmt w:val="lowerRoman"/>
      <w:pStyle w:val="Heading5"/>
      <w:lvlText w:val="(%5)"/>
      <w:lvlJc w:val="left"/>
      <w:pPr>
        <w:tabs>
          <w:tab w:val="num" w:pos="2160"/>
        </w:tabs>
        <w:ind w:left="2160" w:hanging="720"/>
      </w:pPr>
      <w:rPr>
        <w:rFonts w:ascii="Times New Roman" w:hAnsi="Times New Roman" w:cs="Times New Roman" w:hint="default"/>
        <w:b w:val="0"/>
        <w:i w:val="0"/>
        <w:sz w:val="24"/>
        <w:szCs w:val="24"/>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
    <w:nsid w:val="012A4457"/>
    <w:multiLevelType w:val="hybridMultilevel"/>
    <w:tmpl w:val="4F9A17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88E6A48"/>
    <w:multiLevelType w:val="hybridMultilevel"/>
    <w:tmpl w:val="1DBC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FD4E16"/>
    <w:multiLevelType w:val="hybridMultilevel"/>
    <w:tmpl w:val="CBE008A2"/>
    <w:lvl w:ilvl="0" w:tplc="08090011">
      <w:start w:val="1"/>
      <w:numFmt w:val="decimal"/>
      <w:lvlText w:val="%1)"/>
      <w:lvlJc w:val="left"/>
      <w:pPr>
        <w:ind w:left="786"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
    <w:nsid w:val="0BB26B5F"/>
    <w:multiLevelType w:val="hybridMultilevel"/>
    <w:tmpl w:val="E708D114"/>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257DC2"/>
    <w:multiLevelType w:val="hybridMultilevel"/>
    <w:tmpl w:val="98A45C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D7F6B3E"/>
    <w:multiLevelType w:val="hybridMultilevel"/>
    <w:tmpl w:val="1012CD62"/>
    <w:lvl w:ilvl="0" w:tplc="49B631B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49106A"/>
    <w:multiLevelType w:val="hybridMultilevel"/>
    <w:tmpl w:val="9296FE22"/>
    <w:lvl w:ilvl="0" w:tplc="56880AD0">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50879FD"/>
    <w:multiLevelType w:val="hybridMultilevel"/>
    <w:tmpl w:val="D76E5618"/>
    <w:lvl w:ilvl="0" w:tplc="56880AD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C3B2E30"/>
    <w:multiLevelType w:val="hybridMultilevel"/>
    <w:tmpl w:val="5816D9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8C6947"/>
    <w:multiLevelType w:val="hybridMultilevel"/>
    <w:tmpl w:val="275C47AA"/>
    <w:lvl w:ilvl="0" w:tplc="E29637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DF5FBD"/>
    <w:multiLevelType w:val="hybridMultilevel"/>
    <w:tmpl w:val="57664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0906CDF"/>
    <w:multiLevelType w:val="hybridMultilevel"/>
    <w:tmpl w:val="96084F2E"/>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14F7EAB"/>
    <w:multiLevelType w:val="hybridMultilevel"/>
    <w:tmpl w:val="1632DC8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B24398E"/>
    <w:multiLevelType w:val="hybridMultilevel"/>
    <w:tmpl w:val="75F8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D94993"/>
    <w:multiLevelType w:val="hybridMultilevel"/>
    <w:tmpl w:val="8294061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36576A"/>
    <w:multiLevelType w:val="hybridMultilevel"/>
    <w:tmpl w:val="6A7813AA"/>
    <w:lvl w:ilvl="0" w:tplc="E29637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A06B3F"/>
    <w:multiLevelType w:val="hybridMultilevel"/>
    <w:tmpl w:val="56AC76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4805631"/>
    <w:multiLevelType w:val="hybridMultilevel"/>
    <w:tmpl w:val="08E6DD5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53D2780"/>
    <w:multiLevelType w:val="hybridMultilevel"/>
    <w:tmpl w:val="1C728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782587"/>
    <w:multiLevelType w:val="hybridMultilevel"/>
    <w:tmpl w:val="D33A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8C782E"/>
    <w:multiLevelType w:val="hybridMultilevel"/>
    <w:tmpl w:val="B720F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F30B8A"/>
    <w:multiLevelType w:val="hybridMultilevel"/>
    <w:tmpl w:val="BBD443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DBB3DC7"/>
    <w:multiLevelType w:val="hybridMultilevel"/>
    <w:tmpl w:val="584482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57BF7521"/>
    <w:multiLevelType w:val="hybridMultilevel"/>
    <w:tmpl w:val="B2AE7432"/>
    <w:lvl w:ilvl="0" w:tplc="8408D04A">
      <w:numFmt w:val="bullet"/>
      <w:lvlText w:val="-"/>
      <w:lvlJc w:val="left"/>
      <w:pPr>
        <w:ind w:left="360" w:hanging="360"/>
      </w:pPr>
      <w:rPr>
        <w:rFonts w:ascii="Calibri" w:eastAsiaTheme="minorHAnsi" w:hAnsi="Calibri" w:cs="Calibri" w:hint="default"/>
      </w:rPr>
    </w:lvl>
    <w:lvl w:ilvl="1" w:tplc="D0F4BB6C">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8AC0B55"/>
    <w:multiLevelType w:val="hybridMultilevel"/>
    <w:tmpl w:val="F020C23E"/>
    <w:lvl w:ilvl="0" w:tplc="08090017">
      <w:start w:val="1"/>
      <w:numFmt w:val="lowerLetter"/>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6">
    <w:nsid w:val="5B3973BF"/>
    <w:multiLevelType w:val="hybridMultilevel"/>
    <w:tmpl w:val="767AAFDE"/>
    <w:lvl w:ilvl="0" w:tplc="D0F4BB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E732505"/>
    <w:multiLevelType w:val="hybridMultilevel"/>
    <w:tmpl w:val="E37CC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B044431"/>
    <w:multiLevelType w:val="hybridMultilevel"/>
    <w:tmpl w:val="AE5E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FE2D66"/>
    <w:multiLevelType w:val="hybridMultilevel"/>
    <w:tmpl w:val="CBC834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6944FE3"/>
    <w:multiLevelType w:val="hybridMultilevel"/>
    <w:tmpl w:val="ECAC2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7472CC9"/>
    <w:multiLevelType w:val="hybridMultilevel"/>
    <w:tmpl w:val="49467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A475421"/>
    <w:multiLevelType w:val="hybridMultilevel"/>
    <w:tmpl w:val="79728134"/>
    <w:lvl w:ilvl="0" w:tplc="50C4C618">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BEF5024"/>
    <w:multiLevelType w:val="hybridMultilevel"/>
    <w:tmpl w:val="90A696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F6507A6"/>
    <w:multiLevelType w:val="hybridMultilevel"/>
    <w:tmpl w:val="A5ECD776"/>
    <w:lvl w:ilvl="0" w:tplc="E29637BC">
      <w:start w:val="1"/>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34"/>
  </w:num>
  <w:num w:numId="3">
    <w:abstractNumId w:val="7"/>
  </w:num>
  <w:num w:numId="4">
    <w:abstractNumId w:val="10"/>
  </w:num>
  <w:num w:numId="5">
    <w:abstractNumId w:val="8"/>
  </w:num>
  <w:num w:numId="6">
    <w:abstractNumId w:val="26"/>
  </w:num>
  <w:num w:numId="7">
    <w:abstractNumId w:val="18"/>
  </w:num>
  <w:num w:numId="8">
    <w:abstractNumId w:val="13"/>
  </w:num>
  <w:num w:numId="9">
    <w:abstractNumId w:val="24"/>
  </w:num>
  <w:num w:numId="10">
    <w:abstractNumId w:val="12"/>
  </w:num>
  <w:num w:numId="11">
    <w:abstractNumId w:val="5"/>
  </w:num>
  <w:num w:numId="12">
    <w:abstractNumId w:val="14"/>
  </w:num>
  <w:num w:numId="13">
    <w:abstractNumId w:val="31"/>
  </w:num>
  <w:num w:numId="14">
    <w:abstractNumId w:val="27"/>
  </w:num>
  <w:num w:numId="15">
    <w:abstractNumId w:val="32"/>
  </w:num>
  <w:num w:numId="16">
    <w:abstractNumId w:val="25"/>
  </w:num>
  <w:num w:numId="17">
    <w:abstractNumId w:val="20"/>
  </w:num>
  <w:num w:numId="18">
    <w:abstractNumId w:val="21"/>
  </w:num>
  <w:num w:numId="19">
    <w:abstractNumId w:val="1"/>
  </w:num>
  <w:num w:numId="20">
    <w:abstractNumId w:val="9"/>
  </w:num>
  <w:num w:numId="21">
    <w:abstractNumId w:val="29"/>
  </w:num>
  <w:num w:numId="22">
    <w:abstractNumId w:val="15"/>
  </w:num>
  <w:num w:numId="23">
    <w:abstractNumId w:val="16"/>
  </w:num>
  <w:num w:numId="24">
    <w:abstractNumId w:val="6"/>
  </w:num>
  <w:num w:numId="25">
    <w:abstractNumId w:val="2"/>
  </w:num>
  <w:num w:numId="26">
    <w:abstractNumId w:val="17"/>
  </w:num>
  <w:num w:numId="27">
    <w:abstractNumId w:val="30"/>
  </w:num>
  <w:num w:numId="28">
    <w:abstractNumId w:val="22"/>
  </w:num>
  <w:num w:numId="29">
    <w:abstractNumId w:val="4"/>
  </w:num>
  <w:num w:numId="30">
    <w:abstractNumId w:val="19"/>
  </w:num>
  <w:num w:numId="31">
    <w:abstractNumId w:val="33"/>
  </w:num>
  <w:num w:numId="32">
    <w:abstractNumId w:val="11"/>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ENIER Patrick (RTD)">
    <w15:presenceInfo w15:providerId="None" w15:userId="BRENIER Patrick (R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1"/>
  <w:activeWritingStyle w:appName="MSWord" w:lang="de-CH" w:vendorID="64" w:dllVersion="131078" w:nlCheck="1" w:checkStyle="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E8EAE73-0710-43D2-BC84-A7D701557915"/>
    <w:docVar w:name="LW_COVERPAGE_TYPE" w:val="1"/>
    <w:docVar w:name="LW_CROSSREFERENCE" w:val="{SWD(2018) 125 final}"/>
    <w:docVar w:name="LW_DocType" w:val="NORMAL"/>
    <w:docVar w:name="LW_EMISSION" w:val="25.4.2018"/>
    <w:docVar w:name="LW_EMISSION_ISODATE" w:val="2018-04-25"/>
    <w:docVar w:name="LW_EMISSION_LOCATION" w:val="BRX"/>
    <w:docVar w:name="LW_EMISSION_PREFIX" w:val="Brussels,"/>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2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quot;Towards a common European data space&quot;"/>
    <w:docVar w:name="LW_TYPE.DOC.CP" w:val="COMMUNICATION FROM THE COMMISSION TO THE EUROPEAN PARLIAMENT, THE COUNCIL, THE EUROPEAN ECONOMIC AND SOCIAL COMMITTEE AND THE COMMITTEE OF THE REGIONS"/>
    <w:docVar w:name="LW_TYPE.DOC.CP.USERTEXT" w:val="&lt;EMPTY&gt;"/>
  </w:docVars>
  <w:rsids>
    <w:rsidRoot w:val="00A7566B"/>
    <w:rsid w:val="003232A6"/>
    <w:rsid w:val="00A756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34"/>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4">
    <w:name w:val="heading 4"/>
    <w:basedOn w:val="Normal"/>
    <w:next w:val="Normal"/>
    <w:link w:val="Heading4Char"/>
    <w:qFormat/>
    <w:pPr>
      <w:numPr>
        <w:ilvl w:val="3"/>
        <w:numId w:val="34"/>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34"/>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34"/>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34"/>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34"/>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34"/>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0"/>
      </w:numPr>
      <w:spacing w:after="120" w:line="256" w:lineRule="auto"/>
    </w:pPr>
    <w:rPr>
      <w:color w:val="595959" w:themeColor="text1" w:themeTint="A6"/>
      <w:sz w:val="30"/>
      <w:szCs w:val="30"/>
      <w:lang w:val="en-US"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34"/>
      </w:numPr>
      <w:overflowPunct w:val="0"/>
      <w:autoSpaceDE w:val="0"/>
      <w:autoSpaceDN w:val="0"/>
      <w:adjustRightInd w:val="0"/>
      <w:spacing w:after="270" w:line="240" w:lineRule="exact"/>
      <w:textAlignment w:val="baseline"/>
      <w:outlineLvl w:val="0"/>
    </w:pPr>
    <w:rPr>
      <w:rFonts w:ascii="Times New Roman" w:eastAsia="Times New Roman" w:hAnsi="Times New Roman" w:cs="Arial"/>
      <w:b/>
      <w:kern w:val="28"/>
      <w:sz w:val="28"/>
      <w:szCs w:val="20"/>
    </w:rPr>
  </w:style>
  <w:style w:type="paragraph" w:styleId="Heading4">
    <w:name w:val="heading 4"/>
    <w:basedOn w:val="Normal"/>
    <w:next w:val="Normal"/>
    <w:link w:val="Heading4Char"/>
    <w:qFormat/>
    <w:pPr>
      <w:numPr>
        <w:ilvl w:val="3"/>
        <w:numId w:val="34"/>
      </w:numPr>
      <w:overflowPunct w:val="0"/>
      <w:autoSpaceDE w:val="0"/>
      <w:autoSpaceDN w:val="0"/>
      <w:adjustRightInd w:val="0"/>
      <w:spacing w:after="270" w:line="240" w:lineRule="exact"/>
      <w:jc w:val="both"/>
      <w:textAlignment w:val="baseline"/>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pPr>
      <w:numPr>
        <w:ilvl w:val="4"/>
        <w:numId w:val="34"/>
      </w:numPr>
      <w:overflowPunct w:val="0"/>
      <w:autoSpaceDE w:val="0"/>
      <w:autoSpaceDN w:val="0"/>
      <w:adjustRightInd w:val="0"/>
      <w:spacing w:after="270" w:line="240" w:lineRule="exact"/>
      <w:jc w:val="both"/>
      <w:textAlignment w:val="baseline"/>
      <w:outlineLvl w:val="4"/>
    </w:pPr>
    <w:rPr>
      <w:rFonts w:ascii="Arial" w:eastAsia="Times New Roman" w:hAnsi="Arial" w:cs="Arial"/>
      <w:sz w:val="20"/>
      <w:szCs w:val="20"/>
    </w:rPr>
  </w:style>
  <w:style w:type="paragraph" w:styleId="Heading6">
    <w:name w:val="heading 6"/>
    <w:basedOn w:val="Normal"/>
    <w:next w:val="Normal"/>
    <w:link w:val="Heading6Char"/>
    <w:qFormat/>
    <w:pPr>
      <w:numPr>
        <w:ilvl w:val="5"/>
        <w:numId w:val="34"/>
      </w:numPr>
      <w:overflowPunct w:val="0"/>
      <w:autoSpaceDE w:val="0"/>
      <w:autoSpaceDN w:val="0"/>
      <w:adjustRightInd w:val="0"/>
      <w:spacing w:after="270" w:line="240" w:lineRule="exact"/>
      <w:jc w:val="both"/>
      <w:textAlignment w:val="baseline"/>
      <w:outlineLvl w:val="5"/>
    </w:pPr>
    <w:rPr>
      <w:rFonts w:ascii="Arial" w:eastAsia="Times New Roman" w:hAnsi="Arial" w:cs="Arial"/>
      <w:sz w:val="20"/>
      <w:szCs w:val="20"/>
    </w:rPr>
  </w:style>
  <w:style w:type="paragraph" w:styleId="Heading7">
    <w:name w:val="heading 7"/>
    <w:basedOn w:val="Normal"/>
    <w:next w:val="Normal"/>
    <w:link w:val="Heading7Char"/>
    <w:qFormat/>
    <w:pPr>
      <w:numPr>
        <w:ilvl w:val="6"/>
        <w:numId w:val="34"/>
      </w:numPr>
      <w:overflowPunct w:val="0"/>
      <w:autoSpaceDE w:val="0"/>
      <w:autoSpaceDN w:val="0"/>
      <w:adjustRightInd w:val="0"/>
      <w:spacing w:before="240" w:after="60" w:line="240" w:lineRule="exact"/>
      <w:jc w:val="both"/>
      <w:textAlignment w:val="baseline"/>
      <w:outlineLvl w:val="6"/>
    </w:pPr>
    <w:rPr>
      <w:rFonts w:ascii="Arial" w:eastAsia="Times New Roman" w:hAnsi="Arial" w:cs="Arial"/>
      <w:sz w:val="20"/>
      <w:szCs w:val="20"/>
    </w:rPr>
  </w:style>
  <w:style w:type="paragraph" w:styleId="Heading8">
    <w:name w:val="heading 8"/>
    <w:basedOn w:val="Normal"/>
    <w:next w:val="Normal"/>
    <w:link w:val="Heading8Char"/>
    <w:qFormat/>
    <w:pPr>
      <w:numPr>
        <w:ilvl w:val="7"/>
        <w:numId w:val="34"/>
      </w:numPr>
      <w:overflowPunct w:val="0"/>
      <w:autoSpaceDE w:val="0"/>
      <w:autoSpaceDN w:val="0"/>
      <w:adjustRightInd w:val="0"/>
      <w:spacing w:before="240" w:after="60" w:line="240" w:lineRule="exact"/>
      <w:jc w:val="both"/>
      <w:textAlignment w:val="baseline"/>
      <w:outlineLvl w:val="7"/>
    </w:pPr>
    <w:rPr>
      <w:rFonts w:ascii="Arial" w:eastAsia="Times New Roman" w:hAnsi="Arial" w:cs="Arial"/>
      <w:i/>
      <w:sz w:val="20"/>
      <w:szCs w:val="20"/>
    </w:rPr>
  </w:style>
  <w:style w:type="paragraph" w:styleId="Heading9">
    <w:name w:val="heading 9"/>
    <w:basedOn w:val="Normal"/>
    <w:next w:val="Normal"/>
    <w:link w:val="Heading9Char"/>
    <w:qFormat/>
    <w:pPr>
      <w:numPr>
        <w:ilvl w:val="8"/>
        <w:numId w:val="34"/>
      </w:numPr>
      <w:overflowPunct w:val="0"/>
      <w:autoSpaceDE w:val="0"/>
      <w:autoSpaceDN w:val="0"/>
      <w:adjustRightInd w:val="0"/>
      <w:spacing w:before="240" w:after="60" w:line="240" w:lineRule="exact"/>
      <w:jc w:val="both"/>
      <w:textAlignment w:val="baseline"/>
      <w:outlineLvl w:val="8"/>
    </w:pPr>
    <w:rPr>
      <w:rFonts w:ascii="Arial" w:eastAsia="Times New Roman" w:hAnsi="Arial" w:cs="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aliases w:val="Normal bullet 2,Bullet list,Numbered List,List Paragraph1,1st level - Bullet List Paragraph,Lettre d'introduction,Paragrafo elenco,Fiche List Paragraph,Task Body,Viñetas (Inicio Parrafo),3 Txt tabla,Zerrenda-paragrafoa,Dot pt"/>
    <w:basedOn w:val="Normal"/>
    <w:link w:val="ListParagraphChar"/>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ußnoten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Cond Pro" w:hAnsi="EC Square Sans Cond Pro" w:cs="EC Square Sans Cond Pro"/>
      <w:color w:val="000000"/>
      <w:sz w:val="24"/>
      <w:szCs w:val="24"/>
    </w:rPr>
  </w:style>
  <w:style w:type="paragraph" w:customStyle="1" w:styleId="Source">
    <w:name w:val="Source"/>
    <w:basedOn w:val="Normal"/>
    <w:link w:val="SourceChar"/>
    <w:qFormat/>
    <w:pPr>
      <w:spacing w:before="60" w:after="110" w:line="220" w:lineRule="exact"/>
      <w:ind w:left="357" w:right="2160"/>
      <w:jc w:val="both"/>
    </w:pPr>
    <w:rPr>
      <w:rFonts w:ascii="Arial" w:hAnsi="Arial" w:cs="Arial"/>
      <w:sz w:val="18"/>
      <w:szCs w:val="18"/>
    </w:rPr>
  </w:style>
  <w:style w:type="character" w:customStyle="1" w:styleId="SourceChar">
    <w:name w:val="Source Char"/>
    <w:basedOn w:val="DefaultParagraphFont"/>
    <w:link w:val="Source"/>
    <w:rPr>
      <w:rFonts w:ascii="Arial" w:hAnsi="Arial" w:cs="Arial"/>
      <w:sz w:val="18"/>
      <w:szCs w:val="18"/>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white-space">
    <w:name w:val="white-space"/>
  </w:style>
  <w:style w:type="character" w:styleId="Hyperlink">
    <w:name w:val="Hyperlink"/>
    <w:basedOn w:val="DefaultParagraphFont"/>
    <w:uiPriority w:val="99"/>
    <w:unhideWhenUsed/>
    <w:rPr>
      <w:color w:val="0000FF" w:themeColor="hyperlink"/>
      <w:u w:val="single"/>
    </w:rPr>
  </w:style>
  <w:style w:type="character" w:customStyle="1" w:styleId="bumpedfont15">
    <w:name w:val="bumpedfont15"/>
    <w:basedOn w:val="DefaultParagraphFont"/>
  </w:style>
  <w:style w:type="paragraph" w:styleId="ListBullet">
    <w:name w:val="List Bullet"/>
    <w:basedOn w:val="Normal"/>
    <w:uiPriority w:val="9"/>
    <w:unhideWhenUsed/>
    <w:qFormat/>
    <w:pPr>
      <w:numPr>
        <w:numId w:val="10"/>
      </w:numPr>
      <w:spacing w:after="120" w:line="256" w:lineRule="auto"/>
    </w:pPr>
    <w:rPr>
      <w:color w:val="595959" w:themeColor="text1" w:themeTint="A6"/>
      <w:sz w:val="30"/>
      <w:szCs w:val="30"/>
      <w:lang w:val="en-US"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pPr>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noteReferenceSuperscriptZchn">
    <w:name w:val="Footnote Reference Superscript Zchn"/>
    <w:aliases w:val="BVI fnr Zchn, BVI fnr Zchn,Footnote symbol Zchn,Footnote reference number Zchn,note TESI Zchn,Appel note de bas de p Zchn,Nota Zchn,SUPERS Zchn,Footnote number Zchn,EN Footnote Reference Zchn"/>
    <w:basedOn w:val="Normal"/>
    <w:uiPriority w:val="99"/>
    <w:pPr>
      <w:spacing w:after="160" w:line="240" w:lineRule="exact"/>
      <w:jc w:val="both"/>
    </w:pPr>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ListParagraphChar">
    <w:name w:val="List Paragraph Char"/>
    <w:aliases w:val="Normal bullet 2 Char,Bullet list Char,Numbered List Char,List Paragraph1 Char,1st level - Bullet List Paragraph Char,Lettre d'introduction Char,Paragrafo elenco Char,Fiche List Paragraph Char,Task Body Char,3 Txt tabla Char"/>
    <w:basedOn w:val="DefaultParagraphFont"/>
    <w:link w:val="ListParagraph"/>
    <w:uiPriority w:val="34"/>
    <w:qFormat/>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character" w:customStyle="1" w:styleId="st1">
    <w:name w:val="st1"/>
    <w:basedOn w:val="DefaultParagraphFont"/>
  </w:style>
  <w:style w:type="character" w:customStyle="1" w:styleId="Heading1Char">
    <w:name w:val="Heading 1 Char"/>
    <w:basedOn w:val="DefaultParagraphFont"/>
    <w:link w:val="Heading1"/>
    <w:rPr>
      <w:rFonts w:ascii="Times New Roman" w:eastAsia="Times New Roman" w:hAnsi="Times New Roman" w:cs="Arial"/>
      <w:b/>
      <w:kern w:val="28"/>
      <w:sz w:val="28"/>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4"/>
    </w:rPr>
  </w:style>
  <w:style w:type="character" w:customStyle="1" w:styleId="Heading5Char">
    <w:name w:val="Heading 5 Char"/>
    <w:basedOn w:val="DefaultParagraphFont"/>
    <w:link w:val="Heading5"/>
    <w:rPr>
      <w:rFonts w:ascii="Arial" w:eastAsia="Times New Roman" w:hAnsi="Arial" w:cs="Arial"/>
      <w:sz w:val="20"/>
      <w:szCs w:val="20"/>
    </w:rPr>
  </w:style>
  <w:style w:type="character" w:customStyle="1" w:styleId="Heading6Char">
    <w:name w:val="Heading 6 Char"/>
    <w:basedOn w:val="DefaultParagraphFont"/>
    <w:link w:val="Heading6"/>
    <w:rPr>
      <w:rFonts w:ascii="Arial" w:eastAsia="Times New Roman" w:hAnsi="Arial" w:cs="Arial"/>
      <w:sz w:val="20"/>
      <w:szCs w:val="20"/>
    </w:rPr>
  </w:style>
  <w:style w:type="character" w:customStyle="1" w:styleId="Heading7Char">
    <w:name w:val="Heading 7 Char"/>
    <w:basedOn w:val="DefaultParagraphFont"/>
    <w:link w:val="Heading7"/>
    <w:rPr>
      <w:rFonts w:ascii="Arial" w:eastAsia="Times New Roman" w:hAnsi="Arial" w:cs="Arial"/>
      <w:sz w:val="20"/>
      <w:szCs w:val="20"/>
    </w:rPr>
  </w:style>
  <w:style w:type="character" w:customStyle="1" w:styleId="Heading8Char">
    <w:name w:val="Heading 8 Char"/>
    <w:basedOn w:val="DefaultParagraphFont"/>
    <w:link w:val="Heading8"/>
    <w:rPr>
      <w:rFonts w:ascii="Arial" w:eastAsia="Times New Roman" w:hAnsi="Arial" w:cs="Arial"/>
      <w:i/>
      <w:sz w:val="20"/>
      <w:szCs w:val="20"/>
    </w:rPr>
  </w:style>
  <w:style w:type="character" w:customStyle="1" w:styleId="Heading9Char">
    <w:name w:val="Heading 9 Char"/>
    <w:basedOn w:val="DefaultParagraphFont"/>
    <w:link w:val="Heading9"/>
    <w:rPr>
      <w:rFonts w:ascii="Arial" w:eastAsia="Times New Roman" w:hAnsi="Arial" w:cs="Arial"/>
      <w:b/>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4000">
      <w:bodyDiv w:val="1"/>
      <w:marLeft w:val="0"/>
      <w:marRight w:val="0"/>
      <w:marTop w:val="0"/>
      <w:marBottom w:val="0"/>
      <w:divBdr>
        <w:top w:val="none" w:sz="0" w:space="0" w:color="auto"/>
        <w:left w:val="none" w:sz="0" w:space="0" w:color="auto"/>
        <w:bottom w:val="none" w:sz="0" w:space="0" w:color="auto"/>
        <w:right w:val="none" w:sz="0" w:space="0" w:color="auto"/>
      </w:divBdr>
    </w:div>
    <w:div w:id="179899183">
      <w:bodyDiv w:val="1"/>
      <w:marLeft w:val="0"/>
      <w:marRight w:val="0"/>
      <w:marTop w:val="0"/>
      <w:marBottom w:val="0"/>
      <w:divBdr>
        <w:top w:val="none" w:sz="0" w:space="0" w:color="auto"/>
        <w:left w:val="none" w:sz="0" w:space="0" w:color="auto"/>
        <w:bottom w:val="none" w:sz="0" w:space="0" w:color="auto"/>
        <w:right w:val="none" w:sz="0" w:space="0" w:color="auto"/>
      </w:divBdr>
    </w:div>
    <w:div w:id="308675609">
      <w:bodyDiv w:val="1"/>
      <w:marLeft w:val="0"/>
      <w:marRight w:val="0"/>
      <w:marTop w:val="0"/>
      <w:marBottom w:val="0"/>
      <w:divBdr>
        <w:top w:val="none" w:sz="0" w:space="0" w:color="auto"/>
        <w:left w:val="none" w:sz="0" w:space="0" w:color="auto"/>
        <w:bottom w:val="none" w:sz="0" w:space="0" w:color="auto"/>
        <w:right w:val="none" w:sz="0" w:space="0" w:color="auto"/>
      </w:divBdr>
    </w:div>
    <w:div w:id="328948068">
      <w:bodyDiv w:val="1"/>
      <w:marLeft w:val="0"/>
      <w:marRight w:val="0"/>
      <w:marTop w:val="0"/>
      <w:marBottom w:val="0"/>
      <w:divBdr>
        <w:top w:val="none" w:sz="0" w:space="0" w:color="auto"/>
        <w:left w:val="none" w:sz="0" w:space="0" w:color="auto"/>
        <w:bottom w:val="none" w:sz="0" w:space="0" w:color="auto"/>
        <w:right w:val="none" w:sz="0" w:space="0" w:color="auto"/>
      </w:divBdr>
    </w:div>
    <w:div w:id="628702272">
      <w:bodyDiv w:val="1"/>
      <w:marLeft w:val="0"/>
      <w:marRight w:val="0"/>
      <w:marTop w:val="0"/>
      <w:marBottom w:val="0"/>
      <w:divBdr>
        <w:top w:val="none" w:sz="0" w:space="0" w:color="auto"/>
        <w:left w:val="none" w:sz="0" w:space="0" w:color="auto"/>
        <w:bottom w:val="none" w:sz="0" w:space="0" w:color="auto"/>
        <w:right w:val="none" w:sz="0" w:space="0" w:color="auto"/>
      </w:divBdr>
    </w:div>
    <w:div w:id="907768851">
      <w:bodyDiv w:val="1"/>
      <w:marLeft w:val="0"/>
      <w:marRight w:val="0"/>
      <w:marTop w:val="0"/>
      <w:marBottom w:val="0"/>
      <w:divBdr>
        <w:top w:val="none" w:sz="0" w:space="0" w:color="auto"/>
        <w:left w:val="none" w:sz="0" w:space="0" w:color="auto"/>
        <w:bottom w:val="none" w:sz="0" w:space="0" w:color="auto"/>
        <w:right w:val="none" w:sz="0" w:space="0" w:color="auto"/>
      </w:divBdr>
    </w:div>
    <w:div w:id="1136752197">
      <w:bodyDiv w:val="1"/>
      <w:marLeft w:val="0"/>
      <w:marRight w:val="0"/>
      <w:marTop w:val="0"/>
      <w:marBottom w:val="0"/>
      <w:divBdr>
        <w:top w:val="none" w:sz="0" w:space="0" w:color="auto"/>
        <w:left w:val="none" w:sz="0" w:space="0" w:color="auto"/>
        <w:bottom w:val="none" w:sz="0" w:space="0" w:color="auto"/>
        <w:right w:val="none" w:sz="0" w:space="0" w:color="auto"/>
      </w:divBdr>
    </w:div>
    <w:div w:id="1229731148">
      <w:bodyDiv w:val="1"/>
      <w:marLeft w:val="0"/>
      <w:marRight w:val="0"/>
      <w:marTop w:val="0"/>
      <w:marBottom w:val="0"/>
      <w:divBdr>
        <w:top w:val="none" w:sz="0" w:space="0" w:color="auto"/>
        <w:left w:val="none" w:sz="0" w:space="0" w:color="auto"/>
        <w:bottom w:val="none" w:sz="0" w:space="0" w:color="auto"/>
        <w:right w:val="none" w:sz="0" w:space="0" w:color="auto"/>
      </w:divBdr>
    </w:div>
    <w:div w:id="1513177518">
      <w:bodyDiv w:val="1"/>
      <w:marLeft w:val="0"/>
      <w:marRight w:val="0"/>
      <w:marTop w:val="0"/>
      <w:marBottom w:val="0"/>
      <w:divBdr>
        <w:top w:val="none" w:sz="0" w:space="0" w:color="auto"/>
        <w:left w:val="none" w:sz="0" w:space="0" w:color="auto"/>
        <w:bottom w:val="none" w:sz="0" w:space="0" w:color="auto"/>
        <w:right w:val="none" w:sz="0" w:space="0" w:color="auto"/>
      </w:divBdr>
    </w:div>
    <w:div w:id="1622691749">
      <w:bodyDiv w:val="1"/>
      <w:marLeft w:val="0"/>
      <w:marRight w:val="0"/>
      <w:marTop w:val="0"/>
      <w:marBottom w:val="0"/>
      <w:divBdr>
        <w:top w:val="none" w:sz="0" w:space="0" w:color="auto"/>
        <w:left w:val="none" w:sz="0" w:space="0" w:color="auto"/>
        <w:bottom w:val="none" w:sz="0" w:space="0" w:color="auto"/>
        <w:right w:val="none" w:sz="0" w:space="0" w:color="auto"/>
      </w:divBdr>
      <w:divsChild>
        <w:div w:id="1209805642">
          <w:marLeft w:val="0"/>
          <w:marRight w:val="0"/>
          <w:marTop w:val="0"/>
          <w:marBottom w:val="0"/>
          <w:divBdr>
            <w:top w:val="none" w:sz="0" w:space="0" w:color="auto"/>
            <w:left w:val="none" w:sz="0" w:space="0" w:color="auto"/>
            <w:bottom w:val="none" w:sz="0" w:space="0" w:color="auto"/>
            <w:right w:val="none" w:sz="0" w:space="0" w:color="auto"/>
          </w:divBdr>
          <w:divsChild>
            <w:div w:id="817186726">
              <w:marLeft w:val="0"/>
              <w:marRight w:val="0"/>
              <w:marTop w:val="0"/>
              <w:marBottom w:val="0"/>
              <w:divBdr>
                <w:top w:val="none" w:sz="0" w:space="0" w:color="auto"/>
                <w:left w:val="none" w:sz="0" w:space="0" w:color="auto"/>
                <w:bottom w:val="none" w:sz="0" w:space="0" w:color="auto"/>
                <w:right w:val="none" w:sz="0" w:space="0" w:color="auto"/>
              </w:divBdr>
            </w:div>
          </w:divsChild>
        </w:div>
        <w:div w:id="1272204062">
          <w:marLeft w:val="0"/>
          <w:marRight w:val="0"/>
          <w:marTop w:val="0"/>
          <w:marBottom w:val="0"/>
          <w:divBdr>
            <w:top w:val="none" w:sz="0" w:space="0" w:color="auto"/>
            <w:left w:val="none" w:sz="0" w:space="0" w:color="auto"/>
            <w:bottom w:val="none" w:sz="0" w:space="0" w:color="auto"/>
            <w:right w:val="none" w:sz="0" w:space="0" w:color="auto"/>
          </w:divBdr>
          <w:divsChild>
            <w:div w:id="446002193">
              <w:marLeft w:val="0"/>
              <w:marRight w:val="0"/>
              <w:marTop w:val="0"/>
              <w:marBottom w:val="0"/>
              <w:divBdr>
                <w:top w:val="none" w:sz="0" w:space="0" w:color="auto"/>
                <w:left w:val="none" w:sz="0" w:space="0" w:color="auto"/>
                <w:bottom w:val="none" w:sz="0" w:space="0" w:color="auto"/>
                <w:right w:val="none" w:sz="0" w:space="0" w:color="auto"/>
              </w:divBdr>
              <w:divsChild>
                <w:div w:id="13310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425">
      <w:bodyDiv w:val="1"/>
      <w:marLeft w:val="0"/>
      <w:marRight w:val="0"/>
      <w:marTop w:val="0"/>
      <w:marBottom w:val="0"/>
      <w:divBdr>
        <w:top w:val="none" w:sz="0" w:space="0" w:color="auto"/>
        <w:left w:val="none" w:sz="0" w:space="0" w:color="auto"/>
        <w:bottom w:val="none" w:sz="0" w:space="0" w:color="auto"/>
        <w:right w:val="none" w:sz="0" w:space="0" w:color="auto"/>
      </w:divBdr>
    </w:div>
    <w:div w:id="1662195561">
      <w:bodyDiv w:val="1"/>
      <w:marLeft w:val="0"/>
      <w:marRight w:val="0"/>
      <w:marTop w:val="0"/>
      <w:marBottom w:val="0"/>
      <w:divBdr>
        <w:top w:val="none" w:sz="0" w:space="0" w:color="auto"/>
        <w:left w:val="none" w:sz="0" w:space="0" w:color="auto"/>
        <w:bottom w:val="none" w:sz="0" w:space="0" w:color="auto"/>
        <w:right w:val="none" w:sz="0" w:space="0" w:color="auto"/>
      </w:divBdr>
      <w:divsChild>
        <w:div w:id="1291790043">
          <w:marLeft w:val="0"/>
          <w:marRight w:val="0"/>
          <w:marTop w:val="0"/>
          <w:marBottom w:val="0"/>
          <w:divBdr>
            <w:top w:val="none" w:sz="0" w:space="0" w:color="auto"/>
            <w:left w:val="none" w:sz="0" w:space="0" w:color="auto"/>
            <w:bottom w:val="none" w:sz="0" w:space="0" w:color="auto"/>
            <w:right w:val="none" w:sz="0" w:space="0" w:color="auto"/>
          </w:divBdr>
          <w:divsChild>
            <w:div w:id="651450069">
              <w:marLeft w:val="0"/>
              <w:marRight w:val="0"/>
              <w:marTop w:val="0"/>
              <w:marBottom w:val="0"/>
              <w:divBdr>
                <w:top w:val="none" w:sz="0" w:space="0" w:color="auto"/>
                <w:left w:val="none" w:sz="0" w:space="0" w:color="auto"/>
                <w:bottom w:val="none" w:sz="0" w:space="0" w:color="auto"/>
                <w:right w:val="none" w:sz="0" w:space="0" w:color="auto"/>
              </w:divBdr>
            </w:div>
          </w:divsChild>
        </w:div>
        <w:div w:id="1905488733">
          <w:marLeft w:val="0"/>
          <w:marRight w:val="0"/>
          <w:marTop w:val="0"/>
          <w:marBottom w:val="0"/>
          <w:divBdr>
            <w:top w:val="none" w:sz="0" w:space="0" w:color="auto"/>
            <w:left w:val="none" w:sz="0" w:space="0" w:color="auto"/>
            <w:bottom w:val="none" w:sz="0" w:space="0" w:color="auto"/>
            <w:right w:val="none" w:sz="0" w:space="0" w:color="auto"/>
          </w:divBdr>
          <w:divsChild>
            <w:div w:id="407390009">
              <w:marLeft w:val="0"/>
              <w:marRight w:val="0"/>
              <w:marTop w:val="0"/>
              <w:marBottom w:val="0"/>
              <w:divBdr>
                <w:top w:val="none" w:sz="0" w:space="0" w:color="auto"/>
                <w:left w:val="none" w:sz="0" w:space="0" w:color="auto"/>
                <w:bottom w:val="none" w:sz="0" w:space="0" w:color="auto"/>
                <w:right w:val="none" w:sz="0" w:space="0" w:color="auto"/>
              </w:divBdr>
              <w:divsChild>
                <w:div w:id="5380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90358">
      <w:bodyDiv w:val="1"/>
      <w:marLeft w:val="0"/>
      <w:marRight w:val="0"/>
      <w:marTop w:val="0"/>
      <w:marBottom w:val="0"/>
      <w:divBdr>
        <w:top w:val="none" w:sz="0" w:space="0" w:color="auto"/>
        <w:left w:val="none" w:sz="0" w:space="0" w:color="auto"/>
        <w:bottom w:val="none" w:sz="0" w:space="0" w:color="auto"/>
        <w:right w:val="none" w:sz="0" w:space="0" w:color="auto"/>
      </w:divBdr>
    </w:div>
    <w:div w:id="1796024083">
      <w:bodyDiv w:val="1"/>
      <w:marLeft w:val="0"/>
      <w:marRight w:val="0"/>
      <w:marTop w:val="0"/>
      <w:marBottom w:val="0"/>
      <w:divBdr>
        <w:top w:val="none" w:sz="0" w:space="0" w:color="auto"/>
        <w:left w:val="none" w:sz="0" w:space="0" w:color="auto"/>
        <w:bottom w:val="none" w:sz="0" w:space="0" w:color="auto"/>
        <w:right w:val="none" w:sz="0" w:space="0" w:color="auto"/>
      </w:divBdr>
    </w:div>
    <w:div w:id="1850826881">
      <w:bodyDiv w:val="1"/>
      <w:marLeft w:val="0"/>
      <w:marRight w:val="0"/>
      <w:marTop w:val="0"/>
      <w:marBottom w:val="0"/>
      <w:divBdr>
        <w:top w:val="none" w:sz="0" w:space="0" w:color="auto"/>
        <w:left w:val="none" w:sz="0" w:space="0" w:color="auto"/>
        <w:bottom w:val="none" w:sz="0" w:space="0" w:color="auto"/>
        <w:right w:val="none" w:sz="0" w:space="0" w:color="auto"/>
      </w:divBdr>
    </w:div>
    <w:div w:id="2077044926">
      <w:bodyDiv w:val="1"/>
      <w:marLeft w:val="0"/>
      <w:marRight w:val="0"/>
      <w:marTop w:val="0"/>
      <w:marBottom w:val="0"/>
      <w:divBdr>
        <w:top w:val="none" w:sz="0" w:space="0" w:color="auto"/>
        <w:left w:val="none" w:sz="0" w:space="0" w:color="auto"/>
        <w:bottom w:val="none" w:sz="0" w:space="0" w:color="auto"/>
        <w:right w:val="none" w:sz="0" w:space="0" w:color="auto"/>
      </w:divBdr>
    </w:div>
    <w:div w:id="210403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play.google.com/store/apps/details?id=es.nologin.imar.android&amp;hl=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 Id="rId30"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uropeandataportal" TargetMode="External"/><Relationship Id="rId3" Type="http://schemas.openxmlformats.org/officeDocument/2006/relationships/hyperlink" Target="https://www.europeandataportal.eu/" TargetMode="External"/><Relationship Id="rId7" Type="http://schemas.openxmlformats.org/officeDocument/2006/relationships/hyperlink" Target="http://eur-lex.europa.eu/legal-content/EN/ALL/?uri=CELEX:32007L0002" TargetMode="External"/><Relationship Id="rId12" Type="http://schemas.openxmlformats.org/officeDocument/2006/relationships/hyperlink" Target="http://ec.europa.eu/research/participants/data/ref/h2020/wp/2018-2020/main/h2020-wp1820-leit-ict_en.pdf" TargetMode="External"/><Relationship Id="rId2" Type="http://schemas.openxmlformats.org/officeDocument/2006/relationships/hyperlink" Target="http://eur-lex.europa.eu/legal-content/EN/TXT/?uri=celex:32003L0098" TargetMode="External"/><Relationship Id="rId1" Type="http://schemas.openxmlformats.org/officeDocument/2006/relationships/hyperlink" Target="https://ec.europa.eu/digital-single-market/en/news/public-consultation-building-european-data-economy" TargetMode="External"/><Relationship Id="rId6" Type="http://schemas.openxmlformats.org/officeDocument/2006/relationships/hyperlink" Target="http://eur-lex.europa.eu/legal-content/EN/TXT/?uri=celex%3A31996L0009" TargetMode="External"/><Relationship Id="rId11" Type="http://schemas.openxmlformats.org/officeDocument/2006/relationships/hyperlink" Target="https://ec.europa.eu/digital-single-market/en/news/public-consultation-building-european-data-economy" TargetMode="External"/><Relationship Id="rId5" Type="http://schemas.openxmlformats.org/officeDocument/2006/relationships/hyperlink" Target="https://data.europa.eu/euodp/en/home" TargetMode="External"/><Relationship Id="rId10" Type="http://schemas.openxmlformats.org/officeDocument/2006/relationships/hyperlink" Target="https://cohesiondata.ec.europa.eu" TargetMode="External"/><Relationship Id="rId4" Type="http://schemas.openxmlformats.org/officeDocument/2006/relationships/hyperlink" Target="http://eur-lex.europa.eu/legal-content/EN/TXT/?uri=CELEX%3A32011D0833" TargetMode="External"/><Relationship Id="rId9" Type="http://schemas.openxmlformats.org/officeDocument/2006/relationships/hyperlink" Target="https://ec.europa.eu/digital-single-market/en/news/connecting-europe-facility-cef-telecom-work-programme-2018-adop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8a4779a7-a821-41bc-9264-6a7285c3b1da" xsi:nil="true"/>
    <EC_Collab_DocumentLanguage xmlns="8a4779a7-a821-41bc-9264-6a7285c3b1da">EN</EC_Collab_DocumentLanguage>
    <_dlc_DocId xmlns="866aabb8-7ec2-447a-a7ff-f911015037e7">UVNUSV5RWJH5-815657195-503</_dlc_DocId>
    <_dlc_DocIdUrl xmlns="866aabb8-7ec2-447a-a7ff-f911015037e7">
      <Url>https://myintracomm-collab.ec.europa.eu/dg/CONNECT/directorateG/UnitG1/_layouts/15/DocIdRedir.aspx?ID=UVNUSV5RWJH5-815657195-503</Url>
      <Description>UVNUSV5RWJH5-815657195-503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3CE8E76DF1EC14FB803D6FF12E6DEFF" ma:contentTypeVersion="9" ma:contentTypeDescription="Create a new document." ma:contentTypeScope="" ma:versionID="bce2b482114eb32cf30f053350693ec4">
  <xsd:schema xmlns:xsd="http://www.w3.org/2001/XMLSchema" xmlns:xs="http://www.w3.org/2001/XMLSchema" xmlns:p="http://schemas.microsoft.com/office/2006/metadata/properties" xmlns:ns3="8a4779a7-a821-41bc-9264-6a7285c3b1da" xmlns:ns4="866aabb8-7ec2-447a-a7ff-f911015037e7" targetNamespace="http://schemas.microsoft.com/office/2006/metadata/properties" ma:root="true" ma:fieldsID="4838d94350bd37eefc22bf8610b88a32" ns3:_="" ns4:_="">
    <xsd:import namespace="8a4779a7-a821-41bc-9264-6a7285c3b1da"/>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79a7-a821-41bc-9264-6a7285c3b1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1C55-F920-42E5-B66B-4364D8B0A6E7}">
  <ds:schemaRefs>
    <ds:schemaRef ds:uri="http://www.w3.org/XML/1998/namespace"/>
    <ds:schemaRef ds:uri="http://schemas.microsoft.com/office/2006/documentManagement/types"/>
    <ds:schemaRef ds:uri="http://schemas.microsoft.com/office/infopath/2007/PartnerControls"/>
    <ds:schemaRef ds:uri="866aabb8-7ec2-447a-a7ff-f911015037e7"/>
    <ds:schemaRef ds:uri="http://schemas.microsoft.com/office/2006/metadata/properties"/>
    <ds:schemaRef ds:uri="http://purl.org/dc/terms/"/>
    <ds:schemaRef ds:uri="8a4779a7-a821-41bc-9264-6a7285c3b1da"/>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CD2F0BA-B41C-4C3C-B73C-F014F74B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779a7-a821-41bc-9264-6a7285c3b1da"/>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A175B-C149-40B3-A97B-D9F93F906C97}">
  <ds:schemaRefs>
    <ds:schemaRef ds:uri="http://schemas.microsoft.com/sharepoint/events"/>
  </ds:schemaRefs>
</ds:datastoreItem>
</file>

<file path=customXml/itemProps4.xml><?xml version="1.0" encoding="utf-8"?>
<ds:datastoreItem xmlns:ds="http://schemas.openxmlformats.org/officeDocument/2006/customXml" ds:itemID="{BEF28479-C5C3-4AE8-A148-DC00C9BFFD10}">
  <ds:schemaRefs>
    <ds:schemaRef ds:uri="http://schemas.microsoft.com/sharepoint/v3/contenttype/forms"/>
  </ds:schemaRefs>
</ds:datastoreItem>
</file>

<file path=customXml/itemProps5.xml><?xml version="1.0" encoding="utf-8"?>
<ds:datastoreItem xmlns:ds="http://schemas.openxmlformats.org/officeDocument/2006/customXml" ds:itemID="{0FEB2BF6-FFC5-4168-9B89-9C768E56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5468</Words>
  <Characters>30384</Characters>
  <Application>Microsoft Office Word</Application>
  <DocSecurity>0</DocSecurity>
  <Lines>441</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Chapeau COM version for ISC</vt:lpstr>
      <vt:lpstr>Chapeau COM - version 02 08 2017 - with tc</vt:lpstr>
    </vt:vector>
  </TitlesOfParts>
  <Manager/>
  <Company/>
  <LinksUpToDate>false</LinksUpToDate>
  <CharactersWithSpaces>35805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Chapeau COM version for ISC</dc:title>
  <dc:creator/>
  <cp:lastModifiedBy>Stefanie Heilemann</cp:lastModifiedBy>
  <cp:revision>17</cp:revision>
  <cp:lastPrinted>2018-03-13T08:42:00Z</cp:lastPrinted>
  <dcterms:created xsi:type="dcterms:W3CDTF">2018-04-20T09:58:00Z</dcterms:created>
  <dcterms:modified xsi:type="dcterms:W3CDTF">2018-04-25T08:07:00Z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ontentTypeId">
    <vt:lpwstr>0x010100258AA79CEB83498886A3A086811232500033CE8E76DF1EC14FB803D6FF12E6DEFF</vt:lpwstr>
  </property>
  <property fmtid="{D5CDD505-2E9C-101B-9397-08002B2CF9AE}" pid="6" name="_dlc_DocIdItemGuid">
    <vt:lpwstr>90c1aa1b-79ed-4819-9e3d-6884d86b8a5c</vt:lpwstr>
  </property>
  <property fmtid="{D5CDD505-2E9C-101B-9397-08002B2CF9AE}" pid="7" name="Level of sensitivity">
    <vt:lpwstr>Standard treatment</vt:lpwstr>
  </property>
</Properties>
</file>