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07" w:rsidRDefault="00576A1C" w:rsidP="00576A1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EF62FB44-D868-4EB3-BA4C-E886E29B2DB4" style="width:450.55pt;height:334pt">
            <v:imagedata r:id="rId13" o:title=""/>
          </v:shape>
        </w:pict>
      </w:r>
    </w:p>
    <w:p w:rsidR="00C0328C" w:rsidRDefault="00C0328C">
      <w:pPr>
        <w:rPr>
          <w:rFonts w:ascii="Times New Roman" w:hAnsi="Times New Roman" w:cs="Times New Roman"/>
          <w:noProof/>
        </w:rPr>
        <w:sectPr w:rsidR="00C0328C" w:rsidSect="00576A1C">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bookmarkStart w:id="1" w:name="_GoBack"/>
      <w:bookmarkEnd w:id="0"/>
      <w:bookmarkEnd w:id="1"/>
    </w:p>
    <w:p w:rsidR="00C0328C" w:rsidRDefault="00576A1C">
      <w:pPr>
        <w:jc w:val="both"/>
        <w:rPr>
          <w:rFonts w:ascii="Times New Roman" w:hAnsi="Times New Roman" w:cs="Times New Roman"/>
          <w:b/>
          <w:noProof/>
          <w:sz w:val="24"/>
          <w:szCs w:val="24"/>
          <w:lang w:val="fr-BE"/>
        </w:rPr>
      </w:pPr>
      <w:r>
        <w:rPr>
          <w:rFonts w:ascii="Times New Roman" w:hAnsi="Times New Roman"/>
          <w:b/>
          <w:noProof/>
          <w:sz w:val="24"/>
          <w:lang w:val="fr-BE"/>
        </w:rPr>
        <w:lastRenderedPageBreak/>
        <w:t xml:space="preserve">1) Introduction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L’innovation fondée sur les données est un moteur essentiel de croissance et d’emploi qui peut considérablement stimuler la </w:t>
      </w:r>
      <w:r>
        <w:rPr>
          <w:rFonts w:ascii="Times New Roman" w:hAnsi="Times New Roman"/>
          <w:noProof/>
          <w:sz w:val="24"/>
          <w:lang w:val="fr-BE"/>
        </w:rPr>
        <w:t>compétitivité européenne sur le marché mondial. Si les conditions-cadres adéquates sont mises en place, l’économie européenne fondée sur les données pourrait doubler d’ici à 2020</w:t>
      </w:r>
      <w:r>
        <w:rPr>
          <w:rFonts w:ascii="Times New Roman" w:hAnsi="Times New Roman"/>
          <w:noProof/>
          <w:sz w:val="24"/>
          <w:vertAlign w:val="superscript"/>
        </w:rPr>
        <w:footnoteReference w:id="2"/>
      </w:r>
      <w:r>
        <w:rPr>
          <w:rFonts w:ascii="Times New Roman" w:hAnsi="Times New Roman"/>
          <w:noProof/>
          <w:sz w:val="24"/>
          <w:lang w:val="fr-BE"/>
        </w:rPr>
        <w:t>.</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La Commission a déjà mis en œuvre des mesures clés pour améliorer les condi</w:t>
      </w:r>
      <w:r>
        <w:rPr>
          <w:rFonts w:ascii="Times New Roman" w:hAnsi="Times New Roman"/>
          <w:noProof/>
          <w:sz w:val="24"/>
          <w:lang w:val="fr-BE"/>
        </w:rPr>
        <w:t>tions-cadres des secteurs à forte intensité de données. En adoptant le règlement général sur la protection des données</w:t>
      </w:r>
      <w:r>
        <w:rPr>
          <w:rFonts w:ascii="Times New Roman" w:hAnsi="Times New Roman"/>
          <w:noProof/>
          <w:sz w:val="24"/>
          <w:vertAlign w:val="superscript"/>
        </w:rPr>
        <w:footnoteReference w:id="3"/>
      </w:r>
      <w:r>
        <w:rPr>
          <w:rFonts w:ascii="Times New Roman" w:hAnsi="Times New Roman"/>
          <w:noProof/>
          <w:sz w:val="24"/>
          <w:lang w:val="fr-BE"/>
        </w:rPr>
        <w:t>, l’UE a établi un cadre solide pour la confiance dans le numérique, condition préalable au développement durable de l’économie fondée su</w:t>
      </w:r>
      <w:r>
        <w:rPr>
          <w:rFonts w:ascii="Times New Roman" w:hAnsi="Times New Roman"/>
          <w:noProof/>
          <w:sz w:val="24"/>
          <w:lang w:val="fr-BE"/>
        </w:rPr>
        <w:t>r les données. Ce règlement garantit un niveau élevé de protection des données. Toutes les parties concernées par les nouvelles règles, qui entreront en vigueur le 25 mai 2018, devront en assurer le strict respect. Pour jeter les bases d’un avantage concur</w:t>
      </w:r>
      <w:r>
        <w:rPr>
          <w:rFonts w:ascii="Times New Roman" w:hAnsi="Times New Roman"/>
          <w:noProof/>
          <w:sz w:val="24"/>
          <w:lang w:val="fr-BE"/>
        </w:rPr>
        <w:t>rentiel futur fondé sur des technologies des données acceptées et fiables, la libre circulation des données à caractère personnel au sein de l’UE, conférée par les règles de l’Union en matière de protection des données, sera complétée par la libre circulat</w:t>
      </w:r>
      <w:r>
        <w:rPr>
          <w:rFonts w:ascii="Times New Roman" w:hAnsi="Times New Roman"/>
          <w:noProof/>
          <w:sz w:val="24"/>
          <w:lang w:val="fr-BE"/>
        </w:rPr>
        <w:t>ion des données à caractère non personnel dans le cadre d’une proposition de règlement qui a été présentée en septembre 2017</w:t>
      </w:r>
      <w:r>
        <w:rPr>
          <w:rStyle w:val="FootnoteReference"/>
          <w:rFonts w:ascii="Times New Roman" w:hAnsi="Times New Roman"/>
          <w:noProof/>
          <w:sz w:val="24"/>
        </w:rPr>
        <w:footnoteReference w:id="4"/>
      </w:r>
      <w:r>
        <w:rPr>
          <w:rFonts w:ascii="Times New Roman" w:hAnsi="Times New Roman"/>
          <w:noProof/>
          <w:sz w:val="24"/>
          <w:lang w:val="fr-BE"/>
        </w:rPr>
        <w:t>.</w:t>
      </w:r>
    </w:p>
    <w:p w:rsidR="00C0328C" w:rsidRDefault="00576A1C">
      <w:pPr>
        <w:jc w:val="both"/>
        <w:rPr>
          <w:rFonts w:ascii="Times New Roman" w:hAnsi="Times New Roman"/>
          <w:noProof/>
          <w:sz w:val="24"/>
          <w:lang w:val="fr-BE"/>
        </w:rPr>
      </w:pPr>
      <w:r>
        <w:rPr>
          <w:rFonts w:ascii="Times New Roman" w:hAnsi="Times New Roman"/>
          <w:noProof/>
          <w:sz w:val="24"/>
          <w:lang w:val="fr-BE"/>
        </w:rPr>
        <w:t>Toutefois, de nouvelles actions sont nécessaires afin d’améliorer l’efficacité de l’utilisation des données dans l’ensemble de l’</w:t>
      </w:r>
      <w:r>
        <w:rPr>
          <w:rFonts w:ascii="Times New Roman" w:hAnsi="Times New Roman"/>
          <w:noProof/>
          <w:sz w:val="24"/>
          <w:lang w:val="fr-BE"/>
        </w:rPr>
        <w:t>Union. Dans le cadre de sa stratégie pour un marché unique numérique, la Commission a pris d’importantes mesures en ce sens. En janvier 2017, elle a publié la communication «Créer une économie européenne fondée sur les données»</w:t>
      </w:r>
      <w:r>
        <w:rPr>
          <w:rFonts w:ascii="Times New Roman" w:hAnsi="Times New Roman"/>
          <w:noProof/>
          <w:sz w:val="24"/>
          <w:vertAlign w:val="superscript"/>
        </w:rPr>
        <w:footnoteReference w:id="5"/>
      </w:r>
      <w:r>
        <w:rPr>
          <w:rFonts w:ascii="Times New Roman" w:hAnsi="Times New Roman"/>
          <w:noProof/>
          <w:sz w:val="24"/>
          <w:lang w:val="fr-BE"/>
        </w:rPr>
        <w:t>, qui a été le point de dépa</w:t>
      </w:r>
      <w:r>
        <w:rPr>
          <w:rFonts w:ascii="Times New Roman" w:hAnsi="Times New Roman"/>
          <w:noProof/>
          <w:sz w:val="24"/>
          <w:lang w:val="fr-BE"/>
        </w:rPr>
        <w:t>rt d’une vaste consultation des parties prenantes, y compris une consultation publique en ligne</w:t>
      </w:r>
      <w:r>
        <w:rPr>
          <w:rStyle w:val="FootnoteReference"/>
          <w:rFonts w:ascii="Times New Roman" w:hAnsi="Times New Roman"/>
          <w:noProof/>
          <w:sz w:val="24"/>
        </w:rPr>
        <w:footnoteReference w:id="6"/>
      </w:r>
      <w:r>
        <w:rPr>
          <w:rFonts w:ascii="Times New Roman" w:hAnsi="Times New Roman"/>
          <w:noProof/>
          <w:sz w:val="24"/>
          <w:lang w:val="fr-BE"/>
        </w:rPr>
        <w:t>. L’examen à mi-parcours ultérieur de la stratégie pour un marché unique numérique</w:t>
      </w:r>
      <w:r>
        <w:rPr>
          <w:rStyle w:val="FootnoteReference"/>
          <w:rFonts w:ascii="Times New Roman" w:hAnsi="Times New Roman"/>
          <w:noProof/>
          <w:sz w:val="24"/>
        </w:rPr>
        <w:footnoteReference w:id="7"/>
      </w:r>
      <w:r>
        <w:rPr>
          <w:rFonts w:ascii="Times New Roman" w:hAnsi="Times New Roman"/>
          <w:noProof/>
          <w:sz w:val="24"/>
          <w:lang w:val="fr-BE"/>
        </w:rPr>
        <w:t xml:space="preserve"> annonçait des initiatives sur la libre circulation des données à caractère n</w:t>
      </w:r>
      <w:r>
        <w:rPr>
          <w:rFonts w:ascii="Times New Roman" w:hAnsi="Times New Roman"/>
          <w:noProof/>
          <w:sz w:val="24"/>
          <w:lang w:val="fr-BE"/>
        </w:rPr>
        <w:t>on personnel et sur l’accessibilité et la réutilisation des données du secteur public et des données obtenues au moyen de fonds publics. Il mentionnait également de nouvelles mesures dans le domaine des données du secteur privé qui sont d’intérêt public.</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S’appuyant sur la législation en vigueur en matière de protection des données, la Commission propose à présent un train de mesures comme étape essentielle sur la voie d’un </w:t>
      </w:r>
      <w:r>
        <w:rPr>
          <w:rFonts w:ascii="Times New Roman" w:hAnsi="Times New Roman"/>
          <w:b/>
          <w:noProof/>
          <w:sz w:val="24"/>
          <w:lang w:val="fr-BE"/>
        </w:rPr>
        <w:t>espace commun de données dans l’UE</w:t>
      </w:r>
      <w:r>
        <w:rPr>
          <w:rFonts w:ascii="Times New Roman" w:hAnsi="Times New Roman"/>
          <w:noProof/>
          <w:sz w:val="24"/>
          <w:lang w:val="fr-BE"/>
        </w:rPr>
        <w:t>, un espace numérique sans frontières dont l’ample</w:t>
      </w:r>
      <w:r>
        <w:rPr>
          <w:rFonts w:ascii="Times New Roman" w:hAnsi="Times New Roman"/>
          <w:noProof/>
          <w:sz w:val="24"/>
          <w:lang w:val="fr-BE"/>
        </w:rPr>
        <w:t xml:space="preserve">ur permettra d’élaborer de nouveaux produits et services fondés sur les données. Les mesures présentées parallèlement à la présente communication sont les suivantes: </w:t>
      </w:r>
    </w:p>
    <w:p w:rsidR="00C0328C" w:rsidRDefault="00576A1C">
      <w:pPr>
        <w:pStyle w:val="ListParagraph"/>
        <w:numPr>
          <w:ilvl w:val="0"/>
          <w:numId w:val="35"/>
        </w:numPr>
        <w:jc w:val="both"/>
        <w:rPr>
          <w:rFonts w:ascii="Times New Roman" w:hAnsi="Times New Roman" w:cs="Times New Roman"/>
          <w:noProof/>
          <w:sz w:val="24"/>
          <w:szCs w:val="24"/>
          <w:lang w:val="fr-BE"/>
        </w:rPr>
      </w:pPr>
      <w:r>
        <w:rPr>
          <w:rFonts w:ascii="Times New Roman" w:hAnsi="Times New Roman"/>
          <w:noProof/>
          <w:sz w:val="24"/>
          <w:lang w:val="fr-BE"/>
        </w:rPr>
        <w:lastRenderedPageBreak/>
        <w:t xml:space="preserve">une proposition de révision de la directive concernant la réutilisation des informations </w:t>
      </w:r>
      <w:r>
        <w:rPr>
          <w:rFonts w:ascii="Times New Roman" w:hAnsi="Times New Roman"/>
          <w:noProof/>
          <w:sz w:val="24"/>
          <w:lang w:val="fr-BE"/>
        </w:rPr>
        <w:t>du secteur public (directive ISP)</w:t>
      </w:r>
      <w:r>
        <w:rPr>
          <w:rStyle w:val="FootnoteReference"/>
          <w:rFonts w:ascii="Times New Roman" w:hAnsi="Times New Roman"/>
          <w:noProof/>
          <w:sz w:val="24"/>
        </w:rPr>
        <w:footnoteReference w:id="8"/>
      </w:r>
      <w:r>
        <w:rPr>
          <w:rFonts w:ascii="Times New Roman" w:hAnsi="Times New Roman"/>
          <w:noProof/>
          <w:sz w:val="24"/>
          <w:lang w:val="fr-BE"/>
        </w:rPr>
        <w:t>;</w:t>
      </w:r>
    </w:p>
    <w:p w:rsidR="00C0328C" w:rsidRDefault="00576A1C">
      <w:pPr>
        <w:pStyle w:val="ListParagraph"/>
        <w:numPr>
          <w:ilvl w:val="0"/>
          <w:numId w:val="35"/>
        </w:numPr>
        <w:jc w:val="both"/>
        <w:rPr>
          <w:rFonts w:ascii="Times New Roman" w:hAnsi="Times New Roman" w:cs="Times New Roman"/>
          <w:noProof/>
          <w:sz w:val="24"/>
          <w:szCs w:val="24"/>
          <w:lang w:val="fr-BE"/>
        </w:rPr>
      </w:pPr>
      <w:r>
        <w:rPr>
          <w:rFonts w:ascii="Times New Roman" w:hAnsi="Times New Roman"/>
          <w:noProof/>
          <w:sz w:val="24"/>
          <w:lang w:val="fr-BE"/>
        </w:rPr>
        <w:t>une mise à jour de la recommandation relative à l'accès aux informations scientifiques et à leur conservation</w:t>
      </w:r>
      <w:r>
        <w:rPr>
          <w:rStyle w:val="FootnoteReference"/>
          <w:rFonts w:ascii="Times New Roman" w:hAnsi="Times New Roman"/>
          <w:noProof/>
          <w:sz w:val="24"/>
        </w:rPr>
        <w:footnoteReference w:id="9"/>
      </w:r>
      <w:r>
        <w:rPr>
          <w:rFonts w:ascii="Times New Roman" w:hAnsi="Times New Roman"/>
          <w:noProof/>
          <w:sz w:val="24"/>
          <w:lang w:val="fr-BE"/>
        </w:rPr>
        <w:t xml:space="preserve">;   </w:t>
      </w:r>
    </w:p>
    <w:p w:rsidR="00C0328C" w:rsidRDefault="00576A1C">
      <w:pPr>
        <w:pStyle w:val="ListParagraph"/>
        <w:numPr>
          <w:ilvl w:val="0"/>
          <w:numId w:val="35"/>
        </w:numPr>
        <w:jc w:val="both"/>
        <w:rPr>
          <w:rFonts w:ascii="Times New Roman" w:hAnsi="Times New Roman" w:cs="Times New Roman"/>
          <w:noProof/>
          <w:sz w:val="24"/>
          <w:szCs w:val="24"/>
          <w:lang w:val="fr-BE"/>
        </w:rPr>
      </w:pPr>
      <w:r>
        <w:rPr>
          <w:rFonts w:ascii="Times New Roman" w:hAnsi="Times New Roman"/>
          <w:noProof/>
          <w:sz w:val="24"/>
          <w:lang w:val="fr-BE"/>
        </w:rPr>
        <w:t>des orientations sur le partage des données du secteur privé</w:t>
      </w:r>
      <w:r>
        <w:rPr>
          <w:rStyle w:val="FootnoteReference"/>
          <w:rFonts w:ascii="Times New Roman" w:hAnsi="Times New Roman"/>
          <w:noProof/>
          <w:sz w:val="24"/>
        </w:rPr>
        <w:footnoteReference w:id="10"/>
      </w:r>
      <w:r>
        <w:rPr>
          <w:rFonts w:ascii="Times New Roman" w:hAnsi="Times New Roman"/>
          <w:noProof/>
          <w:sz w:val="24"/>
          <w:lang w:val="fr-BE"/>
        </w:rPr>
        <w:t xml:space="preserve">.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Ces orientations se fondent sur les princ</w:t>
      </w:r>
      <w:r>
        <w:rPr>
          <w:rFonts w:ascii="Times New Roman" w:hAnsi="Times New Roman"/>
          <w:noProof/>
          <w:sz w:val="24"/>
          <w:lang w:val="fr-BE"/>
        </w:rPr>
        <w:t>ipes du partage de données entre entreprises et entre entreprises et secteur public, qui sont décrits dans la présente communication. Les mesures envisagées portent sur différents types de données et ont par conséquent des niveaux d’intensité différents. E</w:t>
      </w:r>
      <w:r>
        <w:rPr>
          <w:rFonts w:ascii="Times New Roman" w:hAnsi="Times New Roman"/>
          <w:noProof/>
          <w:sz w:val="24"/>
          <w:lang w:val="fr-BE"/>
        </w:rPr>
        <w:t>lles poursuivent cependant toutes l’objectif plus large qui consiste à rassembler des données, en tant que source importante de croissance et d’innovation, provenant de disciplines, de secteurs et de pays différents pour former un espace commun de données.</w:t>
      </w:r>
      <w:r>
        <w:rPr>
          <w:rFonts w:ascii="Times New Roman" w:hAnsi="Times New Roman"/>
          <w:noProof/>
          <w:sz w:val="24"/>
          <w:lang w:val="fr-BE"/>
        </w:rPr>
        <w:t xml:space="preserve"> </w:t>
      </w:r>
    </w:p>
    <w:p w:rsidR="00C0328C" w:rsidRDefault="00576A1C">
      <w:pPr>
        <w:jc w:val="both"/>
        <w:rPr>
          <w:rFonts w:ascii="Times New Roman" w:hAnsi="Times New Roman" w:cs="Times New Roman"/>
          <w:b/>
          <w:noProof/>
          <w:sz w:val="24"/>
          <w:szCs w:val="24"/>
          <w:lang w:val="fr-BE"/>
        </w:rPr>
      </w:pPr>
      <w:r>
        <w:rPr>
          <w:rFonts w:ascii="Times New Roman" w:hAnsi="Times New Roman"/>
          <w:b/>
          <w:noProof/>
          <w:sz w:val="24"/>
          <w:lang w:val="fr-BE"/>
        </w:rPr>
        <w:t xml:space="preserve">2) Tirer parti des avantages socio-économiques de l’innovation fondée sur les données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Les données constituent la matière première du marché unique numérique. Elles peuvent révolutionner nos vies et créer de nouvelles perspectives de croissance, y compris pour les petites et moyennes entreprises. La disponibilité d’énormes volumes de données</w:t>
      </w:r>
      <w:r>
        <w:rPr>
          <w:rFonts w:ascii="Times New Roman" w:hAnsi="Times New Roman"/>
          <w:noProof/>
          <w:sz w:val="24"/>
          <w:lang w:val="fr-BE"/>
        </w:rPr>
        <w:t>, qui sont en grande partie produites par des machines et des capteurs, a une incidence sur chacun d’entre nous. En fait, rares sont les aspects de notre existence qui ne sont pas encore concernés par la révolution des données en cours. Une utilisation opt</w:t>
      </w:r>
      <w:r>
        <w:rPr>
          <w:rFonts w:ascii="Times New Roman" w:hAnsi="Times New Roman"/>
          <w:noProof/>
          <w:sz w:val="24"/>
          <w:lang w:val="fr-BE"/>
        </w:rPr>
        <w:t>imale des données peut nous aider à vivre plus longtemps et en meilleure santé, ainsi qu’à être moins stressés et plus respectueux de l’environnement. Cela peut aussi aider nos scientifiques à mettre au point des modèles plus performants pour prévoir les c</w:t>
      </w:r>
      <w:r>
        <w:rPr>
          <w:rFonts w:ascii="Times New Roman" w:hAnsi="Times New Roman"/>
          <w:noProof/>
          <w:sz w:val="24"/>
          <w:lang w:val="fr-BE"/>
        </w:rPr>
        <w:t xml:space="preserve">hangements climatiques et les catastrophes naturelles.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L’utilisation intelligente des données a un effet transformateur sur tous les secteurs de l’économie et sur le secteur public:</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lang w:val="fr-BE"/>
        </w:rPr>
      </w:pPr>
      <w:r>
        <w:rPr>
          <w:rFonts w:ascii="Times New Roman" w:hAnsi="Times New Roman"/>
          <w:i/>
          <w:noProof/>
          <w:sz w:val="24"/>
          <w:lang w:val="fr-BE"/>
        </w:rPr>
        <w:t>Dans l’agriculture, par exemple, l’analyse de données actualisées relativ</w:t>
      </w:r>
      <w:r>
        <w:rPr>
          <w:rFonts w:ascii="Times New Roman" w:hAnsi="Times New Roman"/>
          <w:i/>
          <w:noProof/>
          <w:sz w:val="24"/>
          <w:lang w:val="fr-BE"/>
        </w:rPr>
        <w:t>es aux prévisions météorologiques ou à l’humidité des sols peut contribuer à optimiser la production végétale. Dans l’industrie manufacturière, les données en temps réel fournies par des capteurs facilitent une maintenance prédictive.</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noProof/>
          <w:sz w:val="24"/>
          <w:szCs w:val="24"/>
          <w:lang w:val="fr-BE"/>
        </w:rPr>
      </w:pPr>
      <w:r>
        <w:rPr>
          <w:rFonts w:ascii="Times New Roman" w:hAnsi="Times New Roman"/>
          <w:i/>
          <w:noProof/>
          <w:sz w:val="24"/>
          <w:lang w:val="fr-BE"/>
        </w:rPr>
        <w:t>L’innovation fondée s</w:t>
      </w:r>
      <w:r>
        <w:rPr>
          <w:rFonts w:ascii="Times New Roman" w:hAnsi="Times New Roman"/>
          <w:i/>
          <w:noProof/>
          <w:sz w:val="24"/>
          <w:lang w:val="fr-BE"/>
        </w:rPr>
        <w:t>ur les données permet également d’améliorer l’élaboration des politiques publiques et la fourniture de services publics, ainsi que d’alléger la charge administrative. Elle peut contribuer à gérer les crises et à définir des politiques financières et enviro</w:t>
      </w:r>
      <w:r>
        <w:rPr>
          <w:rFonts w:ascii="Times New Roman" w:hAnsi="Times New Roman"/>
          <w:i/>
          <w:noProof/>
          <w:sz w:val="24"/>
          <w:lang w:val="fr-BE"/>
        </w:rPr>
        <w:t xml:space="preserve">nnementales. Le partage des données de recherche sur le risque d’épidémies peut faire </w:t>
      </w:r>
      <w:r>
        <w:rPr>
          <w:rFonts w:ascii="Times New Roman" w:hAnsi="Times New Roman"/>
          <w:i/>
          <w:noProof/>
          <w:sz w:val="24"/>
          <w:lang w:val="fr-BE"/>
        </w:rPr>
        <w:lastRenderedPageBreak/>
        <w:t>progresser les recherches en la matière beaucoup plus rapidement et contribuer à une réaction en temps utile.</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lang w:val="fr-BE"/>
        </w:rPr>
      </w:pPr>
      <w:r>
        <w:rPr>
          <w:rFonts w:ascii="Times New Roman" w:hAnsi="Times New Roman"/>
          <w:i/>
          <w:noProof/>
          <w:sz w:val="24"/>
          <w:lang w:val="fr-BE"/>
        </w:rPr>
        <w:t>Les données satellitaires à haute résolution provenant des s</w:t>
      </w:r>
      <w:r>
        <w:rPr>
          <w:rFonts w:ascii="Times New Roman" w:hAnsi="Times New Roman"/>
          <w:i/>
          <w:noProof/>
          <w:sz w:val="24"/>
          <w:lang w:val="fr-BE"/>
        </w:rPr>
        <w:t xml:space="preserve">atellites Sentinelle de Copernicus contribuent à la surveillance en temps réel des ressources naturelles en eau afin d’éviter les sécheresses ou la pollution. Ces données procurent des avantages considérables aux autorités publiques, aux chercheurs et aux </w:t>
      </w:r>
      <w:r>
        <w:rPr>
          <w:rFonts w:ascii="Times New Roman" w:hAnsi="Times New Roman"/>
          <w:i/>
          <w:noProof/>
          <w:sz w:val="24"/>
          <w:lang w:val="fr-BE"/>
        </w:rPr>
        <w:t>entreprises privées lorsqu’il s'agit de fournir des services innovants.</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L’impact économique des données est énorme. En 2016, on comptait 254 850 entreprises de données</w:t>
      </w:r>
      <w:r>
        <w:rPr>
          <w:rStyle w:val="FootnoteReference"/>
          <w:rFonts w:ascii="Times New Roman" w:hAnsi="Times New Roman"/>
          <w:noProof/>
          <w:sz w:val="24"/>
        </w:rPr>
        <w:footnoteReference w:id="11"/>
      </w:r>
      <w:r>
        <w:rPr>
          <w:rFonts w:ascii="Times New Roman" w:hAnsi="Times New Roman"/>
          <w:noProof/>
          <w:sz w:val="24"/>
          <w:lang w:val="fr-BE"/>
        </w:rPr>
        <w:t xml:space="preserve"> dans l’ensemble de l’UE, chiffre qui pourrait passer à environ 360 000 d’ici à 2020 dan</w:t>
      </w:r>
      <w:r>
        <w:rPr>
          <w:rFonts w:ascii="Times New Roman" w:hAnsi="Times New Roman"/>
          <w:noProof/>
          <w:sz w:val="24"/>
          <w:lang w:val="fr-BE"/>
        </w:rPr>
        <w:t>s un scénario de forte croissance.</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D’une manière générale, la capacité d’analyser les données et d'en tirer un enseignement devient rapidement une composante clé de la réussite commerciale et de l’efficacité de l’administration publique. Les entreprises qu</w:t>
      </w:r>
      <w:r>
        <w:rPr>
          <w:rFonts w:ascii="Times New Roman" w:hAnsi="Times New Roman"/>
          <w:noProof/>
          <w:sz w:val="24"/>
          <w:lang w:val="fr-BE"/>
        </w:rPr>
        <w:t>i disposent d’énormes quantités de données, ainsi que de la capacité technique et du personnel qualifié pour analyser ces données, bénéficieront d’un avantage concurrentiel</w:t>
      </w:r>
      <w:r>
        <w:rPr>
          <w:rStyle w:val="FootnoteReference"/>
          <w:rFonts w:ascii="Times New Roman" w:hAnsi="Times New Roman"/>
          <w:noProof/>
          <w:sz w:val="24"/>
        </w:rPr>
        <w:footnoteReference w:id="12"/>
      </w:r>
      <w:r>
        <w:rPr>
          <w:noProof/>
          <w:lang w:val="fr-BE"/>
        </w:rPr>
        <w:t>.</w:t>
      </w:r>
      <w:r>
        <w:rPr>
          <w:rFonts w:ascii="Times New Roman" w:hAnsi="Times New Roman"/>
          <w:noProof/>
          <w:sz w:val="24"/>
          <w:lang w:val="fr-BE"/>
        </w:rPr>
        <w:t xml:space="preserve">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Les données sont également considérées comme un atout de plus en plus important </w:t>
      </w:r>
      <w:r>
        <w:rPr>
          <w:rFonts w:ascii="Times New Roman" w:hAnsi="Times New Roman"/>
          <w:noProof/>
          <w:sz w:val="24"/>
          <w:lang w:val="fr-BE"/>
        </w:rPr>
        <w:t>pour le développement de nouvelles technologies, telles que l’intelligence artificielle (IA) et l’internet des objets (IdO). Les solutions d’intelligence artificielle recèlent des avantages potentiels remarquables tant pour le secteur public que privé. L’u</w:t>
      </w:r>
      <w:r>
        <w:rPr>
          <w:rFonts w:ascii="Times New Roman" w:hAnsi="Times New Roman"/>
          <w:noProof/>
          <w:sz w:val="24"/>
          <w:lang w:val="fr-BE"/>
        </w:rPr>
        <w:t>tilisation des technologies de l’intelligence artificielle favorise la productivité et la compétitivité dans un large éventail de secteurs. Elle contribue également à relever les défis sociétaux et environnementaux et apporte dans le même temps une réponse</w:t>
      </w:r>
      <w:r>
        <w:rPr>
          <w:rFonts w:ascii="Times New Roman" w:hAnsi="Times New Roman"/>
          <w:noProof/>
          <w:sz w:val="24"/>
          <w:lang w:val="fr-BE"/>
        </w:rPr>
        <w:t xml:space="preserve"> à ses propres défis. Dans ce contexte, parallèlement au présent train de mesures relatif aux données, la Commission adopte la communication «Optimiser les avantages de l’intelligence artificielle pour l’Europe», qui trace les grandes lignes de la stratégi</w:t>
      </w:r>
      <w:r>
        <w:rPr>
          <w:rFonts w:ascii="Times New Roman" w:hAnsi="Times New Roman"/>
          <w:noProof/>
          <w:sz w:val="24"/>
          <w:lang w:val="fr-BE"/>
        </w:rPr>
        <w:t>e de l’UE dans le domaine de l’intelligence artificielle. Cette stratégie s’articule autour de trois axes: renforcer la capacité technologique et industrielle de l’Europe, se préparer aux changements socio-économiques et garantir un cadre éthique et juridi</w:t>
      </w:r>
      <w:r>
        <w:rPr>
          <w:rFonts w:ascii="Times New Roman" w:hAnsi="Times New Roman"/>
          <w:noProof/>
          <w:sz w:val="24"/>
          <w:lang w:val="fr-BE"/>
        </w:rPr>
        <w:t>que approprié. L’un des principaux objectifs est de démocratiser les technologies de l’intelligence artificielle afin de soutenir non seulement les jeunes entreprises dans ce domaine, mais aussi les utilisateurs de l’intelligence artificielle, y compris le</w:t>
      </w:r>
      <w:r>
        <w:rPr>
          <w:rFonts w:ascii="Times New Roman" w:hAnsi="Times New Roman"/>
          <w:noProof/>
          <w:sz w:val="24"/>
          <w:lang w:val="fr-BE"/>
        </w:rPr>
        <w:t>s entreprises non technologiques de toute taille. En 2019, la Commission lancera une plateforme d’intelligence artificielle à la demande en vue de faciliter l’accès des entreprises et des chercheurs européens à des outils, des données et des services d’int</w:t>
      </w:r>
      <w:r>
        <w:rPr>
          <w:rFonts w:ascii="Times New Roman" w:hAnsi="Times New Roman"/>
          <w:noProof/>
          <w:sz w:val="24"/>
          <w:lang w:val="fr-BE"/>
        </w:rPr>
        <w:t>elligence artificielle de qualité.</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Parallèlement au présent train de mesures relatif aux données, la Commission prend une autre initiative importante pour l’économie fondée sur les données: la communication intitulée «Permettre la transformation numérique </w:t>
      </w:r>
      <w:r>
        <w:rPr>
          <w:rFonts w:ascii="Times New Roman" w:hAnsi="Times New Roman"/>
          <w:noProof/>
          <w:sz w:val="24"/>
          <w:lang w:val="fr-BE"/>
        </w:rPr>
        <w:t>des services de santé et de soins dans le marché unique numérique, donner aux citoyens les moyens d'agir et construire une société plus saine». Elle concerne le potentiel des données comme vecteur essentiel de la transformation numérique dans le domaine de</w:t>
      </w:r>
      <w:r>
        <w:rPr>
          <w:rFonts w:ascii="Times New Roman" w:hAnsi="Times New Roman"/>
          <w:noProof/>
          <w:sz w:val="24"/>
          <w:lang w:val="fr-BE"/>
        </w:rPr>
        <w:t xml:space="preserve"> la santé et des soins. Les données peuvent améliorer le bien</w:t>
      </w:r>
      <w:r>
        <w:rPr>
          <w:noProof/>
          <w:lang w:val="fr-BE"/>
        </w:rPr>
        <w:noBreakHyphen/>
      </w:r>
      <w:r>
        <w:rPr>
          <w:rFonts w:ascii="Times New Roman" w:hAnsi="Times New Roman"/>
          <w:noProof/>
          <w:sz w:val="24"/>
          <w:lang w:val="fr-BE"/>
        </w:rPr>
        <w:t>être de millions de citoyens et modifier la façon dont les services de santé et de soins sont fournis, notamment par la médecine personnalisée, la détection précoce de foyers de maladies infecti</w:t>
      </w:r>
      <w:r>
        <w:rPr>
          <w:rFonts w:ascii="Times New Roman" w:hAnsi="Times New Roman"/>
          <w:noProof/>
          <w:sz w:val="24"/>
          <w:lang w:val="fr-BE"/>
        </w:rPr>
        <w:t xml:space="preserve">euses et l’accélération du développement des médicaments et des dispositifs médicaux. </w:t>
      </w:r>
    </w:p>
    <w:p w:rsidR="00C0328C" w:rsidRDefault="00576A1C">
      <w:pPr>
        <w:autoSpaceDE w:val="0"/>
        <w:autoSpaceDN w:val="0"/>
        <w:adjustRightInd w:val="0"/>
        <w:spacing w:after="240"/>
        <w:jc w:val="both"/>
        <w:rPr>
          <w:rFonts w:ascii="Times New Roman" w:hAnsi="Times New Roman"/>
          <w:noProof/>
          <w:sz w:val="24"/>
        </w:rPr>
      </w:pPr>
      <w:r>
        <w:rPr>
          <w:rFonts w:ascii="Times New Roman" w:hAnsi="Times New Roman"/>
          <w:noProof/>
          <w:sz w:val="24"/>
          <w:lang w:val="fr-BE"/>
        </w:rPr>
        <w:t>Afin de libérer ce potentiel dans l’économie fondée sur les données, l’UE doit saisir les possibilités qui lui sont offertes pour stimuler des solutions innovantes en matière de soins de santé, telles que la télémédecine et les applications médicales mobil</w:t>
      </w:r>
      <w:r>
        <w:rPr>
          <w:rFonts w:ascii="Times New Roman" w:hAnsi="Times New Roman"/>
          <w:noProof/>
          <w:sz w:val="24"/>
          <w:lang w:val="fr-BE"/>
        </w:rPr>
        <w:t xml:space="preserve">es, comme indiqué dans l’examen à mi-parcours de la mise en œuvre de la stratégie pour le marché unique numérique, et dans le respect total de la législation relative à la protection des données. </w:t>
      </w:r>
      <w:r>
        <w:rPr>
          <w:rFonts w:ascii="Times New Roman" w:hAnsi="Times New Roman"/>
          <w:noProof/>
          <w:sz w:val="24"/>
        </w:rPr>
        <w:t>Trois domaines clés ont été définis:</w:t>
      </w:r>
    </w:p>
    <w:p w:rsidR="00C0328C" w:rsidRDefault="00576A1C">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lang w:val="fr-BE"/>
        </w:rPr>
      </w:pPr>
      <w:r>
        <w:rPr>
          <w:rFonts w:ascii="Times New Roman" w:hAnsi="Times New Roman"/>
          <w:noProof/>
          <w:sz w:val="24"/>
          <w:lang w:val="fr-BE"/>
        </w:rPr>
        <w:t>l’accès sécurisé des ci</w:t>
      </w:r>
      <w:r>
        <w:rPr>
          <w:rFonts w:ascii="Times New Roman" w:hAnsi="Times New Roman"/>
          <w:noProof/>
          <w:sz w:val="24"/>
          <w:lang w:val="fr-BE"/>
        </w:rPr>
        <w:t>toyens aux données relatives à la santé et le partage de ces données;</w:t>
      </w:r>
    </w:p>
    <w:p w:rsidR="00C0328C" w:rsidRDefault="00576A1C">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lang w:val="fr-BE"/>
        </w:rPr>
      </w:pPr>
      <w:r>
        <w:rPr>
          <w:rFonts w:ascii="Times New Roman" w:hAnsi="Times New Roman"/>
          <w:noProof/>
          <w:sz w:val="24"/>
          <w:lang w:val="fr-BE"/>
        </w:rPr>
        <w:t>l’amélioration des données pour faire progresser la recherche, la prévention des maladies et la personnalisation des soins de santé;</w:t>
      </w:r>
    </w:p>
    <w:p w:rsidR="00C0328C" w:rsidRDefault="00576A1C">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lang w:val="fr-BE"/>
        </w:rPr>
      </w:pPr>
      <w:r>
        <w:rPr>
          <w:rFonts w:ascii="Times New Roman" w:hAnsi="Times New Roman"/>
          <w:noProof/>
          <w:sz w:val="24"/>
          <w:lang w:val="fr-BE"/>
        </w:rPr>
        <w:t xml:space="preserve">des outils numériques pour soutenir l’autonomisation </w:t>
      </w:r>
      <w:r>
        <w:rPr>
          <w:rFonts w:ascii="Times New Roman" w:hAnsi="Times New Roman"/>
          <w:noProof/>
          <w:sz w:val="24"/>
          <w:lang w:val="fr-BE"/>
        </w:rPr>
        <w:t>des citoyens et pour des soins centrés sur le patient.</w:t>
      </w:r>
    </w:p>
    <w:p w:rsidR="00C0328C" w:rsidRDefault="00576A1C">
      <w:pPr>
        <w:jc w:val="both"/>
        <w:rPr>
          <w:rFonts w:ascii="Times New Roman" w:hAnsi="Times New Roman"/>
          <w:noProof/>
          <w:sz w:val="24"/>
          <w:lang w:val="fr-BE"/>
        </w:rPr>
      </w:pPr>
      <w:r>
        <w:rPr>
          <w:rFonts w:ascii="Times New Roman" w:hAnsi="Times New Roman"/>
          <w:noProof/>
          <w:sz w:val="24"/>
          <w:lang w:val="fr-BE"/>
        </w:rPr>
        <w:t>Dans la communication mentionnée ci-dessus, la Commission a défini les grandes lignes des mesures à prendre dans ces trois domaines. Elles comprennent une recommandation concernant un format européen d</w:t>
      </w:r>
      <w:r>
        <w:rPr>
          <w:rFonts w:ascii="Times New Roman" w:hAnsi="Times New Roman"/>
          <w:noProof/>
          <w:sz w:val="24"/>
          <w:lang w:val="fr-BE"/>
        </w:rPr>
        <w:t>’échange de dossiers médicaux électroniques, un mécanisme de coordination volontaire pour le partage des données, y compris des données génomiques destinées à la prévention et à la recherche dans le domaine de la médecine personnalisée, ainsi que des propo</w:t>
      </w:r>
      <w:r>
        <w:rPr>
          <w:rFonts w:ascii="Times New Roman" w:hAnsi="Times New Roman"/>
          <w:noProof/>
          <w:sz w:val="24"/>
          <w:lang w:val="fr-BE"/>
        </w:rPr>
        <w:t>sitions concernant l’échange de bonnes pratiques innovantes, le renforcement des capacités et l’assistance technique aux autorités sanitaires.</w:t>
      </w:r>
    </w:p>
    <w:p w:rsidR="00C0328C" w:rsidRDefault="00576A1C">
      <w:pPr>
        <w:jc w:val="both"/>
        <w:rPr>
          <w:rFonts w:ascii="Times New Roman" w:hAnsi="Times New Roman"/>
          <w:b/>
          <w:noProof/>
          <w:sz w:val="24"/>
          <w:lang w:val="fr-BE"/>
        </w:rPr>
      </w:pPr>
      <w:r>
        <w:rPr>
          <w:rFonts w:ascii="Times New Roman" w:hAnsi="Times New Roman"/>
          <w:noProof/>
          <w:sz w:val="24"/>
          <w:lang w:val="fr-BE"/>
        </w:rPr>
        <w:t>Les mesures ci-dessus sont également accompagnées d’une analyse préliminaire des questions de sécurité et de resp</w:t>
      </w:r>
      <w:r>
        <w:rPr>
          <w:rFonts w:ascii="Times New Roman" w:hAnsi="Times New Roman"/>
          <w:noProof/>
          <w:sz w:val="24"/>
          <w:lang w:val="fr-BE"/>
        </w:rPr>
        <w:t>onsabilité</w:t>
      </w:r>
      <w:r>
        <w:rPr>
          <w:rStyle w:val="FootnoteReference"/>
          <w:rFonts w:ascii="Times New Roman" w:hAnsi="Times New Roman"/>
          <w:noProof/>
          <w:sz w:val="24"/>
        </w:rPr>
        <w:footnoteReference w:id="13"/>
      </w:r>
      <w:r>
        <w:rPr>
          <w:rFonts w:ascii="Times New Roman" w:hAnsi="Times New Roman"/>
          <w:noProof/>
          <w:sz w:val="24"/>
          <w:lang w:val="fr-BE"/>
        </w:rPr>
        <w:t xml:space="preserve"> qui découlent des nouvelles technologies numériques fondées sur les données, afin d’assurer un climat de confiance et de responsabilité au moyen d’un environnement juridique prévisible pour les entreprises et les investisseurs, et de garantir l</w:t>
      </w:r>
      <w:r>
        <w:rPr>
          <w:rFonts w:ascii="Times New Roman" w:hAnsi="Times New Roman"/>
          <w:noProof/>
          <w:sz w:val="24"/>
          <w:lang w:val="fr-BE"/>
        </w:rPr>
        <w:t>a protection des droits des consommateurs et des citoyens. Ces mesures, de même que les initiatives pertinentes prises jusqu’à présent au titre de la stratégie pour un marché unique numérique, placeront l’UE dans une position unique pour tirer parti des po</w:t>
      </w:r>
      <w:r>
        <w:rPr>
          <w:rFonts w:ascii="Times New Roman" w:hAnsi="Times New Roman"/>
          <w:noProof/>
          <w:sz w:val="24"/>
          <w:lang w:val="fr-BE"/>
        </w:rPr>
        <w:t xml:space="preserve">ssibilités offertes par la révolution des données et pour mettre en place une économie dynamique, durable et sûre fondée sur les données, en s’appuyant sur les dimensions du marché intérieur et la capacité d’innovation des entreprises européennes, et dans </w:t>
      </w:r>
      <w:r>
        <w:rPr>
          <w:rFonts w:ascii="Times New Roman" w:hAnsi="Times New Roman"/>
          <w:noProof/>
          <w:sz w:val="24"/>
          <w:lang w:val="fr-BE"/>
        </w:rPr>
        <w:t>le plein respect des valeurs européennes.</w:t>
      </w:r>
    </w:p>
    <w:p w:rsidR="00C0328C" w:rsidRDefault="00576A1C">
      <w:pPr>
        <w:jc w:val="both"/>
        <w:rPr>
          <w:rFonts w:ascii="Times New Roman" w:hAnsi="Times New Roman"/>
          <w:b/>
          <w:noProof/>
          <w:sz w:val="24"/>
          <w:lang w:val="fr-BE"/>
        </w:rPr>
      </w:pPr>
      <w:r>
        <w:rPr>
          <w:rFonts w:ascii="Times New Roman" w:hAnsi="Times New Roman"/>
          <w:b/>
          <w:noProof/>
          <w:sz w:val="24"/>
          <w:lang w:val="fr-BE"/>
        </w:rPr>
        <w:t xml:space="preserve">3) Les données du secteur public et les données obtenues au moyen de fonds publics au service de l’innovation fondée sur les données </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L’accès aux données du secteur public et aux données obtenues au moyen de fonds </w:t>
      </w:r>
      <w:r>
        <w:rPr>
          <w:rFonts w:ascii="Times New Roman" w:hAnsi="Times New Roman"/>
          <w:noProof/>
          <w:sz w:val="24"/>
          <w:lang w:val="fr-BE"/>
        </w:rPr>
        <w:t>publics et la réutilisation de ces données constituent des éléments essentiels d’un espace européen commun de données. Dans l’examen à mi-parcours de la stratégie pour un marché unique numérique, la Commission a annoncé que, sur la base d’une évaluation de</w:t>
      </w:r>
      <w:r>
        <w:rPr>
          <w:rFonts w:ascii="Times New Roman" w:hAnsi="Times New Roman"/>
          <w:noProof/>
          <w:sz w:val="24"/>
          <w:lang w:val="fr-BE"/>
        </w:rPr>
        <w:t xml:space="preserve"> la législation en vigueur et sous réserve d’une analyse d’impact</w:t>
      </w:r>
      <w:r>
        <w:rPr>
          <w:rStyle w:val="FootnoteReference"/>
          <w:rFonts w:ascii="Times New Roman" w:hAnsi="Times New Roman"/>
          <w:noProof/>
          <w:sz w:val="24"/>
        </w:rPr>
        <w:footnoteReference w:id="14"/>
      </w:r>
      <w:r>
        <w:rPr>
          <w:rFonts w:ascii="Times New Roman" w:hAnsi="Times New Roman"/>
          <w:noProof/>
          <w:sz w:val="24"/>
          <w:lang w:val="fr-BE"/>
        </w:rPr>
        <w:t>, elle élaborerait une initiative sur l’accessibilité et la réutilisation des données du secteur public et des données obtenues au moyen de fonds publics. La présente section décrit les élém</w:t>
      </w:r>
      <w:r>
        <w:rPr>
          <w:rFonts w:ascii="Times New Roman" w:hAnsi="Times New Roman"/>
          <w:noProof/>
          <w:sz w:val="24"/>
          <w:lang w:val="fr-BE"/>
        </w:rPr>
        <w:t xml:space="preserve">ents de cette initiative. </w:t>
      </w:r>
    </w:p>
    <w:p w:rsidR="00C0328C" w:rsidRDefault="00576A1C">
      <w:pPr>
        <w:keepNext/>
        <w:jc w:val="both"/>
        <w:rPr>
          <w:rFonts w:ascii="Times New Roman" w:hAnsi="Times New Roman" w:cs="Times New Roman"/>
          <w:b/>
          <w:noProof/>
          <w:sz w:val="24"/>
          <w:szCs w:val="24"/>
          <w:highlight w:val="green"/>
          <w:lang w:val="fr-BE"/>
        </w:rPr>
      </w:pPr>
      <w:r>
        <w:rPr>
          <w:rFonts w:ascii="Times New Roman" w:hAnsi="Times New Roman"/>
          <w:b/>
          <w:noProof/>
          <w:sz w:val="24"/>
          <w:lang w:val="fr-BE"/>
        </w:rPr>
        <w:t xml:space="preserve">a) Réutilisation des informations du secteur public </w:t>
      </w:r>
    </w:p>
    <w:p w:rsidR="00C0328C" w:rsidRDefault="00576A1C">
      <w:pPr>
        <w:keepNext/>
        <w:jc w:val="both"/>
        <w:rPr>
          <w:rFonts w:ascii="Times New Roman" w:hAnsi="Times New Roman"/>
          <w:noProof/>
          <w:sz w:val="24"/>
          <w:lang w:val="fr-BE"/>
        </w:rPr>
      </w:pPr>
      <w:r>
        <w:rPr>
          <w:rFonts w:ascii="Times New Roman" w:hAnsi="Times New Roman"/>
          <w:noProof/>
          <w:sz w:val="24"/>
          <w:lang w:val="fr-BE"/>
        </w:rPr>
        <w:t>Les organismes du secteur public produisent et collectent d’énormes quantités de données qui constituent une matière première précieuse pour mettre au point des services numéri</w:t>
      </w:r>
      <w:r>
        <w:rPr>
          <w:rFonts w:ascii="Times New Roman" w:hAnsi="Times New Roman"/>
          <w:noProof/>
          <w:sz w:val="24"/>
          <w:lang w:val="fr-BE"/>
        </w:rPr>
        <w:t xml:space="preserve">ques innovants et améliorer l’élaboration des politiques. </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lang w:val="fr-BE"/>
        </w:rPr>
      </w:pPr>
      <w:r>
        <w:rPr>
          <w:rFonts w:ascii="Times New Roman" w:hAnsi="Times New Roman"/>
          <w:i/>
          <w:noProof/>
          <w:sz w:val="24"/>
          <w:lang w:val="fr-BE"/>
        </w:rPr>
        <w:t>Les informations du secteur public peuvent être utilisées comme base d'un large éventail de produits et de services. L'application</w:t>
      </w:r>
      <w:r>
        <w:rPr>
          <w:noProof/>
          <w:lang w:val="fr-BE"/>
        </w:rPr>
        <w:t xml:space="preserve"> </w:t>
      </w:r>
      <w:hyperlink r:id="rId20">
        <w:r>
          <w:rPr>
            <w:rStyle w:val="Hyperlink"/>
            <w:rFonts w:ascii="Times New Roman" w:hAnsi="Times New Roman"/>
            <w:i/>
            <w:noProof/>
            <w:sz w:val="24"/>
            <w:lang w:val="fr-BE"/>
          </w:rPr>
          <w:t>iMar</w:t>
        </w:r>
      </w:hyperlink>
      <w:r>
        <w:rPr>
          <w:rFonts w:ascii="Times New Roman" w:hAnsi="Times New Roman"/>
          <w:i/>
          <w:noProof/>
          <w:sz w:val="24"/>
          <w:lang w:val="fr-BE"/>
        </w:rPr>
        <w:t>, par exemple, utilise des informations publiées par les ports d’État en Espagne et les combine avec les prévisions de vent fournies par le service météorologi</w:t>
      </w:r>
      <w:r>
        <w:rPr>
          <w:rFonts w:ascii="Times New Roman" w:hAnsi="Times New Roman"/>
          <w:i/>
          <w:noProof/>
          <w:sz w:val="24"/>
          <w:lang w:val="fr-BE"/>
        </w:rPr>
        <w:t>que espagnol. Les utilisateurs de l'application reçoivent ainsi des informations en temps réel ainsi que des prévisions maritimes, ce qui leur permet de planifier leur voyage en mer en toute sécurité.</w:t>
      </w:r>
      <w:r>
        <w:rPr>
          <w:noProof/>
          <w:lang w:val="fr-BE"/>
        </w:rPr>
        <w:t xml:space="preserve"> </w:t>
      </w:r>
      <w:r>
        <w:rPr>
          <w:rFonts w:ascii="Times New Roman" w:hAnsi="Times New Roman"/>
          <w:i/>
          <w:noProof/>
          <w:sz w:val="24"/>
          <w:lang w:val="fr-BE"/>
        </w:rPr>
        <w:t xml:space="preserve">De même, les données bathymétriques initialement </w:t>
      </w:r>
      <w:r>
        <w:rPr>
          <w:rFonts w:ascii="Times New Roman" w:hAnsi="Times New Roman"/>
          <w:i/>
          <w:noProof/>
          <w:sz w:val="24"/>
          <w:lang w:val="fr-BE"/>
        </w:rPr>
        <w:t>collectées par les organismes hydrographiques nationaux pour assurer la sécurité de la navigation ont été réutilisées par le partenariat EMODnet pour élaborer des cartes topographiques afin d’améliorer considérablement les prévisions de tempête en mer du N</w:t>
      </w:r>
      <w:r>
        <w:rPr>
          <w:rFonts w:ascii="Times New Roman" w:hAnsi="Times New Roman"/>
          <w:i/>
          <w:noProof/>
          <w:sz w:val="24"/>
          <w:lang w:val="fr-BE"/>
        </w:rPr>
        <w:t>ord.</w:t>
      </w:r>
    </w:p>
    <w:p w:rsidR="00C0328C" w:rsidRDefault="00576A1C">
      <w:pPr>
        <w:jc w:val="both"/>
        <w:rPr>
          <w:rFonts w:ascii="Times New Roman" w:hAnsi="Times New Roman"/>
          <w:noProof/>
          <w:sz w:val="24"/>
          <w:lang w:val="fr-BE"/>
        </w:rPr>
      </w:pPr>
      <w:r>
        <w:rPr>
          <w:rFonts w:ascii="Times New Roman" w:hAnsi="Times New Roman"/>
          <w:noProof/>
          <w:sz w:val="24"/>
          <w:lang w:val="fr-BE"/>
        </w:rPr>
        <w:t>L’UE a déjà adopté une série de mesures visant à promouvoir l’ouverture des données publiques dans l’ensemble de l’Union, un atout essentiel pour l’économie fondée sur les données. La directive 2003/98/CE concernant la réutilisation des informations d</w:t>
      </w:r>
      <w:r>
        <w:rPr>
          <w:rFonts w:ascii="Times New Roman" w:hAnsi="Times New Roman"/>
          <w:noProof/>
          <w:sz w:val="24"/>
          <w:lang w:val="fr-BE"/>
        </w:rPr>
        <w:t>u secteur public</w:t>
      </w:r>
      <w:r>
        <w:rPr>
          <w:rStyle w:val="FootnoteReference"/>
          <w:rFonts w:ascii="Times New Roman" w:hAnsi="Times New Roman"/>
          <w:noProof/>
          <w:sz w:val="24"/>
        </w:rPr>
        <w:footnoteReference w:id="15"/>
      </w:r>
      <w:r>
        <w:rPr>
          <w:rFonts w:ascii="Times New Roman" w:hAnsi="Times New Roman"/>
          <w:noProof/>
          <w:sz w:val="24"/>
          <w:lang w:val="fr-BE"/>
        </w:rPr>
        <w:t xml:space="preserve"> a établi un cadre à l’échelle de l’Union qui stimule l’utilisation transfrontière des données obtenues au moyen de fonds publics et contribue à la mise au point de produits et de services de données paneuropéens. Elle a été complétée par </w:t>
      </w:r>
      <w:r>
        <w:rPr>
          <w:rFonts w:ascii="Times New Roman" w:hAnsi="Times New Roman"/>
          <w:noProof/>
          <w:sz w:val="24"/>
          <w:lang w:val="fr-BE"/>
        </w:rPr>
        <w:t>des mesures destinées à faciliter la recherche et l’utilisation de données du secteur public par-delà les frontières et les langues, telles que le lancement du portail européen de données</w:t>
      </w:r>
      <w:r>
        <w:rPr>
          <w:rStyle w:val="FootnoteReference"/>
          <w:rFonts w:ascii="Times New Roman" w:hAnsi="Times New Roman"/>
          <w:noProof/>
          <w:sz w:val="24"/>
        </w:rPr>
        <w:footnoteReference w:id="16"/>
      </w:r>
      <w:r>
        <w:rPr>
          <w:rFonts w:ascii="Times New Roman" w:hAnsi="Times New Roman"/>
          <w:noProof/>
          <w:sz w:val="24"/>
          <w:lang w:val="fr-BE"/>
        </w:rPr>
        <w:t xml:space="preserve">. La Commission montre l’exemple en offrant un cadre juridique pour </w:t>
      </w:r>
      <w:r>
        <w:rPr>
          <w:rFonts w:ascii="Times New Roman" w:hAnsi="Times New Roman"/>
          <w:noProof/>
          <w:sz w:val="24"/>
          <w:lang w:val="fr-BE"/>
        </w:rPr>
        <w:t>la réutilisation de ses propres données</w:t>
      </w:r>
      <w:r>
        <w:rPr>
          <w:rStyle w:val="FootnoteReference"/>
          <w:rFonts w:ascii="Times New Roman" w:hAnsi="Times New Roman"/>
          <w:noProof/>
          <w:sz w:val="24"/>
        </w:rPr>
        <w:footnoteReference w:id="17"/>
      </w:r>
      <w:r>
        <w:rPr>
          <w:rFonts w:ascii="Times New Roman" w:hAnsi="Times New Roman"/>
          <w:noProof/>
          <w:sz w:val="24"/>
          <w:lang w:val="fr-BE"/>
        </w:rPr>
        <w:t>. Ce cadre est complété par le portail des données ouvertes de l’UE, qui donne accès aux données publiées par les institutions et autres organes de l’UE</w:t>
      </w:r>
      <w:r>
        <w:rPr>
          <w:rStyle w:val="FootnoteReference"/>
          <w:rFonts w:ascii="Times New Roman" w:hAnsi="Times New Roman"/>
          <w:noProof/>
          <w:sz w:val="24"/>
        </w:rPr>
        <w:footnoteReference w:id="18"/>
      </w:r>
      <w:r>
        <w:rPr>
          <w:rFonts w:ascii="Times New Roman" w:hAnsi="Times New Roman"/>
          <w:noProof/>
          <w:sz w:val="24"/>
          <w:lang w:val="fr-BE"/>
        </w:rPr>
        <w:t>. Ce cadre, l’un des systèmes de réutilisation les plus avancés</w:t>
      </w:r>
      <w:r>
        <w:rPr>
          <w:rFonts w:ascii="Times New Roman" w:hAnsi="Times New Roman"/>
          <w:noProof/>
          <w:sz w:val="24"/>
          <w:lang w:val="fr-BE"/>
        </w:rPr>
        <w:t xml:space="preserve"> au monde, comporte une règle par défaut selon laquelle la réutilisation des données de la Commission doit être autorisée à des fins commerciales ou non, sans qu’il soit nécessaire d’introduire une demande individuelle, sans imposer de frais au réutilisate</w:t>
      </w:r>
      <w:r>
        <w:rPr>
          <w:rFonts w:ascii="Times New Roman" w:hAnsi="Times New Roman"/>
          <w:noProof/>
          <w:sz w:val="24"/>
          <w:lang w:val="fr-BE"/>
        </w:rPr>
        <w:t xml:space="preserve">ur ou de conditions pour la réutilisation et sans discrimination entre les réutilisateurs, les exceptions étant très limitées et dûment justifiées. </w:t>
      </w:r>
    </w:p>
    <w:p w:rsidR="00C0328C" w:rsidRDefault="00576A1C">
      <w:pPr>
        <w:jc w:val="both"/>
        <w:rPr>
          <w:rFonts w:ascii="Times New Roman" w:hAnsi="Times New Roman"/>
          <w:noProof/>
          <w:sz w:val="24"/>
        </w:rPr>
      </w:pPr>
      <w:r>
        <w:rPr>
          <w:rFonts w:ascii="Times New Roman" w:hAnsi="Times New Roman"/>
          <w:noProof/>
          <w:sz w:val="24"/>
          <w:lang w:val="fr-BE"/>
        </w:rPr>
        <w:t xml:space="preserve">Le </w:t>
      </w:r>
      <w:r>
        <w:rPr>
          <w:rFonts w:ascii="Times New Roman" w:hAnsi="Times New Roman"/>
          <w:b/>
          <w:noProof/>
          <w:sz w:val="24"/>
          <w:lang w:val="fr-BE"/>
        </w:rPr>
        <w:t>réexamen de la directive concernant la réutilisation des informations du secteur public</w:t>
      </w:r>
      <w:r>
        <w:rPr>
          <w:rStyle w:val="FootnoteReference"/>
          <w:rFonts w:ascii="Times New Roman" w:hAnsi="Times New Roman"/>
          <w:noProof/>
          <w:sz w:val="24"/>
        </w:rPr>
        <w:footnoteReference w:id="19"/>
      </w:r>
      <w:r>
        <w:rPr>
          <w:rFonts w:ascii="Times New Roman" w:hAnsi="Times New Roman"/>
          <w:noProof/>
          <w:sz w:val="24"/>
          <w:lang w:val="fr-BE"/>
        </w:rPr>
        <w:t xml:space="preserve"> est au cœur du </w:t>
      </w:r>
      <w:r>
        <w:rPr>
          <w:rFonts w:ascii="Times New Roman" w:hAnsi="Times New Roman"/>
          <w:noProof/>
          <w:sz w:val="24"/>
          <w:lang w:val="fr-BE"/>
        </w:rPr>
        <w:t xml:space="preserve">présent train de mesures relatif aux données. Les modifications proposées permettront de faire une réelle différence en assurant l’accès à davantage de données et en rendant les données plus réutilisables. </w:t>
      </w:r>
      <w:r>
        <w:rPr>
          <w:rFonts w:ascii="Times New Roman" w:hAnsi="Times New Roman"/>
          <w:noProof/>
          <w:sz w:val="24"/>
        </w:rPr>
        <w:t>Le réexamen poursuit les objectifs suivants:</w:t>
      </w:r>
    </w:p>
    <w:p w:rsidR="00C0328C" w:rsidRDefault="00576A1C">
      <w:pPr>
        <w:pStyle w:val="ListParagraph"/>
        <w:numPr>
          <w:ilvl w:val="0"/>
          <w:numId w:val="30"/>
        </w:numPr>
        <w:jc w:val="both"/>
        <w:rPr>
          <w:rFonts w:ascii="Times New Roman" w:hAnsi="Times New Roman"/>
          <w:noProof/>
          <w:sz w:val="24"/>
          <w:lang w:val="fr-BE"/>
        </w:rPr>
      </w:pPr>
      <w:r>
        <w:rPr>
          <w:rFonts w:ascii="Times New Roman" w:hAnsi="Times New Roman"/>
          <w:noProof/>
          <w:sz w:val="24"/>
          <w:lang w:val="fr-BE"/>
        </w:rPr>
        <w:t>rédui</w:t>
      </w:r>
      <w:r>
        <w:rPr>
          <w:rFonts w:ascii="Times New Roman" w:hAnsi="Times New Roman"/>
          <w:noProof/>
          <w:sz w:val="24"/>
          <w:lang w:val="fr-BE"/>
        </w:rPr>
        <w:t>re les obstacles à l’accès au marché, en particulier pour les petites et moyennes entreprises, en diminuant les redevances prélevées pour la réutilisation des informations du secteur public;</w:t>
      </w:r>
    </w:p>
    <w:p w:rsidR="00C0328C" w:rsidRDefault="00576A1C">
      <w:pPr>
        <w:pStyle w:val="ListParagraph"/>
        <w:numPr>
          <w:ilvl w:val="0"/>
          <w:numId w:val="30"/>
        </w:numPr>
        <w:jc w:val="both"/>
        <w:rPr>
          <w:rFonts w:ascii="Times New Roman" w:hAnsi="Times New Roman"/>
          <w:noProof/>
          <w:sz w:val="24"/>
          <w:lang w:val="fr-BE"/>
        </w:rPr>
      </w:pPr>
      <w:r>
        <w:rPr>
          <w:rFonts w:ascii="Times New Roman" w:hAnsi="Times New Roman"/>
          <w:noProof/>
          <w:sz w:val="24"/>
          <w:lang w:val="fr-BE"/>
        </w:rPr>
        <w:t>accroître la disponibilité des données en incluant de nouveaux ty</w:t>
      </w:r>
      <w:r>
        <w:rPr>
          <w:rFonts w:ascii="Times New Roman" w:hAnsi="Times New Roman"/>
          <w:noProof/>
          <w:sz w:val="24"/>
          <w:lang w:val="fr-BE"/>
        </w:rPr>
        <w:t>pes de données du secteur public et de données obtenues au moyen de fonds publics dans le champ d’application de la directive: i) les données détenues par des entreprises publiques dans les services publics et les transports, et ii) les données de la reche</w:t>
      </w:r>
      <w:r>
        <w:rPr>
          <w:rFonts w:ascii="Times New Roman" w:hAnsi="Times New Roman"/>
          <w:noProof/>
          <w:sz w:val="24"/>
          <w:lang w:val="fr-BE"/>
        </w:rPr>
        <w:t>rche;</w:t>
      </w:r>
    </w:p>
    <w:p w:rsidR="00C0328C" w:rsidRDefault="00576A1C">
      <w:pPr>
        <w:pStyle w:val="ListParagraph"/>
        <w:numPr>
          <w:ilvl w:val="0"/>
          <w:numId w:val="30"/>
        </w:numPr>
        <w:jc w:val="both"/>
        <w:rPr>
          <w:rFonts w:ascii="Times New Roman" w:hAnsi="Times New Roman"/>
          <w:noProof/>
          <w:sz w:val="24"/>
          <w:lang w:val="fr-BE"/>
        </w:rPr>
      </w:pPr>
      <w:r>
        <w:rPr>
          <w:rFonts w:ascii="Times New Roman" w:hAnsi="Times New Roman"/>
          <w:noProof/>
          <w:sz w:val="24"/>
          <w:lang w:val="fr-BE"/>
        </w:rPr>
        <w:t>réduire autant que possible le risque d’un avantage de «premier arrivant» excessif, qui bénéficie aux grandes entreprises et limite par conséquent le nombre de réutilisateurs potentiels des données en question, en prévoyant une procédure plus transpa</w:t>
      </w:r>
      <w:r>
        <w:rPr>
          <w:rFonts w:ascii="Times New Roman" w:hAnsi="Times New Roman"/>
          <w:noProof/>
          <w:sz w:val="24"/>
          <w:lang w:val="fr-BE"/>
        </w:rPr>
        <w:t>rente pour la mise en place d’accords public-privé</w:t>
      </w:r>
      <w:r>
        <w:rPr>
          <w:rStyle w:val="FootnoteReference"/>
          <w:rFonts w:ascii="Times New Roman" w:hAnsi="Times New Roman"/>
          <w:noProof/>
          <w:sz w:val="24"/>
        </w:rPr>
        <w:footnoteReference w:id="20"/>
      </w:r>
      <w:r>
        <w:rPr>
          <w:noProof/>
          <w:lang w:val="fr-BE"/>
        </w:rPr>
        <w:t>;</w:t>
      </w:r>
    </w:p>
    <w:p w:rsidR="00C0328C" w:rsidRDefault="00576A1C">
      <w:pPr>
        <w:pStyle w:val="ListParagraph"/>
        <w:numPr>
          <w:ilvl w:val="0"/>
          <w:numId w:val="30"/>
        </w:numPr>
        <w:jc w:val="both"/>
        <w:rPr>
          <w:rFonts w:ascii="Times New Roman" w:hAnsi="Times New Roman"/>
          <w:noProof/>
          <w:sz w:val="24"/>
          <w:lang w:val="fr-BE"/>
        </w:rPr>
      </w:pPr>
      <w:r>
        <w:rPr>
          <w:rFonts w:ascii="Times New Roman" w:hAnsi="Times New Roman"/>
          <w:noProof/>
          <w:sz w:val="24"/>
          <w:lang w:val="fr-BE"/>
        </w:rPr>
        <w:t>accroître les perspectives commerciales en encourageant la publication de données dynamiques et le recours à des interfaces de programmation (API).</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Il est particulièrement important de permettre l’accès </w:t>
      </w:r>
      <w:r>
        <w:rPr>
          <w:rFonts w:ascii="Times New Roman" w:hAnsi="Times New Roman"/>
          <w:noProof/>
          <w:sz w:val="24"/>
          <w:lang w:val="fr-BE"/>
        </w:rPr>
        <w:t>aux données dynamiques par l’intermédiaire d’interfaces de programmation d'applications afin de favoriser l’écosystème des données ouvertes, de gagner du temps et de l’argent grâce à l’automatisation du processus de téléchargement, et de faciliter considér</w:t>
      </w:r>
      <w:r>
        <w:rPr>
          <w:rFonts w:ascii="Times New Roman" w:hAnsi="Times New Roman"/>
          <w:noProof/>
          <w:sz w:val="24"/>
          <w:lang w:val="fr-BE"/>
        </w:rPr>
        <w:t>ablement la réutilisation des données pour un large éventail de nouveaux produits et services. Le partage de données moyennant l’utilisation correcte et sécurisée d’interfaces de programmation d'applications peut générer une valeur ajoutée significative po</w:t>
      </w:r>
      <w:r>
        <w:rPr>
          <w:rFonts w:ascii="Times New Roman" w:hAnsi="Times New Roman"/>
          <w:noProof/>
          <w:sz w:val="24"/>
          <w:lang w:val="fr-BE"/>
        </w:rPr>
        <w:t xml:space="preserve">ur différents acteurs de la chaîne de valeur des données. Il peut également contribuer à la création de précieux écosystèmes autour de ressources de données dont le potentiel reste souvent inexploité par les détenteurs de données.  </w:t>
      </w:r>
    </w:p>
    <w:p w:rsidR="00C0328C" w:rsidRDefault="00576A1C">
      <w:pPr>
        <w:jc w:val="both"/>
        <w:rPr>
          <w:rFonts w:ascii="Times New Roman" w:hAnsi="Times New Roman"/>
          <w:noProof/>
          <w:sz w:val="24"/>
          <w:lang w:val="fr-BE"/>
        </w:rPr>
      </w:pPr>
      <w:r>
        <w:rPr>
          <w:rFonts w:ascii="Times New Roman" w:hAnsi="Times New Roman"/>
          <w:noProof/>
          <w:sz w:val="24"/>
          <w:lang w:val="fr-BE"/>
        </w:rPr>
        <w:t>Actuellement, l’utilisa</w:t>
      </w:r>
      <w:r>
        <w:rPr>
          <w:rFonts w:ascii="Times New Roman" w:hAnsi="Times New Roman"/>
          <w:noProof/>
          <w:sz w:val="24"/>
          <w:lang w:val="fr-BE"/>
        </w:rPr>
        <w:t>tion d’interfaces de programmation d'applications par les organismes du secteur public est insuffisante et de nombreux documents sont encore mis à disposition au format PDF. Cela entraîne une utilisation non optimale des données dynamiques du secteur publi</w:t>
      </w:r>
      <w:r>
        <w:rPr>
          <w:rFonts w:ascii="Times New Roman" w:hAnsi="Times New Roman"/>
          <w:noProof/>
          <w:sz w:val="24"/>
          <w:lang w:val="fr-BE"/>
        </w:rPr>
        <w:t xml:space="preserve">c du point de vue de la création de services à valeur ajoutée. Les modifications proposées dans la directive concernant la réutilisation des informations du secteur public visent à accélérer la transition des organismes du secteur public de toute l’Europe </w:t>
      </w:r>
      <w:r>
        <w:rPr>
          <w:rFonts w:ascii="Times New Roman" w:hAnsi="Times New Roman"/>
          <w:noProof/>
          <w:sz w:val="24"/>
          <w:lang w:val="fr-BE"/>
        </w:rPr>
        <w:t>vers des fonctionnalités basées sur le web, la publication plus large des données dynamiques et l’utilisation d’interfaces de programmation d'applications.</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Le train de mesures contient également les résultats de l’évaluation de la </w:t>
      </w:r>
      <w:r>
        <w:rPr>
          <w:rFonts w:ascii="Times New Roman" w:hAnsi="Times New Roman"/>
          <w:b/>
          <w:noProof/>
          <w:sz w:val="24"/>
          <w:lang w:val="fr-BE"/>
        </w:rPr>
        <w:t>directive sur les bases d</w:t>
      </w:r>
      <w:r>
        <w:rPr>
          <w:rFonts w:ascii="Times New Roman" w:hAnsi="Times New Roman"/>
          <w:b/>
          <w:noProof/>
          <w:sz w:val="24"/>
          <w:lang w:val="fr-BE"/>
        </w:rPr>
        <w:t>e données</w:t>
      </w:r>
      <w:r>
        <w:rPr>
          <w:rStyle w:val="FootnoteReference"/>
          <w:rFonts w:ascii="Times New Roman" w:hAnsi="Times New Roman"/>
          <w:noProof/>
          <w:sz w:val="24"/>
        </w:rPr>
        <w:footnoteReference w:id="21"/>
      </w:r>
      <w:r>
        <w:rPr>
          <w:rFonts w:ascii="Times New Roman" w:hAnsi="Times New Roman"/>
          <w:noProof/>
          <w:sz w:val="24"/>
          <w:lang w:val="fr-BE"/>
        </w:rPr>
        <w:t>. Cette évaluation</w:t>
      </w:r>
      <w:r>
        <w:rPr>
          <w:rStyle w:val="FootnoteReference"/>
          <w:rFonts w:ascii="Times New Roman" w:hAnsi="Times New Roman"/>
          <w:noProof/>
          <w:sz w:val="24"/>
        </w:rPr>
        <w:footnoteReference w:id="22"/>
      </w:r>
      <w:r>
        <w:rPr>
          <w:rFonts w:ascii="Times New Roman" w:hAnsi="Times New Roman"/>
          <w:noProof/>
          <w:sz w:val="24"/>
          <w:lang w:val="fr-BE"/>
        </w:rPr>
        <w:t xml:space="preserve"> porte sur le fonctionnement global des deux parties de la directive, le droit d’auteur et la protection des bases de données par le droit </w:t>
      </w:r>
      <w:r>
        <w:rPr>
          <w:rFonts w:ascii="Times New Roman" w:hAnsi="Times New Roman"/>
          <w:i/>
          <w:noProof/>
          <w:sz w:val="24"/>
          <w:lang w:val="fr-BE"/>
        </w:rPr>
        <w:t>sui generis</w:t>
      </w:r>
      <w:r>
        <w:rPr>
          <w:rFonts w:ascii="Times New Roman" w:hAnsi="Times New Roman"/>
          <w:noProof/>
          <w:sz w:val="24"/>
          <w:lang w:val="fr-BE"/>
        </w:rPr>
        <w:t xml:space="preserve">, et met davantage l’accent sur l’évaluation des performances de la seconde. </w:t>
      </w:r>
      <w:r>
        <w:rPr>
          <w:rFonts w:ascii="Times New Roman" w:hAnsi="Times New Roman"/>
          <w:noProof/>
          <w:sz w:val="24"/>
          <w:lang w:val="fr-BE"/>
        </w:rPr>
        <w:t xml:space="preserve">Il s’agit notamment d’analyser la relation entre le droit </w:t>
      </w:r>
      <w:r>
        <w:rPr>
          <w:rFonts w:ascii="Times New Roman" w:hAnsi="Times New Roman"/>
          <w:i/>
          <w:noProof/>
          <w:sz w:val="24"/>
          <w:lang w:val="fr-BE"/>
        </w:rPr>
        <w:t>sui generis</w:t>
      </w:r>
      <w:r>
        <w:rPr>
          <w:rFonts w:ascii="Times New Roman" w:hAnsi="Times New Roman"/>
          <w:noProof/>
          <w:sz w:val="24"/>
          <w:lang w:val="fr-BE"/>
        </w:rPr>
        <w:t xml:space="preserve"> institué par la directive et l’économie fondée sur les données.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L’une des principales conclusions de l’évaluation est que le droit </w:t>
      </w:r>
      <w:r>
        <w:rPr>
          <w:rFonts w:ascii="Times New Roman" w:hAnsi="Times New Roman"/>
          <w:i/>
          <w:noProof/>
          <w:sz w:val="24"/>
          <w:lang w:val="fr-BE"/>
        </w:rPr>
        <w:t>sui generis</w:t>
      </w:r>
      <w:r>
        <w:rPr>
          <w:rFonts w:ascii="Times New Roman" w:hAnsi="Times New Roman"/>
          <w:noProof/>
          <w:sz w:val="24"/>
          <w:lang w:val="fr-BE"/>
        </w:rPr>
        <w:t xml:space="preserve"> ne couvre pas systématiquement les cas rel</w:t>
      </w:r>
      <w:r>
        <w:rPr>
          <w:rFonts w:ascii="Times New Roman" w:hAnsi="Times New Roman"/>
          <w:noProof/>
          <w:sz w:val="24"/>
          <w:lang w:val="fr-BE"/>
        </w:rPr>
        <w:t>atifs aux mégadonnées et les bases de données à source unique</w:t>
      </w:r>
      <w:r>
        <w:rPr>
          <w:rStyle w:val="FootnoteReference"/>
          <w:rFonts w:ascii="Times New Roman" w:hAnsi="Times New Roman"/>
          <w:noProof/>
          <w:sz w:val="24"/>
        </w:rPr>
        <w:footnoteReference w:id="23"/>
      </w:r>
      <w:r>
        <w:rPr>
          <w:rFonts w:ascii="Times New Roman" w:hAnsi="Times New Roman"/>
          <w:noProof/>
          <w:sz w:val="24"/>
          <w:lang w:val="fr-BE"/>
        </w:rPr>
        <w:t>, et qu’il ne permet donc pas d’éviter les cas problématiques dans lesquels certains titulaires de droits pourraient faire valoir des droits de propriété indirecte sur des données numériques. To</w:t>
      </w:r>
      <w:r>
        <w:rPr>
          <w:rFonts w:ascii="Times New Roman" w:hAnsi="Times New Roman"/>
          <w:noProof/>
          <w:sz w:val="24"/>
          <w:lang w:val="fr-BE"/>
        </w:rPr>
        <w:t>utefois, l’évaluation montre que cette hypothèse devrait être suivie de près à l’avenir, étant donné qu’un certain nombre de procès ont suscité des interrogations, dans les milieux universitaires et parmi d’autres parties concernées, quant à la possibilité</w:t>
      </w:r>
      <w:r>
        <w:rPr>
          <w:rFonts w:ascii="Times New Roman" w:hAnsi="Times New Roman"/>
          <w:noProof/>
          <w:sz w:val="24"/>
          <w:lang w:val="fr-BE"/>
        </w:rPr>
        <w:t xml:space="preserve"> d’une application plus large du droit </w:t>
      </w:r>
      <w:r>
        <w:rPr>
          <w:rFonts w:ascii="Times New Roman" w:hAnsi="Times New Roman"/>
          <w:i/>
          <w:noProof/>
          <w:sz w:val="24"/>
          <w:lang w:val="fr-BE"/>
        </w:rPr>
        <w:t>sui generis</w:t>
      </w:r>
      <w:r>
        <w:rPr>
          <w:rFonts w:ascii="Times New Roman" w:hAnsi="Times New Roman"/>
          <w:noProof/>
          <w:sz w:val="24"/>
          <w:lang w:val="fr-BE"/>
        </w:rPr>
        <w:t xml:space="preserve"> que celle qui est généralement admise, par exemple en ce qui concerne les données produites par des machines. L’évaluation de la directive sur les bases de données aborde également les possibilités d’inter</w:t>
      </w:r>
      <w:r>
        <w:rPr>
          <w:rFonts w:ascii="Times New Roman" w:hAnsi="Times New Roman"/>
          <w:noProof/>
          <w:sz w:val="24"/>
          <w:lang w:val="fr-BE"/>
        </w:rPr>
        <w:t xml:space="preserve">action entre le droit </w:t>
      </w:r>
      <w:r>
        <w:rPr>
          <w:rFonts w:ascii="Times New Roman" w:hAnsi="Times New Roman"/>
          <w:i/>
          <w:noProof/>
          <w:sz w:val="24"/>
          <w:lang w:val="fr-BE"/>
        </w:rPr>
        <w:t>sui generis</w:t>
      </w:r>
      <w:r>
        <w:rPr>
          <w:rFonts w:ascii="Times New Roman" w:hAnsi="Times New Roman"/>
          <w:noProof/>
          <w:sz w:val="24"/>
          <w:lang w:val="fr-BE"/>
        </w:rPr>
        <w:t xml:space="preserve"> et la directive concernant la réutilisation des informations du secteur public, point qui a aussi été pris en considération dans l’évaluation de cette dernière</w:t>
      </w:r>
      <w:r>
        <w:rPr>
          <w:rStyle w:val="FootnoteReference"/>
          <w:rFonts w:ascii="Times New Roman" w:hAnsi="Times New Roman"/>
          <w:noProof/>
          <w:sz w:val="24"/>
        </w:rPr>
        <w:footnoteReference w:id="24"/>
      </w:r>
      <w:r>
        <w:rPr>
          <w:rFonts w:ascii="Times New Roman" w:hAnsi="Times New Roman"/>
          <w:noProof/>
          <w:sz w:val="24"/>
          <w:lang w:val="fr-BE"/>
        </w:rPr>
        <w:t>. Compte tenu du fait qu’une telle interaction peut se produir</w:t>
      </w:r>
      <w:r>
        <w:rPr>
          <w:rFonts w:ascii="Times New Roman" w:hAnsi="Times New Roman"/>
          <w:noProof/>
          <w:sz w:val="24"/>
          <w:lang w:val="fr-BE"/>
        </w:rPr>
        <w:t>e dans la pratique, la proposition de révision de la directive concernant la réutilisation des informations du secteur public vise à vérifier l’alignement des dispositions de ces deux instruments.</w:t>
      </w:r>
    </w:p>
    <w:p w:rsidR="00C0328C" w:rsidRDefault="00576A1C">
      <w:pPr>
        <w:jc w:val="both"/>
        <w:rPr>
          <w:rFonts w:ascii="Times New Roman" w:hAnsi="Times New Roman" w:cs="Times New Roman"/>
          <w:noProof/>
          <w:sz w:val="24"/>
          <w:szCs w:val="24"/>
          <w:highlight w:val="yellow"/>
          <w:lang w:val="fr-BE"/>
        </w:rPr>
      </w:pPr>
      <w:r>
        <w:rPr>
          <w:rFonts w:ascii="Times New Roman" w:hAnsi="Times New Roman"/>
          <w:noProof/>
          <w:sz w:val="24"/>
          <w:lang w:val="fr-BE"/>
        </w:rPr>
        <w:t xml:space="preserve">La proposition de révision comporte également des </w:t>
      </w:r>
      <w:r>
        <w:rPr>
          <w:rFonts w:ascii="Times New Roman" w:hAnsi="Times New Roman"/>
          <w:noProof/>
          <w:sz w:val="24"/>
          <w:lang w:val="fr-BE"/>
        </w:rPr>
        <w:t>éclaircissements sur la relation entre la directive concernant la réutilisation des informations du secteur public et la directive établissant une infrastructure d’information géographique (INSPIRE)</w:t>
      </w:r>
      <w:r>
        <w:rPr>
          <w:rStyle w:val="FootnoteReference"/>
          <w:rFonts w:ascii="Times New Roman" w:hAnsi="Times New Roman"/>
          <w:noProof/>
          <w:sz w:val="24"/>
        </w:rPr>
        <w:footnoteReference w:id="25"/>
      </w:r>
      <w:r>
        <w:rPr>
          <w:rFonts w:ascii="Times New Roman" w:hAnsi="Times New Roman"/>
          <w:noProof/>
          <w:sz w:val="24"/>
          <w:lang w:val="fr-BE"/>
        </w:rPr>
        <w:t>, afin de garantir une cohérence totale entre ces deux in</w:t>
      </w:r>
      <w:r>
        <w:rPr>
          <w:rFonts w:ascii="Times New Roman" w:hAnsi="Times New Roman"/>
          <w:noProof/>
          <w:sz w:val="24"/>
          <w:lang w:val="fr-BE"/>
        </w:rPr>
        <w:t>struments juridiques.</w:t>
      </w:r>
    </w:p>
    <w:p w:rsidR="00C0328C" w:rsidRDefault="00576A1C">
      <w:pPr>
        <w:keepNext/>
        <w:jc w:val="both"/>
        <w:rPr>
          <w:rFonts w:ascii="Times New Roman" w:hAnsi="Times New Roman" w:cs="Times New Roman"/>
          <w:noProof/>
          <w:sz w:val="24"/>
          <w:szCs w:val="24"/>
          <w:lang w:val="fr-BE"/>
        </w:rPr>
      </w:pPr>
      <w:r>
        <w:rPr>
          <w:rFonts w:ascii="Times New Roman" w:hAnsi="Times New Roman"/>
          <w:noProof/>
          <w:sz w:val="24"/>
          <w:lang w:val="fr-BE"/>
        </w:rPr>
        <w:t>En outre, dans le cadre du programme relatif au mécanisme pour l'interconnexion en Europe, la Commission continuera de soutenir le déploiement d’infrastructures de données ouvertes à part entière dans le prolongement de la création du</w:t>
      </w:r>
      <w:r>
        <w:rPr>
          <w:rFonts w:ascii="Times New Roman" w:hAnsi="Times New Roman"/>
          <w:noProof/>
          <w:sz w:val="24"/>
          <w:lang w:val="fr-BE"/>
        </w:rPr>
        <w:t xml:space="preserve"> portail européen des données ouvertes</w:t>
      </w:r>
      <w:r>
        <w:rPr>
          <w:rFonts w:ascii="Times New Roman" w:hAnsi="Times New Roman"/>
          <w:noProof/>
          <w:sz w:val="24"/>
          <w:vertAlign w:val="superscript"/>
        </w:rPr>
        <w:footnoteReference w:id="26"/>
      </w:r>
      <w:r>
        <w:rPr>
          <w:rFonts w:ascii="Times New Roman" w:hAnsi="Times New Roman"/>
          <w:noProof/>
          <w:sz w:val="24"/>
          <w:lang w:val="fr-BE"/>
        </w:rPr>
        <w:t>. Cet environnement pourrait fournir des données et outils interopérables, ainsi que des connaissances et un soutien, afin de maximiser la réutilisation de données ouvertes par les administrations publiques et entrepr</w:t>
      </w:r>
      <w:r>
        <w:rPr>
          <w:rFonts w:ascii="Times New Roman" w:hAnsi="Times New Roman"/>
          <w:noProof/>
          <w:sz w:val="24"/>
          <w:lang w:val="fr-BE"/>
        </w:rPr>
        <w:t>ises européennes, dont les petites et moyennes entreprises, et de renforcer les capacités de développement de l’intelligence artificielle européenne en matière de contenus. La Commission a proposé</w:t>
      </w:r>
      <w:r>
        <w:rPr>
          <w:rStyle w:val="FootnoteReference"/>
          <w:rFonts w:ascii="Times New Roman" w:hAnsi="Times New Roman"/>
          <w:noProof/>
          <w:sz w:val="24"/>
        </w:rPr>
        <w:footnoteReference w:id="27"/>
      </w:r>
      <w:r>
        <w:rPr>
          <w:rFonts w:ascii="Times New Roman" w:hAnsi="Times New Roman"/>
          <w:noProof/>
          <w:sz w:val="24"/>
          <w:lang w:val="fr-BE"/>
        </w:rPr>
        <w:t xml:space="preserve"> que le partage de données par le secteur public soit égale</w:t>
      </w:r>
      <w:r>
        <w:rPr>
          <w:rFonts w:ascii="Times New Roman" w:hAnsi="Times New Roman"/>
          <w:noProof/>
          <w:sz w:val="24"/>
          <w:lang w:val="fr-BE"/>
        </w:rPr>
        <w:t xml:space="preserve">ment facilité par un </w:t>
      </w:r>
      <w:r>
        <w:rPr>
          <w:rFonts w:ascii="Times New Roman" w:hAnsi="Times New Roman"/>
          <w:b/>
          <w:noProof/>
          <w:sz w:val="24"/>
          <w:lang w:val="fr-BE"/>
        </w:rPr>
        <w:t>centre de soutien pour le partage des données</w:t>
      </w:r>
      <w:r>
        <w:rPr>
          <w:rFonts w:ascii="Times New Roman" w:hAnsi="Times New Roman"/>
          <w:noProof/>
          <w:sz w:val="24"/>
          <w:lang w:val="fr-BE"/>
        </w:rPr>
        <w:t xml:space="preserve"> dans le cadre du mécanisme pour l’interconnexion en Europe à partir de 2019.</w:t>
      </w:r>
    </w:p>
    <w:p w:rsidR="00C0328C" w:rsidRDefault="00576A1C">
      <w:pPr>
        <w:keepNext/>
        <w:jc w:val="both"/>
        <w:rPr>
          <w:rFonts w:ascii="Times New Roman" w:hAnsi="Times New Roman" w:cs="Times New Roman"/>
          <w:noProof/>
          <w:sz w:val="24"/>
          <w:szCs w:val="24"/>
          <w:lang w:val="fr-BE"/>
        </w:rPr>
      </w:pPr>
      <w:r>
        <w:rPr>
          <w:rFonts w:ascii="Times New Roman" w:hAnsi="Times New Roman"/>
          <w:noProof/>
          <w:sz w:val="24"/>
          <w:lang w:val="fr-BE"/>
        </w:rPr>
        <w:t xml:space="preserve">La Commission envisage également d’autres actions de financement pour favoriser la disponibilité des données du </w:t>
      </w:r>
      <w:r>
        <w:rPr>
          <w:rFonts w:ascii="Times New Roman" w:hAnsi="Times New Roman"/>
          <w:noProof/>
          <w:sz w:val="24"/>
          <w:lang w:val="fr-BE"/>
        </w:rPr>
        <w:t>secteur public aux fins de leur réutilisation après 2020 en vue de mettre en place un grand espace européen commun de données.</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Enfin, les principes relatifs à la réutilisation des informations du secteur public sont également pris en considération lorsque </w:t>
      </w:r>
      <w:r>
        <w:rPr>
          <w:rFonts w:ascii="Times New Roman" w:hAnsi="Times New Roman"/>
          <w:noProof/>
          <w:sz w:val="24"/>
          <w:lang w:val="fr-BE"/>
        </w:rPr>
        <w:t>les Fonds structurels et d’investissement européens (Fonds ESI)</w:t>
      </w:r>
      <w:r>
        <w:rPr>
          <w:rStyle w:val="FootnoteReference"/>
          <w:rFonts w:ascii="Times New Roman" w:hAnsi="Times New Roman"/>
          <w:noProof/>
          <w:sz w:val="24"/>
        </w:rPr>
        <w:footnoteReference w:id="28"/>
      </w:r>
      <w:r>
        <w:rPr>
          <w:rFonts w:ascii="Times New Roman" w:hAnsi="Times New Roman"/>
          <w:noProof/>
          <w:sz w:val="24"/>
          <w:lang w:val="fr-BE"/>
        </w:rPr>
        <w:t xml:space="preserve"> offrent leur soutien pour répondre aux besoins locaux, générant ainsi des gains d’efficacité grâce à des solutions d’administration en ligne et à la modernisation des systèmes publics d’infor</w:t>
      </w:r>
      <w:r>
        <w:rPr>
          <w:rFonts w:ascii="Times New Roman" w:hAnsi="Times New Roman"/>
          <w:noProof/>
          <w:sz w:val="24"/>
          <w:lang w:val="fr-BE"/>
        </w:rPr>
        <w:t>mation et d’administration.</w:t>
      </w:r>
    </w:p>
    <w:p w:rsidR="00C0328C" w:rsidRDefault="00576A1C">
      <w:pPr>
        <w:jc w:val="both"/>
        <w:rPr>
          <w:rFonts w:ascii="Times New Roman" w:hAnsi="Times New Roman" w:cs="Times New Roman"/>
          <w:b/>
          <w:noProof/>
          <w:sz w:val="24"/>
          <w:szCs w:val="24"/>
          <w:lang w:val="fr-BE"/>
        </w:rPr>
      </w:pPr>
      <w:r>
        <w:rPr>
          <w:rFonts w:ascii="Times New Roman" w:hAnsi="Times New Roman"/>
          <w:b/>
          <w:noProof/>
          <w:sz w:val="24"/>
          <w:lang w:val="fr-BE"/>
        </w:rPr>
        <w:t xml:space="preserve">b) Accès aux informations scientifiques et conservation de celles-ci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La science ouverte a été définie</w:t>
      </w:r>
      <w:r>
        <w:rPr>
          <w:rStyle w:val="FootnoteReference"/>
          <w:rFonts w:ascii="Times New Roman" w:hAnsi="Times New Roman"/>
          <w:noProof/>
          <w:sz w:val="24"/>
        </w:rPr>
        <w:footnoteReference w:id="29"/>
      </w:r>
      <w:r>
        <w:rPr>
          <w:rFonts w:ascii="Times New Roman" w:hAnsi="Times New Roman"/>
          <w:noProof/>
          <w:sz w:val="24"/>
          <w:lang w:val="fr-BE"/>
        </w:rPr>
        <w:t>, en particulier dans le contexte de l’accès aux résultats de la recherche financée par le secteur public et de leur réutilis</w:t>
      </w:r>
      <w:r>
        <w:rPr>
          <w:rFonts w:ascii="Times New Roman" w:hAnsi="Times New Roman"/>
          <w:noProof/>
          <w:sz w:val="24"/>
          <w:lang w:val="fr-BE"/>
        </w:rPr>
        <w:t>ation, comme un élément indispensable du progrès scientifique au bénéfice de la société. Le Conseil l’a souligné dans ses conclusions sur la transition vers un système de science ouverte</w:t>
      </w:r>
      <w:r>
        <w:rPr>
          <w:rStyle w:val="FootnoteReference"/>
          <w:rFonts w:ascii="Times New Roman" w:hAnsi="Times New Roman"/>
          <w:noProof/>
          <w:sz w:val="24"/>
        </w:rPr>
        <w:footnoteReference w:id="30"/>
      </w:r>
      <w:r>
        <w:rPr>
          <w:rFonts w:ascii="Times New Roman" w:hAnsi="Times New Roman"/>
          <w:noProof/>
          <w:sz w:val="24"/>
          <w:lang w:val="fr-BE"/>
        </w:rPr>
        <w:t>, dans lesquelles il a invité la Commission, en coopération avec la p</w:t>
      </w:r>
      <w:r>
        <w:rPr>
          <w:rFonts w:ascii="Times New Roman" w:hAnsi="Times New Roman"/>
          <w:noProof/>
          <w:sz w:val="24"/>
          <w:lang w:val="fr-BE"/>
        </w:rPr>
        <w:t>lateforme sur la politique en matière de science ouverte et en étroite coopération avec les États membres et les autres parties concernées, à poursuivre le développement du programme européen en matière de science ouverte. La science ouverte plaide pour qu</w:t>
      </w:r>
      <w:r>
        <w:rPr>
          <w:rFonts w:ascii="Times New Roman" w:hAnsi="Times New Roman"/>
          <w:noProof/>
          <w:sz w:val="24"/>
          <w:lang w:val="fr-BE"/>
        </w:rPr>
        <w:t>e les processus de recherche, quel que soit le type de chercheurs qui les mènent (scientifiques amateurs compris) soient ouverts à tous les stades — de la conception du projet, des méthodes et des flux de travail jusqu’à la diffusion des résultats — afin q</w:t>
      </w:r>
      <w:r>
        <w:rPr>
          <w:rFonts w:ascii="Times New Roman" w:hAnsi="Times New Roman"/>
          <w:noProof/>
          <w:sz w:val="24"/>
          <w:lang w:val="fr-BE"/>
        </w:rPr>
        <w:t xml:space="preserve">ue les nouvelles recherches puissent s’appuyer plus facilement sur les recherches précédentes. Ainsi, la qualité serait accrue, les doubles emplois évités et la réutilisation facilitée, ce qui renforcerait </w:t>
      </w:r>
      <w:r>
        <w:rPr>
          <w:rFonts w:ascii="Times New Roman" w:hAnsi="Times New Roman"/>
          <w:i/>
          <w:noProof/>
          <w:sz w:val="24"/>
          <w:lang w:val="fr-BE"/>
        </w:rPr>
        <w:t>in fine</w:t>
      </w:r>
      <w:r>
        <w:rPr>
          <w:rFonts w:ascii="Times New Roman" w:hAnsi="Times New Roman"/>
          <w:noProof/>
          <w:sz w:val="24"/>
          <w:lang w:val="fr-BE"/>
        </w:rPr>
        <w:t xml:space="preserve"> l’impact de la science sur la société. La </w:t>
      </w:r>
      <w:r>
        <w:rPr>
          <w:rFonts w:ascii="Times New Roman" w:hAnsi="Times New Roman"/>
          <w:noProof/>
          <w:sz w:val="24"/>
          <w:lang w:val="fr-BE"/>
        </w:rPr>
        <w:t>Commission estime qu’il est temps de placer l’accès aux informations scientifiques et leur conservation dans le contexte de la science ouverte, en s’appuyant sur sa politique de 2012 en matière de libre accès.</w:t>
      </w:r>
    </w:p>
    <w:p w:rsidR="00C0328C" w:rsidRDefault="00576A1C">
      <w:pPr>
        <w:spacing w:after="0"/>
        <w:jc w:val="both"/>
        <w:rPr>
          <w:rFonts w:ascii="Times New Roman" w:hAnsi="Times New Roman" w:cs="Times New Roman"/>
          <w:noProof/>
          <w:sz w:val="24"/>
          <w:szCs w:val="24"/>
          <w:lang w:val="fr-BE"/>
        </w:rPr>
      </w:pPr>
      <w:r>
        <w:rPr>
          <w:rFonts w:ascii="Times New Roman" w:hAnsi="Times New Roman"/>
          <w:noProof/>
          <w:sz w:val="24"/>
          <w:lang w:val="fr-BE"/>
        </w:rPr>
        <w:t>La Commission donne l’exemple en matière de po</w:t>
      </w:r>
      <w:r>
        <w:rPr>
          <w:rFonts w:ascii="Times New Roman" w:hAnsi="Times New Roman"/>
          <w:noProof/>
          <w:sz w:val="24"/>
          <w:lang w:val="fr-BE"/>
        </w:rPr>
        <w:t>litique de libre accès grâce aux règles de son programme «Horizon 2020». Elle soutient également la mise au point d’outils et de services constituant les fondements de la science ouverte, en finançant un portail paneuropéen relatif au nuage européen pour l</w:t>
      </w:r>
      <w:r>
        <w:rPr>
          <w:rFonts w:ascii="Times New Roman" w:hAnsi="Times New Roman"/>
          <w:noProof/>
          <w:sz w:val="24"/>
          <w:lang w:val="fr-BE"/>
        </w:rPr>
        <w:t>a science ouverte</w:t>
      </w:r>
      <w:r>
        <w:rPr>
          <w:rStyle w:val="FootnoteReference"/>
          <w:rFonts w:ascii="Times New Roman" w:hAnsi="Times New Roman"/>
          <w:noProof/>
          <w:sz w:val="24"/>
        </w:rPr>
        <w:footnoteReference w:id="31"/>
      </w:r>
      <w:r>
        <w:rPr>
          <w:noProof/>
          <w:lang w:val="fr-BE"/>
        </w:rPr>
        <w:t>.</w:t>
      </w:r>
      <w:r>
        <w:rPr>
          <w:rFonts w:ascii="Times New Roman" w:hAnsi="Times New Roman"/>
          <w:noProof/>
          <w:sz w:val="24"/>
          <w:lang w:val="fr-BE"/>
        </w:rPr>
        <w:t xml:space="preserve"> </w:t>
      </w:r>
    </w:p>
    <w:p w:rsidR="00C0328C" w:rsidRDefault="00C0328C">
      <w:pPr>
        <w:spacing w:after="0"/>
        <w:jc w:val="both"/>
        <w:rPr>
          <w:rFonts w:ascii="Times New Roman" w:hAnsi="Times New Roman" w:cs="Times New Roman"/>
          <w:noProof/>
          <w:sz w:val="24"/>
          <w:szCs w:val="24"/>
          <w:lang w:val="fr-BE"/>
        </w:rPr>
      </w:pPr>
    </w:p>
    <w:p w:rsidR="00C0328C" w:rsidRDefault="00576A1C">
      <w:pPr>
        <w:spacing w:after="0"/>
        <w:jc w:val="both"/>
        <w:rPr>
          <w:rFonts w:ascii="Times New Roman" w:hAnsi="Times New Roman" w:cs="Times New Roman"/>
          <w:noProof/>
          <w:sz w:val="24"/>
          <w:szCs w:val="24"/>
          <w:lang w:val="fr-BE"/>
        </w:rPr>
      </w:pPr>
      <w:r>
        <w:rPr>
          <w:rFonts w:ascii="Times New Roman" w:hAnsi="Times New Roman"/>
          <w:noProof/>
          <w:sz w:val="24"/>
          <w:lang w:val="fr-BE"/>
        </w:rPr>
        <w:t>En 2012, la Commission a adopté un train de mesures visant notamment à rendre plus accessibles les informations scientifiques produites dans l’Union. Parmi ces mesures, la recommandation 2012/417/UE de la Commission relative à l’accès</w:t>
      </w:r>
      <w:r>
        <w:rPr>
          <w:rFonts w:ascii="Times New Roman" w:hAnsi="Times New Roman"/>
          <w:noProof/>
          <w:sz w:val="24"/>
          <w:lang w:val="fr-BE"/>
        </w:rPr>
        <w:t xml:space="preserve"> aux informations scientifiques et à leur conservation</w:t>
      </w:r>
      <w:r>
        <w:rPr>
          <w:rStyle w:val="FootnoteReference"/>
          <w:noProof/>
        </w:rPr>
        <w:footnoteReference w:id="32"/>
      </w:r>
      <w:r>
        <w:rPr>
          <w:rFonts w:ascii="Times New Roman" w:hAnsi="Times New Roman"/>
          <w:noProof/>
          <w:sz w:val="24"/>
          <w:lang w:val="fr-BE"/>
        </w:rPr>
        <w:t xml:space="preserve"> repose sur le principe que les informations scientifiques provenant d’un financement public doivent être accessibles et réutilisables avec le moins de limitations possible. </w:t>
      </w:r>
    </w:p>
    <w:p w:rsidR="00C0328C" w:rsidRDefault="00C0328C">
      <w:pPr>
        <w:spacing w:after="0"/>
        <w:jc w:val="both"/>
        <w:rPr>
          <w:rFonts w:ascii="Times New Roman" w:hAnsi="Times New Roman" w:cs="Times New Roman"/>
          <w:noProof/>
          <w:sz w:val="24"/>
          <w:szCs w:val="24"/>
          <w:lang w:val="fr-BE"/>
        </w:rPr>
      </w:pPr>
    </w:p>
    <w:p w:rsidR="00C0328C" w:rsidRDefault="00576A1C">
      <w:pPr>
        <w:spacing w:after="0"/>
        <w:jc w:val="both"/>
        <w:rPr>
          <w:rFonts w:ascii="Times New Roman" w:hAnsi="Times New Roman" w:cs="Times New Roman"/>
          <w:noProof/>
          <w:sz w:val="24"/>
          <w:szCs w:val="24"/>
          <w:lang w:val="fr-BE"/>
        </w:rPr>
      </w:pPr>
      <w:r>
        <w:rPr>
          <w:rFonts w:ascii="Times New Roman" w:hAnsi="Times New Roman"/>
          <w:noProof/>
          <w:sz w:val="24"/>
          <w:lang w:val="fr-BE"/>
        </w:rPr>
        <w:t xml:space="preserve">L’évaluation de la </w:t>
      </w:r>
      <w:r>
        <w:rPr>
          <w:rFonts w:ascii="Times New Roman" w:hAnsi="Times New Roman"/>
          <w:noProof/>
          <w:sz w:val="24"/>
          <w:lang w:val="fr-BE"/>
        </w:rPr>
        <w:t>recommandation confirme que celle-ci constitue un outil précieux et efficace dont l’utilité demeure. Cependant, une révision est nécessaire pour tenir compte des évolutions récentes et à venir dans le domaine de la recherche, ainsi que des dernières évolut</w:t>
      </w:r>
      <w:r>
        <w:rPr>
          <w:rFonts w:ascii="Times New Roman" w:hAnsi="Times New Roman"/>
          <w:noProof/>
          <w:sz w:val="24"/>
          <w:lang w:val="fr-BE"/>
        </w:rPr>
        <w:t>ions des politiques menées par l’Union. Comme annoncé dans l’Initiative européenne sur l’informatique en nuage</w:t>
      </w:r>
      <w:r>
        <w:rPr>
          <w:rStyle w:val="FootnoteReference"/>
          <w:noProof/>
        </w:rPr>
        <w:footnoteReference w:id="33"/>
      </w:r>
      <w:r>
        <w:rPr>
          <w:rFonts w:ascii="Times New Roman" w:hAnsi="Times New Roman"/>
          <w:noProof/>
          <w:sz w:val="24"/>
          <w:lang w:val="fr-BE"/>
        </w:rPr>
        <w:t>, dans le cadre du nuage européen pour la science ouverte et de l’examen à mi-parcours de la stratégie pour un marché unique numérique</w:t>
      </w:r>
      <w:r>
        <w:rPr>
          <w:rStyle w:val="FootnoteReference"/>
          <w:noProof/>
        </w:rPr>
        <w:footnoteReference w:id="34"/>
      </w:r>
      <w:r>
        <w:rPr>
          <w:rFonts w:ascii="Times New Roman" w:hAnsi="Times New Roman"/>
          <w:noProof/>
          <w:sz w:val="24"/>
          <w:lang w:val="fr-BE"/>
        </w:rPr>
        <w:t>, l’actuel</w:t>
      </w:r>
      <w:r>
        <w:rPr>
          <w:rFonts w:ascii="Times New Roman" w:hAnsi="Times New Roman"/>
          <w:noProof/>
          <w:sz w:val="24"/>
          <w:lang w:val="fr-BE"/>
        </w:rPr>
        <w:t xml:space="preserve"> train de mesures sur les données comprend donc la révision de la recommandation relative à l’accès aux informations scientifiques et à leur conservation</w:t>
      </w:r>
      <w:r>
        <w:rPr>
          <w:rStyle w:val="FootnoteReference"/>
          <w:rFonts w:ascii="Times New Roman" w:hAnsi="Times New Roman"/>
          <w:noProof/>
          <w:sz w:val="24"/>
        </w:rPr>
        <w:footnoteReference w:id="35"/>
      </w:r>
      <w:r>
        <w:rPr>
          <w:rFonts w:ascii="Times New Roman" w:hAnsi="Times New Roman"/>
          <w:noProof/>
          <w:sz w:val="24"/>
          <w:lang w:val="fr-BE"/>
        </w:rPr>
        <w:t xml:space="preserve">. </w:t>
      </w:r>
    </w:p>
    <w:p w:rsidR="00C0328C" w:rsidRDefault="00C0328C">
      <w:pPr>
        <w:spacing w:after="0"/>
        <w:jc w:val="both"/>
        <w:rPr>
          <w:rFonts w:ascii="Times New Roman" w:hAnsi="Times New Roman"/>
          <w:noProof/>
          <w:sz w:val="24"/>
          <w:lang w:val="fr-BE"/>
        </w:rPr>
      </w:pPr>
    </w:p>
    <w:p w:rsidR="00C0328C" w:rsidRDefault="00576A1C">
      <w:pPr>
        <w:jc w:val="both"/>
        <w:rPr>
          <w:rFonts w:ascii="Times New Roman" w:hAnsi="Times New Roman"/>
          <w:noProof/>
          <w:sz w:val="24"/>
          <w:lang w:val="fr-BE"/>
        </w:rPr>
      </w:pPr>
      <w:r>
        <w:rPr>
          <w:rFonts w:ascii="Times New Roman" w:hAnsi="Times New Roman"/>
          <w:noProof/>
          <w:sz w:val="24"/>
          <w:lang w:val="fr-BE"/>
        </w:rPr>
        <w:t>La révision de la recommandation est présentée parallèlement à la révision de la directive concern</w:t>
      </w:r>
      <w:r>
        <w:rPr>
          <w:rFonts w:ascii="Times New Roman" w:hAnsi="Times New Roman"/>
          <w:noProof/>
          <w:sz w:val="24"/>
          <w:lang w:val="fr-BE"/>
        </w:rPr>
        <w:t>ant la réutilisation des informations du secteur public</w:t>
      </w:r>
      <w:r>
        <w:rPr>
          <w:rStyle w:val="FootnoteReference"/>
          <w:rFonts w:ascii="Times New Roman" w:hAnsi="Times New Roman"/>
          <w:noProof/>
          <w:sz w:val="24"/>
        </w:rPr>
        <w:footnoteReference w:id="36"/>
      </w:r>
      <w:r>
        <w:rPr>
          <w:rFonts w:ascii="Times New Roman" w:hAnsi="Times New Roman"/>
          <w:noProof/>
          <w:sz w:val="24"/>
          <w:lang w:val="fr-BE"/>
        </w:rPr>
        <w:t>, qui propose d’étendre le champ d’application de la directive aux données de la recherche et de veiller à la cohérence entre les politiques de libre accès et de données ouvertes de l’Union, ainsi qu’</w:t>
      </w:r>
      <w:r>
        <w:rPr>
          <w:rFonts w:ascii="Times New Roman" w:hAnsi="Times New Roman"/>
          <w:noProof/>
          <w:sz w:val="24"/>
          <w:lang w:val="fr-BE"/>
        </w:rPr>
        <w:t>à leur complémentarité. Cela permettra ainsi de libérer en même temps le potentiel des informations du secteur public et celui des données issues de la recherche financée par le secteur public. La proposition de révision de la directive concernant la réuti</w:t>
      </w:r>
      <w:r>
        <w:rPr>
          <w:rFonts w:ascii="Times New Roman" w:hAnsi="Times New Roman"/>
          <w:noProof/>
          <w:sz w:val="24"/>
          <w:lang w:val="fr-BE"/>
        </w:rPr>
        <w:t>lisation des informations du secteur public obligerait les États membres à élaborer des politiques qui tiennent compte de la question du libre accès aux données de la recherche publique et détenues par le secteur public, tandis que la recommandation révisé</w:t>
      </w:r>
      <w:r>
        <w:rPr>
          <w:rFonts w:ascii="Times New Roman" w:hAnsi="Times New Roman"/>
          <w:noProof/>
          <w:sz w:val="24"/>
          <w:lang w:val="fr-BE"/>
        </w:rPr>
        <w:t xml:space="preserve">e relative à l’accès aux informations scientifiques et à leur conservation fournirait des orientations concernant la mise en œuvre du libre accès aux données de la recherche publique et détenues par le secteur public.  </w:t>
      </w:r>
    </w:p>
    <w:p w:rsidR="00C0328C" w:rsidRDefault="00576A1C">
      <w:pPr>
        <w:keepNext/>
        <w:jc w:val="both"/>
        <w:rPr>
          <w:rFonts w:ascii="Times New Roman" w:hAnsi="Times New Roman"/>
          <w:b/>
          <w:noProof/>
          <w:sz w:val="24"/>
          <w:lang w:val="fr-BE"/>
        </w:rPr>
      </w:pPr>
      <w:r>
        <w:rPr>
          <w:rFonts w:ascii="Times New Roman" w:hAnsi="Times New Roman"/>
          <w:b/>
          <w:noProof/>
          <w:sz w:val="24"/>
          <w:lang w:val="fr-BE"/>
        </w:rPr>
        <w:t>4) Les données du secteur privé en t</w:t>
      </w:r>
      <w:r>
        <w:rPr>
          <w:rFonts w:ascii="Times New Roman" w:hAnsi="Times New Roman"/>
          <w:b/>
          <w:noProof/>
          <w:sz w:val="24"/>
          <w:lang w:val="fr-BE"/>
        </w:rPr>
        <w:t xml:space="preserve">ant que moteur essentiel de l’innovation et de la compétitivité en Europe </w:t>
      </w:r>
    </w:p>
    <w:p w:rsidR="00C0328C" w:rsidRDefault="00576A1C">
      <w:pPr>
        <w:jc w:val="both"/>
        <w:rPr>
          <w:rFonts w:ascii="Times New Roman" w:hAnsi="Times New Roman"/>
          <w:noProof/>
          <w:sz w:val="24"/>
          <w:lang w:val="fr-BE"/>
        </w:rPr>
      </w:pPr>
      <w:r>
        <w:rPr>
          <w:rFonts w:ascii="Times New Roman" w:hAnsi="Times New Roman"/>
          <w:noProof/>
          <w:sz w:val="24"/>
          <w:lang w:val="fr-BE"/>
        </w:rPr>
        <w:t>L’accès aux données du secteur privé et leur réutilisation constituent d’autres éléments essentiels d’un espace européen commun des données. Conformément à l’examen à mi-parcours de</w:t>
      </w:r>
      <w:r>
        <w:rPr>
          <w:rFonts w:ascii="Times New Roman" w:hAnsi="Times New Roman"/>
          <w:noProof/>
          <w:sz w:val="24"/>
          <w:lang w:val="fr-BE"/>
        </w:rPr>
        <w:t xml:space="preserve"> la stratégie pour un marché unique numérique, et sur la base des résultats de la consultation des parties concernées, il est possible de définir un certain nombre de principes à respecter en ce qui concerne le partage des données du secteur privé</w:t>
      </w:r>
      <w:r>
        <w:rPr>
          <w:rStyle w:val="FootnoteReference"/>
          <w:rFonts w:ascii="Times New Roman" w:hAnsi="Times New Roman"/>
          <w:noProof/>
          <w:sz w:val="24"/>
        </w:rPr>
        <w:footnoteReference w:id="37"/>
      </w:r>
      <w:r>
        <w:rPr>
          <w:noProof/>
          <w:lang w:val="fr-BE"/>
        </w:rPr>
        <w:t>.</w:t>
      </w:r>
    </w:p>
    <w:p w:rsidR="00C0328C" w:rsidRDefault="00576A1C">
      <w:pPr>
        <w:keepNext/>
        <w:jc w:val="both"/>
        <w:rPr>
          <w:rFonts w:ascii="Times New Roman" w:hAnsi="Times New Roman" w:cs="Times New Roman"/>
          <w:b/>
          <w:noProof/>
          <w:sz w:val="24"/>
          <w:szCs w:val="24"/>
          <w:lang w:val="fr-BE"/>
        </w:rPr>
      </w:pPr>
      <w:r>
        <w:rPr>
          <w:rFonts w:ascii="Times New Roman" w:hAnsi="Times New Roman"/>
          <w:b/>
          <w:noProof/>
          <w:sz w:val="24"/>
          <w:lang w:val="fr-BE"/>
        </w:rPr>
        <w:t>a) Par</w:t>
      </w:r>
      <w:r>
        <w:rPr>
          <w:rFonts w:ascii="Times New Roman" w:hAnsi="Times New Roman"/>
          <w:b/>
          <w:noProof/>
          <w:sz w:val="24"/>
          <w:lang w:val="fr-BE"/>
        </w:rPr>
        <w:t xml:space="preserve">tage de données entre entreprises (B2B) </w:t>
      </w:r>
    </w:p>
    <w:p w:rsidR="00C0328C" w:rsidRDefault="00576A1C">
      <w:pPr>
        <w:jc w:val="both"/>
        <w:rPr>
          <w:rFonts w:ascii="Times New Roman" w:hAnsi="Times New Roman"/>
          <w:noProof/>
          <w:sz w:val="24"/>
          <w:lang w:val="fr-BE"/>
        </w:rPr>
      </w:pPr>
      <w:r>
        <w:rPr>
          <w:rFonts w:ascii="Times New Roman" w:hAnsi="Times New Roman"/>
          <w:noProof/>
          <w:sz w:val="24"/>
          <w:lang w:val="fr-BE"/>
        </w:rPr>
        <w:t>La communication «Créer une économie européenne fondée sur les données» a soulevé un certain nombre de questions sur le volume sans cesse croissant de données. Celles-ci sont souvent créées de manière automatisée pa</w:t>
      </w:r>
      <w:r>
        <w:rPr>
          <w:rFonts w:ascii="Times New Roman" w:hAnsi="Times New Roman"/>
          <w:noProof/>
          <w:sz w:val="24"/>
          <w:lang w:val="fr-BE"/>
        </w:rPr>
        <w:t>r des machines ou des processus reposant sur de nouvelles technologies, telles que l’internet des objets. Afin d’exploiter de manière optimale ces données et d’autres types de données du secteur privé, les acteurs du marché sont susceptibles de devoir y ac</w:t>
      </w:r>
      <w:r>
        <w:rPr>
          <w:rFonts w:ascii="Times New Roman" w:hAnsi="Times New Roman"/>
          <w:noProof/>
          <w:sz w:val="24"/>
          <w:lang w:val="fr-BE"/>
        </w:rPr>
        <w:t xml:space="preserve">céder et les utiliser, y compris par-delà les frontières dans différents scénarios. Comme indiqué dans cette communication, les données à caractère non personnel générées par l’internet des objets de manière automatisée soulèvent des questions spécifiques </w:t>
      </w:r>
      <w:r>
        <w:rPr>
          <w:rFonts w:ascii="Times New Roman" w:hAnsi="Times New Roman"/>
          <w:noProof/>
          <w:sz w:val="24"/>
          <w:lang w:val="fr-BE"/>
        </w:rPr>
        <w:t>étant donné que, en règle générale, les fabricants de ces objets se trouvent dans une position privilégiée pour déterminer l’accès à ces données et leur utilisation. Selon la nature du marché concerné, ils peuvent accorder ou non les droits d’accès et d’ut</w:t>
      </w:r>
      <w:r>
        <w:rPr>
          <w:rFonts w:ascii="Times New Roman" w:hAnsi="Times New Roman"/>
          <w:noProof/>
          <w:sz w:val="24"/>
          <w:lang w:val="fr-BE"/>
        </w:rPr>
        <w:t>ilisation à l’utilisateur de l’objet en question, lequel peut se trouver dans l’impossibilité d’utiliser les données dont il a déclenché la production.</w:t>
      </w:r>
    </w:p>
    <w:p w:rsidR="00C0328C" w:rsidRDefault="00576A1C">
      <w:pPr>
        <w:jc w:val="both"/>
        <w:rPr>
          <w:rFonts w:ascii="Times New Roman" w:hAnsi="Times New Roman"/>
          <w:noProof/>
          <w:sz w:val="24"/>
          <w:lang w:val="fr-BE"/>
        </w:rPr>
      </w:pPr>
      <w:r>
        <w:rPr>
          <w:rFonts w:ascii="Times New Roman" w:hAnsi="Times New Roman"/>
          <w:noProof/>
          <w:sz w:val="24"/>
          <w:lang w:val="fr-BE"/>
        </w:rPr>
        <w:t>Le dialogue avec les parties concernées et les réponses à l’enquête en ligne</w:t>
      </w:r>
      <w:r>
        <w:rPr>
          <w:rStyle w:val="FootnoteReference"/>
          <w:rFonts w:ascii="Times New Roman" w:hAnsi="Times New Roman"/>
          <w:noProof/>
          <w:sz w:val="24"/>
        </w:rPr>
        <w:footnoteReference w:id="38"/>
      </w:r>
      <w:r>
        <w:rPr>
          <w:rFonts w:ascii="Times New Roman" w:hAnsi="Times New Roman"/>
          <w:noProof/>
          <w:sz w:val="24"/>
          <w:lang w:val="fr-BE"/>
        </w:rPr>
        <w:t xml:space="preserve"> ont montré que les parties</w:t>
      </w:r>
      <w:r>
        <w:rPr>
          <w:rFonts w:ascii="Times New Roman" w:hAnsi="Times New Roman"/>
          <w:noProof/>
          <w:sz w:val="24"/>
          <w:lang w:val="fr-BE"/>
        </w:rPr>
        <w:t xml:space="preserve"> concernées sont largement d’accord pour dire qu’un partage accru des données entre entreprises serait bénéfique. Dans le même temps, ils sont d’avis que, au stade actuel de développement de l’économie fondée sur les données, le cadre réglementaire actuel </w:t>
      </w:r>
      <w:r>
        <w:rPr>
          <w:rFonts w:ascii="Times New Roman" w:hAnsi="Times New Roman"/>
          <w:noProof/>
          <w:sz w:val="24"/>
          <w:lang w:val="fr-BE"/>
        </w:rPr>
        <w:t>est adapté à son objectif et qu’il est trop tôt pour envisager une législation horizontale en matière de partage de données entre entreprises. Il conviendrait de commencer par veiller à ce que les marchés de données bénéficient des meilleures conditions po</w:t>
      </w:r>
      <w:r>
        <w:rPr>
          <w:rFonts w:ascii="Times New Roman" w:hAnsi="Times New Roman"/>
          <w:noProof/>
          <w:sz w:val="24"/>
          <w:lang w:val="fr-BE"/>
        </w:rPr>
        <w:t>ssibles pour se développer seuls, avec la liberté contractuelle comme élément fondamental. D’une manière générale, les entreprises devraient être libres de décider à qui et à quelles conditions elles octroient l’accès à leurs données à caractère non person</w:t>
      </w:r>
      <w:r>
        <w:rPr>
          <w:rFonts w:ascii="Times New Roman" w:hAnsi="Times New Roman"/>
          <w:noProof/>
          <w:sz w:val="24"/>
          <w:lang w:val="fr-BE"/>
        </w:rPr>
        <w:t xml:space="preserve">nel. En outre, les parties concernées ne sont généralement pas favorables à un nouveau type de droit de «propriété des données», une série de contributions indiquant que l’élément essentiel dans le partage entre entreprises n’est pas tant la propriété que </w:t>
      </w:r>
      <w:r>
        <w:rPr>
          <w:rFonts w:ascii="Times New Roman" w:hAnsi="Times New Roman"/>
          <w:noProof/>
          <w:sz w:val="24"/>
          <w:lang w:val="fr-BE"/>
        </w:rPr>
        <w:t xml:space="preserve">la manière dont l’accès est organisé. </w:t>
      </w:r>
    </w:p>
    <w:p w:rsidR="00C0328C" w:rsidRDefault="00576A1C">
      <w:pPr>
        <w:jc w:val="both"/>
        <w:rPr>
          <w:rFonts w:ascii="Times New Roman" w:hAnsi="Times New Roman"/>
          <w:noProof/>
          <w:sz w:val="24"/>
          <w:lang w:val="fr-BE"/>
        </w:rPr>
      </w:pPr>
      <w:r>
        <w:rPr>
          <w:rFonts w:ascii="Times New Roman" w:hAnsi="Times New Roman"/>
          <w:noProof/>
          <w:sz w:val="24"/>
          <w:lang w:val="fr-BE"/>
        </w:rPr>
        <w:t>En revanche, les parties concernées sont nombreuses à soutenir la mise en œuvre de mesures non réglementaires, telles que (i) la promotion de l’utilisation des API en vue de simplifier et d’automatiser davantage l’acc</w:t>
      </w:r>
      <w:r>
        <w:rPr>
          <w:rFonts w:ascii="Times New Roman" w:hAnsi="Times New Roman"/>
          <w:noProof/>
          <w:sz w:val="24"/>
          <w:lang w:val="fr-BE"/>
        </w:rPr>
        <w:t xml:space="preserve">ès aux jeux de données et leur utilisation, (ii) l’élaboration de clauses contractuelles types recommandées et (iii) la diffusion d’orientations au niveau de l'UE.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Compte tenu de tous les éléments disponibles actuellement et en vertu des principes exposés</w:t>
      </w:r>
      <w:r>
        <w:rPr>
          <w:rFonts w:ascii="Times New Roman" w:hAnsi="Times New Roman"/>
          <w:noProof/>
          <w:sz w:val="24"/>
          <w:lang w:val="fr-BE"/>
        </w:rPr>
        <w:t xml:space="preserve"> dans la communication «Créer une économie européenne fondée sur les données»</w:t>
      </w:r>
      <w:r>
        <w:rPr>
          <w:rStyle w:val="FootnoteReference"/>
          <w:rFonts w:ascii="Times New Roman" w:hAnsi="Times New Roman"/>
          <w:noProof/>
          <w:sz w:val="24"/>
        </w:rPr>
        <w:footnoteReference w:id="39"/>
      </w:r>
      <w:r>
        <w:rPr>
          <w:rFonts w:ascii="Times New Roman" w:hAnsi="Times New Roman"/>
          <w:noProof/>
          <w:sz w:val="24"/>
          <w:lang w:val="fr-BE"/>
        </w:rPr>
        <w:t>, la Commission estime qu’il importe de reconnaître le fait que les données peuvent être réutilisées sans perte de qualité et, dans de nombreux cas, sans perte d’avantage concurr</w:t>
      </w:r>
      <w:r>
        <w:rPr>
          <w:rFonts w:ascii="Times New Roman" w:hAnsi="Times New Roman"/>
          <w:noProof/>
          <w:sz w:val="24"/>
          <w:lang w:val="fr-BE"/>
        </w:rPr>
        <w:t>entiel puisque ces mêmes données peuvent soutenir ou améliorer fondamentalement différents produits ou services. Cela s’applique en particulier à la mise à disposition de données utiles pour l’entraînement d’applications d’intelligence artificielle, qui co</w:t>
      </w:r>
      <w:r>
        <w:rPr>
          <w:rFonts w:ascii="Times New Roman" w:hAnsi="Times New Roman"/>
          <w:noProof/>
          <w:sz w:val="24"/>
          <w:lang w:val="fr-BE"/>
        </w:rPr>
        <w:t>nstitue un grand défi industriel pour l’Europe. Davantage d’entreprises pourraient être encouragées à participer à des partenariats en matière de données, c’est-à-dire des accords conclus avec d’autres entreprises en vue de permettre au plus grand nombre p</w:t>
      </w:r>
      <w:r>
        <w:rPr>
          <w:rFonts w:ascii="Times New Roman" w:hAnsi="Times New Roman"/>
          <w:noProof/>
          <w:sz w:val="24"/>
          <w:lang w:val="fr-BE"/>
        </w:rPr>
        <w:t xml:space="preserve">ossible d’acteurs commerciaux de tirer le meilleur parti des données.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La Commission considère par ailleurs que, pour garantir des marchés équitables et concurrentiels des objets de l’IdO et des produits et services qui reposent sur des </w:t>
      </w:r>
      <w:r>
        <w:rPr>
          <w:rFonts w:ascii="Times New Roman" w:hAnsi="Times New Roman"/>
          <w:b/>
          <w:noProof/>
          <w:sz w:val="24"/>
          <w:lang w:val="fr-BE"/>
        </w:rPr>
        <w:t>données à caractère</w:t>
      </w:r>
      <w:r>
        <w:rPr>
          <w:rFonts w:ascii="Times New Roman" w:hAnsi="Times New Roman"/>
          <w:b/>
          <w:noProof/>
          <w:sz w:val="24"/>
          <w:lang w:val="fr-BE"/>
        </w:rPr>
        <w:t xml:space="preserve"> non personnel produites par des machines</w:t>
      </w:r>
      <w:r>
        <w:rPr>
          <w:rFonts w:ascii="Times New Roman" w:hAnsi="Times New Roman"/>
          <w:noProof/>
          <w:sz w:val="24"/>
          <w:lang w:val="fr-BE"/>
        </w:rPr>
        <w:t xml:space="preserve"> et créées par ces objets, les accords contractuels doivent respecter les </w:t>
      </w:r>
      <w:r>
        <w:rPr>
          <w:rFonts w:ascii="Times New Roman" w:hAnsi="Times New Roman"/>
          <w:b/>
          <w:noProof/>
          <w:sz w:val="24"/>
          <w:lang w:val="fr-BE"/>
        </w:rPr>
        <w:t>grands</w:t>
      </w:r>
      <w:r>
        <w:rPr>
          <w:rFonts w:ascii="Times New Roman" w:hAnsi="Times New Roman"/>
          <w:noProof/>
          <w:sz w:val="24"/>
          <w:lang w:val="fr-BE"/>
        </w:rPr>
        <w:t xml:space="preserve"> </w:t>
      </w:r>
      <w:r>
        <w:rPr>
          <w:rFonts w:ascii="Times New Roman" w:hAnsi="Times New Roman"/>
          <w:b/>
          <w:noProof/>
          <w:sz w:val="24"/>
          <w:lang w:val="fr-BE"/>
        </w:rPr>
        <w:t>principes</w:t>
      </w:r>
      <w:r>
        <w:rPr>
          <w:rFonts w:ascii="Times New Roman" w:hAnsi="Times New Roman"/>
          <w:noProof/>
          <w:sz w:val="24"/>
          <w:lang w:val="fr-BE"/>
        </w:rPr>
        <w:t xml:space="preserve"> suivants: </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a)</w:t>
      </w:r>
      <w:r>
        <w:rPr>
          <w:noProof/>
          <w:lang w:val="fr-BE"/>
        </w:rPr>
        <w:tab/>
      </w:r>
      <w:r>
        <w:rPr>
          <w:rFonts w:ascii="Times New Roman" w:hAnsi="Times New Roman"/>
          <w:b/>
          <w:noProof/>
          <w:sz w:val="24"/>
          <w:lang w:val="fr-BE"/>
        </w:rPr>
        <w:t>Transparence</w:t>
      </w:r>
      <w:r>
        <w:rPr>
          <w:rFonts w:ascii="Times New Roman" w:hAnsi="Times New Roman"/>
          <w:noProof/>
          <w:sz w:val="24"/>
          <w:lang w:val="fr-BE"/>
        </w:rPr>
        <w:t>: les accords contractuels concernés doivent indiquer de manière transparente et compréhensible (i</w:t>
      </w:r>
      <w:r>
        <w:rPr>
          <w:rFonts w:ascii="Times New Roman" w:hAnsi="Times New Roman"/>
          <w:noProof/>
          <w:sz w:val="24"/>
          <w:lang w:val="fr-BE"/>
        </w:rPr>
        <w:t xml:space="preserve">) les personnes ou entités qui auront accès aux données générées par le produit ou le service, la nature de ces données et leur niveau de détail; et ii) à quelles fins ces données seront utilisées. </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b)</w:t>
      </w:r>
      <w:r>
        <w:rPr>
          <w:noProof/>
          <w:lang w:val="fr-BE"/>
        </w:rPr>
        <w:tab/>
      </w:r>
      <w:r>
        <w:rPr>
          <w:rFonts w:ascii="Times New Roman" w:hAnsi="Times New Roman"/>
          <w:b/>
          <w:noProof/>
          <w:sz w:val="24"/>
          <w:lang w:val="fr-BE"/>
        </w:rPr>
        <w:t>Création commune de valeur</w:t>
      </w:r>
      <w:r>
        <w:rPr>
          <w:rFonts w:ascii="Times New Roman" w:hAnsi="Times New Roman"/>
          <w:noProof/>
          <w:sz w:val="24"/>
          <w:lang w:val="fr-BE"/>
        </w:rPr>
        <w:t>: les accords contractuels d</w:t>
      </w:r>
      <w:r>
        <w:rPr>
          <w:rFonts w:ascii="Times New Roman" w:hAnsi="Times New Roman"/>
          <w:noProof/>
          <w:sz w:val="24"/>
          <w:lang w:val="fr-BE"/>
        </w:rPr>
        <w:t xml:space="preserve">oivent reconnaître que plusieurs parties ont contribué à la création des données lorsque celles-ci sont générées en tant que sous-produit de l’utilisation d’un produit ou d’un service. </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c)</w:t>
      </w:r>
      <w:r>
        <w:rPr>
          <w:noProof/>
          <w:lang w:val="fr-BE"/>
        </w:rPr>
        <w:tab/>
      </w:r>
      <w:r>
        <w:rPr>
          <w:rFonts w:ascii="Times New Roman" w:hAnsi="Times New Roman"/>
          <w:b/>
          <w:noProof/>
          <w:sz w:val="24"/>
          <w:lang w:val="fr-BE"/>
        </w:rPr>
        <w:t>Respect des intérêts commerciaux de chacune des parties</w:t>
      </w:r>
      <w:r>
        <w:rPr>
          <w:rFonts w:ascii="Times New Roman" w:hAnsi="Times New Roman"/>
          <w:noProof/>
          <w:sz w:val="24"/>
          <w:lang w:val="fr-BE"/>
        </w:rPr>
        <w:t>: les accord</w:t>
      </w:r>
      <w:r>
        <w:rPr>
          <w:rFonts w:ascii="Times New Roman" w:hAnsi="Times New Roman"/>
          <w:noProof/>
          <w:sz w:val="24"/>
          <w:lang w:val="fr-BE"/>
        </w:rPr>
        <w:t>s contractuels doivent répondre à la nécessité de protéger les intérêts et secrets commerciaux tant des détenteurs de données que des utilisateurs de données.</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d)</w:t>
      </w:r>
      <w:r>
        <w:rPr>
          <w:noProof/>
          <w:lang w:val="fr-BE"/>
        </w:rPr>
        <w:tab/>
      </w:r>
      <w:r>
        <w:rPr>
          <w:rFonts w:ascii="Times New Roman" w:hAnsi="Times New Roman"/>
          <w:b/>
          <w:noProof/>
          <w:sz w:val="24"/>
          <w:lang w:val="fr-BE"/>
        </w:rPr>
        <w:t>Garantie d’une concurrence non faussée</w:t>
      </w:r>
      <w:r>
        <w:rPr>
          <w:rFonts w:ascii="Times New Roman" w:hAnsi="Times New Roman"/>
          <w:noProof/>
          <w:sz w:val="24"/>
          <w:lang w:val="fr-BE"/>
        </w:rPr>
        <w:t xml:space="preserve">: les accords contractuels doivent répondre à la </w:t>
      </w:r>
      <w:r>
        <w:rPr>
          <w:rFonts w:ascii="Times New Roman" w:hAnsi="Times New Roman"/>
          <w:noProof/>
          <w:sz w:val="24"/>
          <w:lang w:val="fr-BE"/>
        </w:rPr>
        <w:t>nécessité de garantir une concurrence non faussée lors de l’échange de données commercialement sensibles.</w:t>
      </w:r>
    </w:p>
    <w:p w:rsidR="00C0328C" w:rsidRDefault="00576A1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e)</w:t>
      </w:r>
      <w:r>
        <w:rPr>
          <w:noProof/>
          <w:lang w:val="fr-BE"/>
        </w:rPr>
        <w:tab/>
      </w:r>
      <w:r>
        <w:rPr>
          <w:rFonts w:ascii="Times New Roman" w:hAnsi="Times New Roman"/>
          <w:b/>
          <w:noProof/>
          <w:sz w:val="24"/>
          <w:lang w:val="fr-BE"/>
        </w:rPr>
        <w:t>Verrouillage des données réduit au minimum</w:t>
      </w:r>
      <w:r>
        <w:rPr>
          <w:rFonts w:ascii="Times New Roman" w:hAnsi="Times New Roman"/>
          <w:noProof/>
          <w:sz w:val="24"/>
          <w:lang w:val="fr-BE"/>
        </w:rPr>
        <w:t>: les entreprises offrant un produit ou un service qui génère des données en tant que sous-produit doiven</w:t>
      </w:r>
      <w:r>
        <w:rPr>
          <w:rFonts w:ascii="Times New Roman" w:hAnsi="Times New Roman"/>
          <w:noProof/>
          <w:sz w:val="24"/>
          <w:lang w:val="fr-BE"/>
        </w:rPr>
        <w:t>t permettre la portabilité des données dans toute la mesure du possible</w:t>
      </w:r>
      <w:r>
        <w:rPr>
          <w:rStyle w:val="FootnoteReference"/>
          <w:rFonts w:ascii="Times New Roman" w:hAnsi="Times New Roman"/>
          <w:noProof/>
          <w:sz w:val="24"/>
        </w:rPr>
        <w:footnoteReference w:id="40"/>
      </w:r>
      <w:r>
        <w:rPr>
          <w:rFonts w:ascii="Times New Roman" w:hAnsi="Times New Roman"/>
          <w:noProof/>
          <w:sz w:val="24"/>
          <w:lang w:val="fr-BE"/>
        </w:rPr>
        <w:t>. Elles doivent également envisager, si possible et conformément aux caractéristiques du marché dans lequel elles opèrent, d’offrir le même produit ou service sans ou avec peu de trans</w:t>
      </w:r>
      <w:r>
        <w:rPr>
          <w:rFonts w:ascii="Times New Roman" w:hAnsi="Times New Roman"/>
          <w:noProof/>
          <w:sz w:val="24"/>
          <w:lang w:val="fr-BE"/>
        </w:rPr>
        <w:t xml:space="preserve">ferts de données, à côté des produits ou services qui comprennent de tels transferts. </w:t>
      </w:r>
    </w:p>
    <w:p w:rsidR="00C0328C" w:rsidRDefault="00576A1C">
      <w:pPr>
        <w:jc w:val="both"/>
        <w:rPr>
          <w:rFonts w:ascii="Times New Roman" w:hAnsi="Times New Roman"/>
          <w:noProof/>
          <w:lang w:val="fr-BE"/>
        </w:rPr>
      </w:pPr>
      <w:r>
        <w:rPr>
          <w:rFonts w:ascii="Times New Roman" w:hAnsi="Times New Roman"/>
          <w:noProof/>
          <w:sz w:val="24"/>
          <w:lang w:val="fr-BE"/>
        </w:rPr>
        <w:t>Le débat sur le partage de données entre entreprises étant en cours et une plus grande expérience étant acquise au fil du temps, la Commission lancera un autre processus</w:t>
      </w:r>
      <w:r>
        <w:rPr>
          <w:rFonts w:ascii="Times New Roman" w:hAnsi="Times New Roman"/>
          <w:noProof/>
          <w:sz w:val="24"/>
          <w:lang w:val="fr-BE"/>
        </w:rPr>
        <w:t xml:space="preserve"> de consultation des parties prenantes dans le cadre de la présente communication. Ces principes peuvent encore évoluer en fonction de l’analyse des informations recueillies. La Commission continuera d’évaluer si ces principes modifiés et d'éventuels codes</w:t>
      </w:r>
      <w:r>
        <w:rPr>
          <w:rFonts w:ascii="Times New Roman" w:hAnsi="Times New Roman"/>
          <w:noProof/>
          <w:sz w:val="24"/>
          <w:lang w:val="fr-BE"/>
        </w:rPr>
        <w:t xml:space="preserve"> de conduite s’avèrent suffisants pour maintenir des marchés ouverts et équitables, et remédiera à la situation si nécessaire en prenant des mesures appropriées. Ces mesures devront peut-être être complétées par des mesures sectorielles en raison des diffé</w:t>
      </w:r>
      <w:r>
        <w:rPr>
          <w:rFonts w:ascii="Times New Roman" w:hAnsi="Times New Roman"/>
          <w:noProof/>
          <w:sz w:val="24"/>
          <w:lang w:val="fr-BE"/>
        </w:rPr>
        <w:t>rences de structure des marchés individuels.</w:t>
      </w:r>
    </w:p>
    <w:p w:rsidR="00C0328C" w:rsidRDefault="00576A1C">
      <w:pPr>
        <w:keepNext/>
        <w:jc w:val="both"/>
        <w:rPr>
          <w:rFonts w:ascii="Times New Roman" w:hAnsi="Times New Roman"/>
          <w:noProof/>
          <w:sz w:val="24"/>
          <w:lang w:val="fr-BE"/>
        </w:rPr>
      </w:pPr>
      <w:r>
        <w:rPr>
          <w:rFonts w:ascii="Times New Roman" w:hAnsi="Times New Roman"/>
          <w:noProof/>
          <w:sz w:val="24"/>
          <w:lang w:val="fr-BE"/>
        </w:rPr>
        <w:t>Dans le cadre de l’initiative «Passage au numérique des entreprises européennes»</w:t>
      </w:r>
      <w:r>
        <w:rPr>
          <w:rStyle w:val="FootnoteReference"/>
          <w:rFonts w:ascii="Times New Roman" w:hAnsi="Times New Roman"/>
          <w:noProof/>
          <w:sz w:val="24"/>
        </w:rPr>
        <w:footnoteReference w:id="41"/>
      </w:r>
      <w:r>
        <w:rPr>
          <w:rFonts w:ascii="Times New Roman" w:hAnsi="Times New Roman"/>
          <w:noProof/>
          <w:sz w:val="24"/>
          <w:lang w:val="fr-BE"/>
        </w:rPr>
        <w:t>, la Commission a déjà pris des mesures en faveur des entreprises, notamment en accordant une aide financière à des plateformes de</w:t>
      </w:r>
      <w:r>
        <w:rPr>
          <w:rFonts w:ascii="Times New Roman" w:hAnsi="Times New Roman"/>
          <w:noProof/>
          <w:sz w:val="24"/>
          <w:lang w:val="fr-BE"/>
        </w:rPr>
        <w:t xml:space="preserve"> données industrielles et à des pôles d’innovation dans le cadre du programme Horizon 2020. Dans le prolongement de ces efforts, les actions de recherche et d’innovation au titre d’Horizon 2020 pour la période 2018-2020</w:t>
      </w:r>
      <w:r>
        <w:rPr>
          <w:rFonts w:ascii="Times New Roman" w:hAnsi="Times New Roman"/>
          <w:noProof/>
          <w:sz w:val="24"/>
          <w:vertAlign w:val="superscript"/>
        </w:rPr>
        <w:footnoteReference w:id="42"/>
      </w:r>
      <w:r>
        <w:rPr>
          <w:rFonts w:ascii="Times New Roman" w:hAnsi="Times New Roman"/>
          <w:noProof/>
          <w:sz w:val="24"/>
          <w:lang w:val="fr-BE"/>
        </w:rPr>
        <w:t xml:space="preserve"> (en particulier les «plateformes de</w:t>
      </w:r>
      <w:r>
        <w:rPr>
          <w:rFonts w:ascii="Times New Roman" w:hAnsi="Times New Roman"/>
          <w:noProof/>
          <w:sz w:val="24"/>
          <w:lang w:val="fr-BE"/>
        </w:rPr>
        <w:t xml:space="preserve"> données personnelles et industrielles») encouragent la mise en place de plateformes sûres et fiables et de méthodes d’analyse respectueuses de la vie privée pour garantir de manière explicite le partage sécurisé de données à caractère personnel et de donn</w:t>
      </w:r>
      <w:r>
        <w:rPr>
          <w:rFonts w:ascii="Times New Roman" w:hAnsi="Times New Roman"/>
          <w:noProof/>
          <w:sz w:val="24"/>
          <w:lang w:val="fr-BE"/>
        </w:rPr>
        <w:t>ées industrielles exclusives, tout en facilitant le respect de la législation pertinente (telle que la législation sur la protection des données).</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Le </w:t>
      </w:r>
      <w:r>
        <w:rPr>
          <w:rFonts w:ascii="Times New Roman" w:hAnsi="Times New Roman"/>
          <w:b/>
          <w:noProof/>
          <w:sz w:val="24"/>
          <w:lang w:val="fr-BE"/>
        </w:rPr>
        <w:t>centre de soutien pour le partage des données</w:t>
      </w:r>
      <w:r>
        <w:rPr>
          <w:rFonts w:ascii="Times New Roman" w:hAnsi="Times New Roman"/>
          <w:noProof/>
          <w:sz w:val="24"/>
          <w:lang w:val="fr-BE"/>
        </w:rPr>
        <w:t xml:space="preserve"> institué au titre du mécanisme pour l’interconnexion en Euro</w:t>
      </w:r>
      <w:r>
        <w:rPr>
          <w:rFonts w:ascii="Times New Roman" w:hAnsi="Times New Roman"/>
          <w:noProof/>
          <w:sz w:val="24"/>
          <w:lang w:val="fr-BE"/>
        </w:rPr>
        <w:t>pe mettra en place un ensemble de mesures destinées à faciliter le partage des données du secteur privé, en plus des données du secteur public. Il proposera une expertise et une aide en matière de partage de données en fournissant des exemples de bonnes pr</w:t>
      </w:r>
      <w:r>
        <w:rPr>
          <w:rFonts w:ascii="Times New Roman" w:hAnsi="Times New Roman"/>
          <w:noProof/>
          <w:sz w:val="24"/>
          <w:lang w:val="fr-BE"/>
        </w:rPr>
        <w:t>atiques et des informations sur les API, les modèles de contrats existants et d’autres aspects juridiques et techniques. Il contribuera également à développer plus avant les orientations exposées dans le document de travail qui accompagne la présente commu</w:t>
      </w:r>
      <w:r>
        <w:rPr>
          <w:rFonts w:ascii="Times New Roman" w:hAnsi="Times New Roman"/>
          <w:noProof/>
          <w:sz w:val="24"/>
          <w:lang w:val="fr-BE"/>
        </w:rPr>
        <w:t>nication</w:t>
      </w:r>
      <w:r>
        <w:rPr>
          <w:rStyle w:val="FootnoteReference"/>
          <w:rFonts w:ascii="Times New Roman" w:hAnsi="Times New Roman"/>
          <w:noProof/>
          <w:sz w:val="24"/>
        </w:rPr>
        <w:footnoteReference w:id="43"/>
      </w:r>
      <w:r>
        <w:rPr>
          <w:rFonts w:ascii="Times New Roman" w:hAnsi="Times New Roman"/>
          <w:noProof/>
          <w:sz w:val="24"/>
          <w:lang w:val="fr-BE"/>
        </w:rPr>
        <w:t>. Des listes de contrôle et, si cela est jugé utile, des clauses contractuelles types pourront être élaborées. Ces travaux tiendront compte des résultats du programme en matière d'interopérabilité pour la période 2016-2020 (ISA</w:t>
      </w:r>
      <w:r>
        <w:rPr>
          <w:rFonts w:ascii="Times New Roman" w:hAnsi="Times New Roman"/>
          <w:noProof/>
          <w:sz w:val="24"/>
          <w:vertAlign w:val="superscript"/>
          <w:lang w:val="fr-BE"/>
        </w:rPr>
        <w:t>2</w:t>
      </w:r>
      <w:r>
        <w:rPr>
          <w:rFonts w:ascii="Times New Roman" w:hAnsi="Times New Roman"/>
          <w:noProof/>
          <w:sz w:val="24"/>
          <w:lang w:val="fr-BE"/>
        </w:rPr>
        <w:t>).</w:t>
      </w:r>
    </w:p>
    <w:p w:rsidR="00C0328C" w:rsidRDefault="00576A1C">
      <w:pPr>
        <w:jc w:val="both"/>
        <w:rPr>
          <w:rFonts w:ascii="Times New Roman" w:hAnsi="Times New Roman"/>
          <w:noProof/>
          <w:sz w:val="24"/>
          <w:lang w:val="fr-BE"/>
        </w:rPr>
      </w:pPr>
      <w:r>
        <w:rPr>
          <w:rFonts w:ascii="Times New Roman" w:hAnsi="Times New Roman"/>
          <w:noProof/>
          <w:sz w:val="24"/>
          <w:lang w:val="fr-BE"/>
        </w:rPr>
        <w:t>La Commission ét</w:t>
      </w:r>
      <w:r>
        <w:rPr>
          <w:rFonts w:ascii="Times New Roman" w:hAnsi="Times New Roman"/>
          <w:noProof/>
          <w:sz w:val="24"/>
          <w:lang w:val="fr-BE"/>
        </w:rPr>
        <w:t xml:space="preserve">udiera également la possibilité de </w:t>
      </w:r>
      <w:r>
        <w:rPr>
          <w:rFonts w:ascii="Times New Roman" w:hAnsi="Times New Roman"/>
          <w:b/>
          <w:noProof/>
          <w:sz w:val="24"/>
          <w:lang w:val="fr-BE"/>
        </w:rPr>
        <w:t>promouvoir les interfaces de programmation d’applications</w:t>
      </w:r>
      <w:r>
        <w:rPr>
          <w:rFonts w:ascii="Times New Roman" w:hAnsi="Times New Roman"/>
          <w:noProof/>
          <w:sz w:val="24"/>
          <w:lang w:val="fr-BE"/>
        </w:rPr>
        <w:t>, par exemple pour l’administration en ligne et les actions liées à l’application du principe «une fois pour toutes». Aujourd’hui, de nombreuses entreprises possède</w:t>
      </w:r>
      <w:r>
        <w:rPr>
          <w:rFonts w:ascii="Times New Roman" w:hAnsi="Times New Roman"/>
          <w:noProof/>
          <w:sz w:val="24"/>
          <w:lang w:val="fr-BE"/>
        </w:rPr>
        <w:t xml:space="preserve">nt d’importants actifs de données inutilisées et ne disposent ni des ressources ni de la capacité pour les analyser ou pour créer des services commercialement intéressants à partir de ces données. Une utilisation appropriée des interfaces de programmation </w:t>
      </w:r>
      <w:r>
        <w:rPr>
          <w:rFonts w:ascii="Times New Roman" w:hAnsi="Times New Roman"/>
          <w:noProof/>
          <w:sz w:val="24"/>
          <w:lang w:val="fr-BE"/>
        </w:rPr>
        <w:t xml:space="preserve">d’applications pourrait favoriser la création d’écosystèmes de jeunes entreprises, en créant de la valeur à partir d’un actif inutilisé et en aidant les entreprises concernées à développer de nouveaux services et produits. C’est ce qui s’est passé dans le </w:t>
      </w:r>
      <w:r>
        <w:rPr>
          <w:rFonts w:ascii="Times New Roman" w:hAnsi="Times New Roman"/>
          <w:noProof/>
          <w:sz w:val="24"/>
          <w:lang w:val="fr-BE"/>
        </w:rPr>
        <w:t>secteur financier où l’accès à certaines données bancaires, au moyen d’interfaces de programmation d’applications bien conçues, a ouvert la voie à tout un nouvel écosystème de services financiers, tels que les conseils personnalisés sur les dépenses journa</w:t>
      </w:r>
      <w:r>
        <w:rPr>
          <w:rFonts w:ascii="Times New Roman" w:hAnsi="Times New Roman"/>
          <w:noProof/>
          <w:sz w:val="24"/>
          <w:lang w:val="fr-BE"/>
        </w:rPr>
        <w:t xml:space="preserve">lières. Ces services restent contrôlés et gérés par les établissements financiers qui ne les proposeraient pas par ailleurs. La mise en place et l’utilisation d’interfaces de programmation d’applications doivent reposer sur plusieurs principes: stabilité, </w:t>
      </w:r>
      <w:r>
        <w:rPr>
          <w:rFonts w:ascii="Times New Roman" w:hAnsi="Times New Roman"/>
          <w:noProof/>
          <w:sz w:val="24"/>
          <w:lang w:val="fr-BE"/>
        </w:rPr>
        <w:t>maintenance tout au long du cycle de vie, uniformité d’utilisation et normes, facilité d’utilisation et sécurité.</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Enfin, la Commission continuera à faciliter des </w:t>
      </w:r>
      <w:r>
        <w:rPr>
          <w:rFonts w:ascii="Times New Roman" w:hAnsi="Times New Roman"/>
          <w:b/>
          <w:noProof/>
          <w:sz w:val="24"/>
          <w:lang w:val="fr-BE"/>
        </w:rPr>
        <w:t>tests</w:t>
      </w:r>
      <w:r>
        <w:rPr>
          <w:rFonts w:ascii="Times New Roman" w:hAnsi="Times New Roman"/>
          <w:noProof/>
          <w:sz w:val="24"/>
          <w:lang w:val="fr-BE"/>
        </w:rPr>
        <w:t xml:space="preserve"> et des </w:t>
      </w:r>
      <w:r>
        <w:rPr>
          <w:rFonts w:ascii="Times New Roman" w:hAnsi="Times New Roman"/>
          <w:b/>
          <w:noProof/>
          <w:sz w:val="24"/>
          <w:lang w:val="fr-BE"/>
        </w:rPr>
        <w:t>démonstrations</w:t>
      </w:r>
      <w:r>
        <w:rPr>
          <w:rFonts w:ascii="Times New Roman" w:hAnsi="Times New Roman"/>
          <w:noProof/>
          <w:sz w:val="24"/>
          <w:lang w:val="fr-BE"/>
        </w:rPr>
        <w:t xml:space="preserve"> dans certains domaines, tels que le déploiement à grande échelle d</w:t>
      </w:r>
      <w:r>
        <w:rPr>
          <w:rFonts w:ascii="Times New Roman" w:hAnsi="Times New Roman"/>
          <w:noProof/>
          <w:sz w:val="24"/>
          <w:lang w:val="fr-BE"/>
        </w:rPr>
        <w:t>e la mobilité connectée et automatisée dans les corridors transfrontaliers numériques. Les travaux sur ces corridors découlent de la lettre d’intention signée par 29 États membres et pays de l’EEE, de la table ronde de Francfort avec les entreprises et les</w:t>
      </w:r>
      <w:r>
        <w:rPr>
          <w:rFonts w:ascii="Times New Roman" w:hAnsi="Times New Roman"/>
          <w:noProof/>
          <w:sz w:val="24"/>
          <w:lang w:val="fr-BE"/>
        </w:rPr>
        <w:t xml:space="preserve"> États membres et de la Journée du numérique 2018, lors desquelles les États membres de l’UE et de l’EEE et les parties concernées ont souscrit à ces actions. Les expériences sur les corridors serviront </w:t>
      </w:r>
      <w:r>
        <w:rPr>
          <w:rFonts w:ascii="Times New Roman" w:hAnsi="Times New Roman"/>
          <w:i/>
          <w:noProof/>
          <w:sz w:val="24"/>
          <w:lang w:val="fr-BE"/>
        </w:rPr>
        <w:t>notamment</w:t>
      </w:r>
      <w:r>
        <w:rPr>
          <w:rFonts w:ascii="Times New Roman" w:hAnsi="Times New Roman"/>
          <w:noProof/>
          <w:sz w:val="24"/>
          <w:lang w:val="fr-BE"/>
        </w:rPr>
        <w:t xml:space="preserve"> à tester les moyens techniques et juridique</w:t>
      </w:r>
      <w:r>
        <w:rPr>
          <w:rFonts w:ascii="Times New Roman" w:hAnsi="Times New Roman"/>
          <w:noProof/>
          <w:sz w:val="24"/>
          <w:lang w:val="fr-BE"/>
        </w:rPr>
        <w:t>s d’accéder aux données embarquées et à d’autres données commerciales pertinentes et de les utiliser dans l’écosystème de la mobilité connectée et automatisée. Elles pourront contribuer à l’élaboration de nouvelles orientations de l’UE concernant cet aspec</w:t>
      </w:r>
      <w:r>
        <w:rPr>
          <w:rFonts w:ascii="Times New Roman" w:hAnsi="Times New Roman"/>
          <w:noProof/>
          <w:sz w:val="24"/>
          <w:lang w:val="fr-BE"/>
        </w:rPr>
        <w:t xml:space="preserve">t du marché unique numérique. </w:t>
      </w:r>
    </w:p>
    <w:p w:rsidR="00C0328C" w:rsidRDefault="00576A1C">
      <w:pPr>
        <w:keepNext/>
        <w:jc w:val="both"/>
        <w:rPr>
          <w:rFonts w:ascii="Times New Roman" w:hAnsi="Times New Roman" w:cs="Times New Roman"/>
          <w:b/>
          <w:noProof/>
          <w:sz w:val="24"/>
          <w:szCs w:val="24"/>
          <w:lang w:val="fr-BE"/>
        </w:rPr>
      </w:pPr>
      <w:r>
        <w:rPr>
          <w:rFonts w:ascii="Times New Roman" w:hAnsi="Times New Roman"/>
          <w:b/>
          <w:noProof/>
          <w:sz w:val="24"/>
          <w:lang w:val="fr-BE"/>
        </w:rPr>
        <w:t xml:space="preserve">b) Accès aux données du secteur privé à des fins d’intérêt public – partage de données entre entreprises et administrations publiques (B2G)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La Commission examine également le partage de données entre les entreprises et le secteur public. Des organismes du secteur public ont commencé à évaluer le potentiel de l’analyse de données pour orienter la prise de décisions ou améliorer des services pub</w:t>
      </w:r>
      <w:r>
        <w:rPr>
          <w:rFonts w:ascii="Times New Roman" w:hAnsi="Times New Roman"/>
          <w:noProof/>
          <w:sz w:val="24"/>
          <w:lang w:val="fr-BE"/>
        </w:rPr>
        <w:t xml:space="preserve">lics en mettant en place un grand nombre de projets pilotes. </w:t>
      </w:r>
    </w:p>
    <w:p w:rsidR="00C0328C" w:rsidRDefault="00576A1C">
      <w:pPr>
        <w:jc w:val="both"/>
        <w:rPr>
          <w:rFonts w:ascii="Times New Roman" w:hAnsi="Times New Roman"/>
          <w:noProof/>
          <w:sz w:val="24"/>
          <w:lang w:val="fr-BE"/>
        </w:rPr>
      </w:pPr>
      <w:r>
        <w:rPr>
          <w:rFonts w:ascii="Times New Roman" w:hAnsi="Times New Roman"/>
          <w:noProof/>
          <w:sz w:val="24"/>
          <w:lang w:val="fr-BE"/>
        </w:rPr>
        <w:t>Les données détenues par des entreprises telles que les opérateurs de télécommunications, les plateformes en ligne, les constructeurs automobiles, les distributeurs ou les médias sociaux, revête</w:t>
      </w:r>
      <w:r>
        <w:rPr>
          <w:rFonts w:ascii="Times New Roman" w:hAnsi="Times New Roman"/>
          <w:noProof/>
          <w:sz w:val="24"/>
          <w:lang w:val="fr-BE"/>
        </w:rPr>
        <w:t>nt une grande importance dans ce contexte. Elles peuvent notamment être utilisées pour apporter une réponse plus ciblée en cas d’épidémie ou améliorer l’aménagement urbain, la sécurité routière et la gestion du trafic, la protection de l’environnement et d</w:t>
      </w:r>
      <w:r>
        <w:rPr>
          <w:rFonts w:ascii="Times New Roman" w:hAnsi="Times New Roman"/>
          <w:noProof/>
          <w:sz w:val="24"/>
          <w:lang w:val="fr-BE"/>
        </w:rPr>
        <w:t>es consommateurs ou encore la surveillance du marché.</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Lors de la compilation de statistiques officielles, l’analyse de ces données peut s’avérer plus efficace sur le plan des coûts et produire des résultats plus rapides dans des domaines tels que les mouve</w:t>
      </w:r>
      <w:r>
        <w:rPr>
          <w:rFonts w:ascii="Times New Roman" w:hAnsi="Times New Roman"/>
          <w:noProof/>
          <w:sz w:val="24"/>
          <w:lang w:val="fr-BE"/>
        </w:rPr>
        <w:t xml:space="preserve">ments de population, les prix, l’inflation, l’économie de l’internet, l’énergie ou la circulation. Elle peut également réduire la charge pesant sur les entreprises et les citoyens en évitant les questionnaires d’enquête. La communication de 2017 intitulée </w:t>
      </w:r>
      <w:r>
        <w:rPr>
          <w:rFonts w:ascii="Times New Roman" w:hAnsi="Times New Roman"/>
          <w:noProof/>
          <w:sz w:val="24"/>
          <w:lang w:val="fr-BE"/>
        </w:rPr>
        <w:t>«Créer une économie européenne fondée sur les données»</w:t>
      </w:r>
      <w:r>
        <w:rPr>
          <w:rStyle w:val="FootnoteReference"/>
          <w:rFonts w:ascii="Times New Roman" w:hAnsi="Times New Roman"/>
          <w:noProof/>
          <w:sz w:val="24"/>
        </w:rPr>
        <w:footnoteReference w:id="44"/>
      </w:r>
      <w:r>
        <w:rPr>
          <w:rFonts w:ascii="Times New Roman" w:hAnsi="Times New Roman"/>
          <w:noProof/>
          <w:sz w:val="24"/>
          <w:lang w:val="fr-BE"/>
        </w:rPr>
        <w:t xml:space="preserve"> a examiné ces possibilités, et la Commission s’est engagée à étudier cette question plus avant dans l’examen à mi-parcours de la stratégie pour un marché unique numérique. </w:t>
      </w:r>
    </w:p>
    <w:p w:rsidR="00C0328C" w:rsidRDefault="00576A1C">
      <w:pPr>
        <w:jc w:val="both"/>
        <w:rPr>
          <w:rFonts w:ascii="Times New Roman" w:hAnsi="Times New Roman" w:cs="Times New Roman"/>
          <w:noProof/>
          <w:sz w:val="24"/>
          <w:szCs w:val="24"/>
          <w:lang w:val="fr-BE"/>
        </w:rPr>
      </w:pPr>
      <w:r>
        <w:rPr>
          <w:rFonts w:ascii="Times New Roman" w:hAnsi="Times New Roman"/>
          <w:noProof/>
          <w:sz w:val="24"/>
          <w:lang w:val="fr-BE"/>
        </w:rPr>
        <w:t xml:space="preserve">La consultation menée dans </w:t>
      </w:r>
      <w:r>
        <w:rPr>
          <w:rFonts w:ascii="Times New Roman" w:hAnsi="Times New Roman"/>
          <w:noProof/>
          <w:sz w:val="24"/>
          <w:lang w:val="fr-BE"/>
        </w:rPr>
        <w:t>le cadre de la révision de la directive sur la réutilisation des informations du secteur public</w:t>
      </w:r>
      <w:r>
        <w:rPr>
          <w:rStyle w:val="FootnoteReference"/>
          <w:rFonts w:ascii="Times New Roman" w:hAnsi="Times New Roman"/>
          <w:noProof/>
          <w:sz w:val="24"/>
        </w:rPr>
        <w:footnoteReference w:id="45"/>
      </w:r>
      <w:r>
        <w:rPr>
          <w:rFonts w:ascii="Times New Roman" w:hAnsi="Times New Roman"/>
          <w:noProof/>
          <w:sz w:val="24"/>
          <w:lang w:val="fr-BE"/>
        </w:rPr>
        <w:t xml:space="preserve"> a montré que les participants étaient favorables à l’idée d’améliorer l’accès aux données du secteur privé dans l’intérêt public et à des fins scientifiques en</w:t>
      </w:r>
      <w:r>
        <w:rPr>
          <w:rFonts w:ascii="Times New Roman" w:hAnsi="Times New Roman"/>
          <w:noProof/>
          <w:sz w:val="24"/>
          <w:lang w:val="fr-BE"/>
        </w:rPr>
        <w:t xml:space="preserve"> général. Toutefois, les détenteurs de données ont souligné la nécessité de régler un certain nombre de questions, notamment la compensation, afin de pouvoir amortir les investissements réalisés dans la collecte ou l’adaptation des données.</w:t>
      </w:r>
    </w:p>
    <w:p w:rsidR="00C0328C" w:rsidRDefault="00576A1C">
      <w:pPr>
        <w:jc w:val="both"/>
        <w:rPr>
          <w:rFonts w:ascii="Times New Roman" w:hAnsi="Times New Roman"/>
          <w:noProof/>
          <w:sz w:val="24"/>
          <w:lang w:val="fr-BE"/>
        </w:rPr>
      </w:pPr>
      <w:r>
        <w:rPr>
          <w:rFonts w:ascii="Times New Roman" w:hAnsi="Times New Roman"/>
          <w:noProof/>
          <w:sz w:val="24"/>
          <w:lang w:val="fr-BE"/>
        </w:rPr>
        <w:t>Toute mesure pr</w:t>
      </w:r>
      <w:r>
        <w:rPr>
          <w:rFonts w:ascii="Times New Roman" w:hAnsi="Times New Roman"/>
          <w:noProof/>
          <w:sz w:val="24"/>
          <w:lang w:val="fr-BE"/>
        </w:rPr>
        <w:t>ise à cet égard doit être pleinement conforme à la législation sur la protection des données à caractère personnel.</w:t>
      </w:r>
    </w:p>
    <w:p w:rsidR="00C0328C" w:rsidRDefault="00576A1C">
      <w:pPr>
        <w:jc w:val="both"/>
        <w:rPr>
          <w:rFonts w:ascii="Times New Roman" w:hAnsi="Times New Roman"/>
          <w:noProof/>
          <w:sz w:val="24"/>
          <w:lang w:val="fr-BE"/>
        </w:rPr>
      </w:pPr>
      <w:r>
        <w:rPr>
          <w:rFonts w:ascii="Times New Roman" w:hAnsi="Times New Roman"/>
          <w:noProof/>
          <w:sz w:val="24"/>
          <w:lang w:val="fr-BE"/>
        </w:rPr>
        <w:t xml:space="preserve">Compte tenu de l’expérience acquise et des résultats de la consultation des parties prenantes, la Commission estime que le respect des </w:t>
      </w:r>
      <w:r>
        <w:rPr>
          <w:rFonts w:ascii="Times New Roman" w:hAnsi="Times New Roman"/>
          <w:b/>
          <w:noProof/>
          <w:sz w:val="24"/>
          <w:lang w:val="fr-BE"/>
        </w:rPr>
        <w:t>grand</w:t>
      </w:r>
      <w:r>
        <w:rPr>
          <w:rFonts w:ascii="Times New Roman" w:hAnsi="Times New Roman"/>
          <w:b/>
          <w:noProof/>
          <w:sz w:val="24"/>
          <w:lang w:val="fr-BE"/>
        </w:rPr>
        <w:t>s principes</w:t>
      </w:r>
      <w:r>
        <w:rPr>
          <w:rFonts w:ascii="Times New Roman" w:hAnsi="Times New Roman"/>
          <w:noProof/>
          <w:sz w:val="24"/>
          <w:lang w:val="fr-BE"/>
        </w:rPr>
        <w:t xml:space="preserve"> suivants pourrait favoriser la fourniture de données du secteur privé aux organismes du secteur public à des conditions de réutilisation préférentielles.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a)</w:t>
      </w:r>
      <w:r>
        <w:rPr>
          <w:noProof/>
          <w:lang w:val="fr-BE"/>
        </w:rPr>
        <w:tab/>
      </w:r>
      <w:r>
        <w:rPr>
          <w:rFonts w:ascii="Times New Roman" w:hAnsi="Times New Roman"/>
          <w:b/>
          <w:noProof/>
          <w:sz w:val="24"/>
          <w:lang w:val="fr-BE"/>
        </w:rPr>
        <w:t>Proportionnalité dans l’utilisation des données du secteur privé:</w:t>
      </w:r>
      <w:r>
        <w:rPr>
          <w:rFonts w:ascii="Times New Roman" w:hAnsi="Times New Roman"/>
          <w:noProof/>
          <w:sz w:val="24"/>
          <w:lang w:val="fr-BE"/>
        </w:rPr>
        <w:t xml:space="preserve"> les demandes de donn</w:t>
      </w:r>
      <w:r>
        <w:rPr>
          <w:rFonts w:ascii="Times New Roman" w:hAnsi="Times New Roman"/>
          <w:noProof/>
          <w:sz w:val="24"/>
          <w:lang w:val="fr-BE"/>
        </w:rPr>
        <w:t>ées du secteur privé à des conditions de réutilisation préférentielles doivent être justifiées par un intérêt public clair et démontrable. Elles doivent être adéquates et pertinentes par rapport à l’intérêt public visé et être proportionnées en termes de n</w:t>
      </w:r>
      <w:r>
        <w:rPr>
          <w:rFonts w:ascii="Times New Roman" w:hAnsi="Times New Roman"/>
          <w:noProof/>
          <w:sz w:val="24"/>
          <w:lang w:val="fr-BE"/>
        </w:rPr>
        <w:t>iveau de détail, d’importance et de protection des données. Le coût et les efforts requis pour la fourniture et la réutilisation des données du secteur privé doivent être raisonnables par rapport aux bénéfices publics escomptés.</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b)</w:t>
      </w:r>
      <w:r>
        <w:rPr>
          <w:noProof/>
          <w:lang w:val="fr-BE"/>
        </w:rPr>
        <w:tab/>
      </w:r>
      <w:r>
        <w:rPr>
          <w:rFonts w:ascii="Times New Roman" w:hAnsi="Times New Roman"/>
          <w:b/>
          <w:noProof/>
          <w:sz w:val="24"/>
          <w:lang w:val="fr-BE"/>
        </w:rPr>
        <w:t>Limitation de la finalit</w:t>
      </w:r>
      <w:r>
        <w:rPr>
          <w:rFonts w:ascii="Times New Roman" w:hAnsi="Times New Roman"/>
          <w:b/>
          <w:noProof/>
          <w:sz w:val="24"/>
          <w:lang w:val="fr-BE"/>
        </w:rPr>
        <w:t>é</w:t>
      </w:r>
      <w:r>
        <w:rPr>
          <w:rFonts w:ascii="Times New Roman" w:hAnsi="Times New Roman"/>
          <w:noProof/>
          <w:sz w:val="24"/>
          <w:lang w:val="fr-BE"/>
        </w:rPr>
        <w:t>: l’utilisation de données du secteur privé doit être clairement limitée à une ou plusieurs finalités, à préciser aussi clairement que possible dans les dispositions contractuelles établissant la collaboration entre l’entreprise et l’administration publiq</w:t>
      </w:r>
      <w:r>
        <w:rPr>
          <w:rFonts w:ascii="Times New Roman" w:hAnsi="Times New Roman"/>
          <w:noProof/>
          <w:sz w:val="24"/>
          <w:lang w:val="fr-BE"/>
        </w:rPr>
        <w:t>ue. Il peut s’agir d’une limitation de la durée d’utilisation des données. L’entreprise du secteur privé doit recevoir des assurances spécifiques que les données obtenues ne seront pas utilisées pour d’autres procédures administratives ou judiciaires;  les</w:t>
      </w:r>
      <w:r>
        <w:rPr>
          <w:rFonts w:ascii="Times New Roman" w:hAnsi="Times New Roman"/>
          <w:noProof/>
          <w:sz w:val="24"/>
          <w:lang w:val="fr-BE"/>
        </w:rPr>
        <w:t xml:space="preserve"> dispositions juridiques et éthiques strictes régissant la confidentialité des données statistiques au sein du système statistique européen pourraient servir de modèle à cet égard.</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c)</w:t>
      </w:r>
      <w:r>
        <w:rPr>
          <w:noProof/>
          <w:lang w:val="fr-BE"/>
        </w:rPr>
        <w:tab/>
      </w:r>
      <w:r>
        <w:rPr>
          <w:rFonts w:ascii="Times New Roman" w:hAnsi="Times New Roman"/>
          <w:b/>
          <w:noProof/>
          <w:sz w:val="24"/>
          <w:lang w:val="fr-BE"/>
        </w:rPr>
        <w:t>«Ne pas nuire»:</w:t>
      </w:r>
      <w:r>
        <w:rPr>
          <w:rFonts w:ascii="Times New Roman" w:hAnsi="Times New Roman"/>
          <w:noProof/>
          <w:sz w:val="24"/>
          <w:lang w:val="fr-BE"/>
        </w:rPr>
        <w:t xml:space="preserve"> la collaboration en matière de données entre entreprises</w:t>
      </w:r>
      <w:r>
        <w:rPr>
          <w:rFonts w:ascii="Times New Roman" w:hAnsi="Times New Roman"/>
          <w:noProof/>
          <w:sz w:val="24"/>
          <w:lang w:val="fr-BE"/>
        </w:rPr>
        <w:t xml:space="preserve"> et administrations publiques doit garantir le respect des intérêts légitimes, notamment la protection des secrets d’affaires et d’autres informations commercialement sensibles. Elle doit permettre aux entreprises de pouvoir continuer à monnayer les connai</w:t>
      </w:r>
      <w:r>
        <w:rPr>
          <w:rFonts w:ascii="Times New Roman" w:hAnsi="Times New Roman"/>
          <w:noProof/>
          <w:sz w:val="24"/>
          <w:lang w:val="fr-BE"/>
        </w:rPr>
        <w:t xml:space="preserve">ssances tirées des données en question vis-à-vis d’autres parties intéressées.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d)</w:t>
      </w:r>
      <w:r>
        <w:rPr>
          <w:noProof/>
          <w:lang w:val="fr-BE"/>
        </w:rPr>
        <w:tab/>
      </w:r>
      <w:r>
        <w:rPr>
          <w:rFonts w:ascii="Times New Roman" w:hAnsi="Times New Roman"/>
          <w:b/>
          <w:noProof/>
          <w:sz w:val="24"/>
          <w:lang w:val="fr-BE"/>
        </w:rPr>
        <w:t>Conditions de réutilisation des données:</w:t>
      </w:r>
      <w:r>
        <w:rPr>
          <w:rFonts w:ascii="Times New Roman" w:hAnsi="Times New Roman"/>
          <w:noProof/>
          <w:sz w:val="24"/>
          <w:lang w:val="fr-BE"/>
        </w:rPr>
        <w:t xml:space="preserve"> les accords de collaboration en matière de données entre entreprises et administrations publiques doivent être mutuellement bénéfiqu</w:t>
      </w:r>
      <w:r>
        <w:rPr>
          <w:rFonts w:ascii="Times New Roman" w:hAnsi="Times New Roman"/>
          <w:noProof/>
          <w:sz w:val="24"/>
          <w:lang w:val="fr-BE"/>
        </w:rPr>
        <w:t xml:space="preserve">es, tout en accordant à l’organisme du secteur public un traitement préférentiel par rapport à d’autres clients compte tenu de l’objectif d’intérêt public.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 xml:space="preserve">Cela devrait se traduire notamment dans le niveau de compensation convenu, qui pourrait être lié à </w:t>
      </w:r>
      <w:r>
        <w:rPr>
          <w:rFonts w:ascii="Times New Roman" w:hAnsi="Times New Roman"/>
          <w:noProof/>
          <w:sz w:val="24"/>
          <w:lang w:val="fr-BE"/>
        </w:rPr>
        <w:t xml:space="preserve">l’objectif d’intérêt public poursuivi.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Les accords de collaboration en matière de données entre entreprises et administrations publiques qui concernent les mêmes pouvoirs publics remplissant les mêmes fonctions doivent être traités de manière non discrimi</w:t>
      </w:r>
      <w:r>
        <w:rPr>
          <w:rFonts w:ascii="Times New Roman" w:hAnsi="Times New Roman"/>
          <w:noProof/>
          <w:sz w:val="24"/>
          <w:lang w:val="fr-BE"/>
        </w:rPr>
        <w:t>natoire.</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 xml:space="preserve">Ils devraient réduire la nécessité d’autres types de collecte de données, tels que les enquêtes, et partant, la charge globale qui pèse sur les particuliers et les entreprises.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e)</w:t>
      </w:r>
      <w:r>
        <w:rPr>
          <w:noProof/>
          <w:lang w:val="fr-BE"/>
        </w:rPr>
        <w:tab/>
      </w:r>
      <w:r>
        <w:rPr>
          <w:rFonts w:ascii="Times New Roman" w:hAnsi="Times New Roman"/>
          <w:b/>
          <w:noProof/>
          <w:sz w:val="24"/>
          <w:lang w:val="fr-BE"/>
        </w:rPr>
        <w:t>Réduire les limites des données du secteur privé:</w:t>
      </w:r>
      <w:r>
        <w:rPr>
          <w:rFonts w:ascii="Times New Roman" w:hAnsi="Times New Roman"/>
          <w:noProof/>
          <w:sz w:val="24"/>
          <w:lang w:val="fr-BE"/>
        </w:rPr>
        <w:t xml:space="preserve"> pour prendre en </w:t>
      </w:r>
      <w:r>
        <w:rPr>
          <w:rFonts w:ascii="Times New Roman" w:hAnsi="Times New Roman"/>
          <w:noProof/>
          <w:sz w:val="24"/>
          <w:lang w:val="fr-BE"/>
        </w:rPr>
        <w:t>compte les éventuelles limites des données du secteur privé, notamment les risques de biais spécifique, les entreprises qui fournissent les données doivent proposer une aide proportionnée et raisonnable afin de permettre d’évaluer la qualité des données au</w:t>
      </w:r>
      <w:r>
        <w:rPr>
          <w:rFonts w:ascii="Times New Roman" w:hAnsi="Times New Roman"/>
          <w:noProof/>
          <w:sz w:val="24"/>
          <w:lang w:val="fr-BE"/>
        </w:rPr>
        <w:t>x fins indiquées, en offrant notamment la possibilité de contrôler ou de vérifier ces données, le cas échéant. Les entreprises ne doivent pas être tenues d’améliorer la qualité des données en question. Les organismes publics doivent quant à eux garantir qu</w:t>
      </w:r>
      <w:r>
        <w:rPr>
          <w:rFonts w:ascii="Times New Roman" w:hAnsi="Times New Roman"/>
          <w:noProof/>
          <w:sz w:val="24"/>
          <w:lang w:val="fr-BE"/>
        </w:rPr>
        <w:t xml:space="preserve">e les données issues de sources différentes sont traitées de manière à éviter de possibles «biais de sélection». </w:t>
      </w:r>
    </w:p>
    <w:p w:rsidR="00C0328C" w:rsidRDefault="00576A1C">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lang w:val="fr-BE"/>
        </w:rPr>
      </w:pPr>
      <w:r>
        <w:rPr>
          <w:rFonts w:ascii="Times New Roman" w:hAnsi="Times New Roman"/>
          <w:noProof/>
          <w:sz w:val="24"/>
          <w:lang w:val="fr-BE"/>
        </w:rPr>
        <w:t>f)</w:t>
      </w:r>
      <w:r>
        <w:rPr>
          <w:noProof/>
          <w:lang w:val="fr-BE"/>
        </w:rPr>
        <w:tab/>
      </w:r>
      <w:r>
        <w:rPr>
          <w:rFonts w:ascii="Times New Roman" w:hAnsi="Times New Roman"/>
          <w:b/>
          <w:noProof/>
          <w:sz w:val="24"/>
          <w:lang w:val="fr-BE"/>
        </w:rPr>
        <w:t>Transparence et participation de la société:</w:t>
      </w:r>
      <w:r>
        <w:rPr>
          <w:rFonts w:ascii="Times New Roman" w:hAnsi="Times New Roman"/>
          <w:noProof/>
          <w:sz w:val="24"/>
          <w:lang w:val="fr-BE"/>
        </w:rPr>
        <w:t xml:space="preserve"> la collaboration entre entreprises et administrations publiques doit être transparente quant a</w:t>
      </w:r>
      <w:r>
        <w:rPr>
          <w:rFonts w:ascii="Times New Roman" w:hAnsi="Times New Roman"/>
          <w:noProof/>
          <w:sz w:val="24"/>
          <w:lang w:val="fr-BE"/>
        </w:rPr>
        <w:t xml:space="preserve">ux parties à l’accord et à leurs objectifs. Les connaissances acquises par les organismes publics et les bonnes pratiques en matière de collaboration doivent être rendues publiques dès lors qu’elles ne compromettent pas la confidentialité des données. </w:t>
      </w:r>
    </w:p>
    <w:p w:rsidR="00C0328C" w:rsidRDefault="00576A1C">
      <w:pPr>
        <w:jc w:val="both"/>
        <w:rPr>
          <w:noProof/>
          <w:lang w:val="fr-BE"/>
        </w:rPr>
      </w:pPr>
      <w:r>
        <w:rPr>
          <w:rFonts w:ascii="Times New Roman" w:hAnsi="Times New Roman"/>
          <w:noProof/>
          <w:sz w:val="24"/>
          <w:lang w:val="fr-BE"/>
        </w:rPr>
        <w:t xml:space="preserve">La </w:t>
      </w:r>
      <w:r>
        <w:rPr>
          <w:rFonts w:ascii="Times New Roman" w:hAnsi="Times New Roman"/>
          <w:noProof/>
          <w:sz w:val="24"/>
          <w:lang w:val="fr-BE"/>
        </w:rPr>
        <w:t xml:space="preserve">Commission organisera une </w:t>
      </w:r>
      <w:r>
        <w:rPr>
          <w:rFonts w:ascii="Times New Roman" w:hAnsi="Times New Roman"/>
          <w:b/>
          <w:noProof/>
          <w:sz w:val="24"/>
          <w:lang w:val="fr-BE"/>
        </w:rPr>
        <w:t>table ronde de haut niveau sur l’accès aux données du secteur privé pour des raisons d’intérêt public</w:t>
      </w:r>
      <w:r>
        <w:rPr>
          <w:rFonts w:ascii="Times New Roman" w:hAnsi="Times New Roman"/>
          <w:noProof/>
          <w:sz w:val="24"/>
          <w:lang w:val="fr-BE"/>
        </w:rPr>
        <w:t xml:space="preserve"> afin de poursuivre la réflexion sur ce sujet. Le degré avancé de maturité du débat dans certains domaines (tels que la réutilisa</w:t>
      </w:r>
      <w:r>
        <w:rPr>
          <w:rFonts w:ascii="Times New Roman" w:hAnsi="Times New Roman"/>
          <w:noProof/>
          <w:sz w:val="24"/>
          <w:lang w:val="fr-BE"/>
        </w:rPr>
        <w:t>tion de ces données pour les statistiques officielles) sera dûment pris en considération. Les principes ci-dessus seront proposés comme base pour la poursuite des discussions avec les parties prenantes. La Commission continuera d’évaluer si ces mesures s’a</w:t>
      </w:r>
      <w:r>
        <w:rPr>
          <w:rFonts w:ascii="Times New Roman" w:hAnsi="Times New Roman"/>
          <w:noProof/>
          <w:sz w:val="24"/>
          <w:lang w:val="fr-BE"/>
        </w:rPr>
        <w:t>vèrent suffisantes pour faciliter le partage de données entre entreprises et administrations publiques et remédiera à la situation si nécessaire en prenant les mesures qui s'imposent, y compris des mesures sectorielles.</w:t>
      </w:r>
    </w:p>
    <w:p w:rsidR="00C0328C" w:rsidRDefault="00576A1C">
      <w:pPr>
        <w:keepNext/>
        <w:jc w:val="both"/>
        <w:rPr>
          <w:rFonts w:ascii="Times New Roman" w:hAnsi="Times New Roman" w:cs="Times New Roman"/>
          <w:b/>
          <w:noProof/>
          <w:sz w:val="24"/>
          <w:szCs w:val="24"/>
          <w:lang w:val="fr-BE"/>
        </w:rPr>
      </w:pPr>
      <w:r>
        <w:rPr>
          <w:rFonts w:ascii="Times New Roman" w:hAnsi="Times New Roman"/>
          <w:b/>
          <w:noProof/>
          <w:sz w:val="24"/>
          <w:lang w:val="fr-BE"/>
        </w:rPr>
        <w:t xml:space="preserve">5) Conclusion </w:t>
      </w:r>
    </w:p>
    <w:p w:rsidR="00C0328C" w:rsidRDefault="00576A1C">
      <w:pPr>
        <w:keepNext/>
        <w:jc w:val="both"/>
        <w:rPr>
          <w:rFonts w:ascii="Times New Roman" w:hAnsi="Times New Roman" w:cs="Times New Roman"/>
          <w:b/>
          <w:noProof/>
          <w:sz w:val="24"/>
          <w:szCs w:val="24"/>
          <w:lang w:val="fr-BE"/>
        </w:rPr>
      </w:pPr>
      <w:r>
        <w:rPr>
          <w:rFonts w:ascii="Times New Roman" w:hAnsi="Times New Roman"/>
          <w:noProof/>
          <w:sz w:val="24"/>
          <w:lang w:val="fr-BE"/>
        </w:rPr>
        <w:t xml:space="preserve">Les mesures </w:t>
      </w:r>
      <w:r>
        <w:rPr>
          <w:rFonts w:ascii="Times New Roman" w:hAnsi="Times New Roman"/>
          <w:noProof/>
          <w:sz w:val="24"/>
          <w:lang w:val="fr-BE"/>
        </w:rPr>
        <w:t>présentées dans cette communication permettront aux entreprises et au secteur public d’accéder plus facilement aux données provenant de sources, de disciplines et de secteurs différents dans l’UE et de les réutiliser plus aisément. Conjuguées aux initiativ</w:t>
      </w:r>
      <w:r>
        <w:rPr>
          <w:rFonts w:ascii="Times New Roman" w:hAnsi="Times New Roman"/>
          <w:noProof/>
          <w:sz w:val="24"/>
          <w:lang w:val="fr-BE"/>
        </w:rPr>
        <w:t>es déjà en place, telles que le nouveau cadre réglementaire relatif à la protection des données à caractère personnel, qui entrera en vigueur en mai 2018, la proposition concernant la libre circulation des données à caractère non personnel et les initiativ</w:t>
      </w:r>
      <w:r>
        <w:rPr>
          <w:rFonts w:ascii="Times New Roman" w:hAnsi="Times New Roman"/>
          <w:noProof/>
          <w:sz w:val="24"/>
          <w:lang w:val="fr-BE"/>
        </w:rPr>
        <w:t xml:space="preserve">es visant à renforcer la connectivité et à favoriser le calcul à haute performance, elles contribueront à mettre en place un véritable espace européen commun des données, soutenu à la fois par des mesures à l’échelle de l’Union et par un financement ciblé </w:t>
      </w:r>
      <w:r>
        <w:rPr>
          <w:rFonts w:ascii="Times New Roman" w:hAnsi="Times New Roman"/>
          <w:noProof/>
          <w:sz w:val="24"/>
          <w:lang w:val="fr-BE"/>
        </w:rPr>
        <w:t>en matière recherche et d’innovation. Il s’agit d’éléments essentiels pour la croissance économique et la compétitivité de l’UE.</w:t>
      </w:r>
    </w:p>
    <w:p w:rsidR="00C0328C" w:rsidRDefault="00576A1C">
      <w:pPr>
        <w:jc w:val="both"/>
        <w:rPr>
          <w:rFonts w:ascii="Times New Roman" w:hAnsi="Times New Roman"/>
          <w:noProof/>
          <w:sz w:val="24"/>
          <w:lang w:val="fr-BE"/>
        </w:rPr>
      </w:pPr>
      <w:r>
        <w:rPr>
          <w:rFonts w:ascii="Times New Roman" w:hAnsi="Times New Roman"/>
          <w:noProof/>
          <w:sz w:val="24"/>
          <w:lang w:val="fr-BE"/>
        </w:rPr>
        <w:t>La Commission invite les colégislateurs à œuvrer en faveur d’une adoption rapide de l’élément législatif du train de mesures pr</w:t>
      </w:r>
      <w:r>
        <w:rPr>
          <w:rFonts w:ascii="Times New Roman" w:hAnsi="Times New Roman"/>
          <w:noProof/>
          <w:sz w:val="24"/>
          <w:lang w:val="fr-BE"/>
        </w:rPr>
        <w:t>oposé sur les données</w:t>
      </w:r>
      <w:r>
        <w:rPr>
          <w:rStyle w:val="FootnoteReference"/>
          <w:rFonts w:ascii="Times New Roman" w:hAnsi="Times New Roman"/>
          <w:noProof/>
          <w:sz w:val="24"/>
        </w:rPr>
        <w:footnoteReference w:id="46"/>
      </w:r>
      <w:r>
        <w:rPr>
          <w:rFonts w:ascii="Times New Roman" w:hAnsi="Times New Roman"/>
          <w:noProof/>
          <w:sz w:val="24"/>
          <w:lang w:val="fr-BE"/>
        </w:rPr>
        <w:t>, afin que l’UE puisse tirer pleinement parti des possibilités offertes par l’économie fondée sur les données. Elle invite également les États membres et toutes les autres parties prenantes à contribuer aux mesures et initiatives anno</w:t>
      </w:r>
      <w:r>
        <w:rPr>
          <w:rFonts w:ascii="Times New Roman" w:hAnsi="Times New Roman"/>
          <w:noProof/>
          <w:sz w:val="24"/>
          <w:lang w:val="fr-BE"/>
        </w:rPr>
        <w:t>ncées.</w:t>
      </w:r>
    </w:p>
    <w:p w:rsidR="00C0328C" w:rsidRDefault="00C0328C">
      <w:pPr>
        <w:jc w:val="both"/>
        <w:rPr>
          <w:rFonts w:ascii="Times New Roman" w:hAnsi="Times New Roman" w:cs="Times New Roman"/>
          <w:b/>
          <w:noProof/>
          <w:sz w:val="24"/>
          <w:szCs w:val="24"/>
          <w:lang w:val="fr-BE"/>
        </w:rPr>
      </w:pPr>
    </w:p>
    <w:sectPr w:rsidR="00C0328C">
      <w:headerReference w:type="even" r:id="rId21"/>
      <w:headerReference w:type="default" r:id="rId22"/>
      <w:footerReference w:type="even" r:id="rId23"/>
      <w:footerReference w:type="default" r:id="rId24"/>
      <w:headerReference w:type="first" r:id="rId25"/>
      <w:footerReference w:type="first" r:id="rId26"/>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8C" w:rsidRDefault="00576A1C">
      <w:pPr>
        <w:spacing w:after="0" w:line="240" w:lineRule="auto"/>
      </w:pPr>
      <w:r>
        <w:separator/>
      </w:r>
    </w:p>
  </w:endnote>
  <w:endnote w:type="continuationSeparator" w:id="0">
    <w:p w:rsidR="00C0328C" w:rsidRDefault="00576A1C">
      <w:pPr>
        <w:spacing w:after="0" w:line="240" w:lineRule="auto"/>
      </w:pPr>
      <w:r>
        <w:continuationSeparator/>
      </w:r>
    </w:p>
  </w:endnote>
  <w:endnote w:type="continuationNotice" w:id="1">
    <w:p w:rsidR="00C0328C" w:rsidRDefault="00C03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FooterCoverPage"/>
      <w:rPr>
        <w:rFonts w:ascii="Arial" w:hAnsi="Arial" w:cs="Arial"/>
        <w:b/>
        <w:sz w:val="48"/>
      </w:rPr>
    </w:pPr>
    <w:r w:rsidRPr="00576A1C">
      <w:rPr>
        <w:rFonts w:ascii="Arial" w:hAnsi="Arial" w:cs="Arial"/>
        <w:b/>
        <w:sz w:val="48"/>
      </w:rPr>
      <w:t>FR</w:t>
    </w:r>
    <w:r w:rsidRPr="00576A1C">
      <w:rPr>
        <w:rFonts w:ascii="Arial" w:hAnsi="Arial" w:cs="Arial"/>
        <w:b/>
        <w:sz w:val="48"/>
      </w:rPr>
      <w:tab/>
    </w:r>
    <w:r w:rsidRPr="00576A1C">
      <w:rPr>
        <w:rFonts w:ascii="Arial" w:hAnsi="Arial" w:cs="Arial"/>
        <w:b/>
        <w:sz w:val="48"/>
      </w:rPr>
      <w:tab/>
    </w:r>
    <w:r w:rsidRPr="00576A1C">
      <w:tab/>
    </w:r>
    <w:proofErr w:type="spellStart"/>
    <w:r w:rsidRPr="00576A1C">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8C" w:rsidRDefault="00C032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780906"/>
      <w:docPartObj>
        <w:docPartGallery w:val="Page Numbers (Bottom of Page)"/>
        <w:docPartUnique/>
      </w:docPartObj>
    </w:sdtPr>
    <w:sdtEndPr>
      <w:rPr>
        <w:noProof/>
      </w:rPr>
    </w:sdtEndPr>
    <w:sdtContent>
      <w:p w:rsidR="00C0328C" w:rsidRDefault="00576A1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C0328C" w:rsidRDefault="00C0328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8C" w:rsidRDefault="00C03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8C" w:rsidRDefault="00576A1C">
      <w:pPr>
        <w:spacing w:after="0" w:line="240" w:lineRule="auto"/>
      </w:pPr>
      <w:r>
        <w:separator/>
      </w:r>
    </w:p>
  </w:footnote>
  <w:footnote w:type="continuationSeparator" w:id="0">
    <w:p w:rsidR="00C0328C" w:rsidRDefault="00576A1C">
      <w:pPr>
        <w:spacing w:after="0" w:line="240" w:lineRule="auto"/>
      </w:pPr>
      <w:r>
        <w:continuationSeparator/>
      </w:r>
    </w:p>
  </w:footnote>
  <w:footnote w:type="continuationNotice" w:id="1">
    <w:p w:rsidR="00C0328C" w:rsidRDefault="00C0328C">
      <w:pPr>
        <w:spacing w:after="0" w:line="240" w:lineRule="auto"/>
      </w:pPr>
    </w:p>
  </w:footnote>
  <w:footnote w:id="2">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De 1,99 % du PIB de l’UE en 2016 à 4 % en 2020, IDC 2017, </w:t>
      </w:r>
      <w:r>
        <w:rPr>
          <w:rFonts w:ascii="Times New Roman" w:hAnsi="Times New Roman"/>
          <w:i/>
          <w:lang w:val="fr-BE"/>
        </w:rPr>
        <w:t xml:space="preserve">European Data </w:t>
      </w:r>
      <w:proofErr w:type="spellStart"/>
      <w:r>
        <w:rPr>
          <w:rFonts w:ascii="Times New Roman" w:hAnsi="Times New Roman"/>
          <w:i/>
          <w:lang w:val="fr-BE"/>
        </w:rPr>
        <w:t>Market</w:t>
      </w:r>
      <w:proofErr w:type="spellEnd"/>
      <w:r>
        <w:rPr>
          <w:rFonts w:ascii="Times New Roman" w:hAnsi="Times New Roman"/>
          <w:i/>
          <w:lang w:val="fr-BE"/>
        </w:rPr>
        <w:t xml:space="preserve"> </w:t>
      </w:r>
      <w:proofErr w:type="spellStart"/>
      <w:r>
        <w:rPr>
          <w:rFonts w:ascii="Times New Roman" w:hAnsi="Times New Roman"/>
          <w:i/>
          <w:lang w:val="fr-BE"/>
        </w:rPr>
        <w:t>Study</w:t>
      </w:r>
      <w:proofErr w:type="spellEnd"/>
      <w:r>
        <w:rPr>
          <w:rFonts w:ascii="Times New Roman" w:hAnsi="Times New Roman"/>
          <w:lang w:val="fr-BE"/>
        </w:rPr>
        <w:t xml:space="preserve">, rapport final. </w:t>
      </w:r>
    </w:p>
  </w:footnote>
  <w:footnote w:id="3">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JO L 119 </w:t>
      </w:r>
      <w:proofErr w:type="spellStart"/>
      <w:r>
        <w:rPr>
          <w:rFonts w:ascii="Times New Roman" w:hAnsi="Times New Roman"/>
          <w:lang w:val="pt-PT"/>
        </w:rPr>
        <w:t>du</w:t>
      </w:r>
      <w:proofErr w:type="spellEnd"/>
      <w:r>
        <w:rPr>
          <w:rFonts w:ascii="Times New Roman" w:hAnsi="Times New Roman"/>
          <w:lang w:val="pt-PT"/>
        </w:rPr>
        <w:t> 4.5.2016, p. 1.</w:t>
      </w:r>
    </w:p>
  </w:footnote>
  <w:footnote w:id="4">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COM(2017</w:t>
      </w:r>
      <w:proofErr w:type="gramEnd"/>
      <w:r>
        <w:rPr>
          <w:rFonts w:ascii="Times New Roman" w:hAnsi="Times New Roman"/>
          <w:lang w:val="pt-PT"/>
        </w:rPr>
        <w:t>) 495 final.</w:t>
      </w:r>
    </w:p>
  </w:footnote>
  <w:footnote w:id="5">
    <w:p w:rsidR="00C0328C" w:rsidRDefault="00576A1C">
      <w:pPr>
        <w:pStyle w:val="FootnoteText"/>
        <w:tabs>
          <w:tab w:val="left" w:pos="3662"/>
        </w:tabs>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COM(2017</w:t>
      </w:r>
      <w:proofErr w:type="gramEnd"/>
      <w:r>
        <w:rPr>
          <w:rFonts w:ascii="Times New Roman" w:hAnsi="Times New Roman"/>
          <w:lang w:val="pt-PT"/>
        </w:rPr>
        <w:t>) 9 final.</w:t>
      </w:r>
    </w:p>
  </w:footnote>
  <w:footnote w:id="6">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
        <w:r>
          <w:rPr>
            <w:rStyle w:val="Hyperlink"/>
            <w:rFonts w:ascii="Times New Roman" w:hAnsi="Times New Roman"/>
            <w:lang w:val="pt-PT"/>
          </w:rPr>
          <w:t>https://ec.europa.eu/digital-single-market/en/news/public-consultation-building-european-data-economy</w:t>
        </w:r>
      </w:hyperlink>
      <w:r>
        <w:rPr>
          <w:rFonts w:ascii="Times New Roman" w:hAnsi="Times New Roman"/>
          <w:lang w:val="pt-PT"/>
        </w:rPr>
        <w:t xml:space="preserve"> </w:t>
      </w:r>
    </w:p>
  </w:footnote>
  <w:footnote w:id="7">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COM(2017</w:t>
      </w:r>
      <w:proofErr w:type="gramEnd"/>
      <w:r>
        <w:rPr>
          <w:rFonts w:ascii="Times New Roman" w:hAnsi="Times New Roman"/>
          <w:lang w:val="pt-PT"/>
        </w:rPr>
        <w:t>) 228 final.</w:t>
      </w:r>
    </w:p>
  </w:footnote>
  <w:footnote w:id="8">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COM(2018</w:t>
      </w:r>
      <w:proofErr w:type="gramEnd"/>
      <w:r>
        <w:rPr>
          <w:rFonts w:ascii="Times New Roman" w:hAnsi="Times New Roman"/>
          <w:lang w:val="pt-PT"/>
        </w:rPr>
        <w:t>)</w:t>
      </w:r>
      <w:r>
        <w:rPr>
          <w:rFonts w:ascii="Times New Roman" w:hAnsi="Times New Roman"/>
          <w:lang w:val="pt-PT"/>
        </w:rPr>
        <w:t xml:space="preserve"> 234.</w:t>
      </w:r>
    </w:p>
  </w:footnote>
  <w:footnote w:id="9">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C(2018</w:t>
      </w:r>
      <w:proofErr w:type="gramEnd"/>
      <w:r>
        <w:rPr>
          <w:rFonts w:ascii="Times New Roman" w:hAnsi="Times New Roman"/>
          <w:lang w:val="pt-PT"/>
        </w:rPr>
        <w:t>) 2375.</w:t>
      </w:r>
    </w:p>
  </w:footnote>
  <w:footnote w:id="10">
    <w:p w:rsidR="00C0328C" w:rsidRDefault="00576A1C">
      <w:pPr>
        <w:pStyle w:val="FootnoteText"/>
        <w:rPr>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SWD(2018</w:t>
      </w:r>
      <w:proofErr w:type="gramEnd"/>
      <w:r>
        <w:rPr>
          <w:rFonts w:ascii="Times New Roman" w:hAnsi="Times New Roman"/>
          <w:lang w:val="pt-PT"/>
        </w:rPr>
        <w:t>) 125.</w:t>
      </w:r>
    </w:p>
  </w:footnote>
  <w:footnote w:id="11">
    <w:p w:rsidR="00C0328C" w:rsidRDefault="00576A1C">
      <w:pPr>
        <w:pStyle w:val="FootnoteText"/>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Les organisations dont l’activité principale consiste à élaborer des produits, des services et des technologies liés aux données.</w:t>
      </w:r>
    </w:p>
  </w:footnote>
  <w:footnote w:id="12">
    <w:p w:rsidR="00C0328C" w:rsidRDefault="00576A1C">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OCDE, </w:t>
      </w:r>
      <w:r>
        <w:rPr>
          <w:rFonts w:ascii="Times New Roman" w:hAnsi="Times New Roman"/>
          <w:i/>
        </w:rPr>
        <w:t>Data-driven innovation</w:t>
      </w:r>
      <w:r>
        <w:rPr>
          <w:rFonts w:ascii="Times New Roman" w:hAnsi="Times New Roman"/>
        </w:rPr>
        <w:t>.</w:t>
      </w:r>
      <w:proofErr w:type="gramEnd"/>
      <w:r>
        <w:rPr>
          <w:rFonts w:ascii="Times New Roman" w:hAnsi="Times New Roman"/>
        </w:rPr>
        <w:t xml:space="preserve"> </w:t>
      </w:r>
      <w:proofErr w:type="gramStart"/>
      <w:r>
        <w:rPr>
          <w:rFonts w:ascii="Times New Roman" w:hAnsi="Times New Roman"/>
          <w:i/>
        </w:rPr>
        <w:t>Big Data for Growth and Well-being</w:t>
      </w:r>
      <w:r>
        <w:rPr>
          <w:rFonts w:ascii="Times New Roman" w:hAnsi="Times New Roman"/>
        </w:rPr>
        <w:t>, 2015.</w:t>
      </w:r>
      <w:proofErr w:type="gramEnd"/>
    </w:p>
  </w:footnote>
  <w:footnote w:id="13">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Voir les </w:t>
      </w:r>
      <w:r>
        <w:rPr>
          <w:rFonts w:ascii="Times New Roman" w:hAnsi="Times New Roman"/>
          <w:lang w:val="fr-BE"/>
        </w:rPr>
        <w:t>documents de travail des services de la Commission sur les évaluations de la directive «Machines» et de la directive sur la responsabilité du fait des produits, ainsi que le document de travail des services de la Commission sur la responsabilité du fait de</w:t>
      </w:r>
      <w:r>
        <w:rPr>
          <w:rFonts w:ascii="Times New Roman" w:hAnsi="Times New Roman"/>
          <w:lang w:val="fr-BE"/>
        </w:rPr>
        <w:t>s technologies numériques émergentes.</w:t>
      </w:r>
    </w:p>
  </w:footnote>
  <w:footnote w:id="14">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SWD(2018) 127.</w:t>
      </w:r>
    </w:p>
  </w:footnote>
  <w:footnote w:id="15">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2">
        <w:r>
          <w:rPr>
            <w:rStyle w:val="Hyperlink"/>
            <w:rFonts w:ascii="Times New Roman" w:hAnsi="Times New Roman"/>
            <w:lang w:val="fr-BE"/>
          </w:rPr>
          <w:t>Directive 2003/98/CE du Parlement européen et du Conseil du 17 novembre 2003 concernant la réutilisation des inf</w:t>
        </w:r>
        <w:r>
          <w:rPr>
            <w:rStyle w:val="Hyperlink"/>
            <w:rFonts w:ascii="Times New Roman" w:hAnsi="Times New Roman"/>
            <w:lang w:val="fr-BE"/>
          </w:rPr>
          <w:t>ormations du secteur public</w:t>
        </w:r>
      </w:hyperlink>
      <w:r>
        <w:rPr>
          <w:rFonts w:ascii="Times New Roman" w:hAnsi="Times New Roman"/>
          <w:lang w:val="fr-BE"/>
        </w:rPr>
        <w:t>.</w:t>
      </w:r>
    </w:p>
  </w:footnote>
  <w:footnote w:id="16">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fldChar w:fldCharType="begin"/>
      </w:r>
      <w:r w:rsidRPr="00576A1C">
        <w:instrText xml:space="preserve"> HYPERLINK "https://www.europeandataportal.eu/" \h </w:instrText>
      </w:r>
      <w:r>
        <w:fldChar w:fldCharType="separate"/>
      </w:r>
      <w:r>
        <w:rPr>
          <w:rStyle w:val="Hyperlink"/>
          <w:rFonts w:ascii="Times New Roman" w:hAnsi="Times New Roman"/>
          <w:lang w:val="fr-BE"/>
        </w:rPr>
        <w:t>https://www.europeandataportal.eu/</w:t>
      </w:r>
      <w:r>
        <w:rPr>
          <w:rStyle w:val="Hyperlink"/>
          <w:rFonts w:ascii="Times New Roman" w:hAnsi="Times New Roman"/>
          <w:lang w:val="fr-BE"/>
        </w:rPr>
        <w:fldChar w:fldCharType="end"/>
      </w:r>
      <w:r>
        <w:rPr>
          <w:rFonts w:ascii="Times New Roman" w:hAnsi="Times New Roman"/>
          <w:lang w:val="fr-BE"/>
        </w:rPr>
        <w:t xml:space="preserve"> </w:t>
      </w:r>
    </w:p>
  </w:footnote>
  <w:footnote w:id="17">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3">
        <w:r>
          <w:rPr>
            <w:rStyle w:val="Hyperlink"/>
            <w:rFonts w:ascii="Times New Roman" w:hAnsi="Times New Roman"/>
            <w:lang w:val="fr-BE"/>
          </w:rPr>
          <w:t>Décision 2011/833/UE de la Commission relative</w:t>
        </w:r>
        <w:r>
          <w:rPr>
            <w:rStyle w:val="Hyperlink"/>
            <w:rFonts w:ascii="Times New Roman" w:hAnsi="Times New Roman"/>
            <w:lang w:val="fr-BE"/>
          </w:rPr>
          <w:t xml:space="preserve"> à la réutilisation des documents de la Commission</w:t>
        </w:r>
      </w:hyperlink>
      <w:r>
        <w:rPr>
          <w:rFonts w:ascii="Times New Roman" w:hAnsi="Times New Roman"/>
          <w:lang w:val="fr-BE"/>
        </w:rPr>
        <w:t>.</w:t>
      </w:r>
    </w:p>
  </w:footnote>
  <w:footnote w:id="18">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4">
        <w:r>
          <w:rPr>
            <w:rStyle w:val="Hyperlink"/>
            <w:rFonts w:ascii="Times New Roman" w:hAnsi="Times New Roman"/>
            <w:lang w:val="fr-BE"/>
          </w:rPr>
          <w:t>https://data.europa.eu/euodp/fr/home</w:t>
        </w:r>
      </w:hyperlink>
      <w:r>
        <w:rPr>
          <w:rFonts w:ascii="Times New Roman" w:hAnsi="Times New Roman"/>
          <w:lang w:val="fr-BE"/>
        </w:rPr>
        <w:t xml:space="preserve"> </w:t>
      </w:r>
    </w:p>
  </w:footnote>
  <w:footnote w:id="19">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COM(2018) 234.</w:t>
      </w:r>
    </w:p>
  </w:footnote>
  <w:footnote w:id="20">
    <w:p w:rsidR="00C0328C" w:rsidRDefault="00576A1C">
      <w:pPr>
        <w:pStyle w:val="FootnoteText"/>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Le problème majeur de ces accords est qu’ils ont pour effet qu’un seul ou un nombre très limité de </w:t>
      </w:r>
      <w:proofErr w:type="spellStart"/>
      <w:r>
        <w:rPr>
          <w:rFonts w:ascii="Times New Roman" w:hAnsi="Times New Roman"/>
          <w:lang w:val="fr-BE"/>
        </w:rPr>
        <w:t>réutilisateurs</w:t>
      </w:r>
      <w:proofErr w:type="spellEnd"/>
      <w:r>
        <w:rPr>
          <w:rFonts w:ascii="Times New Roman" w:hAnsi="Times New Roman"/>
          <w:lang w:val="fr-BE"/>
        </w:rPr>
        <w:t xml:space="preserve"> exploitent les données dans la pratique, et que cette réutilisation limitée est due non pas aux particularités du marché mais à la manière do</w:t>
      </w:r>
      <w:r>
        <w:rPr>
          <w:rFonts w:ascii="Times New Roman" w:hAnsi="Times New Roman"/>
          <w:lang w:val="fr-BE"/>
        </w:rPr>
        <w:t xml:space="preserve">nt l’accord a été conclu entre les secteurs public et privé. La transparence accrue de la procédure vise à limiter l’«avantage de premier arrivant excessif» a) en permettant à n’importe quelle entreprise de s’informer sur les données disponibles, et b) en </w:t>
      </w:r>
      <w:r>
        <w:rPr>
          <w:rFonts w:ascii="Times New Roman" w:hAnsi="Times New Roman"/>
          <w:lang w:val="fr-BE"/>
        </w:rPr>
        <w:t xml:space="preserve">augmentant la probabilité qu’un plus large éventail de </w:t>
      </w:r>
      <w:proofErr w:type="spellStart"/>
      <w:r>
        <w:rPr>
          <w:rFonts w:ascii="Times New Roman" w:hAnsi="Times New Roman"/>
          <w:lang w:val="fr-BE"/>
        </w:rPr>
        <w:t>réutilisateurs</w:t>
      </w:r>
      <w:proofErr w:type="spellEnd"/>
      <w:r>
        <w:rPr>
          <w:rFonts w:ascii="Times New Roman" w:hAnsi="Times New Roman"/>
          <w:lang w:val="fr-BE"/>
        </w:rPr>
        <w:t xml:space="preserve"> exploitent effectivement les données en question.</w:t>
      </w:r>
    </w:p>
  </w:footnote>
  <w:footnote w:id="21">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5">
        <w:r>
          <w:rPr>
            <w:rStyle w:val="Hyperlink"/>
            <w:rFonts w:ascii="Times New Roman" w:hAnsi="Times New Roman"/>
            <w:lang w:val="fr-BE"/>
          </w:rPr>
          <w:t>Directive 96/9/CE du Parlement européen et du C</w:t>
        </w:r>
        <w:r>
          <w:rPr>
            <w:rStyle w:val="Hyperlink"/>
            <w:rFonts w:ascii="Times New Roman" w:hAnsi="Times New Roman"/>
            <w:lang w:val="fr-BE"/>
          </w:rPr>
          <w:t>onseil, du 11 mars 1996, concernant la protection juridique des bases de données</w:t>
        </w:r>
      </w:hyperlink>
      <w:r>
        <w:rPr>
          <w:rFonts w:ascii="Times New Roman" w:hAnsi="Times New Roman"/>
          <w:lang w:val="fr-BE"/>
        </w:rPr>
        <w:t>.</w:t>
      </w:r>
    </w:p>
  </w:footnote>
  <w:footnote w:id="22">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SWD(2018) 146.</w:t>
      </w:r>
    </w:p>
  </w:footnote>
  <w:footnote w:id="23">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Une «base de données à source unique» désigne une base dont la seule source de données est la base elle-même.</w:t>
      </w:r>
    </w:p>
  </w:footnote>
  <w:footnote w:id="24">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SWD(2018) 145.</w:t>
      </w:r>
    </w:p>
  </w:footnote>
  <w:footnote w:id="25">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6">
        <w:r>
          <w:rPr>
            <w:rStyle w:val="Hyperlink"/>
            <w:rFonts w:ascii="Times New Roman" w:hAnsi="Times New Roman"/>
            <w:lang w:val="fr-BE"/>
          </w:rPr>
          <w:t>Directive 2007/2/CE du Parlement européen et du Conseil du 14 mars 2007</w:t>
        </w:r>
      </w:hyperlink>
      <w:r>
        <w:rPr>
          <w:rFonts w:ascii="Times New Roman" w:hAnsi="Times New Roman"/>
          <w:lang w:val="fr-BE"/>
        </w:rPr>
        <w:t>.</w:t>
      </w:r>
    </w:p>
  </w:footnote>
  <w:footnote w:id="26">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7">
        <w:r>
          <w:rPr>
            <w:rStyle w:val="Hyperlink"/>
            <w:rFonts w:ascii="Times New Roman" w:hAnsi="Times New Roman"/>
            <w:lang w:val="fr-BE"/>
          </w:rPr>
          <w:t>http://data.europa.eu/europeandataportal</w:t>
        </w:r>
      </w:hyperlink>
      <w:r>
        <w:rPr>
          <w:rStyle w:val="Hyperlink"/>
          <w:rFonts w:ascii="Times New Roman" w:hAnsi="Times New Roman"/>
          <w:lang w:val="fr-BE"/>
        </w:rPr>
        <w:t>.</w:t>
      </w:r>
    </w:p>
  </w:footnote>
  <w:footnote w:id="27">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8">
        <w:r>
          <w:rPr>
            <w:rStyle w:val="Hyperlink"/>
            <w:rFonts w:ascii="Times New Roman" w:hAnsi="Times New Roman"/>
            <w:lang w:val="fr-BE"/>
          </w:rPr>
          <w:t>https://ec.europa.eu/digital-single-market/en/news/connecting-europe-facility-cef-telecom-work-programme-2018-adopted</w:t>
        </w:r>
      </w:hyperlink>
      <w:r>
        <w:rPr>
          <w:rFonts w:ascii="Times New Roman" w:hAnsi="Times New Roman"/>
          <w:lang w:val="fr-BE"/>
        </w:rPr>
        <w:t>.</w:t>
      </w:r>
    </w:p>
  </w:footnote>
  <w:footnote w:id="28">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9">
        <w:r>
          <w:rPr>
            <w:rStyle w:val="Hyperlink"/>
            <w:rFonts w:ascii="Times New Roman" w:hAnsi="Times New Roman"/>
            <w:lang w:val="fr-BE"/>
          </w:rPr>
          <w:t>https://cohesiondata.ec.europa.eu</w:t>
        </w:r>
      </w:hyperlink>
      <w:r>
        <w:rPr>
          <w:rFonts w:ascii="Times New Roman" w:hAnsi="Times New Roman"/>
          <w:lang w:val="fr-BE"/>
        </w:rPr>
        <w:t>.</w:t>
      </w:r>
    </w:p>
  </w:footnote>
  <w:footnote w:id="29">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COM(2018</w:t>
      </w:r>
      <w:proofErr w:type="gramEnd"/>
      <w:r>
        <w:rPr>
          <w:rFonts w:ascii="Times New Roman" w:hAnsi="Times New Roman"/>
          <w:lang w:val="pt-PT"/>
        </w:rPr>
        <w:t>) 22 final.</w:t>
      </w:r>
    </w:p>
  </w:footnote>
  <w:footnote w:id="30">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http:</w:t>
      </w:r>
      <w:proofErr w:type="gramEnd"/>
      <w:r>
        <w:rPr>
          <w:rFonts w:ascii="Times New Roman" w:hAnsi="Times New Roman"/>
          <w:lang w:val="pt-PT"/>
        </w:rPr>
        <w:t>//data.consilium.europa.eu/doc/document/ST-9526-2016-INIT/fr/pdf.</w:t>
      </w:r>
    </w:p>
  </w:footnote>
  <w:footnote w:id="31">
    <w:p w:rsidR="00C0328C" w:rsidRDefault="00576A1C">
      <w:pPr>
        <w:pStyle w:val="Default"/>
        <w:rPr>
          <w:rFonts w:ascii="Times New Roman" w:hAnsi="Times New Roman" w:cs="Times New Roman"/>
          <w:lang w:val="pt-PT"/>
        </w:rPr>
      </w:pPr>
      <w:r>
        <w:rPr>
          <w:rStyle w:val="FootnoteReference"/>
          <w:rFonts w:ascii="Times New Roman" w:hAnsi="Times New Roman"/>
          <w:color w:val="auto"/>
          <w:sz w:val="20"/>
        </w:rPr>
        <w:footnoteRef/>
      </w:r>
      <w:r>
        <w:rPr>
          <w:rStyle w:val="FootnoteReference"/>
          <w:rFonts w:ascii="Times New Roman" w:hAnsi="Times New Roman"/>
          <w:lang w:val="pt-PT"/>
        </w:rPr>
        <w:t xml:space="preserve"> </w:t>
      </w:r>
      <w:proofErr w:type="gramStart"/>
      <w:r>
        <w:rPr>
          <w:rFonts w:ascii="Times New Roman" w:hAnsi="Times New Roman"/>
          <w:color w:val="auto"/>
          <w:sz w:val="20"/>
          <w:lang w:val="pt-PT"/>
        </w:rPr>
        <w:t>SWD(2018</w:t>
      </w:r>
      <w:proofErr w:type="gramEnd"/>
      <w:r>
        <w:rPr>
          <w:rFonts w:ascii="Times New Roman" w:hAnsi="Times New Roman"/>
          <w:color w:val="auto"/>
          <w:sz w:val="20"/>
          <w:lang w:val="pt-PT"/>
        </w:rPr>
        <w:t>) 83 final.</w:t>
      </w:r>
    </w:p>
  </w:footnote>
  <w:footnote w:id="32">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C(2012</w:t>
      </w:r>
      <w:proofErr w:type="gramEnd"/>
      <w:r>
        <w:rPr>
          <w:rFonts w:ascii="Times New Roman" w:hAnsi="Times New Roman"/>
          <w:lang w:val="pt-PT"/>
        </w:rPr>
        <w:t>) 4890 final.</w:t>
      </w:r>
    </w:p>
  </w:footnote>
  <w:footnote w:id="33">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COM(2016</w:t>
      </w:r>
      <w:proofErr w:type="gramEnd"/>
      <w:r>
        <w:rPr>
          <w:rFonts w:ascii="Times New Roman" w:hAnsi="Times New Roman"/>
          <w:lang w:val="pt-PT"/>
        </w:rPr>
        <w:t>) 178 final.</w:t>
      </w:r>
    </w:p>
  </w:footnote>
  <w:footnote w:id="34">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COM(2017) 228 </w:t>
      </w:r>
      <w:proofErr w:type="gramStart"/>
      <w:r>
        <w:rPr>
          <w:rFonts w:ascii="Times New Roman" w:hAnsi="Times New Roman"/>
          <w:lang w:val="fr-BE"/>
        </w:rPr>
        <w:t>final</w:t>
      </w:r>
      <w:proofErr w:type="gramEnd"/>
      <w:r>
        <w:rPr>
          <w:rFonts w:ascii="Times New Roman" w:hAnsi="Times New Roman"/>
          <w:lang w:val="fr-BE"/>
        </w:rPr>
        <w:t>.</w:t>
      </w:r>
    </w:p>
  </w:footnote>
  <w:footnote w:id="35">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C(2018) 2375.</w:t>
      </w:r>
    </w:p>
  </w:footnote>
  <w:footnote w:id="36">
    <w:p w:rsidR="00C0328C" w:rsidRDefault="00576A1C">
      <w:pPr>
        <w:pStyle w:val="FootnoteText"/>
        <w:rPr>
          <w:lang w:val="fr-BE"/>
        </w:rPr>
      </w:pPr>
      <w:r>
        <w:rPr>
          <w:rStyle w:val="FootnoteReference"/>
          <w:rFonts w:ascii="Times New Roman" w:hAnsi="Times New Roman"/>
        </w:rPr>
        <w:footnoteRef/>
      </w:r>
      <w:r>
        <w:rPr>
          <w:rFonts w:ascii="Times New Roman" w:hAnsi="Times New Roman"/>
          <w:lang w:val="fr-BE"/>
        </w:rPr>
        <w:t xml:space="preserve"> COM(2018) 234</w:t>
      </w:r>
      <w:r>
        <w:rPr>
          <w:lang w:val="fr-BE"/>
        </w:rPr>
        <w:t>.</w:t>
      </w:r>
    </w:p>
  </w:footnote>
  <w:footnote w:id="37">
    <w:p w:rsidR="00C0328C" w:rsidRDefault="00576A1C">
      <w:pPr>
        <w:pStyle w:val="FootnoteText"/>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Le document SWD(2018) 125, relatif à des orientations sur le partage des données du secteur privé dans l’économie européenne fondée sur les données, se compose de deux parties: l’une portant sur le p</w:t>
      </w:r>
      <w:r>
        <w:rPr>
          <w:rFonts w:ascii="Times New Roman" w:hAnsi="Times New Roman"/>
          <w:lang w:val="fr-BE"/>
        </w:rPr>
        <w:t>artage de données entre entreprises (B2B) et l’autre sur le partage de données entre entreprises et administrations publiques (B2G).</w:t>
      </w:r>
    </w:p>
  </w:footnote>
  <w:footnote w:id="38">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hyperlink r:id="rId10">
        <w:r>
          <w:rPr>
            <w:rStyle w:val="Hyperlink"/>
            <w:rFonts w:ascii="Times New Roman" w:hAnsi="Times New Roman"/>
            <w:lang w:val="fr-BE"/>
          </w:rPr>
          <w:t>https://ec.europa.eu/digital-single-market/en/news/public-consultation-building-european-data-economy</w:t>
        </w:r>
      </w:hyperlink>
      <w:r>
        <w:rPr>
          <w:rFonts w:ascii="Times New Roman" w:hAnsi="Times New Roman"/>
          <w:lang w:val="fr-BE"/>
        </w:rPr>
        <w:t xml:space="preserve"> </w:t>
      </w:r>
    </w:p>
  </w:footnote>
  <w:footnote w:id="39">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COM(2017) 9 final, p. 11.</w:t>
      </w:r>
    </w:p>
  </w:footnote>
  <w:footnote w:id="40">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Par exemple, les données produites par des robots dans le cadre de processus industriels et pouvant servir à la fourniture </w:t>
      </w:r>
      <w:r>
        <w:rPr>
          <w:rFonts w:ascii="Times New Roman" w:hAnsi="Times New Roman"/>
          <w:lang w:val="fr-BE"/>
        </w:rPr>
        <w:t>de services après-vente (réparation et entretien) ou les données sur la notation de prestataires de services.</w:t>
      </w:r>
    </w:p>
  </w:footnote>
  <w:footnote w:id="41">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proofErr w:type="gramStart"/>
      <w:r>
        <w:rPr>
          <w:rFonts w:ascii="Times New Roman" w:hAnsi="Times New Roman"/>
          <w:lang w:val="pt-PT"/>
        </w:rPr>
        <w:t>COM(2016</w:t>
      </w:r>
      <w:proofErr w:type="gramEnd"/>
      <w:r>
        <w:rPr>
          <w:rFonts w:ascii="Times New Roman" w:hAnsi="Times New Roman"/>
          <w:lang w:val="pt-PT"/>
        </w:rPr>
        <w:t>) 180 final.</w:t>
      </w:r>
    </w:p>
  </w:footnote>
  <w:footnote w:id="42">
    <w:p w:rsidR="00C0328C" w:rsidRDefault="00576A1C">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1">
        <w:r>
          <w:rPr>
            <w:rStyle w:val="Hyperlink"/>
            <w:rFonts w:ascii="Times New Roman" w:hAnsi="Times New Roman"/>
            <w:lang w:val="pt-PT"/>
          </w:rPr>
          <w:t>http://ec.europa.eu/research/participants/data/ref/h2020/wp/2018-2020/main/h2020-wp1820-leit-ict_en.pdf</w:t>
        </w:r>
      </w:hyperlink>
      <w:r>
        <w:rPr>
          <w:rFonts w:ascii="Times New Roman" w:hAnsi="Times New Roman"/>
          <w:lang w:val="pt-PT"/>
        </w:rPr>
        <w:t>.</w:t>
      </w:r>
    </w:p>
  </w:footnote>
  <w:footnote w:id="43">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SWD(2018) 125.</w:t>
      </w:r>
    </w:p>
  </w:footnote>
  <w:footnote w:id="44">
    <w:p w:rsidR="00C0328C" w:rsidRDefault="00576A1C">
      <w:pPr>
        <w:pStyle w:val="FootnoteText"/>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Voir </w:t>
      </w:r>
      <w:proofErr w:type="gramStart"/>
      <w:r>
        <w:rPr>
          <w:rFonts w:ascii="Times New Roman" w:hAnsi="Times New Roman"/>
          <w:lang w:val="fr-BE"/>
        </w:rPr>
        <w:t>aussi:</w:t>
      </w:r>
      <w:proofErr w:type="gramEnd"/>
      <w:r>
        <w:rPr>
          <w:rFonts w:ascii="Times New Roman" w:hAnsi="Times New Roman"/>
          <w:lang w:val="fr-BE"/>
        </w:rPr>
        <w:t xml:space="preserve"> document de travail des services de la Commission SWD(2017) 2 final.</w:t>
      </w:r>
    </w:p>
  </w:footnote>
  <w:footnote w:id="45">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COM(</w:t>
      </w:r>
      <w:proofErr w:type="gramEnd"/>
      <w:r>
        <w:rPr>
          <w:rFonts w:ascii="Times New Roman" w:hAnsi="Times New Roman"/>
        </w:rPr>
        <w:t>2018) 234.</w:t>
      </w:r>
    </w:p>
  </w:footnote>
  <w:footnote w:id="46">
    <w:p w:rsidR="00C0328C" w:rsidRDefault="00576A1C">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COM(</w:t>
      </w:r>
      <w:proofErr w:type="gramEnd"/>
      <w:r>
        <w:rPr>
          <w:rFonts w:ascii="Times New Roman" w:hAnsi="Times New Roman"/>
        </w:rPr>
        <w:t>2018)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1C" w:rsidRPr="00576A1C" w:rsidRDefault="00576A1C" w:rsidP="00576A1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8C" w:rsidRDefault="00C032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8C" w:rsidRDefault="00C032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8C" w:rsidRDefault="00C03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nsid w:val="012A4457"/>
    <w:multiLevelType w:val="hybridMultilevel"/>
    <w:tmpl w:val="4F9A17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8E6A48"/>
    <w:multiLevelType w:val="hybridMultilevel"/>
    <w:tmpl w:val="1DBC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D4E16"/>
    <w:multiLevelType w:val="hybridMultilevel"/>
    <w:tmpl w:val="CBE008A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
    <w:nsid w:val="0BB26B5F"/>
    <w:multiLevelType w:val="hybridMultilevel"/>
    <w:tmpl w:val="E708D11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57DC2"/>
    <w:multiLevelType w:val="hybridMultilevel"/>
    <w:tmpl w:val="98A45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7F6B3E"/>
    <w:multiLevelType w:val="hybridMultilevel"/>
    <w:tmpl w:val="1012CD62"/>
    <w:lvl w:ilvl="0" w:tplc="49B631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9106A"/>
    <w:multiLevelType w:val="hybridMultilevel"/>
    <w:tmpl w:val="9296FE22"/>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879FD"/>
    <w:multiLevelType w:val="hybridMultilevel"/>
    <w:tmpl w:val="D76E5618"/>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3B2E30"/>
    <w:multiLevelType w:val="hybridMultilevel"/>
    <w:tmpl w:val="5816D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8C6947"/>
    <w:multiLevelType w:val="hybridMultilevel"/>
    <w:tmpl w:val="275C47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F5FBD"/>
    <w:multiLevelType w:val="hybridMultilevel"/>
    <w:tmpl w:val="5766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4F7EAB"/>
    <w:multiLevelType w:val="hybridMultilevel"/>
    <w:tmpl w:val="1632D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24398E"/>
    <w:multiLevelType w:val="hybridMultilevel"/>
    <w:tmpl w:val="75F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94993"/>
    <w:multiLevelType w:val="hybridMultilevel"/>
    <w:tmpl w:val="829406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576A"/>
    <w:multiLevelType w:val="hybridMultilevel"/>
    <w:tmpl w:val="6A7813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A06B3F"/>
    <w:multiLevelType w:val="hybridMultilevel"/>
    <w:tmpl w:val="56AC76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805631"/>
    <w:multiLevelType w:val="hybridMultilevel"/>
    <w:tmpl w:val="08E6DD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3D2780"/>
    <w:multiLevelType w:val="hybridMultilevel"/>
    <w:tmpl w:val="1C7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82587"/>
    <w:multiLevelType w:val="hybridMultilevel"/>
    <w:tmpl w:val="D33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C782E"/>
    <w:multiLevelType w:val="hybridMultilevel"/>
    <w:tmpl w:val="B72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30B8A"/>
    <w:multiLevelType w:val="hybridMultilevel"/>
    <w:tmpl w:val="BBD44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B3DC7"/>
    <w:multiLevelType w:val="hybridMultilevel"/>
    <w:tmpl w:val="58448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BF7521"/>
    <w:multiLevelType w:val="hybridMultilevel"/>
    <w:tmpl w:val="B2AE7432"/>
    <w:lvl w:ilvl="0" w:tplc="8408D04A">
      <w:numFmt w:val="bullet"/>
      <w:lvlText w:val="-"/>
      <w:lvlJc w:val="left"/>
      <w:pPr>
        <w:ind w:left="360" w:hanging="360"/>
      </w:pPr>
      <w:rPr>
        <w:rFonts w:ascii="Calibri" w:eastAsiaTheme="minorHAnsi" w:hAnsi="Calibri" w:cs="Calibri" w:hint="default"/>
      </w:rPr>
    </w:lvl>
    <w:lvl w:ilvl="1" w:tplc="D0F4BB6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AC0B55"/>
    <w:multiLevelType w:val="hybridMultilevel"/>
    <w:tmpl w:val="F020C23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nsid w:val="5B3973BF"/>
    <w:multiLevelType w:val="hybridMultilevel"/>
    <w:tmpl w:val="767AAFDE"/>
    <w:lvl w:ilvl="0" w:tplc="D0F4BB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732505"/>
    <w:multiLevelType w:val="hybridMultilevel"/>
    <w:tmpl w:val="E37C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044431"/>
    <w:multiLevelType w:val="hybridMultilevel"/>
    <w:tmpl w:val="AE5E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E2D66"/>
    <w:multiLevelType w:val="hybridMultilevel"/>
    <w:tmpl w:val="CBC83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44FE3"/>
    <w:multiLevelType w:val="hybridMultilevel"/>
    <w:tmpl w:val="ECAC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72CC9"/>
    <w:multiLevelType w:val="hybridMultilevel"/>
    <w:tmpl w:val="4946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475421"/>
    <w:multiLevelType w:val="hybridMultilevel"/>
    <w:tmpl w:val="79728134"/>
    <w:lvl w:ilvl="0" w:tplc="50C4C61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EF5024"/>
    <w:multiLevelType w:val="hybridMultilevel"/>
    <w:tmpl w:val="90A69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6507A6"/>
    <w:multiLevelType w:val="hybridMultilevel"/>
    <w:tmpl w:val="A5ECD776"/>
    <w:lvl w:ilvl="0" w:tplc="E29637BC">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7"/>
  </w:num>
  <w:num w:numId="4">
    <w:abstractNumId w:val="10"/>
  </w:num>
  <w:num w:numId="5">
    <w:abstractNumId w:val="8"/>
  </w:num>
  <w:num w:numId="6">
    <w:abstractNumId w:val="26"/>
  </w:num>
  <w:num w:numId="7">
    <w:abstractNumId w:val="18"/>
  </w:num>
  <w:num w:numId="8">
    <w:abstractNumId w:val="13"/>
  </w:num>
  <w:num w:numId="9">
    <w:abstractNumId w:val="24"/>
  </w:num>
  <w:num w:numId="10">
    <w:abstractNumId w:val="12"/>
  </w:num>
  <w:num w:numId="11">
    <w:abstractNumId w:val="5"/>
  </w:num>
  <w:num w:numId="12">
    <w:abstractNumId w:val="14"/>
  </w:num>
  <w:num w:numId="13">
    <w:abstractNumId w:val="31"/>
  </w:num>
  <w:num w:numId="14">
    <w:abstractNumId w:val="27"/>
  </w:num>
  <w:num w:numId="15">
    <w:abstractNumId w:val="32"/>
  </w:num>
  <w:num w:numId="16">
    <w:abstractNumId w:val="25"/>
  </w:num>
  <w:num w:numId="17">
    <w:abstractNumId w:val="20"/>
  </w:num>
  <w:num w:numId="18">
    <w:abstractNumId w:val="21"/>
  </w:num>
  <w:num w:numId="19">
    <w:abstractNumId w:val="1"/>
  </w:num>
  <w:num w:numId="20">
    <w:abstractNumId w:val="9"/>
  </w:num>
  <w:num w:numId="21">
    <w:abstractNumId w:val="29"/>
  </w:num>
  <w:num w:numId="22">
    <w:abstractNumId w:val="15"/>
  </w:num>
  <w:num w:numId="23">
    <w:abstractNumId w:val="16"/>
  </w:num>
  <w:num w:numId="24">
    <w:abstractNumId w:val="6"/>
  </w:num>
  <w:num w:numId="25">
    <w:abstractNumId w:val="2"/>
  </w:num>
  <w:num w:numId="26">
    <w:abstractNumId w:val="17"/>
  </w:num>
  <w:num w:numId="27">
    <w:abstractNumId w:val="30"/>
  </w:num>
  <w:num w:numId="28">
    <w:abstractNumId w:val="22"/>
  </w:num>
  <w:num w:numId="29">
    <w:abstractNumId w:val="4"/>
  </w:num>
  <w:num w:numId="30">
    <w:abstractNumId w:val="19"/>
  </w:num>
  <w:num w:numId="31">
    <w:abstractNumId w:val="33"/>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IER Patrick (RTD)">
    <w15:presenceInfo w15:providerId="None" w15:userId="BRENIER Patrick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1"/>
  <w:activeWritingStyle w:appName="MSWord" w:lang="de-CH" w:vendorID="64" w:dllVersion="131078" w:nlCheck="1" w:checkStyle="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F62FB44-D868-4EB3-BA4C-E886E29B2DB4"/>
    <w:docVar w:name="LW_COVERPAGE_TYPE" w:val="1"/>
    <w:docVar w:name="LW_CROSSREFERENCE" w:val="{SWD(2018) 125 final}"/>
    <w:docVar w:name="LW_DocType" w:val="NORMAL"/>
    <w:docVar w:name="LW_EMISSION" w:val="25.4.2018"/>
    <w:docVar w:name="LW_EMISSION_ISODATE" w:val="2018-04-25"/>
    <w:docVar w:name="LW_EMISSION_LOCATION" w:val="BRX"/>
    <w:docVar w:name="LW_EMISSION_PREFIX" w:val="Bruxelles, le"/>
    <w:docVar w:name="LW_EMISSION_SUFFIX" w:val="&lt;EMPTY&gt;"/>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Vers un espace européen commun des données»"/>
    <w:docVar w:name="LW_TYPE.DOC.CP" w:val="COMMUNICATION DE LA COMMISSION AU PARLEMENT EUROPÉEN, AU CONSEIL, AU COMITÉ ÉCONOMIQUE ET SOCIAL EUROPÉEN ET AU COMITÉ DES RÉGIONS"/>
    <w:docVar w:name="LW_TYPE.DOC.CP.USERTEXT" w:val="&lt;EMPTY&gt;"/>
  </w:docVars>
  <w:rsids>
    <w:rsidRoot w:val="00C0328C"/>
    <w:rsid w:val="00153406"/>
    <w:rsid w:val="00576A1C"/>
    <w:rsid w:val="00585E2E"/>
    <w:rsid w:val="00C0328C"/>
    <w:rsid w:val="00C76F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65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lang w:val="en-US"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lang w:val="en-US"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ay.google.com/store/apps/details?id=es.nologin.imar.android&amp;h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connecting-europe-facility-cef-telecom-work-programme-2018-adopted" TargetMode="External"/><Relationship Id="rId3" Type="http://schemas.openxmlformats.org/officeDocument/2006/relationships/hyperlink" Target="http://eur-lex.europa.eu/legal-content/FR/TXT/?uri=CELEX:32011D0833" TargetMode="External"/><Relationship Id="rId7" Type="http://schemas.openxmlformats.org/officeDocument/2006/relationships/hyperlink" Target="http://data.europa.eu/europeandataportal" TargetMode="External"/><Relationship Id="rId2" Type="http://schemas.openxmlformats.org/officeDocument/2006/relationships/hyperlink" Target="http://eur-lex.europa.eu/legal-content/FR/TXT/?uri=celex:32003L0098" TargetMode="External"/><Relationship Id="rId1" Type="http://schemas.openxmlformats.org/officeDocument/2006/relationships/hyperlink" Target="https://ec.europa.eu/digital-single-market/en/news/public-consultation-building-european-data-economy" TargetMode="External"/><Relationship Id="rId6" Type="http://schemas.openxmlformats.org/officeDocument/2006/relationships/hyperlink" Target="http://eur-lex.europa.eu/legal-content/EN/ALL/?uri=CELEX:32007L0002" TargetMode="External"/><Relationship Id="rId11" Type="http://schemas.openxmlformats.org/officeDocument/2006/relationships/hyperlink" Target="http://ec.europa.eu/research/participants/data/ref/h2020/wp/2018-2020/main/h2020-wp1820-leit-ict_en.pdf" TargetMode="External"/><Relationship Id="rId5" Type="http://schemas.openxmlformats.org/officeDocument/2006/relationships/hyperlink" Target="http://eur-lex.europa.eu/legal-content/EN/TXT/?uri=celex:31996L0009" TargetMode="External"/><Relationship Id="rId10" Type="http://schemas.openxmlformats.org/officeDocument/2006/relationships/hyperlink" Target="https://ec.europa.eu/digital-single-market/en/news/public-consultation-building-european-data-economy" TargetMode="External"/><Relationship Id="rId4" Type="http://schemas.openxmlformats.org/officeDocument/2006/relationships/hyperlink" Target="https://data.europa.eu/euodp/fr/home" TargetMode="External"/><Relationship Id="rId9" Type="http://schemas.openxmlformats.org/officeDocument/2006/relationships/hyperlink" Target="https://cohesiondata.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UVNUSV5RWJH5-815657195-503</_dlc_DocId>
    <_dlc_DocIdUrl xmlns="866aabb8-7ec2-447a-a7ff-f911015037e7">
      <Url>https://myintracomm-collab.ec.europa.eu/dg/CONNECT/directorateG/UnitG1/_layouts/15/DocIdRedir.aspx?ID=UVNUSV5RWJH5-815657195-503</Url>
      <Description>UVNUSV5RWJH5-815657195-503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1C55-F920-42E5-B66B-4364D8B0A6E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8a4779a7-a821-41bc-9264-6a7285c3b1da"/>
    <ds:schemaRef ds:uri="http://schemas.openxmlformats.org/package/2006/metadata/core-properties"/>
    <ds:schemaRef ds:uri="866aabb8-7ec2-447a-a7ff-f911015037e7"/>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00A41598-78CD-45C4-B77B-A3B4E78C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6537</Words>
  <Characters>37527</Characters>
  <Application>Microsoft Office Word</Application>
  <DocSecurity>0</DocSecurity>
  <Lines>533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 version 02 08 2017 - with tc</vt:lpstr>
    </vt:vector>
  </TitlesOfParts>
  <Manager/>
  <Company/>
  <LinksUpToDate>false</LinksUpToDate>
  <CharactersWithSpaces>44003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Stefanie Heilemann</cp:lastModifiedBy>
  <cp:revision>22</cp:revision>
  <cp:lastPrinted>2018-03-13T08:42:00Z</cp:lastPrinted>
  <dcterms:created xsi:type="dcterms:W3CDTF">2018-04-20T09:32:00Z</dcterms:created>
  <dcterms:modified xsi:type="dcterms:W3CDTF">2018-04-25T08:07:00Z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0x010100258AA79CEB83498886A3A086811232500033CE8E76DF1EC14FB803D6FF12E6DEFF</vt:lpwstr>
  </property>
  <property fmtid="{D5CDD505-2E9C-101B-9397-08002B2CF9AE}" pid="6" name="_dlc_DocIdItemGuid">
    <vt:lpwstr>90c1aa1b-79ed-4819-9e3d-6884d86b8a5c</vt:lpwstr>
  </property>
  <property fmtid="{D5CDD505-2E9C-101B-9397-08002B2CF9AE}" pid="7" name="Level of sensitivity">
    <vt:lpwstr>Standard treatment</vt:lpwstr>
  </property>
</Properties>
</file>