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37F" w:rsidRDefault="000175C6" w:rsidP="000175C6">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795263B-C1D4-44C6-97C5-58287D58C3FB" style="width:450.55pt;height:416.4pt">
            <v:imagedata r:id="rId13" o:title=""/>
          </v:shape>
        </w:pict>
      </w:r>
    </w:p>
    <w:bookmarkEnd w:id="0"/>
    <w:p w:rsidR="000B237F" w:rsidRDefault="000B237F">
      <w:pPr>
        <w:rPr>
          <w:noProof/>
        </w:rPr>
        <w:sectPr w:rsidR="000B237F" w:rsidSect="000175C6">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rsidR="000B237F" w:rsidRDefault="000175C6">
      <w:pPr>
        <w:pStyle w:val="Heading1"/>
        <w:numPr>
          <w:ilvl w:val="0"/>
          <w:numId w:val="0"/>
        </w:numPr>
        <w:jc w:val="both"/>
        <w:rPr>
          <w:noProof/>
          <w:sz w:val="24"/>
          <w:szCs w:val="24"/>
        </w:rPr>
      </w:pPr>
      <w:bookmarkStart w:id="1" w:name="_GoBack"/>
      <w:bookmarkEnd w:id="1"/>
      <w:r>
        <w:rPr>
          <w:noProof/>
          <w:sz w:val="24"/>
          <w:szCs w:val="24"/>
        </w:rPr>
        <w:lastRenderedPageBreak/>
        <w:t>1. Introduction</w:t>
      </w:r>
    </w:p>
    <w:p w:rsidR="000B237F" w:rsidRDefault="000175C6">
      <w:pPr>
        <w:jc w:val="both"/>
        <w:rPr>
          <w:rFonts w:ascii="Times New Roman" w:hAnsi="Times New Roman" w:cs="Times New Roman"/>
          <w:noProof/>
          <w:sz w:val="24"/>
          <w:szCs w:val="24"/>
        </w:rPr>
      </w:pPr>
      <w:r>
        <w:rPr>
          <w:rFonts w:ascii="Times New Roman" w:hAnsi="Times New Roman" w:cs="Times New Roman"/>
          <w:noProof/>
          <w:sz w:val="24"/>
          <w:szCs w:val="24"/>
        </w:rPr>
        <w:t>Data-driven innovation is a key enabler of growth and jobs in Europe. The importance of data collected online, the growing importance of</w:t>
      </w:r>
      <w:r>
        <w:rPr>
          <w:rFonts w:ascii="Times New Roman" w:hAnsi="Times New Roman" w:cs="Times New Roman"/>
          <w:noProof/>
          <w:sz w:val="24"/>
          <w:szCs w:val="24"/>
        </w:rPr>
        <w:t xml:space="preserve"> data generated by objects connected to the Internet of Things (IoT), the increasing availability of Big Data analytics tools and the emergence of broad availability of certain Artificial Intelligence applications are key technical drivers. The non-rivalro</w:t>
      </w:r>
      <w:r>
        <w:rPr>
          <w:rFonts w:ascii="Times New Roman" w:hAnsi="Times New Roman" w:cs="Times New Roman"/>
          <w:noProof/>
          <w:sz w:val="24"/>
          <w:szCs w:val="24"/>
        </w:rPr>
        <w:t>us nature of data, making it possible for the same data to support a range of new products or services or new methods of production, suggests that it can become efficient for companies to share more data they hold with other companies so that the value res</w:t>
      </w:r>
      <w:r>
        <w:rPr>
          <w:rFonts w:ascii="Times New Roman" w:hAnsi="Times New Roman" w:cs="Times New Roman"/>
          <w:noProof/>
          <w:sz w:val="24"/>
          <w:szCs w:val="24"/>
        </w:rPr>
        <w:t>ulting from the data can be exploited to the maximum.</w:t>
      </w:r>
    </w:p>
    <w:p w:rsidR="000B237F" w:rsidRDefault="000175C6">
      <w:pPr>
        <w:jc w:val="both"/>
        <w:rPr>
          <w:rFonts w:ascii="Times New Roman" w:hAnsi="Times New Roman" w:cs="Times New Roman"/>
          <w:noProof/>
          <w:sz w:val="24"/>
          <w:szCs w:val="24"/>
        </w:rPr>
      </w:pPr>
      <w:r>
        <w:rPr>
          <w:rFonts w:ascii="Times New Roman" w:hAnsi="Times New Roman" w:cs="Times New Roman"/>
          <w:noProof/>
          <w:sz w:val="24"/>
          <w:szCs w:val="24"/>
        </w:rPr>
        <w:t>New data-driven business models building on these technical drivers are an opportunity not only for big companies, but also for SMEs and start-ups in Europe. Similarly, the public sector is beginning to</w:t>
      </w:r>
      <w:r>
        <w:rPr>
          <w:rFonts w:ascii="Times New Roman" w:hAnsi="Times New Roman" w:cs="Times New Roman"/>
          <w:noProof/>
          <w:sz w:val="24"/>
          <w:szCs w:val="24"/>
        </w:rPr>
        <w:t xml:space="preserve"> seize the opportunities of data-driven innovation. Businesses already benefit from access to public sector information available as Open Data</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as well as from sharing data between themselves. However, SMEs and start-ups still face obstacles when either ma</w:t>
      </w:r>
      <w:r>
        <w:rPr>
          <w:rFonts w:ascii="Times New Roman" w:hAnsi="Times New Roman" w:cs="Times New Roman"/>
          <w:noProof/>
          <w:sz w:val="24"/>
          <w:szCs w:val="24"/>
        </w:rPr>
        <w:t>king available their data or re-using data from other companies. This is in particular the case when it comes to machine-generated, non-personal data. Likewise, public sector bodies need to modernise the way they function and exploit the potential of new d</w:t>
      </w:r>
      <w:r>
        <w:rPr>
          <w:rFonts w:ascii="Times New Roman" w:hAnsi="Times New Roman" w:cs="Times New Roman"/>
          <w:noProof/>
          <w:sz w:val="24"/>
          <w:szCs w:val="24"/>
        </w:rPr>
        <w:t>ata sources in order to become more data-driven and cost-efficient. Citizens and business, in particular SMEs, are expected to benefit from this. While in certain cases relevant services based on data can be acquired on the market, in other cases it may be</w:t>
      </w:r>
      <w:r>
        <w:rPr>
          <w:rFonts w:ascii="Times New Roman" w:hAnsi="Times New Roman" w:cs="Times New Roman"/>
          <w:noProof/>
          <w:sz w:val="24"/>
          <w:szCs w:val="24"/>
        </w:rPr>
        <w:t xml:space="preserve"> necessary for the public sector to directly analyse data held by a private company or set up regular data acquisition, e.g. for the purpose of official statistics. These data might not always be accessible to the public sector as a result of concerns over</w:t>
      </w:r>
      <w:r>
        <w:rPr>
          <w:rFonts w:ascii="Times New Roman" w:hAnsi="Times New Roman" w:cs="Times New Roman"/>
          <w:noProof/>
          <w:sz w:val="24"/>
          <w:szCs w:val="24"/>
        </w:rPr>
        <w:t xml:space="preserve"> data confidentiality or perceived risks to companies’ commercial interests. This suggests that questions of data supply and (re-)use ("data sharing") need to be addressed in two situations: business-to-business (B2B) and business-to-government/public sect</w:t>
      </w:r>
      <w:r>
        <w:rPr>
          <w:rFonts w:ascii="Times New Roman" w:hAnsi="Times New Roman" w:cs="Times New Roman"/>
          <w:noProof/>
          <w:sz w:val="24"/>
          <w:szCs w:val="24"/>
        </w:rPr>
        <w:t>or (B2G).</w:t>
      </w:r>
    </w:p>
    <w:p w:rsidR="000B237F" w:rsidRDefault="000175C6">
      <w:pPr>
        <w:jc w:val="both"/>
        <w:rPr>
          <w:rFonts w:ascii="Times New Roman" w:hAnsi="Times New Roman" w:cs="Times New Roman"/>
          <w:noProof/>
          <w:sz w:val="24"/>
          <w:szCs w:val="24"/>
        </w:rPr>
      </w:pPr>
      <w:r>
        <w:rPr>
          <w:rFonts w:ascii="Times New Roman" w:hAnsi="Times New Roman" w:cs="Times New Roman"/>
          <w:noProof/>
          <w:sz w:val="24"/>
          <w:szCs w:val="24"/>
        </w:rPr>
        <w:t>The Commission has already proposed measures to improve the availability of data for business. With the General Data Protection Regulation (GDPR)</w:t>
      </w:r>
      <w:r>
        <w:rPr>
          <w:rFonts w:ascii="Times New Roman" w:eastAsia="Calibri" w:hAnsi="Times New Roman"/>
          <w:noProof/>
          <w:sz w:val="24"/>
        </w:rPr>
        <w:t xml:space="preserve"> and the </w:t>
      </w:r>
      <w:r>
        <w:rPr>
          <w:rFonts w:ascii="Times New Roman" w:eastAsia="Calibri" w:hAnsi="Times New Roman" w:cs="Times New Roman"/>
          <w:noProof/>
          <w:sz w:val="24"/>
          <w:szCs w:val="24"/>
        </w:rPr>
        <w:t>ePrivacy Directive</w:t>
      </w:r>
      <w:r>
        <w:rPr>
          <w:rStyle w:val="FootnoteReference"/>
          <w:rFonts w:ascii="Times New Roman" w:eastAsia="Calibri" w:hAnsi="Times New Roman" w:cs="Times New Roman"/>
          <w:noProof/>
          <w:sz w:val="24"/>
          <w:szCs w:val="24"/>
        </w:rPr>
        <w:footnoteReference w:id="3"/>
      </w:r>
      <w:r>
        <w:rPr>
          <w:rFonts w:ascii="Times New Roman" w:eastAsia="Calibri" w:hAnsi="Times New Roman" w:cs="Times New Roman"/>
          <w:noProof/>
          <w:sz w:val="24"/>
          <w:szCs w:val="24"/>
        </w:rPr>
        <w:t xml:space="preserve"> </w:t>
      </w:r>
      <w:r>
        <w:rPr>
          <w:rFonts w:ascii="Times New Roman" w:hAnsi="Times New Roman" w:cs="Times New Roman"/>
          <w:noProof/>
          <w:sz w:val="24"/>
          <w:szCs w:val="24"/>
        </w:rPr>
        <w:t>the EU has set in place a solid framework for the processing of personal</w:t>
      </w:r>
      <w:r>
        <w:rPr>
          <w:rFonts w:ascii="Times New Roman" w:hAnsi="Times New Roman" w:cs="Times New Roman"/>
          <w:noProof/>
          <w:sz w:val="24"/>
          <w:szCs w:val="24"/>
        </w:rPr>
        <w:t xml:space="preserve"> data and of electronic communications data, intended to create digital trust which is a key precondition for any data sharing. This framework lays the foundations for a future competitive advantage for European business actors to make the most of data tec</w:t>
      </w:r>
      <w:r>
        <w:rPr>
          <w:rFonts w:ascii="Times New Roman" w:hAnsi="Times New Roman" w:cs="Times New Roman"/>
          <w:noProof/>
          <w:sz w:val="24"/>
          <w:szCs w:val="24"/>
        </w:rPr>
        <w:t>hnologies. Moreover, the proposal for a Regulation on the free flow of non-personal data</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will make it easier to transfer such data within the EU. </w:t>
      </w:r>
    </w:p>
    <w:p w:rsidR="000B237F" w:rsidRDefault="000175C6">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With the Communication ʻBuilding a European Data Economyʼ of 10 January 2017</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the Commission put forward a </w:t>
      </w:r>
      <w:r>
        <w:rPr>
          <w:rFonts w:ascii="Times New Roman" w:hAnsi="Times New Roman" w:cs="Times New Roman"/>
          <w:noProof/>
          <w:sz w:val="24"/>
          <w:szCs w:val="24"/>
        </w:rPr>
        <w:t>first description of potential issues of data access in particular with respect to machine-generated data and with respect to platform-to-business relations. It also mentioned the importance of access to private sector data for public interest purposes.</w:t>
      </w:r>
    </w:p>
    <w:p w:rsidR="000B237F" w:rsidRDefault="000175C6">
      <w:pPr>
        <w:jc w:val="both"/>
        <w:rPr>
          <w:rFonts w:ascii="Times New Roman" w:hAnsi="Times New Roman" w:cs="Times New Roman"/>
          <w:noProof/>
          <w:sz w:val="24"/>
          <w:szCs w:val="24"/>
        </w:rPr>
      </w:pPr>
      <w:r>
        <w:rPr>
          <w:rFonts w:ascii="Times New Roman" w:hAnsi="Times New Roman" w:cs="Times New Roman"/>
          <w:noProof/>
          <w:sz w:val="24"/>
          <w:szCs w:val="24"/>
        </w:rPr>
        <w:t xml:space="preserve">A </w:t>
      </w:r>
      <w:r>
        <w:rPr>
          <w:rFonts w:ascii="Times New Roman" w:hAnsi="Times New Roman" w:cs="Times New Roman"/>
          <w:noProof/>
          <w:sz w:val="24"/>
          <w:szCs w:val="24"/>
        </w:rPr>
        <w:t>broad stakeholder dialogue was conducted on the basis of that Communication. It concluded that the issue at stake did not justify horizontal legislative intervention at this stage and that guidance would be more appropriate.</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w:t>
      </w:r>
    </w:p>
    <w:p w:rsidR="000B237F" w:rsidRDefault="000175C6">
      <w:pPr>
        <w:jc w:val="both"/>
        <w:rPr>
          <w:rFonts w:ascii="Times New Roman" w:hAnsi="Times New Roman" w:cs="Times New Roman"/>
          <w:noProof/>
          <w:sz w:val="24"/>
          <w:szCs w:val="24"/>
        </w:rPr>
      </w:pPr>
      <w:r>
        <w:rPr>
          <w:rFonts w:ascii="Times New Roman" w:hAnsi="Times New Roman" w:cs="Times New Roman"/>
          <w:noProof/>
          <w:sz w:val="24"/>
          <w:szCs w:val="24"/>
        </w:rPr>
        <w:t xml:space="preserve">In the Communication that </w:t>
      </w:r>
      <w:r>
        <w:rPr>
          <w:rFonts w:ascii="Times New Roman" w:hAnsi="Times New Roman" w:cs="Times New Roman"/>
          <w:noProof/>
          <w:sz w:val="24"/>
          <w:szCs w:val="24"/>
        </w:rPr>
        <w:t>this Staff Working Document accompanies</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the Commission defines a series of key principles to be considered so as to make data interactions in business</w:t>
      </w:r>
      <w:r>
        <w:rPr>
          <w:rFonts w:ascii="Times New Roman" w:hAnsi="Times New Roman" w:cs="Times New Roman"/>
          <w:noProof/>
          <w:sz w:val="24"/>
          <w:szCs w:val="24"/>
        </w:rPr>
        <w:noBreakHyphen/>
        <w:t xml:space="preserve">to-business and business-to-government situations a success for all parties involved. </w:t>
      </w:r>
    </w:p>
    <w:p w:rsidR="000B237F" w:rsidRDefault="000175C6">
      <w:pPr>
        <w:jc w:val="both"/>
        <w:rPr>
          <w:rFonts w:ascii="Times New Roman" w:hAnsi="Times New Roman" w:cs="Times New Roman"/>
          <w:noProof/>
          <w:sz w:val="24"/>
          <w:szCs w:val="24"/>
        </w:rPr>
      </w:pPr>
      <w:r>
        <w:rPr>
          <w:rFonts w:ascii="Times New Roman" w:hAnsi="Times New Roman" w:cs="Times New Roman"/>
          <w:noProof/>
          <w:sz w:val="24"/>
          <w:szCs w:val="24"/>
        </w:rPr>
        <w:t>Additionally, th</w:t>
      </w:r>
      <w:r>
        <w:rPr>
          <w:rFonts w:ascii="Times New Roman" w:hAnsi="Times New Roman" w:cs="Times New Roman"/>
          <w:noProof/>
          <w:sz w:val="24"/>
          <w:szCs w:val="24"/>
        </w:rPr>
        <w:t>is Staff Working Document aims to provide a toolbox for companies that are data holders, data users, or both at the same time. For this purpose, it contains a "How to" guide on legal, business and technical aspects of data sharing that can be used in pract</w:t>
      </w:r>
      <w:r>
        <w:rPr>
          <w:rFonts w:ascii="Times New Roman" w:hAnsi="Times New Roman" w:cs="Times New Roman"/>
          <w:noProof/>
          <w:sz w:val="24"/>
          <w:szCs w:val="24"/>
        </w:rPr>
        <w:t xml:space="preserve">ice when considering and preparing data transfers between companies coming from the same or different sectors. </w:t>
      </w:r>
    </w:p>
    <w:p w:rsidR="000B237F" w:rsidRDefault="000175C6">
      <w:pPr>
        <w:jc w:val="both"/>
        <w:rPr>
          <w:rFonts w:ascii="Times New Roman" w:hAnsi="Times New Roman" w:cs="Times New Roman"/>
          <w:noProof/>
          <w:sz w:val="24"/>
          <w:szCs w:val="24"/>
        </w:rPr>
      </w:pPr>
      <w:r>
        <w:rPr>
          <w:rFonts w:ascii="Times New Roman" w:hAnsi="Times New Roman" w:cs="Times New Roman"/>
          <w:noProof/>
          <w:sz w:val="24"/>
          <w:szCs w:val="24"/>
        </w:rPr>
        <w:t xml:space="preserve">The guidance provided in this document is designed for across all sectors of the economy. </w:t>
      </w:r>
      <w:r>
        <w:rPr>
          <w:rFonts w:ascii="Times New Roman" w:hAnsi="Times New Roman"/>
          <w:noProof/>
          <w:sz w:val="24"/>
        </w:rPr>
        <w:t>As a result of the difference in structure of individu</w:t>
      </w:r>
      <w:r>
        <w:rPr>
          <w:rFonts w:ascii="Times New Roman" w:hAnsi="Times New Roman"/>
          <w:noProof/>
          <w:sz w:val="24"/>
        </w:rPr>
        <w:t xml:space="preserve">al markets, </w:t>
      </w:r>
      <w:r>
        <w:rPr>
          <w:rFonts w:ascii="Times New Roman" w:hAnsi="Times New Roman" w:cs="Times New Roman"/>
          <w:noProof/>
          <w:sz w:val="24"/>
          <w:szCs w:val="24"/>
        </w:rPr>
        <w:t>it</w:t>
      </w:r>
      <w:r>
        <w:rPr>
          <w:rFonts w:ascii="Times New Roman" w:hAnsi="Times New Roman"/>
          <w:noProof/>
          <w:sz w:val="24"/>
        </w:rPr>
        <w:t xml:space="preserve"> may need to be complemented by sector</w:t>
      </w:r>
      <w:r>
        <w:rPr>
          <w:rFonts w:ascii="Times New Roman" w:hAnsi="Times New Roman" w:cs="Times New Roman"/>
          <w:noProof/>
          <w:sz w:val="24"/>
          <w:szCs w:val="24"/>
        </w:rPr>
        <w:t xml:space="preserve"> </w:t>
      </w:r>
      <w:r>
        <w:rPr>
          <w:rFonts w:ascii="Times New Roman" w:hAnsi="Times New Roman"/>
          <w:noProof/>
          <w:sz w:val="24"/>
        </w:rPr>
        <w:t xml:space="preserve">specific </w:t>
      </w:r>
      <w:r>
        <w:rPr>
          <w:rFonts w:ascii="Times New Roman" w:hAnsi="Times New Roman" w:cs="Times New Roman"/>
          <w:noProof/>
          <w:sz w:val="24"/>
          <w:szCs w:val="24"/>
        </w:rPr>
        <w:t>measures.</w:t>
      </w:r>
    </w:p>
    <w:p w:rsidR="000B237F" w:rsidRDefault="000175C6">
      <w:pPr>
        <w:jc w:val="both"/>
        <w:rPr>
          <w:rFonts w:ascii="Times New Roman" w:hAnsi="Times New Roman" w:cs="Times New Roman"/>
          <w:noProof/>
          <w:sz w:val="24"/>
          <w:szCs w:val="24"/>
        </w:rPr>
      </w:pPr>
      <w:r>
        <w:rPr>
          <w:rFonts w:ascii="Times New Roman" w:hAnsi="Times New Roman" w:cs="Times New Roman"/>
          <w:noProof/>
          <w:sz w:val="24"/>
          <w:szCs w:val="24"/>
        </w:rPr>
        <w:t>Finally, this document does not constitute a statement of the law and is without prejudice to the interpretation of EU law by the Court of Justice of the European Union (CJEU). It does</w:t>
      </w:r>
      <w:r>
        <w:rPr>
          <w:rFonts w:ascii="Times New Roman" w:hAnsi="Times New Roman" w:cs="Times New Roman"/>
          <w:noProof/>
          <w:sz w:val="24"/>
          <w:szCs w:val="24"/>
        </w:rPr>
        <w:t xml:space="preserve"> not bind the Commission as regards the application of EU law, in particular with regard to the competition rules in Articles 101 and 102 of the Treaty on the Functioning of the European Union (TFEU).</w:t>
      </w:r>
    </w:p>
    <w:p w:rsidR="000B237F" w:rsidRDefault="000175C6">
      <w:pPr>
        <w:jc w:val="both"/>
        <w:rPr>
          <w:rFonts w:ascii="Times New Roman" w:hAnsi="Times New Roman" w:cs="Times New Roman"/>
          <w:b/>
          <w:noProof/>
          <w:sz w:val="24"/>
          <w:szCs w:val="24"/>
        </w:rPr>
      </w:pPr>
      <w:r>
        <w:rPr>
          <w:rFonts w:ascii="Times New Roman" w:hAnsi="Times New Roman" w:cs="Times New Roman"/>
          <w:b/>
          <w:noProof/>
          <w:sz w:val="24"/>
          <w:szCs w:val="24"/>
        </w:rPr>
        <w:br w:type="page"/>
      </w:r>
    </w:p>
    <w:p w:rsidR="000B237F" w:rsidRDefault="000175C6">
      <w:pPr>
        <w:pStyle w:val="Heading1"/>
        <w:numPr>
          <w:ilvl w:val="0"/>
          <w:numId w:val="0"/>
        </w:numPr>
        <w:jc w:val="both"/>
        <w:rPr>
          <w:noProof/>
          <w:sz w:val="24"/>
          <w:szCs w:val="24"/>
        </w:rPr>
      </w:pPr>
      <w:r>
        <w:rPr>
          <w:noProof/>
          <w:sz w:val="24"/>
          <w:szCs w:val="24"/>
        </w:rPr>
        <w:lastRenderedPageBreak/>
        <w:t>2. Principles for b</w:t>
      </w:r>
      <w:r>
        <w:rPr>
          <w:rFonts w:cs="Times New Roman"/>
          <w:noProof/>
          <w:sz w:val="24"/>
          <w:szCs w:val="24"/>
        </w:rPr>
        <w:t xml:space="preserve">usiness-to-business (B2B) and </w:t>
      </w:r>
      <w:r>
        <w:rPr>
          <w:rFonts w:cs="Times New Roman"/>
          <w:noProof/>
          <w:sz w:val="24"/>
          <w:szCs w:val="24"/>
        </w:rPr>
        <w:t>business-to-government (B2G) data sharing</w:t>
      </w:r>
    </w:p>
    <w:p w:rsidR="000B237F" w:rsidRDefault="000175C6">
      <w:pPr>
        <w:jc w:val="both"/>
        <w:rPr>
          <w:rFonts w:ascii="Times New Roman" w:hAnsi="Times New Roman" w:cs="Times New Roman"/>
          <w:noProof/>
          <w:sz w:val="24"/>
          <w:szCs w:val="24"/>
        </w:rPr>
      </w:pPr>
      <w:r>
        <w:rPr>
          <w:rFonts w:ascii="Times New Roman" w:hAnsi="Times New Roman" w:cs="Times New Roman"/>
          <w:noProof/>
          <w:sz w:val="24"/>
          <w:szCs w:val="24"/>
        </w:rPr>
        <w:t>The Communication which this Staff Working Document accompanies</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defines the following principles </w:t>
      </w:r>
      <w:r>
        <w:rPr>
          <w:rFonts w:ascii="Times New Roman" w:hAnsi="Times New Roman"/>
          <w:noProof/>
          <w:sz w:val="24"/>
        </w:rPr>
        <w:t>i</w:t>
      </w:r>
      <w:r>
        <w:rPr>
          <w:rFonts w:ascii="Times New Roman" w:hAnsi="Times New Roman" w:cs="Times New Roman"/>
          <w:noProof/>
          <w:sz w:val="24"/>
          <w:szCs w:val="24"/>
        </w:rPr>
        <w:t xml:space="preserve">n order to ensure </w:t>
      </w:r>
      <w:r>
        <w:rPr>
          <w:rFonts w:ascii="Times New Roman" w:hAnsi="Times New Roman" w:cs="Times New Roman"/>
          <w:b/>
          <w:noProof/>
          <w:sz w:val="24"/>
          <w:szCs w:val="24"/>
        </w:rPr>
        <w:t>fair markets for IoT objects and for products and services relying on data created by such object</w:t>
      </w:r>
      <w:r>
        <w:rPr>
          <w:rFonts w:ascii="Times New Roman" w:hAnsi="Times New Roman" w:cs="Times New Roman"/>
          <w:b/>
          <w:noProof/>
          <w:sz w:val="24"/>
          <w:szCs w:val="24"/>
        </w:rPr>
        <w:t>s</w:t>
      </w:r>
      <w:r>
        <w:rPr>
          <w:rFonts w:ascii="Times New Roman" w:hAnsi="Times New Roman" w:cs="Times New Roman"/>
          <w:noProof/>
          <w:sz w:val="24"/>
          <w:szCs w:val="24"/>
        </w:rPr>
        <w:t xml:space="preserve">: </w:t>
      </w:r>
    </w:p>
    <w:p w:rsidR="000B237F" w:rsidRDefault="000175C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noProof/>
          <w:sz w:val="24"/>
        </w:rPr>
      </w:pPr>
      <w:r>
        <w:rPr>
          <w:rFonts w:ascii="Times New Roman" w:hAnsi="Times New Roman"/>
          <w:noProof/>
          <w:sz w:val="24"/>
        </w:rPr>
        <w:t>a)</w:t>
      </w:r>
      <w:r>
        <w:rPr>
          <w:rFonts w:ascii="Times New Roman" w:hAnsi="Times New Roman"/>
          <w:noProof/>
          <w:sz w:val="24"/>
        </w:rPr>
        <w:tab/>
      </w:r>
      <w:r>
        <w:rPr>
          <w:rFonts w:ascii="Times New Roman" w:hAnsi="Times New Roman"/>
          <w:b/>
          <w:noProof/>
          <w:sz w:val="24"/>
        </w:rPr>
        <w:t>Transparency</w:t>
      </w:r>
      <w:r>
        <w:rPr>
          <w:rFonts w:ascii="Times New Roman" w:hAnsi="Times New Roman"/>
          <w:noProof/>
          <w:sz w:val="24"/>
        </w:rPr>
        <w:t>: The relevant contractual agreements should identify in a transparent and understandable manner (i) the persons or entities that will have access to the data that the product or service generates, the type of such data, and at which lev</w:t>
      </w:r>
      <w:r>
        <w:rPr>
          <w:rFonts w:ascii="Times New Roman" w:hAnsi="Times New Roman"/>
          <w:noProof/>
          <w:sz w:val="24"/>
        </w:rPr>
        <w:t xml:space="preserve">el of detail; and (ii) the purposes for using such data. </w:t>
      </w:r>
    </w:p>
    <w:p w:rsidR="000B237F" w:rsidRDefault="000175C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noProof/>
          <w:sz w:val="24"/>
        </w:rPr>
      </w:pPr>
      <w:r>
        <w:rPr>
          <w:rFonts w:ascii="Times New Roman" w:hAnsi="Times New Roman"/>
          <w:noProof/>
          <w:sz w:val="24"/>
        </w:rPr>
        <w:t>b)</w:t>
      </w:r>
      <w:r>
        <w:rPr>
          <w:rFonts w:ascii="Times New Roman" w:hAnsi="Times New Roman"/>
          <w:noProof/>
          <w:sz w:val="24"/>
        </w:rPr>
        <w:tab/>
      </w:r>
      <w:r>
        <w:rPr>
          <w:rFonts w:ascii="Times New Roman" w:hAnsi="Times New Roman"/>
          <w:b/>
          <w:noProof/>
          <w:sz w:val="24"/>
        </w:rPr>
        <w:t>Shared value creation</w:t>
      </w:r>
      <w:r>
        <w:rPr>
          <w:rFonts w:ascii="Times New Roman" w:hAnsi="Times New Roman"/>
          <w:noProof/>
          <w:sz w:val="24"/>
        </w:rPr>
        <w:t>: The relevant contractual agreements should recognise that, where data is generated as a by-product of using a product or service, several parties have contributed to creati</w:t>
      </w:r>
      <w:r>
        <w:rPr>
          <w:rFonts w:ascii="Times New Roman" w:hAnsi="Times New Roman"/>
          <w:noProof/>
          <w:sz w:val="24"/>
        </w:rPr>
        <w:t xml:space="preserve">ng the data. </w:t>
      </w:r>
    </w:p>
    <w:p w:rsidR="000B237F" w:rsidRDefault="000175C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noProof/>
          <w:sz w:val="24"/>
        </w:rPr>
      </w:pPr>
      <w:r>
        <w:rPr>
          <w:rFonts w:ascii="Times New Roman" w:hAnsi="Times New Roman"/>
          <w:noProof/>
          <w:sz w:val="24"/>
        </w:rPr>
        <w:t>c)</w:t>
      </w:r>
      <w:r>
        <w:rPr>
          <w:rFonts w:ascii="Times New Roman" w:hAnsi="Times New Roman"/>
          <w:noProof/>
          <w:sz w:val="24"/>
        </w:rPr>
        <w:tab/>
      </w:r>
      <w:r>
        <w:rPr>
          <w:rFonts w:ascii="Times New Roman" w:hAnsi="Times New Roman"/>
          <w:b/>
          <w:noProof/>
          <w:sz w:val="24"/>
        </w:rPr>
        <w:t>Respect for each other's commercial interests</w:t>
      </w:r>
      <w:r>
        <w:rPr>
          <w:rFonts w:ascii="Times New Roman" w:hAnsi="Times New Roman"/>
          <w:noProof/>
          <w:sz w:val="24"/>
        </w:rPr>
        <w:t>: The relevant contractual agreements should address the need to protect both the commercial interests and secrets of data holders and data users.</w:t>
      </w:r>
    </w:p>
    <w:p w:rsidR="000B237F" w:rsidRDefault="000175C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noProof/>
          <w:sz w:val="24"/>
        </w:rPr>
      </w:pPr>
      <w:r>
        <w:rPr>
          <w:rFonts w:ascii="Times New Roman" w:hAnsi="Times New Roman"/>
          <w:noProof/>
          <w:sz w:val="24"/>
        </w:rPr>
        <w:t>d)</w:t>
      </w:r>
      <w:r>
        <w:rPr>
          <w:rFonts w:ascii="Times New Roman" w:hAnsi="Times New Roman"/>
          <w:noProof/>
          <w:sz w:val="24"/>
        </w:rPr>
        <w:tab/>
      </w:r>
      <w:r>
        <w:rPr>
          <w:rFonts w:ascii="Times New Roman" w:hAnsi="Times New Roman"/>
          <w:b/>
          <w:noProof/>
          <w:sz w:val="24"/>
        </w:rPr>
        <w:t>Ensure undistorted competition</w:t>
      </w:r>
      <w:r>
        <w:rPr>
          <w:rFonts w:ascii="Times New Roman" w:hAnsi="Times New Roman"/>
          <w:noProof/>
          <w:sz w:val="24"/>
        </w:rPr>
        <w:t>: The relevant</w:t>
      </w:r>
      <w:r>
        <w:rPr>
          <w:rFonts w:ascii="Times New Roman" w:hAnsi="Times New Roman"/>
          <w:noProof/>
          <w:sz w:val="24"/>
        </w:rPr>
        <w:t xml:space="preserve"> contractual agreements should address the need to ensure undistorted competition when exchanging commercially sensitive data.</w:t>
      </w:r>
    </w:p>
    <w:p w:rsidR="000B237F" w:rsidRDefault="000175C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noProof/>
          <w:sz w:val="24"/>
        </w:rPr>
      </w:pPr>
      <w:r>
        <w:rPr>
          <w:rFonts w:ascii="Times New Roman" w:hAnsi="Times New Roman"/>
          <w:noProof/>
          <w:sz w:val="24"/>
        </w:rPr>
        <w:t>e)</w:t>
      </w:r>
      <w:r>
        <w:rPr>
          <w:rFonts w:ascii="Times New Roman" w:hAnsi="Times New Roman"/>
          <w:noProof/>
          <w:sz w:val="24"/>
        </w:rPr>
        <w:tab/>
      </w:r>
      <w:r>
        <w:rPr>
          <w:rFonts w:ascii="Times New Roman" w:hAnsi="Times New Roman"/>
          <w:b/>
          <w:noProof/>
          <w:sz w:val="24"/>
        </w:rPr>
        <w:t>Minimised data lock-in</w:t>
      </w:r>
      <w:r>
        <w:rPr>
          <w:rFonts w:ascii="Times New Roman" w:hAnsi="Times New Roman"/>
          <w:noProof/>
          <w:sz w:val="24"/>
        </w:rPr>
        <w:t>: Companies offering a product or service that generates data as a by-product should allow and enable da</w:t>
      </w:r>
      <w:r>
        <w:rPr>
          <w:rFonts w:ascii="Times New Roman" w:hAnsi="Times New Roman"/>
          <w:noProof/>
          <w:sz w:val="24"/>
        </w:rPr>
        <w:t>ta portability as much as possible</w:t>
      </w:r>
      <w:r>
        <w:rPr>
          <w:rStyle w:val="FootnoteReference"/>
          <w:rFonts w:ascii="Times New Roman" w:hAnsi="Times New Roman"/>
          <w:noProof/>
          <w:sz w:val="24"/>
        </w:rPr>
        <w:footnoteReference w:id="9"/>
      </w:r>
      <w:r>
        <w:rPr>
          <w:rFonts w:ascii="Times New Roman" w:hAnsi="Times New Roman"/>
          <w:noProof/>
          <w:sz w:val="24"/>
        </w:rPr>
        <w:t>. They should also consider, where possible and in line with the characteristics of the market they operate on, offering the same product or service without or with only limited data transfers alongside products or servic</w:t>
      </w:r>
      <w:r>
        <w:rPr>
          <w:rFonts w:ascii="Times New Roman" w:hAnsi="Times New Roman"/>
          <w:noProof/>
          <w:sz w:val="24"/>
        </w:rPr>
        <w:t xml:space="preserve">es that include such data transfers. </w:t>
      </w:r>
    </w:p>
    <w:p w:rsidR="000B237F" w:rsidRDefault="000175C6">
      <w:pPr>
        <w:jc w:val="both"/>
        <w:rPr>
          <w:rFonts w:ascii="Times New Roman" w:hAnsi="Times New Roman" w:cs="Times New Roman"/>
          <w:i/>
          <w:noProof/>
          <w:sz w:val="24"/>
          <w:szCs w:val="24"/>
        </w:rPr>
      </w:pPr>
      <w:r>
        <w:rPr>
          <w:rFonts w:ascii="Times New Roman" w:hAnsi="Times New Roman"/>
          <w:noProof/>
          <w:sz w:val="24"/>
        </w:rPr>
        <w:t xml:space="preserve">The Communication also states that the respect of the following principles could support the </w:t>
      </w:r>
      <w:r>
        <w:rPr>
          <w:rFonts w:ascii="Times New Roman" w:hAnsi="Times New Roman"/>
          <w:b/>
          <w:noProof/>
          <w:sz w:val="24"/>
        </w:rPr>
        <w:t>supply of private sector data to public sector bodies</w:t>
      </w:r>
      <w:r>
        <w:rPr>
          <w:rFonts w:ascii="Times New Roman" w:hAnsi="Times New Roman"/>
          <w:noProof/>
          <w:sz w:val="24"/>
        </w:rPr>
        <w:t xml:space="preserve"> under preferential conditions for re-use: </w:t>
      </w:r>
    </w:p>
    <w:p w:rsidR="000B237F" w:rsidRDefault="000175C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noProof/>
          <w:sz w:val="24"/>
        </w:rPr>
      </w:pPr>
      <w:r>
        <w:rPr>
          <w:rFonts w:ascii="Times New Roman" w:hAnsi="Times New Roman"/>
          <w:noProof/>
          <w:sz w:val="24"/>
        </w:rPr>
        <w:t>a)</w:t>
      </w:r>
      <w:r>
        <w:rPr>
          <w:rFonts w:ascii="Times New Roman" w:hAnsi="Times New Roman"/>
          <w:noProof/>
          <w:sz w:val="24"/>
        </w:rPr>
        <w:tab/>
      </w:r>
      <w:r>
        <w:rPr>
          <w:rFonts w:ascii="Times New Roman" w:hAnsi="Times New Roman"/>
          <w:b/>
          <w:noProof/>
          <w:sz w:val="24"/>
        </w:rPr>
        <w:t>Proportionality in the us</w:t>
      </w:r>
      <w:r>
        <w:rPr>
          <w:rFonts w:ascii="Times New Roman" w:hAnsi="Times New Roman"/>
          <w:b/>
          <w:noProof/>
          <w:sz w:val="24"/>
        </w:rPr>
        <w:t>e of private sector data:</w:t>
      </w:r>
      <w:r>
        <w:rPr>
          <w:rFonts w:ascii="Times New Roman" w:hAnsi="Times New Roman"/>
          <w:noProof/>
          <w:sz w:val="24"/>
        </w:rPr>
        <w:t xml:space="preserve"> Requests for supply of private sector data under preferential conditions for re-use should be justified by clear and demonstrable public interest. The request for private sector data should be adequate and relevant to the intended</w:t>
      </w:r>
      <w:r>
        <w:rPr>
          <w:rFonts w:ascii="Times New Roman" w:hAnsi="Times New Roman"/>
          <w:noProof/>
          <w:sz w:val="24"/>
        </w:rPr>
        <w:t xml:space="preserve"> public interest purpose and be proportionate in terms of details, relevance and data protection. The cost and effort required for the supply and re-use of private sector data should be reasonable compared with the expected public benefits.</w:t>
      </w:r>
    </w:p>
    <w:p w:rsidR="000B237F" w:rsidRDefault="000175C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noProof/>
          <w:sz w:val="24"/>
        </w:rPr>
      </w:pPr>
      <w:r>
        <w:rPr>
          <w:rFonts w:ascii="Times New Roman" w:hAnsi="Times New Roman"/>
          <w:noProof/>
          <w:sz w:val="24"/>
        </w:rPr>
        <w:t>b)</w:t>
      </w:r>
      <w:r>
        <w:rPr>
          <w:rFonts w:ascii="Times New Roman" w:hAnsi="Times New Roman"/>
          <w:noProof/>
          <w:sz w:val="24"/>
        </w:rPr>
        <w:tab/>
      </w:r>
      <w:r>
        <w:rPr>
          <w:rFonts w:ascii="Times New Roman" w:hAnsi="Times New Roman"/>
          <w:b/>
          <w:noProof/>
          <w:sz w:val="24"/>
        </w:rPr>
        <w:t>Purpose limi</w:t>
      </w:r>
      <w:r>
        <w:rPr>
          <w:rFonts w:ascii="Times New Roman" w:hAnsi="Times New Roman"/>
          <w:b/>
          <w:noProof/>
          <w:sz w:val="24"/>
        </w:rPr>
        <w:t>tation</w:t>
      </w:r>
      <w:r>
        <w:rPr>
          <w:rFonts w:ascii="Times New Roman" w:hAnsi="Times New Roman"/>
          <w:noProof/>
          <w:sz w:val="24"/>
        </w:rPr>
        <w:t>: The use of private sector data should be clearly limited for one or several purposes to be specified as clearly as possible in the contractual provisions that establish the business-to-government collaboration. These may include a limitation of dur</w:t>
      </w:r>
      <w:r>
        <w:rPr>
          <w:rFonts w:ascii="Times New Roman" w:hAnsi="Times New Roman"/>
          <w:noProof/>
          <w:sz w:val="24"/>
        </w:rPr>
        <w:t>ation for the use of these data. The private sector company should receive specific assurances that the data obtained will not be used for unrelated administrative or judicial procedures; the strict legal and ethical provisions governing statistical confid</w:t>
      </w:r>
      <w:r>
        <w:rPr>
          <w:rFonts w:ascii="Times New Roman" w:hAnsi="Times New Roman"/>
          <w:noProof/>
          <w:sz w:val="24"/>
        </w:rPr>
        <w:t xml:space="preserve">entiality in the European Statistical System could serve as a model in this regard. </w:t>
      </w:r>
    </w:p>
    <w:p w:rsidR="000B237F" w:rsidRDefault="000175C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noProof/>
          <w:sz w:val="24"/>
        </w:rPr>
      </w:pPr>
      <w:r>
        <w:rPr>
          <w:rFonts w:ascii="Times New Roman" w:hAnsi="Times New Roman"/>
          <w:noProof/>
          <w:sz w:val="24"/>
        </w:rPr>
        <w:t>c)</w:t>
      </w:r>
      <w:r>
        <w:rPr>
          <w:rFonts w:ascii="Times New Roman" w:hAnsi="Times New Roman"/>
          <w:noProof/>
          <w:sz w:val="24"/>
        </w:rPr>
        <w:tab/>
      </w:r>
      <w:r>
        <w:rPr>
          <w:rFonts w:ascii="Times New Roman" w:hAnsi="Times New Roman"/>
          <w:b/>
          <w:noProof/>
          <w:sz w:val="24"/>
        </w:rPr>
        <w:t>ʻ</w:t>
      </w:r>
      <w:r>
        <w:rPr>
          <w:rFonts w:ascii="Times New Roman" w:hAnsi="Times New Roman"/>
          <w:b/>
          <w:noProof/>
          <w:sz w:val="24"/>
        </w:rPr>
        <w:t>Do no harmʼ:</w:t>
      </w:r>
      <w:r>
        <w:rPr>
          <w:rFonts w:ascii="Times New Roman" w:hAnsi="Times New Roman"/>
          <w:noProof/>
          <w:sz w:val="24"/>
        </w:rPr>
        <w:t xml:space="preserve"> Business-to-government data collaboration must ensure that legitimate interests, notably the protection of trade secrets and other commercially sensitive </w:t>
      </w:r>
      <w:r>
        <w:rPr>
          <w:rFonts w:ascii="Times New Roman" w:hAnsi="Times New Roman"/>
          <w:noProof/>
          <w:sz w:val="24"/>
        </w:rPr>
        <w:t xml:space="preserve">information, are respected. Business-to-government data collaboration should allow companies to continue being able to monetise the insights derived from the data in question with respect to other interested parties. </w:t>
      </w:r>
    </w:p>
    <w:p w:rsidR="000B237F" w:rsidRDefault="000175C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noProof/>
          <w:sz w:val="24"/>
        </w:rPr>
      </w:pPr>
      <w:r>
        <w:rPr>
          <w:rFonts w:ascii="Times New Roman" w:hAnsi="Times New Roman"/>
          <w:noProof/>
          <w:sz w:val="24"/>
        </w:rPr>
        <w:t>d)</w:t>
      </w:r>
      <w:r>
        <w:rPr>
          <w:rFonts w:ascii="Times New Roman" w:hAnsi="Times New Roman"/>
          <w:noProof/>
          <w:sz w:val="24"/>
        </w:rPr>
        <w:tab/>
      </w:r>
      <w:r>
        <w:rPr>
          <w:rFonts w:ascii="Times New Roman" w:hAnsi="Times New Roman"/>
          <w:b/>
          <w:noProof/>
          <w:sz w:val="24"/>
        </w:rPr>
        <w:t>Conditions for data re-use:</w:t>
      </w:r>
      <w:r>
        <w:rPr>
          <w:rFonts w:ascii="Times New Roman" w:hAnsi="Times New Roman"/>
          <w:noProof/>
          <w:sz w:val="24"/>
        </w:rPr>
        <w:t xml:space="preserve"> busines</w:t>
      </w:r>
      <w:r>
        <w:rPr>
          <w:rFonts w:ascii="Times New Roman" w:hAnsi="Times New Roman"/>
          <w:noProof/>
          <w:sz w:val="24"/>
        </w:rPr>
        <w:t xml:space="preserve">s-to-government data collaboration agreements should seek to be mutually beneficial while acknowledging the public interest goal by giving the public sector body preferential treatment over other customers. </w:t>
      </w:r>
    </w:p>
    <w:p w:rsidR="000B237F" w:rsidRDefault="000175C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noProof/>
          <w:sz w:val="24"/>
        </w:rPr>
      </w:pPr>
      <w:r>
        <w:rPr>
          <w:rFonts w:ascii="Times New Roman" w:hAnsi="Times New Roman"/>
          <w:noProof/>
          <w:sz w:val="24"/>
        </w:rPr>
        <w:t>This should be reflected in particular in the le</w:t>
      </w:r>
      <w:r>
        <w:rPr>
          <w:rFonts w:ascii="Times New Roman" w:hAnsi="Times New Roman"/>
          <w:noProof/>
          <w:sz w:val="24"/>
        </w:rPr>
        <w:t xml:space="preserve">vel of compensation agreed, the level of which could be linked to the public interest purpose pursued. </w:t>
      </w:r>
    </w:p>
    <w:p w:rsidR="000B237F" w:rsidRDefault="000175C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noProof/>
          <w:sz w:val="24"/>
        </w:rPr>
      </w:pPr>
      <w:r>
        <w:rPr>
          <w:rFonts w:ascii="Times New Roman" w:hAnsi="Times New Roman"/>
          <w:noProof/>
          <w:sz w:val="24"/>
        </w:rPr>
        <w:t>Business-to-government data collaboration agreements that involve the same public authorities performing the same functions should be treated in a non-d</w:t>
      </w:r>
      <w:r>
        <w:rPr>
          <w:rFonts w:ascii="Times New Roman" w:hAnsi="Times New Roman"/>
          <w:noProof/>
          <w:sz w:val="24"/>
        </w:rPr>
        <w:t xml:space="preserve">iscriminatory way. </w:t>
      </w:r>
    </w:p>
    <w:p w:rsidR="000B237F" w:rsidRDefault="000175C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noProof/>
          <w:sz w:val="24"/>
        </w:rPr>
      </w:pPr>
      <w:r>
        <w:rPr>
          <w:rFonts w:ascii="Times New Roman" w:hAnsi="Times New Roman"/>
          <w:noProof/>
          <w:sz w:val="24"/>
        </w:rPr>
        <w:t xml:space="preserve">Business-to-government data collaboration agreements should reduce the need for other types of data collection such as surveys. This should reduce the overall burden on citizens and companies. </w:t>
      </w:r>
    </w:p>
    <w:p w:rsidR="000B237F" w:rsidRDefault="000175C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noProof/>
          <w:sz w:val="24"/>
        </w:rPr>
      </w:pPr>
      <w:r>
        <w:rPr>
          <w:rFonts w:ascii="Times New Roman" w:hAnsi="Times New Roman"/>
          <w:noProof/>
          <w:sz w:val="24"/>
        </w:rPr>
        <w:t>e)</w:t>
      </w:r>
      <w:r>
        <w:rPr>
          <w:rFonts w:ascii="Times New Roman" w:hAnsi="Times New Roman"/>
          <w:noProof/>
          <w:sz w:val="24"/>
        </w:rPr>
        <w:tab/>
      </w:r>
      <w:r>
        <w:rPr>
          <w:rFonts w:ascii="Times New Roman" w:hAnsi="Times New Roman"/>
          <w:b/>
          <w:noProof/>
          <w:sz w:val="24"/>
        </w:rPr>
        <w:t xml:space="preserve">Mitigate limitations of private sector </w:t>
      </w:r>
      <w:r>
        <w:rPr>
          <w:rFonts w:ascii="Times New Roman" w:hAnsi="Times New Roman"/>
          <w:b/>
          <w:noProof/>
          <w:sz w:val="24"/>
        </w:rPr>
        <w:t>data:</w:t>
      </w:r>
      <w:r>
        <w:rPr>
          <w:rFonts w:ascii="Times New Roman" w:hAnsi="Times New Roman"/>
          <w:noProof/>
          <w:sz w:val="24"/>
        </w:rPr>
        <w:t xml:space="preserve"> To address the potential limitations of private sector data, including potential inherent bias, companies supplying the data should offer reasonable and proportionate support to help assess the quality of the data for the stated purposes, including t</w:t>
      </w:r>
      <w:r>
        <w:rPr>
          <w:rFonts w:ascii="Times New Roman" w:hAnsi="Times New Roman"/>
          <w:noProof/>
          <w:sz w:val="24"/>
        </w:rPr>
        <w:t>hrough the possibility to audit or otherwise verify the data wherever appropriate. Companies should not be required to improve the quality of the data in question. Public bodies, in turn, should ensure that data coming from different sources is processed i</w:t>
      </w:r>
      <w:r>
        <w:rPr>
          <w:rFonts w:ascii="Times New Roman" w:hAnsi="Times New Roman"/>
          <w:noProof/>
          <w:sz w:val="24"/>
        </w:rPr>
        <w:t xml:space="preserve">n such a way to avoid possible ʻselection biasʼ. </w:t>
      </w:r>
    </w:p>
    <w:p w:rsidR="000B237F" w:rsidRDefault="000175C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noProof/>
          <w:sz w:val="24"/>
        </w:rPr>
      </w:pPr>
      <w:r>
        <w:rPr>
          <w:rFonts w:ascii="Times New Roman" w:hAnsi="Times New Roman"/>
          <w:noProof/>
          <w:sz w:val="24"/>
        </w:rPr>
        <w:t>f)</w:t>
      </w:r>
      <w:r>
        <w:rPr>
          <w:rFonts w:ascii="Times New Roman" w:hAnsi="Times New Roman"/>
          <w:noProof/>
          <w:sz w:val="24"/>
        </w:rPr>
        <w:tab/>
      </w:r>
      <w:r>
        <w:rPr>
          <w:rFonts w:ascii="Times New Roman" w:hAnsi="Times New Roman"/>
          <w:b/>
          <w:noProof/>
          <w:sz w:val="24"/>
        </w:rPr>
        <w:t>Transparency and societal participation:</w:t>
      </w:r>
      <w:r>
        <w:rPr>
          <w:rFonts w:ascii="Times New Roman" w:hAnsi="Times New Roman"/>
          <w:noProof/>
          <w:sz w:val="24"/>
        </w:rPr>
        <w:t xml:space="preserve"> business-to-government collaboration should be transparent about the parties to the agreement and their objectives. Public bodies’ insights and best practices of </w:t>
      </w:r>
      <w:r>
        <w:rPr>
          <w:rFonts w:ascii="Times New Roman" w:hAnsi="Times New Roman"/>
          <w:noProof/>
          <w:sz w:val="24"/>
        </w:rPr>
        <w:t xml:space="preserve">business-to-government collaboration should be made publicly available as long as they do not compromise the confidentiality of the data.  </w:t>
      </w:r>
    </w:p>
    <w:p w:rsidR="000B237F" w:rsidRDefault="000175C6">
      <w:pPr>
        <w:rPr>
          <w:rFonts w:ascii="Times New Roman" w:eastAsia="Times New Roman" w:hAnsi="Times New Roman" w:cs="Arial"/>
          <w:b/>
          <w:noProof/>
          <w:kern w:val="28"/>
          <w:sz w:val="24"/>
          <w:szCs w:val="24"/>
        </w:rPr>
      </w:pPr>
      <w:r>
        <w:rPr>
          <w:noProof/>
          <w:sz w:val="24"/>
          <w:szCs w:val="24"/>
        </w:rPr>
        <w:br w:type="page"/>
      </w:r>
    </w:p>
    <w:p w:rsidR="000B237F" w:rsidRDefault="000175C6">
      <w:pPr>
        <w:pStyle w:val="Heading1"/>
        <w:numPr>
          <w:ilvl w:val="0"/>
          <w:numId w:val="0"/>
        </w:numPr>
        <w:spacing w:before="360"/>
        <w:jc w:val="both"/>
        <w:rPr>
          <w:noProof/>
          <w:sz w:val="24"/>
          <w:szCs w:val="24"/>
        </w:rPr>
      </w:pPr>
      <w:r>
        <w:rPr>
          <w:noProof/>
          <w:sz w:val="24"/>
          <w:szCs w:val="24"/>
        </w:rPr>
        <w:t xml:space="preserve">3. </w:t>
      </w:r>
      <w:r>
        <w:rPr>
          <w:rFonts w:cs="Times New Roman"/>
          <w:noProof/>
          <w:sz w:val="24"/>
          <w:szCs w:val="24"/>
        </w:rPr>
        <w:t xml:space="preserve">Business-to-business (B2B) data sharing </w:t>
      </w:r>
      <w:r>
        <w:rPr>
          <w:noProof/>
          <w:sz w:val="24"/>
          <w:szCs w:val="24"/>
        </w:rPr>
        <w:t xml:space="preserve">– a 'How to' guide </w:t>
      </w:r>
    </w:p>
    <w:p w:rsidR="000B237F" w:rsidRDefault="000175C6">
      <w:pPr>
        <w:pStyle w:val="BodyText3"/>
        <w:spacing w:after="200"/>
        <w:jc w:val="both"/>
        <w:rPr>
          <w:rFonts w:ascii="Times New Roman" w:hAnsi="Times New Roman" w:cs="Times New Roman"/>
          <w:noProof/>
          <w:sz w:val="24"/>
          <w:szCs w:val="24"/>
        </w:rPr>
      </w:pPr>
      <w:r>
        <w:rPr>
          <w:rFonts w:ascii="Times New Roman" w:hAnsi="Times New Roman" w:cs="Times New Roman"/>
          <w:noProof/>
          <w:sz w:val="24"/>
          <w:szCs w:val="24"/>
        </w:rPr>
        <w:t xml:space="preserve">The supply and the re-use of data in B2B relations can take many forms in terms of technical mechanisms, underlying business models and the legal vehicle that supports the B2B data sharing arrangement. This section describes some of them in more detail. </w:t>
      </w:r>
    </w:p>
    <w:p w:rsidR="000B237F" w:rsidRDefault="000175C6">
      <w:pPr>
        <w:pStyle w:val="BodyText3"/>
        <w:keepNext/>
        <w:spacing w:after="270"/>
        <w:jc w:val="both"/>
        <w:rPr>
          <w:rFonts w:ascii="Times New Roman" w:hAnsi="Times New Roman" w:cs="Times New Roman"/>
          <w:b/>
          <w:noProof/>
          <w:sz w:val="24"/>
          <w:szCs w:val="24"/>
        </w:rPr>
      </w:pPr>
      <w:r>
        <w:rPr>
          <w:rFonts w:ascii="Times New Roman" w:hAnsi="Times New Roman" w:cs="Times New Roman"/>
          <w:b/>
          <w:noProof/>
          <w:sz w:val="24"/>
          <w:szCs w:val="24"/>
        </w:rPr>
        <w:t>3</w:t>
      </w:r>
      <w:r>
        <w:rPr>
          <w:rFonts w:ascii="Times New Roman" w:hAnsi="Times New Roman" w:cs="Times New Roman"/>
          <w:b/>
          <w:noProof/>
          <w:sz w:val="24"/>
          <w:szCs w:val="24"/>
        </w:rPr>
        <w:t xml:space="preserve">.1. Models of B2B data sharing </w:t>
      </w:r>
    </w:p>
    <w:p w:rsidR="000B237F" w:rsidRDefault="000175C6">
      <w:pPr>
        <w:pStyle w:val="BodyText3"/>
        <w:spacing w:after="200"/>
        <w:jc w:val="both"/>
        <w:rPr>
          <w:rFonts w:ascii="Times New Roman" w:hAnsi="Times New Roman" w:cs="Times New Roman"/>
          <w:noProof/>
          <w:sz w:val="24"/>
          <w:szCs w:val="24"/>
        </w:rPr>
      </w:pPr>
      <w:r>
        <w:rPr>
          <w:rFonts w:ascii="Times New Roman" w:hAnsi="Times New Roman" w:cs="Times New Roman"/>
          <w:noProof/>
          <w:sz w:val="24"/>
          <w:szCs w:val="24"/>
        </w:rPr>
        <w:t>The underlying business models of data sharing can differ quite substantially and it strongly depends on the type of data in question and the strategic business interest. They can range from an Open Data approach to exclusiv</w:t>
      </w:r>
      <w:r>
        <w:rPr>
          <w:rFonts w:ascii="Times New Roman" w:hAnsi="Times New Roman" w:cs="Times New Roman"/>
          <w:noProof/>
          <w:sz w:val="24"/>
          <w:szCs w:val="24"/>
        </w:rPr>
        <w:t xml:space="preserve">e data partnerships with only one party: </w:t>
      </w:r>
    </w:p>
    <w:p w:rsidR="000B237F" w:rsidRDefault="000175C6">
      <w:pPr>
        <w:pStyle w:val="BodyText3"/>
        <w:numPr>
          <w:ilvl w:val="0"/>
          <w:numId w:val="5"/>
        </w:numPr>
        <w:spacing w:after="200"/>
        <w:jc w:val="both"/>
        <w:rPr>
          <w:rFonts w:ascii="Times New Roman" w:hAnsi="Times New Roman" w:cs="Times New Roman"/>
          <w:noProof/>
          <w:sz w:val="24"/>
          <w:szCs w:val="24"/>
        </w:rPr>
      </w:pPr>
      <w:r>
        <w:rPr>
          <w:rFonts w:ascii="Times New Roman" w:hAnsi="Times New Roman" w:cs="Times New Roman"/>
          <w:b/>
          <w:noProof/>
          <w:sz w:val="24"/>
          <w:szCs w:val="24"/>
        </w:rPr>
        <w:t>An Open Data approach</w:t>
      </w:r>
      <w:r>
        <w:rPr>
          <w:rFonts w:ascii="Times New Roman" w:hAnsi="Times New Roman" w:cs="Times New Roman"/>
          <w:noProof/>
          <w:sz w:val="24"/>
          <w:szCs w:val="24"/>
        </w:rPr>
        <w:t>: An Open Data approach, whereby the data in question are made available by the data supplier to an in principle open range of (re-)users with as few restrictions as possible and against either</w:t>
      </w:r>
      <w:r>
        <w:rPr>
          <w:rFonts w:ascii="Times New Roman" w:hAnsi="Times New Roman" w:cs="Times New Roman"/>
          <w:noProof/>
          <w:sz w:val="24"/>
          <w:szCs w:val="24"/>
        </w:rPr>
        <w:t xml:space="preserve"> no or very limited remuneration, can be chosen when the data supplier has a strong interest in the data re-use. Examples are providers of services that would like to make use of an ecosystem of third party application developers in order to reach the fina</w:t>
      </w:r>
      <w:r>
        <w:rPr>
          <w:rFonts w:ascii="Times New Roman" w:hAnsi="Times New Roman" w:cs="Times New Roman"/>
          <w:noProof/>
          <w:sz w:val="24"/>
          <w:szCs w:val="24"/>
        </w:rPr>
        <w:t xml:space="preserve">l customers. </w:t>
      </w:r>
    </w:p>
    <w:p w:rsidR="000B237F" w:rsidRDefault="000175C6">
      <w:pPr>
        <w:pStyle w:val="BodyText3"/>
        <w:numPr>
          <w:ilvl w:val="0"/>
          <w:numId w:val="5"/>
        </w:numPr>
        <w:spacing w:after="200"/>
        <w:jc w:val="both"/>
        <w:rPr>
          <w:rFonts w:ascii="Times New Roman" w:hAnsi="Times New Roman" w:cs="Times New Roman"/>
          <w:noProof/>
          <w:sz w:val="24"/>
          <w:szCs w:val="24"/>
        </w:rPr>
      </w:pPr>
      <w:r>
        <w:rPr>
          <w:rFonts w:ascii="Times New Roman" w:hAnsi="Times New Roman" w:cs="Times New Roman"/>
          <w:b/>
          <w:noProof/>
          <w:sz w:val="24"/>
          <w:szCs w:val="24"/>
        </w:rPr>
        <w:t>Data monetisation on a data marketplace</w:t>
      </w:r>
      <w:r>
        <w:rPr>
          <w:rFonts w:ascii="Times New Roman" w:hAnsi="Times New Roman" w:cs="Times New Roman"/>
          <w:noProof/>
          <w:sz w:val="24"/>
          <w:szCs w:val="24"/>
        </w:rPr>
        <w:t>: Data monetisation or trading can take place through a data marketplace as an intermediary on the basis of bilateral contracts against remuneration. This can be interesting for companies that do not kno</w:t>
      </w:r>
      <w:r>
        <w:rPr>
          <w:rFonts w:ascii="Times New Roman" w:hAnsi="Times New Roman" w:cs="Times New Roman"/>
          <w:noProof/>
          <w:sz w:val="24"/>
          <w:szCs w:val="24"/>
        </w:rPr>
        <w:t>w potential re-users for their data and aim at engaging in one-off data monetisation efforts. This mechanism appears suitable when either (1) there are limited risks of illicit use of the data in question, (2) the data supplier has grounds to trusts the (r</w:t>
      </w:r>
      <w:r>
        <w:rPr>
          <w:rFonts w:ascii="Times New Roman" w:hAnsi="Times New Roman" w:cs="Times New Roman"/>
          <w:noProof/>
          <w:sz w:val="24"/>
          <w:szCs w:val="24"/>
        </w:rPr>
        <w:t>e-)user, or (3) the data supplier has technical mechanisms to prevent or identify illicit use. Model contract terms can lower the costs of drawing up data usage agreements.</w:t>
      </w:r>
    </w:p>
    <w:p w:rsidR="000B237F" w:rsidRDefault="000175C6">
      <w:pPr>
        <w:pStyle w:val="BodyText3"/>
        <w:numPr>
          <w:ilvl w:val="0"/>
          <w:numId w:val="5"/>
        </w:numPr>
        <w:spacing w:after="200"/>
        <w:jc w:val="both"/>
        <w:rPr>
          <w:rFonts w:ascii="Times New Roman" w:hAnsi="Times New Roman" w:cs="Times New Roman"/>
          <w:noProof/>
          <w:sz w:val="24"/>
          <w:szCs w:val="24"/>
        </w:rPr>
      </w:pPr>
      <w:r>
        <w:rPr>
          <w:rFonts w:ascii="Times New Roman" w:hAnsi="Times New Roman" w:cs="Times New Roman"/>
          <w:b/>
          <w:noProof/>
          <w:sz w:val="24"/>
          <w:szCs w:val="24"/>
        </w:rPr>
        <w:t>Data exchange in a closed platform</w:t>
      </w:r>
      <w:r>
        <w:rPr>
          <w:rFonts w:ascii="Times New Roman" w:hAnsi="Times New Roman" w:cs="Times New Roman"/>
          <w:noProof/>
          <w:sz w:val="24"/>
          <w:szCs w:val="24"/>
        </w:rPr>
        <w:t>: Data exchange may take place in a closed platfo</w:t>
      </w:r>
      <w:r>
        <w:rPr>
          <w:rFonts w:ascii="Times New Roman" w:hAnsi="Times New Roman" w:cs="Times New Roman"/>
          <w:noProof/>
          <w:sz w:val="24"/>
          <w:szCs w:val="24"/>
        </w:rPr>
        <w:t>rm, either set up by one core player in a data sharing environment or by an independent intermediary. The data in this case may be supplied against monetary remuneration or against added-value services, provided e.g. inside the platform. This solution allo</w:t>
      </w:r>
      <w:r>
        <w:rPr>
          <w:rFonts w:ascii="Times New Roman" w:hAnsi="Times New Roman" w:cs="Times New Roman"/>
          <w:noProof/>
          <w:sz w:val="24"/>
          <w:szCs w:val="24"/>
        </w:rPr>
        <w:t>ws offering added-value services and thus provides for a more comprehensive solution for more stable data partnerships and allows for more mechanisms of control on the usage made of the data; model contract terms can lower the costs of drawing up data usag</w:t>
      </w:r>
      <w:r>
        <w:rPr>
          <w:rFonts w:ascii="Times New Roman" w:hAnsi="Times New Roman" w:cs="Times New Roman"/>
          <w:noProof/>
          <w:sz w:val="24"/>
          <w:szCs w:val="24"/>
        </w:rPr>
        <w:t>e agreements. Where the data sharing is exclusive, it would need to comply with the competition rules.</w:t>
      </w:r>
      <w:r>
        <w:rPr>
          <w:rStyle w:val="FootnoteReference"/>
          <w:rFonts w:ascii="Times New Roman" w:hAnsi="Times New Roman" w:cs="Times New Roman"/>
          <w:noProof/>
          <w:sz w:val="24"/>
          <w:szCs w:val="24"/>
        </w:rPr>
        <w:footnoteReference w:id="10"/>
      </w:r>
    </w:p>
    <w:p w:rsidR="000B237F" w:rsidRDefault="000175C6">
      <w:pPr>
        <w:pStyle w:val="BodyText3"/>
        <w:spacing w:after="240"/>
        <w:jc w:val="both"/>
        <w:rPr>
          <w:rFonts w:ascii="Times New Roman" w:hAnsi="Times New Roman" w:cs="Times New Roman"/>
          <w:noProof/>
          <w:sz w:val="24"/>
          <w:szCs w:val="24"/>
        </w:rPr>
      </w:pPr>
      <w:r>
        <w:rPr>
          <w:rFonts w:ascii="Times New Roman" w:hAnsi="Times New Roman" w:cs="Times New Roman"/>
          <w:noProof/>
          <w:sz w:val="24"/>
          <w:szCs w:val="24"/>
        </w:rPr>
        <w:t>Variations and combinations of these models are possible and need to be adapted to each concrete business need. The term ʻdata sharingʼ is used in order</w:t>
      </w:r>
      <w:r>
        <w:rPr>
          <w:rFonts w:ascii="Times New Roman" w:hAnsi="Times New Roman" w:cs="Times New Roman"/>
          <w:noProof/>
          <w:sz w:val="24"/>
          <w:szCs w:val="24"/>
        </w:rPr>
        <w:t xml:space="preserve"> to describe all possible forms and models underpinning B2B data access or transfer. </w:t>
      </w:r>
    </w:p>
    <w:p w:rsidR="000B237F" w:rsidRDefault="000175C6">
      <w:pPr>
        <w:pStyle w:val="BodyText3"/>
        <w:keepNext/>
        <w:spacing w:after="270"/>
        <w:jc w:val="both"/>
        <w:rPr>
          <w:rFonts w:ascii="Times New Roman" w:hAnsi="Times New Roman" w:cs="Times New Roman"/>
          <w:b/>
          <w:noProof/>
          <w:sz w:val="24"/>
          <w:szCs w:val="24"/>
        </w:rPr>
      </w:pPr>
      <w:r>
        <w:rPr>
          <w:rFonts w:ascii="Times New Roman" w:hAnsi="Times New Roman" w:cs="Times New Roman"/>
          <w:b/>
          <w:noProof/>
          <w:sz w:val="24"/>
          <w:szCs w:val="24"/>
        </w:rPr>
        <w:t>3.2. The legal aspects of data sharing: data usage or licensing agreements</w:t>
      </w:r>
    </w:p>
    <w:p w:rsidR="000B237F" w:rsidRDefault="000175C6">
      <w:pPr>
        <w:pStyle w:val="BodyText3"/>
        <w:spacing w:after="200"/>
        <w:jc w:val="both"/>
        <w:rPr>
          <w:rFonts w:ascii="Times New Roman" w:hAnsi="Times New Roman" w:cs="Times New Roman"/>
          <w:noProof/>
          <w:sz w:val="24"/>
          <w:szCs w:val="24"/>
        </w:rPr>
      </w:pPr>
      <w:r>
        <w:rPr>
          <w:rFonts w:ascii="Times New Roman" w:hAnsi="Times New Roman" w:cs="Times New Roman"/>
          <w:noProof/>
          <w:sz w:val="24"/>
          <w:szCs w:val="24"/>
        </w:rPr>
        <w:t>B2B data sharing is typically implemented on the basis of contracts. In data usage or licensing</w:t>
      </w:r>
      <w:r>
        <w:rPr>
          <w:rFonts w:ascii="Times New Roman" w:hAnsi="Times New Roman" w:cs="Times New Roman"/>
          <w:noProof/>
          <w:sz w:val="24"/>
          <w:szCs w:val="24"/>
        </w:rPr>
        <w:t xml:space="preserve"> agreements parties agree on the subject and value of the contract as well as on all other modalities put down in contract terms. Data monetisation agreements may not only be bilateral in nature but may also be concluded between multiple parties. </w:t>
      </w:r>
    </w:p>
    <w:p w:rsidR="000B237F" w:rsidRDefault="000175C6">
      <w:pPr>
        <w:pStyle w:val="BodyText3"/>
        <w:spacing w:after="200"/>
        <w:jc w:val="both"/>
        <w:rPr>
          <w:rFonts w:ascii="Times New Roman" w:hAnsi="Times New Roman" w:cs="Times New Roman"/>
          <w:noProof/>
          <w:sz w:val="24"/>
          <w:szCs w:val="24"/>
        </w:rPr>
      </w:pPr>
      <w:r>
        <w:rPr>
          <w:rFonts w:ascii="Times New Roman" w:hAnsi="Times New Roman" w:cs="Times New Roman"/>
          <w:noProof/>
          <w:sz w:val="24"/>
          <w:szCs w:val="24"/>
        </w:rPr>
        <w:t>The desi</w:t>
      </w:r>
      <w:r>
        <w:rPr>
          <w:rFonts w:ascii="Times New Roman" w:hAnsi="Times New Roman" w:cs="Times New Roman"/>
          <w:noProof/>
          <w:sz w:val="24"/>
          <w:szCs w:val="24"/>
        </w:rPr>
        <w:t xml:space="preserve">gn of the relevant contract terms for data usage or licensing agreements requires special attention so as to both comply with existing legislation, in particular legislation that would prevent data sharing or make it subject to specific conditions, and to </w:t>
      </w:r>
      <w:r>
        <w:rPr>
          <w:rFonts w:ascii="Times New Roman" w:hAnsi="Times New Roman" w:cs="Times New Roman"/>
          <w:noProof/>
          <w:sz w:val="24"/>
          <w:szCs w:val="24"/>
        </w:rPr>
        <w:t xml:space="preserve">ensure that the strategic interests of each party and competition are being preserved. </w:t>
      </w:r>
    </w:p>
    <w:p w:rsidR="000B237F" w:rsidRDefault="000175C6">
      <w:pPr>
        <w:jc w:val="both"/>
        <w:rPr>
          <w:rFonts w:ascii="Times New Roman" w:hAnsi="Times New Roman"/>
          <w:noProof/>
          <w:sz w:val="24"/>
          <w:szCs w:val="24"/>
        </w:rPr>
      </w:pPr>
      <w:r>
        <w:rPr>
          <w:rFonts w:ascii="Times New Roman" w:hAnsi="Times New Roman" w:cs="Times New Roman"/>
          <w:noProof/>
          <w:sz w:val="24"/>
          <w:szCs w:val="24"/>
        </w:rPr>
        <w:t>Model contract terms for different types of data sharing agreements and for some sectors or types of data sharing are already being developed. The Commission, through a</w:t>
      </w:r>
      <w:r>
        <w:rPr>
          <w:rFonts w:ascii="Times New Roman" w:hAnsi="Times New Roman" w:cs="Times New Roman"/>
          <w:noProof/>
          <w:sz w:val="24"/>
          <w:szCs w:val="24"/>
        </w:rPr>
        <w:t xml:space="preserve"> Support Centre for data sharing which will become operational in early 2019, </w:t>
      </w:r>
      <w:r>
        <w:rPr>
          <w:rFonts w:ascii="Times New Roman" w:hAnsi="Times New Roman"/>
          <w:noProof/>
          <w:sz w:val="24"/>
          <w:szCs w:val="24"/>
        </w:rPr>
        <w:t>is planning to collect best practices, existing model contract terms and checklists.</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w:t>
      </w:r>
    </w:p>
    <w:p w:rsidR="000B237F" w:rsidRDefault="000175C6">
      <w:pPr>
        <w:jc w:val="both"/>
        <w:rPr>
          <w:rFonts w:ascii="Times New Roman" w:hAnsi="Times New Roman" w:cs="Times New Roman"/>
          <w:noProof/>
          <w:sz w:val="24"/>
          <w:szCs w:val="24"/>
        </w:rPr>
      </w:pPr>
      <w:r>
        <w:rPr>
          <w:rFonts w:ascii="Times New Roman" w:hAnsi="Times New Roman" w:cs="Times New Roman"/>
          <w:noProof/>
          <w:sz w:val="24"/>
          <w:szCs w:val="24"/>
        </w:rPr>
        <w:t>The following considerations may help companies in the preparation and/or negotiation of da</w:t>
      </w:r>
      <w:r>
        <w:rPr>
          <w:rFonts w:ascii="Times New Roman" w:hAnsi="Times New Roman" w:cs="Times New Roman"/>
          <w:noProof/>
          <w:sz w:val="24"/>
          <w:szCs w:val="24"/>
        </w:rPr>
        <w:t xml:space="preserve">ta usage agreements: </w:t>
      </w:r>
    </w:p>
    <w:p w:rsidR="000B237F" w:rsidRDefault="000175C6">
      <w:pPr>
        <w:pStyle w:val="BodyText3"/>
        <w:numPr>
          <w:ilvl w:val="0"/>
          <w:numId w:val="7"/>
        </w:numPr>
        <w:ind w:left="714" w:hanging="357"/>
        <w:jc w:val="both"/>
        <w:rPr>
          <w:rFonts w:ascii="Times New Roman" w:hAnsi="Times New Roman" w:cs="Times New Roman"/>
          <w:noProof/>
          <w:sz w:val="24"/>
          <w:szCs w:val="24"/>
        </w:rPr>
      </w:pPr>
      <w:r>
        <w:rPr>
          <w:rFonts w:ascii="Times New Roman" w:hAnsi="Times New Roman" w:cs="Times New Roman"/>
          <w:noProof/>
          <w:sz w:val="24"/>
          <w:szCs w:val="24"/>
        </w:rPr>
        <w:t>What data shall be made available?</w:t>
      </w:r>
    </w:p>
    <w:p w:rsidR="000B237F" w:rsidRDefault="000175C6">
      <w:pPr>
        <w:pStyle w:val="BodyText3"/>
        <w:numPr>
          <w:ilvl w:val="0"/>
          <w:numId w:val="8"/>
        </w:numPr>
        <w:ind w:left="1077" w:hanging="357"/>
        <w:jc w:val="both"/>
        <w:rPr>
          <w:rFonts w:ascii="Times New Roman" w:hAnsi="Times New Roman" w:cs="Times New Roman"/>
          <w:noProof/>
          <w:sz w:val="24"/>
          <w:szCs w:val="24"/>
        </w:rPr>
      </w:pPr>
      <w:r>
        <w:rPr>
          <w:rFonts w:ascii="Times New Roman" w:hAnsi="Times New Roman" w:cs="Times New Roman"/>
          <w:noProof/>
          <w:sz w:val="24"/>
          <w:szCs w:val="24"/>
        </w:rPr>
        <w:t>Describe data which you wish to share as concretely and precisely as possible (e.g. R&amp;D data, customer data, diagnostic data), including the levels of updates to be expected in the future. When inter</w:t>
      </w:r>
      <w:r>
        <w:rPr>
          <w:rFonts w:ascii="Times New Roman" w:hAnsi="Times New Roman" w:cs="Times New Roman"/>
          <w:noProof/>
          <w:sz w:val="24"/>
          <w:szCs w:val="24"/>
        </w:rPr>
        <w:t>pretative resources that make analytics possible (e.g. methods, models) are shared together with datasets, they should be described.</w:t>
      </w:r>
    </w:p>
    <w:p w:rsidR="000B237F" w:rsidRDefault="000175C6">
      <w:pPr>
        <w:pStyle w:val="BodyText3"/>
        <w:numPr>
          <w:ilvl w:val="0"/>
          <w:numId w:val="8"/>
        </w:numPr>
        <w:ind w:left="1077" w:hanging="357"/>
        <w:jc w:val="both"/>
        <w:rPr>
          <w:rFonts w:ascii="Times New Roman" w:hAnsi="Times New Roman"/>
          <w:noProof/>
          <w:sz w:val="24"/>
          <w:szCs w:val="24"/>
        </w:rPr>
      </w:pPr>
      <w:r>
        <w:rPr>
          <w:rFonts w:ascii="Times New Roman" w:hAnsi="Times New Roman" w:cs="Times New Roman"/>
          <w:noProof/>
          <w:sz w:val="24"/>
          <w:szCs w:val="24"/>
        </w:rPr>
        <w:t xml:space="preserve">What quality levels can be assured for the data, also over time? </w:t>
      </w:r>
      <w:r>
        <w:rPr>
          <w:rFonts w:ascii="Times New Roman" w:hAnsi="Times New Roman"/>
          <w:noProof/>
          <w:sz w:val="24"/>
          <w:szCs w:val="24"/>
        </w:rPr>
        <w:t>Shared data needs to be of good quality, i.e. accurate, re</w:t>
      </w:r>
      <w:r>
        <w:rPr>
          <w:rFonts w:ascii="Times New Roman" w:hAnsi="Times New Roman"/>
          <w:noProof/>
          <w:sz w:val="24"/>
          <w:szCs w:val="24"/>
        </w:rPr>
        <w:t>liable and when necessary up-to-date. Ensure that data are not missing, duplicate, unstructured. Specify the source/origin of data and how it was collected/constructed. A mechanism for reporting error in the data may be set up.</w:t>
      </w:r>
    </w:p>
    <w:p w:rsidR="000B237F" w:rsidRDefault="000175C6">
      <w:pPr>
        <w:pStyle w:val="BodyText3"/>
        <w:numPr>
          <w:ilvl w:val="0"/>
          <w:numId w:val="8"/>
        </w:numPr>
        <w:ind w:left="1077"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Is the data sharing about a </w:t>
      </w:r>
      <w:r>
        <w:rPr>
          <w:rFonts w:ascii="Times New Roman" w:hAnsi="Times New Roman" w:cs="Times New Roman"/>
          <w:noProof/>
          <w:sz w:val="24"/>
          <w:szCs w:val="24"/>
        </w:rPr>
        <w:t xml:space="preserve">data set or a data stream? </w:t>
      </w:r>
    </w:p>
    <w:p w:rsidR="000B237F" w:rsidRDefault="000175C6">
      <w:pPr>
        <w:pStyle w:val="BodyText3"/>
        <w:numPr>
          <w:ilvl w:val="0"/>
          <w:numId w:val="8"/>
        </w:numPr>
        <w:spacing w:after="200"/>
        <w:jc w:val="both"/>
        <w:rPr>
          <w:rFonts w:ascii="Times New Roman" w:hAnsi="Times New Roman" w:cs="Times New Roman"/>
          <w:noProof/>
          <w:sz w:val="24"/>
          <w:szCs w:val="24"/>
        </w:rPr>
      </w:pPr>
      <w:r>
        <w:rPr>
          <w:rFonts w:ascii="Times New Roman" w:hAnsi="Times New Roman" w:cs="Times New Roman"/>
          <w:noProof/>
          <w:sz w:val="24"/>
          <w:szCs w:val="24"/>
        </w:rPr>
        <w:t>Ensure compliance with legal obligations that may prohibit the access or transfer of the data in question to others. Ensure respect of rights that others may have on the data. Verify rights on content represented by the data (in</w:t>
      </w:r>
      <w:r>
        <w:rPr>
          <w:rFonts w:ascii="Times New Roman" w:hAnsi="Times New Roman" w:cs="Times New Roman"/>
          <w:noProof/>
          <w:sz w:val="24"/>
          <w:szCs w:val="24"/>
        </w:rPr>
        <w:t>tellectual and industrial property rights).</w:t>
      </w:r>
    </w:p>
    <w:p w:rsidR="000B237F" w:rsidRDefault="000175C6">
      <w:pPr>
        <w:pStyle w:val="BodyText3"/>
        <w:numPr>
          <w:ilvl w:val="0"/>
          <w:numId w:val="8"/>
        </w:numPr>
        <w:spacing w:after="200"/>
        <w:jc w:val="both"/>
        <w:rPr>
          <w:rFonts w:ascii="Times New Roman" w:hAnsi="Times New Roman" w:cs="Times New Roman"/>
          <w:noProof/>
          <w:sz w:val="24"/>
          <w:szCs w:val="24"/>
        </w:rPr>
      </w:pPr>
      <w:r>
        <w:rPr>
          <w:rFonts w:ascii="Times New Roman" w:hAnsi="Times New Roman" w:cs="Times New Roman"/>
          <w:noProof/>
          <w:sz w:val="24"/>
          <w:szCs w:val="24"/>
        </w:rPr>
        <w:t>Ensure respect of data protection legislation. Among others verify that there is a legal basis for the processing of personal data in line with the General Data Protection Regulation.</w:t>
      </w:r>
    </w:p>
    <w:p w:rsidR="000B237F" w:rsidRDefault="000175C6">
      <w:pPr>
        <w:pStyle w:val="BodyText3"/>
        <w:numPr>
          <w:ilvl w:val="0"/>
          <w:numId w:val="7"/>
        </w:numPr>
        <w:ind w:left="714"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Who can access and (re-)use </w:t>
      </w:r>
      <w:r>
        <w:rPr>
          <w:rFonts w:ascii="Times New Roman" w:hAnsi="Times New Roman" w:cs="Times New Roman"/>
          <w:noProof/>
          <w:sz w:val="24"/>
          <w:szCs w:val="24"/>
        </w:rPr>
        <w:t>the data in question?</w:t>
      </w:r>
    </w:p>
    <w:p w:rsidR="000B237F" w:rsidRDefault="000175C6">
      <w:pPr>
        <w:pStyle w:val="BodyText3"/>
        <w:numPr>
          <w:ilvl w:val="0"/>
          <w:numId w:val="19"/>
        </w:numPr>
        <w:ind w:hanging="357"/>
        <w:jc w:val="both"/>
        <w:rPr>
          <w:rFonts w:ascii="Times New Roman" w:hAnsi="Times New Roman" w:cs="Times New Roman"/>
          <w:noProof/>
          <w:sz w:val="24"/>
          <w:szCs w:val="24"/>
        </w:rPr>
      </w:pPr>
      <w:r>
        <w:rPr>
          <w:rFonts w:ascii="Times New Roman" w:hAnsi="Times New Roman" w:cs="Times New Roman"/>
          <w:noProof/>
          <w:sz w:val="24"/>
          <w:szCs w:val="24"/>
        </w:rPr>
        <w:t>Ensure that the contract defines in a transparent, clear and understandable way who has a right to access, right to (re-)use, and right to distribute data and under which conditions. Specify if and how data may be licensed for re-use.</w:t>
      </w:r>
      <w:r>
        <w:rPr>
          <w:rFonts w:ascii="Times New Roman" w:hAnsi="Times New Roman" w:cs="Times New Roman"/>
          <w:noProof/>
          <w:sz w:val="24"/>
          <w:szCs w:val="24"/>
        </w:rPr>
        <w:t xml:space="preserve"> Be clear when explaining the conditions of licences for data re-use and distribution. Sub-licensing needs also to be considered: either it should be specifically excluded or the conditions under which it is allowed and for what types of data should be spe</w:t>
      </w:r>
      <w:r>
        <w:rPr>
          <w:rFonts w:ascii="Times New Roman" w:hAnsi="Times New Roman" w:cs="Times New Roman"/>
          <w:noProof/>
          <w:sz w:val="24"/>
          <w:szCs w:val="24"/>
        </w:rPr>
        <w:t>cified</w:t>
      </w:r>
    </w:p>
    <w:p w:rsidR="000B237F" w:rsidRDefault="000175C6">
      <w:pPr>
        <w:pStyle w:val="BodyText3"/>
        <w:numPr>
          <w:ilvl w:val="0"/>
          <w:numId w:val="19"/>
        </w:numPr>
        <w:ind w:hanging="357"/>
        <w:jc w:val="both"/>
        <w:rPr>
          <w:rFonts w:ascii="Times New Roman" w:hAnsi="Times New Roman" w:cs="Times New Roman"/>
          <w:noProof/>
          <w:sz w:val="24"/>
          <w:szCs w:val="24"/>
        </w:rPr>
      </w:pPr>
      <w:r>
        <w:rPr>
          <w:rFonts w:ascii="Times New Roman" w:hAnsi="Times New Roman" w:cs="Times New Roman"/>
          <w:noProof/>
          <w:sz w:val="24"/>
          <w:szCs w:val="24"/>
        </w:rPr>
        <w:t>The right to access and (re-)use of data does not need to be unlimited. The agreement may for instance limit the right to access: for example, only to members of specific professional groups (e.g. farmers) or link it to certain purposes of use of da</w:t>
      </w:r>
      <w:r>
        <w:rPr>
          <w:rFonts w:ascii="Times New Roman" w:hAnsi="Times New Roman" w:cs="Times New Roman"/>
          <w:noProof/>
          <w:sz w:val="24"/>
          <w:szCs w:val="24"/>
        </w:rPr>
        <w:t xml:space="preserve">ta (e.g. for a limited commercial use). </w:t>
      </w:r>
    </w:p>
    <w:p w:rsidR="000B237F" w:rsidRDefault="000175C6">
      <w:pPr>
        <w:pStyle w:val="BodyText3"/>
        <w:numPr>
          <w:ilvl w:val="0"/>
          <w:numId w:val="7"/>
        </w:numPr>
        <w:ind w:hanging="357"/>
        <w:jc w:val="both"/>
        <w:rPr>
          <w:rFonts w:ascii="Times New Roman" w:hAnsi="Times New Roman" w:cs="Times New Roman"/>
          <w:noProof/>
          <w:sz w:val="24"/>
          <w:szCs w:val="24"/>
        </w:rPr>
      </w:pPr>
      <w:r>
        <w:rPr>
          <w:rFonts w:ascii="Times New Roman" w:hAnsi="Times New Roman" w:cs="Times New Roman"/>
          <w:noProof/>
          <w:sz w:val="24"/>
          <w:szCs w:val="24"/>
        </w:rPr>
        <w:t>What can the (re-)user do with the data?</w:t>
      </w:r>
    </w:p>
    <w:p w:rsidR="000B237F" w:rsidRDefault="000175C6">
      <w:pPr>
        <w:pStyle w:val="BodyText3"/>
        <w:numPr>
          <w:ilvl w:val="0"/>
          <w:numId w:val="9"/>
        </w:numPr>
        <w:ind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In the contract negotiations, the (re-)user should be as open and as clear as possible about how the data is going to be used, including by parties downstream. This will </w:t>
      </w:r>
      <w:r>
        <w:rPr>
          <w:rFonts w:ascii="Times New Roman" w:hAnsi="Times New Roman" w:cs="Times New Roman"/>
          <w:noProof/>
          <w:sz w:val="24"/>
          <w:szCs w:val="24"/>
        </w:rPr>
        <w:t>ensure transparency and increase the trust of the supplier of the data.</w:t>
      </w:r>
    </w:p>
    <w:p w:rsidR="000B237F" w:rsidRDefault="000175C6">
      <w:pPr>
        <w:pStyle w:val="BodyText3"/>
        <w:numPr>
          <w:ilvl w:val="0"/>
          <w:numId w:val="9"/>
        </w:numPr>
        <w:ind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Specify the exact usage that can be made of the data, including rights on derivatives of the data (analytics). </w:t>
      </w:r>
    </w:p>
    <w:p w:rsidR="000B237F" w:rsidRDefault="000175C6">
      <w:pPr>
        <w:pStyle w:val="BodyText3"/>
        <w:numPr>
          <w:ilvl w:val="0"/>
          <w:numId w:val="9"/>
        </w:numPr>
        <w:ind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Define non-disclosure rules regarding downstream parties. </w:t>
      </w:r>
    </w:p>
    <w:p w:rsidR="000B237F" w:rsidRDefault="000175C6">
      <w:pPr>
        <w:pStyle w:val="BodyText3"/>
        <w:numPr>
          <w:ilvl w:val="0"/>
          <w:numId w:val="7"/>
        </w:numPr>
        <w:ind w:hanging="357"/>
        <w:jc w:val="both"/>
        <w:rPr>
          <w:rFonts w:ascii="Times New Roman" w:hAnsi="Times New Roman" w:cs="Times New Roman"/>
          <w:noProof/>
          <w:sz w:val="24"/>
          <w:szCs w:val="24"/>
        </w:rPr>
      </w:pPr>
      <w:r>
        <w:rPr>
          <w:rFonts w:ascii="Times New Roman" w:hAnsi="Times New Roman" w:cs="Times New Roman"/>
          <w:noProof/>
          <w:sz w:val="24"/>
          <w:szCs w:val="24"/>
        </w:rPr>
        <w:t>Define the te</w:t>
      </w:r>
      <w:r>
        <w:rPr>
          <w:rFonts w:ascii="Times New Roman" w:hAnsi="Times New Roman" w:cs="Times New Roman"/>
          <w:noProof/>
          <w:sz w:val="24"/>
          <w:szCs w:val="24"/>
        </w:rPr>
        <w:t>chnical means for the data access and/or exchange, including</w:t>
      </w:r>
    </w:p>
    <w:p w:rsidR="000B237F" w:rsidRDefault="000175C6">
      <w:pPr>
        <w:pStyle w:val="BodyText3"/>
        <w:numPr>
          <w:ilvl w:val="0"/>
          <w:numId w:val="10"/>
        </w:numPr>
        <w:ind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Frequency of data access and maximum loads; </w:t>
      </w:r>
    </w:p>
    <w:p w:rsidR="000B237F" w:rsidRDefault="000175C6">
      <w:pPr>
        <w:pStyle w:val="BodyText3"/>
        <w:numPr>
          <w:ilvl w:val="0"/>
          <w:numId w:val="10"/>
        </w:numPr>
        <w:ind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IT security requirements; </w:t>
      </w:r>
    </w:p>
    <w:p w:rsidR="000B237F" w:rsidRDefault="000175C6">
      <w:pPr>
        <w:pStyle w:val="BodyText3"/>
        <w:numPr>
          <w:ilvl w:val="0"/>
          <w:numId w:val="10"/>
        </w:numPr>
        <w:ind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Service levels for support. </w:t>
      </w:r>
    </w:p>
    <w:p w:rsidR="000B237F" w:rsidRDefault="000175C6">
      <w:pPr>
        <w:pStyle w:val="BodyText3"/>
        <w:numPr>
          <w:ilvl w:val="0"/>
          <w:numId w:val="7"/>
        </w:numPr>
        <w:ind w:hanging="357"/>
        <w:jc w:val="both"/>
        <w:rPr>
          <w:rFonts w:ascii="Times New Roman" w:hAnsi="Times New Roman" w:cs="Times New Roman"/>
          <w:noProof/>
          <w:sz w:val="24"/>
          <w:szCs w:val="24"/>
        </w:rPr>
      </w:pPr>
      <w:r>
        <w:rPr>
          <w:rFonts w:ascii="Times New Roman" w:hAnsi="Times New Roman" w:cs="Times New Roman"/>
          <w:noProof/>
          <w:sz w:val="24"/>
          <w:szCs w:val="24"/>
        </w:rPr>
        <w:t>What data do I need to protect and how do I protect it?</w:t>
      </w:r>
    </w:p>
    <w:p w:rsidR="000B237F" w:rsidRDefault="000175C6">
      <w:pPr>
        <w:pStyle w:val="BodyText3"/>
        <w:numPr>
          <w:ilvl w:val="0"/>
          <w:numId w:val="20"/>
        </w:numPr>
        <w:ind w:hanging="357"/>
        <w:jc w:val="both"/>
        <w:rPr>
          <w:rFonts w:ascii="Times New Roman" w:hAnsi="Times New Roman" w:cs="Times New Roman"/>
          <w:noProof/>
          <w:sz w:val="24"/>
          <w:szCs w:val="24"/>
        </w:rPr>
      </w:pPr>
      <w:r>
        <w:rPr>
          <w:rFonts w:ascii="Times New Roman" w:hAnsi="Times New Roman" w:cs="Times New Roman"/>
          <w:noProof/>
          <w:sz w:val="24"/>
          <w:szCs w:val="24"/>
        </w:rPr>
        <w:t>Ensure that proper measures to protect</w:t>
      </w:r>
      <w:r>
        <w:rPr>
          <w:rFonts w:ascii="Times New Roman" w:hAnsi="Times New Roman" w:cs="Times New Roman"/>
          <w:noProof/>
          <w:sz w:val="24"/>
          <w:szCs w:val="24"/>
        </w:rPr>
        <w:t xml:space="preserve"> your data are in place. These measures should apply to data sharing transactions and to data storage as data can be subject to theft or misuse by organised crime groups and individual hackers. Data can also be released accidentally, for example through hu</w:t>
      </w:r>
      <w:r>
        <w:rPr>
          <w:rFonts w:ascii="Times New Roman" w:hAnsi="Times New Roman" w:cs="Times New Roman"/>
          <w:noProof/>
          <w:sz w:val="24"/>
          <w:szCs w:val="24"/>
        </w:rPr>
        <w:t>man error or because of a technical problem. Data can also be subject to unauthorised access or disclosure or can be lost.</w:t>
      </w:r>
    </w:p>
    <w:p w:rsidR="000B237F" w:rsidRDefault="000175C6">
      <w:pPr>
        <w:pStyle w:val="BodyText3"/>
        <w:numPr>
          <w:ilvl w:val="0"/>
          <w:numId w:val="20"/>
        </w:numPr>
        <w:ind w:hanging="357"/>
        <w:jc w:val="both"/>
        <w:rPr>
          <w:rFonts w:ascii="Times New Roman" w:hAnsi="Times New Roman" w:cs="Times New Roman"/>
          <w:noProof/>
          <w:sz w:val="24"/>
          <w:szCs w:val="24"/>
        </w:rPr>
      </w:pPr>
      <w:r>
        <w:rPr>
          <w:rFonts w:ascii="Times New Roman" w:hAnsi="Times New Roman" w:cs="Times New Roman"/>
          <w:noProof/>
          <w:sz w:val="24"/>
          <w:szCs w:val="24"/>
        </w:rPr>
        <w:t>Ensure the protection of trade secrets, sensitive commercial information, licenses, patents, intellectual property rights. Neither pa</w:t>
      </w:r>
      <w:r>
        <w:rPr>
          <w:rFonts w:ascii="Times New Roman" w:hAnsi="Times New Roman" w:cs="Times New Roman"/>
          <w:noProof/>
          <w:sz w:val="24"/>
          <w:szCs w:val="24"/>
        </w:rPr>
        <w:t>rty shall aim at retrieving sensitive information from the other side as a result of the data exchanges.</w:t>
      </w:r>
    </w:p>
    <w:p w:rsidR="000B237F" w:rsidRDefault="000175C6">
      <w:pPr>
        <w:pStyle w:val="BodyText3"/>
        <w:numPr>
          <w:ilvl w:val="0"/>
          <w:numId w:val="7"/>
        </w:numPr>
        <w:ind w:hanging="357"/>
        <w:jc w:val="both"/>
        <w:rPr>
          <w:rFonts w:ascii="Times New Roman" w:hAnsi="Times New Roman" w:cs="Times New Roman"/>
          <w:noProof/>
          <w:sz w:val="24"/>
          <w:szCs w:val="24"/>
        </w:rPr>
      </w:pPr>
      <w:r>
        <w:rPr>
          <w:rFonts w:ascii="Times New Roman" w:hAnsi="Times New Roman"/>
          <w:noProof/>
          <w:sz w:val="24"/>
          <w:szCs w:val="24"/>
        </w:rPr>
        <w:t>Include rules on liability provisions for supply of erroneous data, disruptions in the data transmission, low quality interpretative work, if shared wi</w:t>
      </w:r>
      <w:r>
        <w:rPr>
          <w:rFonts w:ascii="Times New Roman" w:hAnsi="Times New Roman"/>
          <w:noProof/>
          <w:sz w:val="24"/>
          <w:szCs w:val="24"/>
        </w:rPr>
        <w:t xml:space="preserve">th datasets, or for destruction/loss or alteration of data (if it is unlawful or accidental) that may potentially cause damages. </w:t>
      </w:r>
    </w:p>
    <w:p w:rsidR="000B237F" w:rsidRDefault="000175C6">
      <w:pPr>
        <w:pStyle w:val="BodyText3"/>
        <w:numPr>
          <w:ilvl w:val="0"/>
          <w:numId w:val="7"/>
        </w:numPr>
        <w:ind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Define rights of both parties to perform audits on the respect of the mutual obligations. </w:t>
      </w:r>
    </w:p>
    <w:p w:rsidR="000B237F" w:rsidRDefault="000175C6">
      <w:pPr>
        <w:pStyle w:val="BodyText3"/>
        <w:numPr>
          <w:ilvl w:val="0"/>
          <w:numId w:val="7"/>
        </w:numPr>
        <w:ind w:hanging="357"/>
        <w:jc w:val="both"/>
        <w:rPr>
          <w:rFonts w:ascii="Times New Roman" w:hAnsi="Times New Roman" w:cs="Times New Roman"/>
          <w:noProof/>
          <w:sz w:val="24"/>
          <w:szCs w:val="24"/>
        </w:rPr>
      </w:pPr>
      <w:r>
        <w:rPr>
          <w:rFonts w:ascii="Times New Roman" w:hAnsi="Times New Roman" w:cs="Times New Roman"/>
          <w:noProof/>
          <w:sz w:val="24"/>
          <w:szCs w:val="24"/>
        </w:rPr>
        <w:t>What is the intended duration of th</w:t>
      </w:r>
      <w:r>
        <w:rPr>
          <w:rFonts w:ascii="Times New Roman" w:hAnsi="Times New Roman" w:cs="Times New Roman"/>
          <w:noProof/>
          <w:sz w:val="24"/>
          <w:szCs w:val="24"/>
        </w:rPr>
        <w:t>e contract? What rights to terminate the contract? What notice to be given to your partners?</w:t>
      </w:r>
    </w:p>
    <w:p w:rsidR="000B237F" w:rsidRDefault="000175C6">
      <w:pPr>
        <w:pStyle w:val="BodyText3"/>
        <w:numPr>
          <w:ilvl w:val="0"/>
          <w:numId w:val="7"/>
        </w:numPr>
        <w:spacing w:after="360"/>
        <w:ind w:left="714" w:hanging="357"/>
        <w:jc w:val="both"/>
        <w:rPr>
          <w:rFonts w:ascii="Times New Roman" w:hAnsi="Times New Roman" w:cs="Times New Roman"/>
          <w:noProof/>
          <w:sz w:val="24"/>
          <w:szCs w:val="24"/>
        </w:rPr>
      </w:pPr>
      <w:r>
        <w:rPr>
          <w:rFonts w:ascii="Times New Roman" w:hAnsi="Times New Roman" w:cs="Times New Roman"/>
          <w:noProof/>
          <w:sz w:val="24"/>
          <w:szCs w:val="24"/>
        </w:rPr>
        <w:t>Agree on applicable law and dispute settlement mechanisms.</w:t>
      </w:r>
    </w:p>
    <w:p w:rsidR="000B237F" w:rsidRDefault="000175C6">
      <w:pPr>
        <w:pStyle w:val="BodyText3"/>
        <w:keepNext/>
        <w:spacing w:after="270"/>
        <w:jc w:val="both"/>
        <w:rPr>
          <w:rFonts w:ascii="Times New Roman" w:hAnsi="Times New Roman" w:cs="Times New Roman"/>
          <w:b/>
          <w:noProof/>
          <w:sz w:val="24"/>
          <w:szCs w:val="24"/>
        </w:rPr>
      </w:pPr>
      <w:r>
        <w:rPr>
          <w:rFonts w:ascii="Times New Roman" w:hAnsi="Times New Roman" w:cs="Times New Roman"/>
          <w:b/>
          <w:noProof/>
          <w:sz w:val="24"/>
          <w:szCs w:val="24"/>
        </w:rPr>
        <w:t>3.3. The technical aspects of data sharing</w:t>
      </w:r>
    </w:p>
    <w:p w:rsidR="000B237F" w:rsidRDefault="000175C6">
      <w:pPr>
        <w:spacing w:before="120"/>
        <w:jc w:val="both"/>
        <w:rPr>
          <w:rFonts w:ascii="Times New Roman" w:hAnsi="Times New Roman" w:cs="Times New Roman"/>
          <w:noProof/>
          <w:sz w:val="24"/>
          <w:szCs w:val="24"/>
        </w:rPr>
      </w:pPr>
      <w:r>
        <w:rPr>
          <w:rFonts w:ascii="Times New Roman" w:hAnsi="Times New Roman"/>
          <w:noProof/>
          <w:sz w:val="24"/>
        </w:rPr>
        <w:t xml:space="preserve">There are a number of technical mechanisms for sharing data </w:t>
      </w:r>
      <w:r>
        <w:rPr>
          <w:rFonts w:ascii="Times New Roman" w:hAnsi="Times New Roman"/>
          <w:noProof/>
          <w:sz w:val="24"/>
        </w:rPr>
        <w:t>in the B2B context</w:t>
      </w:r>
      <w:r>
        <w:rPr>
          <w:rFonts w:ascii="Times New Roman" w:hAnsi="Times New Roman" w:cs="Times New Roman"/>
          <w:noProof/>
          <w:sz w:val="24"/>
          <w:szCs w:val="24"/>
        </w:rPr>
        <w:t>. Some of the technical mechanisms can provide data usage rules while offering a trusted and secure environment for the exchange of datasets.</w:t>
      </w:r>
      <w:r>
        <w:rPr>
          <w:rStyle w:val="FootnoteReference"/>
          <w:rFonts w:ascii="Times New Roman" w:hAnsi="Times New Roman" w:cs="Times New Roman"/>
          <w:noProof/>
          <w:sz w:val="24"/>
          <w:szCs w:val="24"/>
        </w:rPr>
        <w:footnoteReference w:id="12"/>
      </w:r>
    </w:p>
    <w:p w:rsidR="000B237F" w:rsidRDefault="000175C6">
      <w:pPr>
        <w:spacing w:before="120"/>
        <w:jc w:val="both"/>
        <w:rPr>
          <w:rFonts w:ascii="Times New Roman" w:hAnsi="Times New Roman"/>
          <w:noProof/>
          <w:sz w:val="24"/>
        </w:rPr>
      </w:pPr>
      <w:r>
        <w:rPr>
          <w:rFonts w:ascii="Times New Roman" w:hAnsi="Times New Roman"/>
          <w:noProof/>
          <w:sz w:val="24"/>
        </w:rPr>
        <w:t>Three types of mechanisms can be distinguished: (a) the data holder makes available selected da</w:t>
      </w:r>
      <w:r>
        <w:rPr>
          <w:rFonts w:ascii="Times New Roman" w:hAnsi="Times New Roman"/>
          <w:noProof/>
          <w:sz w:val="24"/>
        </w:rPr>
        <w:t>ta directly to a larger number of re-users e.g. via an Application Programming Interface; (b) the data holder makes available selected data via an intermediary (a data marketplace) to one or several re-users with limited control over the subsequent use; (c</w:t>
      </w:r>
      <w:r>
        <w:rPr>
          <w:rFonts w:ascii="Times New Roman" w:hAnsi="Times New Roman"/>
          <w:noProof/>
          <w:sz w:val="24"/>
        </w:rPr>
        <w:t xml:space="preserve">) the data holder makes available selected data via an intermediary (a data space or platform) to one or several re-users in an environment that allows stronger control and traceability of the subsequent use. </w:t>
      </w:r>
    </w:p>
    <w:p w:rsidR="000B237F" w:rsidRDefault="000175C6">
      <w:pPr>
        <w:pStyle w:val="ListParagraph"/>
        <w:numPr>
          <w:ilvl w:val="0"/>
          <w:numId w:val="6"/>
        </w:numPr>
        <w:spacing w:before="120"/>
        <w:jc w:val="both"/>
        <w:rPr>
          <w:rFonts w:ascii="Times New Roman" w:hAnsi="Times New Roman"/>
          <w:noProof/>
          <w:sz w:val="24"/>
        </w:rPr>
      </w:pPr>
      <w:r>
        <w:rPr>
          <w:rFonts w:ascii="Times New Roman" w:hAnsi="Times New Roman"/>
          <w:b/>
          <w:noProof/>
          <w:sz w:val="24"/>
        </w:rPr>
        <w:t>One-to-many data sharing via an Application Pr</w:t>
      </w:r>
      <w:r>
        <w:rPr>
          <w:rFonts w:ascii="Times New Roman" w:hAnsi="Times New Roman"/>
          <w:b/>
          <w:noProof/>
          <w:sz w:val="24"/>
        </w:rPr>
        <w:t>ogramming Interface (API) or an Industrial Data Platform</w:t>
      </w:r>
      <w:r>
        <w:rPr>
          <w:rFonts w:ascii="Times New Roman" w:hAnsi="Times New Roman"/>
          <w:noProof/>
          <w:sz w:val="24"/>
        </w:rPr>
        <w:t xml:space="preserve">: </w:t>
      </w:r>
      <w:r>
        <w:rPr>
          <w:rFonts w:ascii="Times New Roman" w:hAnsi="Times New Roman" w:cs="Times New Roman"/>
          <w:noProof/>
          <w:sz w:val="24"/>
          <w:szCs w:val="24"/>
        </w:rPr>
        <w:t>Some companies that are engaging in data interactions with others are using unilateral mechanisms for technically enabling data access such as APIs or specific platforms they have set up for data st</w:t>
      </w:r>
      <w:r>
        <w:rPr>
          <w:rFonts w:ascii="Times New Roman" w:hAnsi="Times New Roman" w:cs="Times New Roman"/>
          <w:noProof/>
          <w:sz w:val="24"/>
          <w:szCs w:val="24"/>
        </w:rPr>
        <w:t xml:space="preserve">orage, processing and exchange. </w:t>
      </w:r>
    </w:p>
    <w:p w:rsidR="000B237F" w:rsidRDefault="000175C6">
      <w:pPr>
        <w:spacing w:before="120"/>
        <w:ind w:left="720"/>
        <w:jc w:val="both"/>
        <w:rPr>
          <w:rFonts w:ascii="Times New Roman" w:hAnsi="Times New Roman" w:cs="Times New Roman"/>
          <w:noProof/>
          <w:sz w:val="24"/>
          <w:szCs w:val="24"/>
        </w:rPr>
      </w:pPr>
      <w:r>
        <w:rPr>
          <w:rFonts w:ascii="Times New Roman" w:hAnsi="Times New Roman" w:cs="Times New Roman"/>
          <w:noProof/>
          <w:sz w:val="24"/>
          <w:szCs w:val="24"/>
        </w:rPr>
        <w:t>Opening access for third parties to data through public APIs, i.e. an API accessible to a wider public and not only to parties inside the same organisation, is becoming more and more common. The number of APIs has increased</w:t>
      </w:r>
      <w:r>
        <w:rPr>
          <w:rFonts w:ascii="Times New Roman" w:hAnsi="Times New Roman" w:cs="Times New Roman"/>
          <w:noProof/>
          <w:sz w:val="24"/>
          <w:szCs w:val="24"/>
        </w:rPr>
        <w:t xml:space="preserve"> dramatically since 2010 and continues to do so.</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w:t>
      </w:r>
    </w:p>
    <w:p w:rsidR="000B237F" w:rsidRDefault="000175C6">
      <w:pPr>
        <w:spacing w:before="120"/>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APIs can allow smaller firms in particular to easily use or re-use business data. User-friendly and well-designed APIs help to create and expand ecosystems with new and innovative products using data that </w:t>
      </w:r>
      <w:r>
        <w:rPr>
          <w:rFonts w:ascii="Times New Roman" w:hAnsi="Times New Roman" w:cs="Times New Roman"/>
          <w:noProof/>
          <w:sz w:val="24"/>
          <w:szCs w:val="24"/>
        </w:rPr>
        <w:t>have already been gathered.</w:t>
      </w:r>
    </w:p>
    <w:p w:rsidR="000B237F" w:rsidRDefault="000175C6">
      <w:pPr>
        <w:spacing w:before="120"/>
        <w:ind w:left="720"/>
        <w:jc w:val="both"/>
        <w:rPr>
          <w:rFonts w:ascii="Times New Roman" w:hAnsi="Times New Roman" w:cs="Times New Roman"/>
          <w:noProof/>
          <w:sz w:val="24"/>
          <w:szCs w:val="24"/>
        </w:rPr>
      </w:pPr>
      <w:r>
        <w:rPr>
          <w:rFonts w:ascii="Times New Roman" w:hAnsi="Times New Roman" w:cs="Times New Roman"/>
          <w:noProof/>
          <w:sz w:val="24"/>
          <w:szCs w:val="24"/>
        </w:rPr>
        <w:t>APIs have the potential to facilitate interoperability, allowing software applications to exchange datasets and data streams.</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Inherently, APIs can include specifications of the datasets themselves and can offer at a technical l</w:t>
      </w:r>
      <w:r>
        <w:rPr>
          <w:rFonts w:ascii="Times New Roman" w:hAnsi="Times New Roman" w:cs="Times New Roman"/>
          <w:noProof/>
          <w:sz w:val="24"/>
          <w:szCs w:val="24"/>
        </w:rPr>
        <w:t xml:space="preserve">evel the management of access rights. </w:t>
      </w:r>
    </w:p>
    <w:p w:rsidR="000B237F" w:rsidRDefault="000175C6">
      <w:pPr>
        <w:ind w:left="720"/>
        <w:jc w:val="both"/>
        <w:rPr>
          <w:rFonts w:ascii="Times New Roman" w:hAnsi="Times New Roman" w:cs="Times New Roman"/>
          <w:noProof/>
          <w:sz w:val="24"/>
          <w:szCs w:val="24"/>
        </w:rPr>
      </w:pPr>
      <w:r>
        <w:rPr>
          <w:rFonts w:ascii="Times New Roman" w:hAnsi="Times New Roman" w:cs="Times New Roman"/>
          <w:noProof/>
          <w:sz w:val="24"/>
          <w:szCs w:val="24"/>
        </w:rPr>
        <w:t>On this basis, the Commission encourages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companies all over Europe to consider using open, standardised and well-documented APIs more broadly. This could include making data available in machine-readable formats and the provision of associated metadata. </w:t>
      </w:r>
    </w:p>
    <w:tbl>
      <w:tblPr>
        <w:tblStyle w:val="TableGrid"/>
        <w:tblW w:w="0" w:type="auto"/>
        <w:tblLook w:val="04A0" w:firstRow="1" w:lastRow="0" w:firstColumn="1" w:lastColumn="0" w:noHBand="0" w:noVBand="1"/>
      </w:tblPr>
      <w:tblGrid>
        <w:gridCol w:w="8961"/>
      </w:tblGrid>
      <w:tr w:rsidR="000B237F">
        <w:trPr>
          <w:trHeight w:val="3402"/>
        </w:trPr>
        <w:tc>
          <w:tcPr>
            <w:tcW w:w="8961" w:type="dxa"/>
          </w:tcPr>
          <w:p w:rsidR="000B237F" w:rsidRDefault="000175C6">
            <w:pPr>
              <w:spacing w:after="120"/>
              <w:jc w:val="both"/>
              <w:rPr>
                <w:rFonts w:ascii="Times New Roman" w:hAnsi="Times New Roman" w:cs="Times New Roman"/>
                <w:noProof/>
              </w:rPr>
            </w:pPr>
            <w:r>
              <w:rPr>
                <w:rFonts w:ascii="Times New Roman" w:hAnsi="Times New Roman" w:cs="Times New Roman"/>
                <w:b/>
                <w:noProof/>
              </w:rPr>
              <w:t>TomTom</w:t>
            </w:r>
            <w:r>
              <w:rPr>
                <w:rFonts w:ascii="Times New Roman" w:hAnsi="Times New Roman" w:cs="Times New Roman"/>
                <w:noProof/>
              </w:rPr>
              <w:t xml:space="preserve"> is a Dutch company that produces t</w:t>
            </w:r>
            <w:r>
              <w:rPr>
                <w:rFonts w:ascii="Times New Roman" w:hAnsi="Times New Roman" w:cs="Times New Roman"/>
                <w:noProof/>
              </w:rPr>
              <w:t>raffic, navigation and mapping products. According to findings recorded by a Commission-funded study</w:t>
            </w:r>
            <w:r>
              <w:rPr>
                <w:rStyle w:val="FootnoteReference"/>
                <w:rFonts w:ascii="Times New Roman" w:hAnsi="Times New Roman" w:cs="Times New Roman"/>
                <w:noProof/>
              </w:rPr>
              <w:footnoteReference w:id="16"/>
            </w:r>
            <w:r>
              <w:rPr>
                <w:rFonts w:ascii="Times New Roman" w:hAnsi="Times New Roman" w:cs="Times New Roman"/>
                <w:noProof/>
              </w:rPr>
              <w:t>, most revenue from the company’s activities comes from the data (maps and online services) licensed to other companies.</w:t>
            </w:r>
          </w:p>
          <w:p w:rsidR="000B237F" w:rsidRDefault="000175C6">
            <w:pPr>
              <w:spacing w:after="120"/>
              <w:jc w:val="both"/>
              <w:rPr>
                <w:rFonts w:ascii="Times New Roman" w:hAnsi="Times New Roman" w:cs="Times New Roman"/>
                <w:noProof/>
              </w:rPr>
            </w:pPr>
            <w:r>
              <w:rPr>
                <w:rFonts w:ascii="Times New Roman" w:hAnsi="Times New Roman" w:cs="Times New Roman"/>
                <w:noProof/>
              </w:rPr>
              <w:t>TomTom offers Application Programm</w:t>
            </w:r>
            <w:r>
              <w:rPr>
                <w:rFonts w:ascii="Times New Roman" w:hAnsi="Times New Roman" w:cs="Times New Roman"/>
                <w:noProof/>
              </w:rPr>
              <w:t>ing Interfaces</w:t>
            </w:r>
            <w:r>
              <w:rPr>
                <w:rStyle w:val="FootnoteReference"/>
                <w:rFonts w:ascii="Times New Roman" w:hAnsi="Times New Roman" w:cs="Times New Roman"/>
                <w:noProof/>
              </w:rPr>
              <w:footnoteReference w:id="17"/>
            </w:r>
            <w:r>
              <w:rPr>
                <w:rFonts w:ascii="Times New Roman" w:hAnsi="Times New Roman" w:cs="Times New Roman"/>
                <w:noProof/>
              </w:rPr>
              <w:t xml:space="preserve"> for developers as a means of data access.</w:t>
            </w:r>
          </w:p>
          <w:p w:rsidR="000B237F" w:rsidRDefault="000175C6">
            <w:pPr>
              <w:spacing w:after="120"/>
              <w:jc w:val="both"/>
              <w:rPr>
                <w:rFonts w:ascii="Times New Roman" w:hAnsi="Times New Roman" w:cs="Times New Roman"/>
                <w:noProof/>
              </w:rPr>
            </w:pPr>
            <w:r>
              <w:rPr>
                <w:rFonts w:ascii="Times New Roman" w:hAnsi="Times New Roman" w:cs="Times New Roman"/>
                <w:noProof/>
              </w:rPr>
              <w:t>According to TomTom this has the following advantages compared to other technical means to share data:</w:t>
            </w:r>
          </w:p>
          <w:p w:rsidR="000B237F" w:rsidRDefault="000175C6">
            <w:pPr>
              <w:pStyle w:val="ListParagraph"/>
              <w:numPr>
                <w:ilvl w:val="0"/>
                <w:numId w:val="3"/>
              </w:numPr>
              <w:jc w:val="both"/>
              <w:rPr>
                <w:rFonts w:ascii="Times New Roman" w:hAnsi="Times New Roman" w:cs="Times New Roman"/>
                <w:noProof/>
              </w:rPr>
            </w:pPr>
            <w:r>
              <w:rPr>
                <w:rFonts w:ascii="Times New Roman" w:hAnsi="Times New Roman" w:cs="Times New Roman"/>
                <w:noProof/>
              </w:rPr>
              <w:t xml:space="preserve">Easy and swift access to data </w:t>
            </w:r>
          </w:p>
          <w:p w:rsidR="000B237F" w:rsidRDefault="000175C6">
            <w:pPr>
              <w:pStyle w:val="ListParagraph"/>
              <w:numPr>
                <w:ilvl w:val="0"/>
                <w:numId w:val="3"/>
              </w:numPr>
              <w:jc w:val="both"/>
              <w:rPr>
                <w:rFonts w:ascii="Times New Roman" w:hAnsi="Times New Roman" w:cs="Times New Roman"/>
                <w:noProof/>
              </w:rPr>
            </w:pPr>
            <w:r>
              <w:rPr>
                <w:rFonts w:ascii="Times New Roman" w:hAnsi="Times New Roman" w:cs="Times New Roman"/>
                <w:noProof/>
              </w:rPr>
              <w:t>Monitoring the use of data</w:t>
            </w:r>
          </w:p>
          <w:p w:rsidR="000B237F" w:rsidRDefault="000175C6">
            <w:pPr>
              <w:pStyle w:val="ListParagraph"/>
              <w:numPr>
                <w:ilvl w:val="0"/>
                <w:numId w:val="3"/>
              </w:numPr>
              <w:jc w:val="both"/>
              <w:rPr>
                <w:rFonts w:ascii="Times New Roman" w:hAnsi="Times New Roman" w:cs="Times New Roman"/>
                <w:noProof/>
              </w:rPr>
            </w:pPr>
            <w:r>
              <w:rPr>
                <w:rFonts w:ascii="Times New Roman" w:hAnsi="Times New Roman" w:cs="Times New Roman"/>
                <w:noProof/>
              </w:rPr>
              <w:t xml:space="preserve">Verification of breaches of contract </w:t>
            </w:r>
          </w:p>
          <w:p w:rsidR="000B237F" w:rsidRDefault="000175C6">
            <w:pPr>
              <w:pStyle w:val="ListParagraph"/>
              <w:numPr>
                <w:ilvl w:val="0"/>
                <w:numId w:val="3"/>
              </w:numPr>
              <w:jc w:val="both"/>
              <w:rPr>
                <w:rFonts w:ascii="Times New Roman" w:hAnsi="Times New Roman"/>
                <w:noProof/>
                <w:sz w:val="23"/>
              </w:rPr>
            </w:pPr>
            <w:r>
              <w:rPr>
                <w:rFonts w:ascii="Times New Roman" w:hAnsi="Times New Roman" w:cs="Times New Roman"/>
                <w:noProof/>
              </w:rPr>
              <w:t>Rapid action on cases of data misuse (i.e. terminate or suspend access to data)</w:t>
            </w:r>
          </w:p>
        </w:tc>
      </w:tr>
    </w:tbl>
    <w:p w:rsidR="000B237F" w:rsidRDefault="000B237F">
      <w:pPr>
        <w:spacing w:after="0"/>
        <w:ind w:left="360"/>
        <w:jc w:val="both"/>
        <w:rPr>
          <w:rFonts w:ascii="Times New Roman" w:hAnsi="Times New Roman" w:cs="Times New Roman"/>
          <w:noProof/>
          <w:sz w:val="24"/>
          <w:szCs w:val="24"/>
        </w:rPr>
      </w:pPr>
    </w:p>
    <w:p w:rsidR="000B237F" w:rsidRDefault="000175C6">
      <w:pPr>
        <w:spacing w:after="0"/>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Companies, in particular larger companies, also develop dedicated </w:t>
      </w:r>
      <w:r>
        <w:rPr>
          <w:rFonts w:ascii="Times New Roman" w:hAnsi="Times New Roman" w:cs="Times New Roman"/>
          <w:b/>
          <w:noProof/>
          <w:sz w:val="24"/>
          <w:szCs w:val="24"/>
        </w:rPr>
        <w:t>data platforms</w:t>
      </w:r>
      <w:r>
        <w:rPr>
          <w:rFonts w:ascii="Times New Roman" w:hAnsi="Times New Roman" w:cs="Times New Roman"/>
          <w:noProof/>
          <w:sz w:val="24"/>
          <w:szCs w:val="24"/>
        </w:rPr>
        <w:t xml:space="preserve"> in order to manage regular data interactions with third parties. They offer additional functionalities when it comes to data exchange, in particular for two-way data exchange, for storage inside the platform and for additional services to be provided on t</w:t>
      </w:r>
      <w:r>
        <w:rPr>
          <w:rFonts w:ascii="Times New Roman" w:hAnsi="Times New Roman" w:cs="Times New Roman"/>
          <w:noProof/>
          <w:sz w:val="24"/>
          <w:szCs w:val="24"/>
        </w:rPr>
        <w:t xml:space="preserve">op of the data (based on data analytics). </w:t>
      </w:r>
    </w:p>
    <w:p w:rsidR="000B237F" w:rsidRDefault="000B237F">
      <w:pPr>
        <w:spacing w:after="0"/>
        <w:ind w:left="360"/>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8928"/>
      </w:tblGrid>
      <w:tr w:rsidR="000B237F">
        <w:tc>
          <w:tcPr>
            <w:tcW w:w="8928" w:type="dxa"/>
          </w:tcPr>
          <w:p w:rsidR="000B237F" w:rsidRDefault="000175C6">
            <w:pPr>
              <w:spacing w:after="120"/>
              <w:jc w:val="both"/>
              <w:rPr>
                <w:rFonts w:ascii="Times New Roman" w:hAnsi="Times New Roman" w:cs="Times New Roman"/>
                <w:noProof/>
              </w:rPr>
            </w:pPr>
            <w:r>
              <w:rPr>
                <w:rFonts w:ascii="Times New Roman" w:hAnsi="Times New Roman" w:cs="Times New Roman"/>
                <w:b/>
                <w:noProof/>
              </w:rPr>
              <w:t>Airbus</w:t>
            </w:r>
            <w:r>
              <w:rPr>
                <w:rFonts w:ascii="Times New Roman" w:hAnsi="Times New Roman" w:cs="Times New Roman"/>
                <w:noProof/>
              </w:rPr>
              <w:t xml:space="preserve"> is a European multinational corporation that designs, manufactures, and sells civil and military aeronautical products. </w:t>
            </w:r>
          </w:p>
          <w:p w:rsidR="000B237F" w:rsidRDefault="000175C6">
            <w:pPr>
              <w:spacing w:after="120"/>
              <w:jc w:val="both"/>
              <w:rPr>
                <w:rFonts w:ascii="Times New Roman" w:hAnsi="Times New Roman" w:cs="Times New Roman"/>
                <w:noProof/>
              </w:rPr>
            </w:pPr>
            <w:r>
              <w:rPr>
                <w:rFonts w:ascii="Times New Roman" w:hAnsi="Times New Roman" w:cs="Times New Roman"/>
                <w:noProof/>
              </w:rPr>
              <w:t>Having used various ways of making available data to authorities and business partne</w:t>
            </w:r>
            <w:r>
              <w:rPr>
                <w:rFonts w:ascii="Times New Roman" w:hAnsi="Times New Roman" w:cs="Times New Roman"/>
                <w:noProof/>
              </w:rPr>
              <w:t>rs, in June 2017 Airbus launched Skywise</w:t>
            </w:r>
            <w:r>
              <w:rPr>
                <w:rStyle w:val="FootnoteReference"/>
                <w:rFonts w:ascii="Times New Roman" w:hAnsi="Times New Roman" w:cs="Times New Roman"/>
                <w:noProof/>
              </w:rPr>
              <w:footnoteReference w:id="18"/>
            </w:r>
            <w:r>
              <w:rPr>
                <w:rFonts w:ascii="Times New Roman" w:hAnsi="Times New Roman" w:cs="Times New Roman"/>
                <w:noProof/>
              </w:rPr>
              <w:t xml:space="preserve"> – an "open digital platform for aviation".</w:t>
            </w:r>
          </w:p>
          <w:p w:rsidR="000B237F" w:rsidRDefault="000175C6">
            <w:pPr>
              <w:spacing w:after="120"/>
              <w:jc w:val="both"/>
              <w:rPr>
                <w:rFonts w:ascii="Times New Roman" w:hAnsi="Times New Roman" w:cs="Times New Roman"/>
                <w:noProof/>
              </w:rPr>
            </w:pPr>
            <w:r>
              <w:rPr>
                <w:rFonts w:ascii="Times New Roman" w:hAnsi="Times New Roman" w:cs="Times New Roman"/>
                <w:noProof/>
              </w:rPr>
              <w:t xml:space="preserve">Client companies make data available in return for services based on data analytics. </w:t>
            </w:r>
          </w:p>
          <w:p w:rsidR="000B237F" w:rsidRDefault="000175C6">
            <w:pPr>
              <w:spacing w:after="120"/>
              <w:jc w:val="both"/>
              <w:rPr>
                <w:rFonts w:ascii="Times New Roman" w:hAnsi="Times New Roman" w:cs="Times New Roman"/>
                <w:noProof/>
                <w:sz w:val="24"/>
                <w:szCs w:val="24"/>
              </w:rPr>
            </w:pPr>
            <w:r>
              <w:rPr>
                <w:rFonts w:ascii="Times New Roman" w:hAnsi="Times New Roman" w:cs="Times New Roman"/>
                <w:noProof/>
              </w:rPr>
              <w:t>Based on Hadoop software, the main advantage of this technical approach is the seamle</w:t>
            </w:r>
            <w:r>
              <w:rPr>
                <w:rFonts w:ascii="Times New Roman" w:hAnsi="Times New Roman" w:cs="Times New Roman"/>
                <w:noProof/>
              </w:rPr>
              <w:t xml:space="preserve">ss integration with airlines’ existing IT infrastructures, thereby making it easy for participants to make their data available on the platform. Airbus can work on the basis of the original file format and return insights through the platform using common </w:t>
            </w:r>
            <w:r>
              <w:rPr>
                <w:rFonts w:ascii="Times New Roman" w:hAnsi="Times New Roman" w:cs="Times New Roman"/>
                <w:noProof/>
              </w:rPr>
              <w:t>tables and visualisation tools.</w:t>
            </w:r>
          </w:p>
        </w:tc>
      </w:tr>
    </w:tbl>
    <w:p w:rsidR="000B237F" w:rsidRDefault="000B237F">
      <w:pPr>
        <w:ind w:left="360"/>
        <w:jc w:val="both"/>
        <w:rPr>
          <w:rFonts w:ascii="Times New Roman" w:hAnsi="Times New Roman" w:cs="Times New Roman"/>
          <w:noProof/>
          <w:sz w:val="24"/>
          <w:szCs w:val="24"/>
        </w:rPr>
      </w:pPr>
    </w:p>
    <w:p w:rsidR="000B237F" w:rsidRDefault="000175C6">
      <w:pPr>
        <w:rPr>
          <w:rFonts w:ascii="Times New Roman" w:hAnsi="Times New Roman" w:cs="Times New Roman"/>
          <w:b/>
          <w:noProof/>
          <w:sz w:val="24"/>
          <w:szCs w:val="24"/>
        </w:rPr>
      </w:pPr>
      <w:r>
        <w:rPr>
          <w:rFonts w:ascii="Times New Roman" w:hAnsi="Times New Roman" w:cs="Times New Roman"/>
          <w:b/>
          <w:noProof/>
          <w:sz w:val="24"/>
          <w:szCs w:val="24"/>
        </w:rPr>
        <w:br w:type="page"/>
      </w:r>
    </w:p>
    <w:p w:rsidR="000B237F" w:rsidRDefault="000175C6">
      <w:pPr>
        <w:pStyle w:val="ListParagraph"/>
        <w:numPr>
          <w:ilvl w:val="0"/>
          <w:numId w:val="6"/>
        </w:numPr>
        <w:spacing w:before="120" w:after="0"/>
        <w:jc w:val="both"/>
        <w:rPr>
          <w:rFonts w:ascii="Times New Roman" w:hAnsi="Times New Roman" w:cs="Times New Roman"/>
          <w:noProof/>
          <w:sz w:val="24"/>
          <w:szCs w:val="24"/>
        </w:rPr>
      </w:pPr>
      <w:r>
        <w:rPr>
          <w:rFonts w:ascii="Times New Roman" w:hAnsi="Times New Roman" w:cs="Times New Roman"/>
          <w:b/>
          <w:noProof/>
          <w:sz w:val="24"/>
          <w:szCs w:val="24"/>
        </w:rPr>
        <w:t>Data monetisation via a many-to-many data marketplace</w:t>
      </w:r>
      <w:r>
        <w:rPr>
          <w:rFonts w:ascii="Times New Roman" w:hAnsi="Times New Roman" w:cs="Times New Roman"/>
          <w:noProof/>
          <w:sz w:val="24"/>
          <w:szCs w:val="24"/>
        </w:rPr>
        <w:t>: The term "data marketplace" is employed here in order to designate a specific type of intermediary that may have three essential functions: (1) match-making between potential data supplier and data buyer; this can include specific settings in which poten</w:t>
      </w:r>
      <w:r>
        <w:rPr>
          <w:rFonts w:ascii="Times New Roman" w:hAnsi="Times New Roman" w:cs="Times New Roman"/>
          <w:noProof/>
          <w:sz w:val="24"/>
          <w:szCs w:val="24"/>
        </w:rPr>
        <w:t>tial supplier and potential buyer can remain anonymous in a first part of the establishment of the data transfer preparation as the intent to supply or to buy can reveal already secret business information (future business strategies); (2) the actual trans</w:t>
      </w:r>
      <w:r>
        <w:rPr>
          <w:rFonts w:ascii="Times New Roman" w:hAnsi="Times New Roman" w:cs="Times New Roman"/>
          <w:noProof/>
          <w:sz w:val="24"/>
          <w:szCs w:val="24"/>
        </w:rPr>
        <w:t xml:space="preserve">fer of the data (and the agreed compensation), notably the creation of trust that the object of the negotiation will not be altered during the course of the negotiations; (3) a certification function that the transaction has actually happened, interesting </w:t>
      </w:r>
      <w:r>
        <w:rPr>
          <w:rFonts w:ascii="Times New Roman" w:hAnsi="Times New Roman" w:cs="Times New Roman"/>
          <w:noProof/>
          <w:sz w:val="24"/>
          <w:szCs w:val="24"/>
        </w:rPr>
        <w:t>potentially for reporting in the corporate balance sheet. Furthermore, such intermediaries can provide additional services such as model contract clauses or anonymization services (if personal or confidential data are exchanged). The role of this type of i</w:t>
      </w:r>
      <w:r>
        <w:rPr>
          <w:rFonts w:ascii="Times New Roman" w:hAnsi="Times New Roman" w:cs="Times New Roman"/>
          <w:noProof/>
          <w:sz w:val="24"/>
          <w:szCs w:val="24"/>
        </w:rPr>
        <w:t xml:space="preserve">ntermediary ends once the data have been transferred. </w:t>
      </w:r>
    </w:p>
    <w:p w:rsidR="000B237F" w:rsidRDefault="000B237F">
      <w:pPr>
        <w:pStyle w:val="ListParagraph"/>
        <w:spacing w:before="120" w:after="0"/>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039"/>
      </w:tblGrid>
      <w:tr w:rsidR="000B237F">
        <w:tc>
          <w:tcPr>
            <w:tcW w:w="9039" w:type="dxa"/>
          </w:tcPr>
          <w:p w:rsidR="000B237F" w:rsidRDefault="000175C6">
            <w:pPr>
              <w:spacing w:after="120"/>
              <w:rPr>
                <w:rFonts w:ascii="Times New Roman" w:hAnsi="Times New Roman" w:cs="Times New Roman"/>
                <w:noProof/>
              </w:rPr>
            </w:pPr>
            <w:r>
              <w:rPr>
                <w:rFonts w:ascii="Times New Roman" w:hAnsi="Times New Roman" w:cs="Times New Roman"/>
                <w:b/>
                <w:noProof/>
              </w:rPr>
              <w:t>DAWEX</w:t>
            </w:r>
            <w:r>
              <w:rPr>
                <w:rStyle w:val="FootnoteReference"/>
                <w:rFonts w:ascii="Times New Roman" w:hAnsi="Times New Roman" w:cs="Times New Roman"/>
                <w:noProof/>
              </w:rPr>
              <w:footnoteReference w:id="19"/>
            </w:r>
            <w:r>
              <w:rPr>
                <w:rFonts w:ascii="Times New Roman" w:hAnsi="Times New Roman" w:cs="Times New Roman"/>
                <w:noProof/>
              </w:rPr>
              <w:t xml:space="preserve">is a French company describing itself as a "global data marketplace" that was founded in 2015. </w:t>
            </w:r>
          </w:p>
          <w:p w:rsidR="000B237F" w:rsidRDefault="000175C6">
            <w:pPr>
              <w:spacing w:after="120"/>
              <w:jc w:val="both"/>
              <w:rPr>
                <w:rFonts w:ascii="Times New Roman" w:hAnsi="Times New Roman" w:cs="Times New Roman"/>
                <w:noProof/>
              </w:rPr>
            </w:pPr>
            <w:r>
              <w:rPr>
                <w:rFonts w:ascii="Times New Roman" w:hAnsi="Times New Roman" w:cs="Times New Roman"/>
                <w:noProof/>
              </w:rPr>
              <w:t>Dawex does not purchase or sell data. Instead, Dawex brings together companies interested in monet</w:t>
            </w:r>
            <w:r>
              <w:rPr>
                <w:rFonts w:ascii="Times New Roman" w:hAnsi="Times New Roman" w:cs="Times New Roman"/>
                <w:noProof/>
              </w:rPr>
              <w:t>ising and re-using data, and fosters transparency between data suppliers and users by ensuring that they communicate and conduct the transaction directly on the platform.</w:t>
            </w:r>
          </w:p>
          <w:p w:rsidR="000B237F" w:rsidRDefault="000175C6">
            <w:pPr>
              <w:spacing w:after="120"/>
              <w:jc w:val="both"/>
              <w:rPr>
                <w:noProof/>
              </w:rPr>
            </w:pPr>
            <w:r>
              <w:rPr>
                <w:rFonts w:ascii="Times New Roman" w:hAnsi="Times New Roman" w:cs="Times New Roman"/>
                <w:noProof/>
              </w:rPr>
              <w:t>Dawex developed a series of tools to help both data suppliers and users to understand</w:t>
            </w:r>
            <w:r>
              <w:rPr>
                <w:rFonts w:ascii="Times New Roman" w:hAnsi="Times New Roman" w:cs="Times New Roman"/>
                <w:noProof/>
              </w:rPr>
              <w:t>, assess and communicate about the data. Visualisation tools (e.g. heat maps, tree maps) provide data users with different information about a complete dataset that can be securely shared before a transaction is completed. Sampling tools automatically gene</w:t>
            </w:r>
            <w:r>
              <w:rPr>
                <w:rFonts w:ascii="Times New Roman" w:hAnsi="Times New Roman" w:cs="Times New Roman"/>
                <w:noProof/>
              </w:rPr>
              <w:t>rate representative data samples based on algorithms to avoid any bias. Data users and data suppliers communicate using a messaging tool embedded in the platform. Additionally, DAWEX supports the negotiation of the contractual agreement by model terms that</w:t>
            </w:r>
            <w:r>
              <w:rPr>
                <w:rFonts w:ascii="Times New Roman" w:hAnsi="Times New Roman" w:cs="Times New Roman"/>
                <w:noProof/>
              </w:rPr>
              <w:t xml:space="preserve"> can be automatically generated.</w:t>
            </w:r>
          </w:p>
        </w:tc>
      </w:tr>
    </w:tbl>
    <w:p w:rsidR="000B237F" w:rsidRDefault="000B237F">
      <w:pPr>
        <w:pStyle w:val="ListParagraph"/>
        <w:spacing w:after="0"/>
        <w:jc w:val="both"/>
        <w:rPr>
          <w:rFonts w:ascii="Times New Roman" w:hAnsi="Times New Roman" w:cs="Times New Roman"/>
          <w:noProof/>
          <w:sz w:val="24"/>
          <w:szCs w:val="24"/>
        </w:rPr>
      </w:pPr>
    </w:p>
    <w:p w:rsidR="000B237F" w:rsidRDefault="000175C6">
      <w:pPr>
        <w:rPr>
          <w:rFonts w:ascii="Times New Roman" w:hAnsi="Times New Roman" w:cs="Times New Roman"/>
          <w:b/>
          <w:noProof/>
          <w:sz w:val="24"/>
          <w:szCs w:val="24"/>
        </w:rPr>
      </w:pPr>
      <w:r>
        <w:rPr>
          <w:rFonts w:ascii="Times New Roman" w:hAnsi="Times New Roman" w:cs="Times New Roman"/>
          <w:b/>
          <w:noProof/>
          <w:sz w:val="24"/>
          <w:szCs w:val="24"/>
        </w:rPr>
        <w:br w:type="page"/>
      </w:r>
    </w:p>
    <w:p w:rsidR="000B237F" w:rsidRDefault="000175C6">
      <w:pPr>
        <w:pStyle w:val="ListParagraph"/>
        <w:numPr>
          <w:ilvl w:val="0"/>
          <w:numId w:val="6"/>
        </w:numPr>
        <w:spacing w:after="0"/>
        <w:jc w:val="both"/>
        <w:rPr>
          <w:rFonts w:ascii="Times New Roman" w:hAnsi="Times New Roman" w:cs="Times New Roman"/>
          <w:noProof/>
          <w:sz w:val="24"/>
          <w:szCs w:val="24"/>
        </w:rPr>
      </w:pPr>
      <w:r>
        <w:rPr>
          <w:rFonts w:ascii="Times New Roman" w:hAnsi="Times New Roman" w:cs="Times New Roman"/>
          <w:b/>
          <w:noProof/>
          <w:sz w:val="24"/>
          <w:szCs w:val="24"/>
        </w:rPr>
        <w:t>Data sharing via a technical enabler</w:t>
      </w:r>
      <w:r>
        <w:rPr>
          <w:rFonts w:ascii="Times New Roman" w:hAnsi="Times New Roman" w:cs="Times New Roman"/>
          <w:noProof/>
          <w:sz w:val="24"/>
          <w:szCs w:val="24"/>
        </w:rPr>
        <w:t>: Different from the type of intermediary discussed above, such technical enablers have a strong focus on providing services in addition to a data exchange such as processing the relevant data in view of responding to certain business needs or questions. M</w:t>
      </w:r>
      <w:r>
        <w:rPr>
          <w:rFonts w:ascii="Times New Roman" w:hAnsi="Times New Roman" w:cs="Times New Roman"/>
          <w:noProof/>
          <w:sz w:val="24"/>
          <w:szCs w:val="24"/>
        </w:rPr>
        <w:t>ost importantly, such type of intermediary would offer additional features allowing the data supplier to control the use made of the data, in particular the respect of the provisions of the data transfer agreement. This can include forms of track-and-trace</w:t>
      </w:r>
      <w:r>
        <w:rPr>
          <w:rFonts w:ascii="Times New Roman" w:hAnsi="Times New Roman" w:cs="Times New Roman"/>
          <w:noProof/>
          <w:sz w:val="24"/>
          <w:szCs w:val="24"/>
        </w:rPr>
        <w:t xml:space="preserve"> of data usage made, e.g. the logging of all data access and processing actions – potentially using distributed ledger technology (blockchain), or developing forms of digital watermarking. The intermediary may also develop instances of self-regulation with</w:t>
      </w:r>
      <w:r>
        <w:rPr>
          <w:rFonts w:ascii="Times New Roman" w:hAnsi="Times New Roman" w:cs="Times New Roman"/>
          <w:noProof/>
          <w:sz w:val="24"/>
          <w:szCs w:val="24"/>
        </w:rPr>
        <w:t xml:space="preserve">in the community of users of the data space or platform, possibly including a set of sanctions for data users in violation of individual data transfer agreements. </w:t>
      </w:r>
    </w:p>
    <w:p w:rsidR="000B237F" w:rsidRDefault="000B237F">
      <w:pPr>
        <w:spacing w:after="0"/>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039"/>
      </w:tblGrid>
      <w:tr w:rsidR="000B237F">
        <w:tc>
          <w:tcPr>
            <w:tcW w:w="9039" w:type="dxa"/>
          </w:tcPr>
          <w:p w:rsidR="000B237F" w:rsidRDefault="000175C6">
            <w:pPr>
              <w:spacing w:after="120"/>
              <w:jc w:val="both"/>
              <w:rPr>
                <w:rFonts w:ascii="Times New Roman" w:hAnsi="Times New Roman" w:cs="Times New Roman"/>
                <w:noProof/>
                <w:shd w:val="clear" w:color="auto" w:fill="FFFFFF"/>
              </w:rPr>
            </w:pPr>
            <w:r>
              <w:rPr>
                <w:rFonts w:ascii="Times New Roman" w:hAnsi="Times New Roman" w:cs="Times New Roman"/>
                <w:b/>
                <w:noProof/>
                <w:shd w:val="clear" w:color="auto" w:fill="FFFFFF"/>
              </w:rPr>
              <w:t>Nallian</w:t>
            </w:r>
            <w:r>
              <w:rPr>
                <w:rStyle w:val="FootnoteReference"/>
                <w:rFonts w:ascii="Times New Roman" w:hAnsi="Times New Roman" w:cs="Times New Roman"/>
                <w:b/>
                <w:noProof/>
                <w:shd w:val="clear" w:color="auto" w:fill="FFFFFF"/>
              </w:rPr>
              <w:footnoteReference w:id="20"/>
            </w:r>
            <w:r>
              <w:rPr>
                <w:rFonts w:ascii="Times New Roman" w:hAnsi="Times New Roman" w:cs="Times New Roman"/>
                <w:noProof/>
                <w:shd w:val="clear" w:color="auto" w:fill="FFFFFF"/>
              </w:rPr>
              <w:t xml:space="preserve"> has developed a cloud-based platform that enables real-time data sharing and suppo</w:t>
            </w:r>
            <w:r>
              <w:rPr>
                <w:rFonts w:ascii="Times New Roman" w:hAnsi="Times New Roman" w:cs="Times New Roman"/>
                <w:noProof/>
                <w:shd w:val="clear" w:color="auto" w:fill="FFFFFF"/>
              </w:rPr>
              <w:t>rts process synchronisation. The company works with a basic data sharing technology layer that can be customised to meet the needs of data users in a particular community or domain. The platform is based on cloud technology combined with a community manage</w:t>
            </w:r>
            <w:r>
              <w:rPr>
                <w:rFonts w:ascii="Times New Roman" w:hAnsi="Times New Roman" w:cs="Times New Roman"/>
                <w:noProof/>
                <w:shd w:val="clear" w:color="auto" w:fill="FFFFFF"/>
              </w:rPr>
              <w:t>ment tool.</w:t>
            </w:r>
          </w:p>
          <w:p w:rsidR="000B237F" w:rsidRDefault="000175C6">
            <w:pPr>
              <w:spacing w:after="120"/>
              <w:jc w:val="both"/>
              <w:rPr>
                <w:rFonts w:ascii="Times New Roman" w:hAnsi="Times New Roman" w:cs="Times New Roman"/>
                <w:noProof/>
              </w:rPr>
            </w:pPr>
            <w:r>
              <w:rPr>
                <w:rFonts w:ascii="Times New Roman" w:hAnsi="Times New Roman" w:cs="Times New Roman"/>
                <w:noProof/>
              </w:rPr>
              <w:t>The current users of Nallian’s technical solution are companies working in logistics, in vertical supply chains and in multimodal transport networks. For these companies, the ability to overcome fragmentation issues and share data in a seamless way appears</w:t>
            </w:r>
            <w:r>
              <w:rPr>
                <w:rFonts w:ascii="Times New Roman" w:hAnsi="Times New Roman" w:cs="Times New Roman"/>
                <w:noProof/>
              </w:rPr>
              <w:t xml:space="preserve"> to be key. </w:t>
            </w:r>
          </w:p>
          <w:p w:rsidR="000B237F" w:rsidRDefault="000175C6">
            <w:pPr>
              <w:spacing w:after="120"/>
              <w:jc w:val="both"/>
              <w:rPr>
                <w:rFonts w:ascii="Times New Roman" w:hAnsi="Times New Roman" w:cs="Times New Roman"/>
                <w:noProof/>
              </w:rPr>
            </w:pPr>
            <w:r>
              <w:rPr>
                <w:rFonts w:ascii="Times New Roman" w:hAnsi="Times New Roman" w:cs="Times New Roman"/>
                <w:noProof/>
              </w:rPr>
              <w:t>The platform accepts a wide range of options to inject data to the cloud: from simple file uploads to API-based integrations. The platform is enriched with value-added APIs and apps that use a common data model in order to take advantage of al</w:t>
            </w:r>
            <w:r>
              <w:rPr>
                <w:rFonts w:ascii="Times New Roman" w:hAnsi="Times New Roman" w:cs="Times New Roman"/>
                <w:noProof/>
              </w:rPr>
              <w:t>l data stored on the platform and provide valuable insights to users. Finally, the platform also accepts data pushed through connected devices or B2B messages exchanged through electronic data interchange (EDI).</w:t>
            </w:r>
          </w:p>
          <w:p w:rsidR="000B237F" w:rsidRDefault="000175C6">
            <w:pPr>
              <w:spacing w:after="120"/>
              <w:jc w:val="both"/>
              <w:rPr>
                <w:rFonts w:ascii="Times New Roman" w:hAnsi="Times New Roman" w:cs="Times New Roman"/>
                <w:noProof/>
                <w:sz w:val="24"/>
                <w:szCs w:val="24"/>
              </w:rPr>
            </w:pPr>
            <w:r>
              <w:rPr>
                <w:rFonts w:ascii="Times New Roman" w:hAnsi="Times New Roman" w:cs="Times New Roman"/>
                <w:noProof/>
                <w:shd w:val="clear" w:color="auto" w:fill="FFFFFF"/>
              </w:rPr>
              <w:t>The platform allows data suppliers to mainta</w:t>
            </w:r>
            <w:r>
              <w:rPr>
                <w:rFonts w:ascii="Times New Roman" w:hAnsi="Times New Roman" w:cs="Times New Roman"/>
                <w:noProof/>
                <w:shd w:val="clear" w:color="auto" w:fill="FFFFFF"/>
              </w:rPr>
              <w:t>in a granular control over who has access to which data and for what purpose. This control is enabled by a rights-granting engine embedded in the platform that allows data suppliers to define roles and sharing rules for the different community members down</w:t>
            </w:r>
            <w:r>
              <w:rPr>
                <w:rFonts w:ascii="Times New Roman" w:hAnsi="Times New Roman" w:cs="Times New Roman"/>
                <w:noProof/>
                <w:shd w:val="clear" w:color="auto" w:fill="FFFFFF"/>
              </w:rPr>
              <w:t xml:space="preserve"> to field-level, including for app providers. In addition, the platform facilitates data anonymization and aggregation to meet the necessary privacy requirements. </w:t>
            </w:r>
          </w:p>
        </w:tc>
      </w:tr>
    </w:tbl>
    <w:p w:rsidR="000B237F" w:rsidRDefault="000B237F">
      <w:pPr>
        <w:spacing w:after="0"/>
        <w:jc w:val="both"/>
        <w:rPr>
          <w:rFonts w:ascii="Times New Roman" w:hAnsi="Times New Roman" w:cs="Times New Roman"/>
          <w:noProof/>
          <w:sz w:val="24"/>
          <w:szCs w:val="24"/>
        </w:rPr>
      </w:pPr>
    </w:p>
    <w:p w:rsidR="000B237F" w:rsidRDefault="000175C6">
      <w:pPr>
        <w:rPr>
          <w:rFonts w:ascii="Times New Roman" w:eastAsia="Times New Roman" w:hAnsi="Times New Roman" w:cs="Arial"/>
          <w:b/>
          <w:noProof/>
          <w:kern w:val="28"/>
          <w:sz w:val="24"/>
          <w:szCs w:val="24"/>
        </w:rPr>
      </w:pPr>
      <w:r>
        <w:rPr>
          <w:noProof/>
          <w:sz w:val="24"/>
          <w:szCs w:val="24"/>
        </w:rPr>
        <w:br w:type="page"/>
      </w:r>
    </w:p>
    <w:p w:rsidR="000B237F" w:rsidRDefault="000175C6">
      <w:pPr>
        <w:pStyle w:val="Heading1"/>
        <w:numPr>
          <w:ilvl w:val="0"/>
          <w:numId w:val="0"/>
        </w:numPr>
        <w:jc w:val="both"/>
        <w:rPr>
          <w:noProof/>
          <w:sz w:val="24"/>
          <w:szCs w:val="24"/>
        </w:rPr>
      </w:pPr>
      <w:r>
        <w:rPr>
          <w:noProof/>
          <w:sz w:val="24"/>
          <w:szCs w:val="24"/>
        </w:rPr>
        <w:t>4. Making B2G data collaboration a success – a 'How to' check-list</w:t>
      </w:r>
    </w:p>
    <w:p w:rsidR="000B237F" w:rsidRDefault="000175C6">
      <w:pPr>
        <w:pStyle w:val="BodyText3"/>
        <w:spacing w:after="200"/>
        <w:jc w:val="both"/>
        <w:rPr>
          <w:rFonts w:ascii="Times New Roman" w:hAnsi="Times New Roman" w:cs="Times New Roman"/>
          <w:noProof/>
          <w:sz w:val="24"/>
          <w:szCs w:val="24"/>
        </w:rPr>
      </w:pPr>
      <w:r>
        <w:rPr>
          <w:rFonts w:ascii="Times New Roman" w:hAnsi="Times New Roman" w:cs="Times New Roman"/>
          <w:noProof/>
          <w:sz w:val="24"/>
          <w:szCs w:val="24"/>
        </w:rPr>
        <w:t>The supply and the re</w:t>
      </w:r>
      <w:r>
        <w:rPr>
          <w:rFonts w:ascii="Times New Roman" w:hAnsi="Times New Roman" w:cs="Times New Roman"/>
          <w:noProof/>
          <w:sz w:val="24"/>
          <w:szCs w:val="24"/>
        </w:rPr>
        <w:t xml:space="preserve">-use of data in B2G relations can take many forms both in terms of the underlying mechanisms and the legal vehicle that supports them. This section describes some of them in more detail. </w:t>
      </w:r>
    </w:p>
    <w:p w:rsidR="000B237F" w:rsidRDefault="000175C6">
      <w:pPr>
        <w:pStyle w:val="BodyText3"/>
        <w:keepNext/>
        <w:spacing w:after="270"/>
        <w:jc w:val="both"/>
        <w:rPr>
          <w:rFonts w:ascii="Times New Roman" w:hAnsi="Times New Roman" w:cs="Times New Roman"/>
          <w:b/>
          <w:noProof/>
          <w:sz w:val="24"/>
          <w:szCs w:val="24"/>
        </w:rPr>
      </w:pPr>
      <w:r>
        <w:rPr>
          <w:rFonts w:ascii="Times New Roman" w:hAnsi="Times New Roman" w:cs="Times New Roman"/>
          <w:b/>
          <w:noProof/>
          <w:sz w:val="24"/>
          <w:szCs w:val="24"/>
        </w:rPr>
        <w:t xml:space="preserve">4.1. Models of B2G data sharing </w:t>
      </w:r>
    </w:p>
    <w:p w:rsidR="000B237F" w:rsidRDefault="000175C6">
      <w:pPr>
        <w:pStyle w:val="BodyText3"/>
        <w:numPr>
          <w:ilvl w:val="0"/>
          <w:numId w:val="11"/>
        </w:numPr>
        <w:jc w:val="both"/>
        <w:rPr>
          <w:rFonts w:ascii="Times New Roman" w:hAnsi="Times New Roman"/>
          <w:noProof/>
          <w:sz w:val="24"/>
        </w:rPr>
      </w:pPr>
      <w:r>
        <w:rPr>
          <w:rFonts w:ascii="Times New Roman" w:hAnsi="Times New Roman"/>
          <w:b/>
          <w:noProof/>
          <w:sz w:val="24"/>
        </w:rPr>
        <w:t>Data donorship</w:t>
      </w:r>
      <w:r>
        <w:rPr>
          <w:rFonts w:ascii="Times New Roman" w:hAnsi="Times New Roman"/>
          <w:noProof/>
          <w:sz w:val="24"/>
        </w:rPr>
        <w:t>: B2G data supply cou</w:t>
      </w:r>
      <w:r>
        <w:rPr>
          <w:rFonts w:ascii="Times New Roman" w:hAnsi="Times New Roman"/>
          <w:noProof/>
          <w:sz w:val="24"/>
        </w:rPr>
        <w:t>ld take the form of data donorship. It can be considered as a form of</w:t>
      </w:r>
      <w:r>
        <w:rPr>
          <w:rFonts w:ascii="Times New Roman" w:hAnsi="Times New Roman"/>
          <w:noProof/>
          <w:sz w:val="24"/>
          <w:szCs w:val="22"/>
        </w:rPr>
        <w:t xml:space="preserve"> corporate social responsibility. One of the potential effects would be that such a data donorship programme is backed up by a dedicated team supporting any potential party interested in </w:t>
      </w:r>
      <w:r>
        <w:rPr>
          <w:rFonts w:ascii="Times New Roman" w:hAnsi="Times New Roman"/>
          <w:noProof/>
          <w:sz w:val="24"/>
          <w:szCs w:val="22"/>
        </w:rPr>
        <w:t xml:space="preserve">using the data. </w:t>
      </w:r>
    </w:p>
    <w:p w:rsidR="000B237F" w:rsidRDefault="000175C6">
      <w:pPr>
        <w:pBdr>
          <w:top w:val="single" w:sz="4" w:space="1" w:color="auto"/>
          <w:left w:val="single" w:sz="4" w:space="21" w:color="auto"/>
          <w:bottom w:val="single" w:sz="4" w:space="1" w:color="auto"/>
          <w:right w:val="single" w:sz="4" w:space="4" w:color="auto"/>
        </w:pBdr>
        <w:ind w:left="360"/>
        <w:jc w:val="both"/>
        <w:rPr>
          <w:rFonts w:ascii="Times New Roman" w:hAnsi="Times New Roman"/>
          <w:noProof/>
        </w:rPr>
      </w:pPr>
      <w:r>
        <w:rPr>
          <w:rFonts w:ascii="Times New Roman" w:hAnsi="Times New Roman"/>
          <w:b/>
          <w:noProof/>
        </w:rPr>
        <w:t>Mastercard’s Data Philanthropy</w:t>
      </w:r>
      <w:r>
        <w:rPr>
          <w:rStyle w:val="FootnoteReference"/>
          <w:rFonts w:ascii="Times New Roman" w:hAnsi="Times New Roman"/>
          <w:noProof/>
        </w:rPr>
        <w:footnoteReference w:id="21"/>
      </w:r>
      <w:r>
        <w:rPr>
          <w:rFonts w:ascii="Times New Roman" w:hAnsi="Times New Roman"/>
          <w:noProof/>
        </w:rPr>
        <w:t xml:space="preserve"> </w:t>
      </w:r>
    </w:p>
    <w:p w:rsidR="000B237F" w:rsidRDefault="000175C6">
      <w:pPr>
        <w:pBdr>
          <w:top w:val="single" w:sz="4" w:space="1" w:color="auto"/>
          <w:left w:val="single" w:sz="4" w:space="21" w:color="auto"/>
          <w:bottom w:val="single" w:sz="4" w:space="1" w:color="auto"/>
          <w:right w:val="single" w:sz="4" w:space="4" w:color="auto"/>
        </w:pBdr>
        <w:spacing w:after="0"/>
        <w:ind w:left="360"/>
        <w:jc w:val="both"/>
        <w:rPr>
          <w:rFonts w:ascii="Times New Roman" w:hAnsi="Times New Roman"/>
          <w:noProof/>
        </w:rPr>
      </w:pPr>
      <w:r>
        <w:rPr>
          <w:rFonts w:ascii="Times New Roman" w:hAnsi="Times New Roman"/>
          <w:noProof/>
        </w:rPr>
        <w:t>Mastercard considers that organisations on a mission to alleviate human suffering — regardless of size and influence — should have the necessary tools and resources to access and use data to solve problems.</w:t>
      </w:r>
      <w:r>
        <w:rPr>
          <w:rFonts w:ascii="Times New Roman" w:hAnsi="Times New Roman"/>
          <w:noProof/>
        </w:rPr>
        <w:t xml:space="preserve"> The Mastercard Center for Inclusive Growth is committed to closing the gap through data philanthropy by:</w:t>
      </w:r>
    </w:p>
    <w:p w:rsidR="000B237F" w:rsidRDefault="000175C6">
      <w:pPr>
        <w:pStyle w:val="ListParagraph"/>
        <w:numPr>
          <w:ilvl w:val="0"/>
          <w:numId w:val="4"/>
        </w:numPr>
        <w:pBdr>
          <w:top w:val="single" w:sz="4" w:space="1" w:color="auto"/>
          <w:left w:val="single" w:sz="4" w:space="21" w:color="auto"/>
          <w:bottom w:val="single" w:sz="4" w:space="1" w:color="auto"/>
          <w:right w:val="single" w:sz="4" w:space="4" w:color="auto"/>
        </w:pBdr>
        <w:spacing w:after="0"/>
        <w:jc w:val="both"/>
        <w:rPr>
          <w:rFonts w:ascii="Times New Roman" w:hAnsi="Times New Roman"/>
          <w:noProof/>
        </w:rPr>
      </w:pPr>
      <w:r>
        <w:rPr>
          <w:rFonts w:ascii="Times New Roman" w:hAnsi="Times New Roman"/>
          <w:noProof/>
        </w:rPr>
        <w:t xml:space="preserve">sharing data, e.g. granting access to their proprietary data — in a way that fully protects consumer privacy — to assist research; </w:t>
      </w:r>
    </w:p>
    <w:p w:rsidR="000B237F" w:rsidRDefault="000175C6">
      <w:pPr>
        <w:pStyle w:val="ListParagraph"/>
        <w:numPr>
          <w:ilvl w:val="0"/>
          <w:numId w:val="4"/>
        </w:numPr>
        <w:pBdr>
          <w:top w:val="single" w:sz="4" w:space="1" w:color="auto"/>
          <w:left w:val="single" w:sz="4" w:space="21" w:color="auto"/>
          <w:bottom w:val="single" w:sz="4" w:space="1" w:color="auto"/>
          <w:right w:val="single" w:sz="4" w:space="4" w:color="auto"/>
        </w:pBdr>
        <w:jc w:val="both"/>
        <w:rPr>
          <w:rFonts w:ascii="Times New Roman" w:hAnsi="Times New Roman"/>
          <w:noProof/>
        </w:rPr>
      </w:pPr>
      <w:r>
        <w:rPr>
          <w:rFonts w:ascii="Times New Roman" w:hAnsi="Times New Roman"/>
          <w:noProof/>
        </w:rPr>
        <w:t>sharing data knowl</w:t>
      </w:r>
      <w:r>
        <w:rPr>
          <w:rFonts w:ascii="Times New Roman" w:hAnsi="Times New Roman"/>
          <w:noProof/>
        </w:rPr>
        <w:t xml:space="preserve">edge, e.g. leveraging in-house expertise to conduct an analysis and release the findings for broader use; </w:t>
      </w:r>
    </w:p>
    <w:p w:rsidR="000B237F" w:rsidRDefault="000175C6">
      <w:pPr>
        <w:pStyle w:val="ListParagraph"/>
        <w:numPr>
          <w:ilvl w:val="0"/>
          <w:numId w:val="4"/>
        </w:numPr>
        <w:pBdr>
          <w:top w:val="single" w:sz="4" w:space="1" w:color="auto"/>
          <w:left w:val="single" w:sz="4" w:space="21" w:color="auto"/>
          <w:bottom w:val="single" w:sz="4" w:space="1" w:color="auto"/>
          <w:right w:val="single" w:sz="4" w:space="4" w:color="auto"/>
        </w:pBdr>
        <w:jc w:val="both"/>
        <w:rPr>
          <w:rFonts w:ascii="Times New Roman" w:hAnsi="Times New Roman"/>
          <w:noProof/>
        </w:rPr>
      </w:pPr>
      <w:r>
        <w:rPr>
          <w:rFonts w:ascii="Times New Roman" w:hAnsi="Times New Roman"/>
          <w:noProof/>
        </w:rPr>
        <w:t xml:space="preserve">leveraging expertise, e.g. working with its partners to provide additional expertise and capacity. </w:t>
      </w:r>
    </w:p>
    <w:p w:rsidR="000B237F" w:rsidRDefault="000B237F">
      <w:pPr>
        <w:pStyle w:val="ListParagraph"/>
        <w:jc w:val="both"/>
        <w:rPr>
          <w:rFonts w:ascii="Times New Roman" w:hAnsi="Times New Roman"/>
          <w:noProof/>
          <w:sz w:val="24"/>
        </w:rPr>
      </w:pPr>
    </w:p>
    <w:p w:rsidR="000B237F" w:rsidRDefault="000175C6">
      <w:pPr>
        <w:pStyle w:val="ListParagraph"/>
        <w:numPr>
          <w:ilvl w:val="0"/>
          <w:numId w:val="11"/>
        </w:numPr>
        <w:spacing w:after="0"/>
        <w:jc w:val="both"/>
        <w:rPr>
          <w:rFonts w:ascii="Times New Roman" w:hAnsi="Times New Roman"/>
          <w:noProof/>
          <w:sz w:val="24"/>
        </w:rPr>
      </w:pPr>
      <w:r>
        <w:rPr>
          <w:rFonts w:ascii="Times New Roman" w:hAnsi="Times New Roman"/>
          <w:b/>
          <w:noProof/>
          <w:sz w:val="24"/>
        </w:rPr>
        <w:t>Prizes</w:t>
      </w:r>
      <w:r>
        <w:rPr>
          <w:rFonts w:ascii="Times New Roman" w:hAnsi="Times New Roman"/>
          <w:noProof/>
          <w:sz w:val="24"/>
        </w:rPr>
        <w:t>: B2G collaboration can also set up prizes</w:t>
      </w:r>
      <w:r>
        <w:rPr>
          <w:rFonts w:ascii="Times New Roman" w:hAnsi="Times New Roman"/>
          <w:noProof/>
          <w:sz w:val="24"/>
        </w:rPr>
        <w:t xml:space="preserve"> that would encourage individuals and companies specialised in data analytics to find solutions to a particular public interest challenge. For example, a public organisation could set up a challenge in collaboration with a company that would provide the pr</w:t>
      </w:r>
      <w:r>
        <w:rPr>
          <w:rFonts w:ascii="Times New Roman" w:hAnsi="Times New Roman"/>
          <w:noProof/>
          <w:sz w:val="24"/>
        </w:rPr>
        <w:t xml:space="preserve">ivate sector data needed to solve such a challenge. </w:t>
      </w:r>
    </w:p>
    <w:p w:rsidR="000B237F" w:rsidRDefault="000B237F">
      <w:pPr>
        <w:pStyle w:val="ListParagraph"/>
        <w:spacing w:after="0"/>
        <w:jc w:val="both"/>
        <w:rPr>
          <w:rFonts w:ascii="Times New Roman" w:hAnsi="Times New Roman"/>
          <w:noProof/>
          <w:sz w:val="24"/>
        </w:rPr>
      </w:pPr>
    </w:p>
    <w:p w:rsidR="000B237F" w:rsidRDefault="000175C6">
      <w:pPr>
        <w:pBdr>
          <w:top w:val="single" w:sz="4" w:space="1" w:color="auto"/>
          <w:left w:val="single" w:sz="4" w:space="4" w:color="auto"/>
          <w:bottom w:val="single" w:sz="4" w:space="1" w:color="auto"/>
          <w:right w:val="single" w:sz="4" w:space="4" w:color="auto"/>
        </w:pBdr>
        <w:jc w:val="both"/>
        <w:rPr>
          <w:rFonts w:ascii="Times New Roman" w:hAnsi="Times New Roman"/>
          <w:noProof/>
        </w:rPr>
      </w:pPr>
      <w:r>
        <w:rPr>
          <w:rFonts w:ascii="Times New Roman" w:hAnsi="Times New Roman"/>
          <w:b/>
          <w:noProof/>
        </w:rPr>
        <w:t>Horizon Prize Big Data Technologies</w:t>
      </w:r>
      <w:r>
        <w:rPr>
          <w:rStyle w:val="FootnoteReference"/>
          <w:rFonts w:ascii="Times New Roman" w:hAnsi="Times New Roman"/>
          <w:noProof/>
        </w:rPr>
        <w:footnoteReference w:id="22"/>
      </w:r>
    </w:p>
    <w:p w:rsidR="000B237F" w:rsidRDefault="000175C6">
      <w:pPr>
        <w:pBdr>
          <w:top w:val="single" w:sz="4" w:space="1" w:color="auto"/>
          <w:left w:val="single" w:sz="4" w:space="4" w:color="auto"/>
          <w:bottom w:val="single" w:sz="4" w:space="1" w:color="auto"/>
          <w:right w:val="single" w:sz="4" w:space="4" w:color="auto"/>
        </w:pBdr>
        <w:jc w:val="both"/>
        <w:rPr>
          <w:rFonts w:ascii="Times New Roman" w:hAnsi="Times New Roman"/>
          <w:noProof/>
        </w:rPr>
      </w:pPr>
      <w:r>
        <w:rPr>
          <w:rFonts w:ascii="Times New Roman" w:hAnsi="Times New Roman"/>
          <w:noProof/>
        </w:rPr>
        <w:t>Under the EU's Horizon 2020 funding programme, a prize in the area of Big Data technologies has been announced to find ways to optimise the use of energy grids through a more precise forecasting system. The winning solutions will need to demonstrate the ab</w:t>
      </w:r>
      <w:r>
        <w:rPr>
          <w:rFonts w:ascii="Times New Roman" w:hAnsi="Times New Roman"/>
          <w:noProof/>
        </w:rPr>
        <w:t xml:space="preserve">ility to analyse extremely large collections of structured geospatial temporal datasets, time recordings of weather conditions and other data with different parameters used in the operation of energy grid management. </w:t>
      </w:r>
    </w:p>
    <w:p w:rsidR="000B237F" w:rsidRDefault="000175C6">
      <w:pPr>
        <w:spacing w:before="360" w:after="0"/>
        <w:jc w:val="both"/>
        <w:rPr>
          <w:noProof/>
        </w:rPr>
      </w:pPr>
      <w:r>
        <w:rPr>
          <w:noProof/>
        </w:rPr>
        <w:br w:type="page"/>
      </w:r>
    </w:p>
    <w:p w:rsidR="000B237F" w:rsidRDefault="000175C6">
      <w:pPr>
        <w:pStyle w:val="ListParagraph"/>
        <w:numPr>
          <w:ilvl w:val="0"/>
          <w:numId w:val="11"/>
        </w:numPr>
        <w:spacing w:before="360" w:after="0"/>
        <w:ind w:left="714" w:hanging="357"/>
        <w:jc w:val="both"/>
        <w:rPr>
          <w:rFonts w:ascii="Times New Roman" w:hAnsi="Times New Roman"/>
          <w:noProof/>
          <w:sz w:val="24"/>
        </w:rPr>
      </w:pPr>
      <w:r>
        <w:rPr>
          <w:rFonts w:ascii="Times New Roman" w:hAnsi="Times New Roman"/>
          <w:b/>
          <w:noProof/>
          <w:sz w:val="24"/>
        </w:rPr>
        <w:t>B2G data partnerships</w:t>
      </w:r>
      <w:r>
        <w:rPr>
          <w:rFonts w:ascii="Times New Roman" w:hAnsi="Times New Roman"/>
          <w:noProof/>
          <w:sz w:val="24"/>
        </w:rPr>
        <w:t>: B2G collabora</w:t>
      </w:r>
      <w:r>
        <w:rPr>
          <w:rFonts w:ascii="Times New Roman" w:hAnsi="Times New Roman"/>
          <w:noProof/>
          <w:sz w:val="24"/>
        </w:rPr>
        <w:t>tion can take the form of data partnerships. Public sector bodies can enter into arrangements with private companies, which include the mutual sharing of data, in compliance with the PSI Directive</w:t>
      </w:r>
      <w:r>
        <w:rPr>
          <w:rStyle w:val="FootnoteReference"/>
          <w:rFonts w:ascii="Times New Roman" w:hAnsi="Times New Roman"/>
          <w:noProof/>
          <w:sz w:val="24"/>
        </w:rPr>
        <w:footnoteReference w:id="23"/>
      </w:r>
      <w:r>
        <w:rPr>
          <w:rFonts w:ascii="Times New Roman" w:hAnsi="Times New Roman"/>
          <w:noProof/>
          <w:sz w:val="24"/>
        </w:rPr>
        <w:t xml:space="preserve"> as regards public sector information shared with the priva</w:t>
      </w:r>
      <w:r>
        <w:rPr>
          <w:rFonts w:ascii="Times New Roman" w:hAnsi="Times New Roman"/>
          <w:noProof/>
          <w:sz w:val="24"/>
        </w:rPr>
        <w:t xml:space="preserve">te sector. This can bring benefits also for the private company as it will be able to draw insights from the correlation of the private and public sector data. </w:t>
      </w:r>
    </w:p>
    <w:p w:rsidR="000B237F" w:rsidRDefault="000B237F">
      <w:pPr>
        <w:pStyle w:val="ListParagraph"/>
        <w:jc w:val="both"/>
        <w:rPr>
          <w:rFonts w:ascii="Times New Roman" w:hAnsi="Times New Roman"/>
          <w:noProof/>
          <w:sz w:val="24"/>
        </w:rPr>
      </w:pPr>
    </w:p>
    <w:p w:rsidR="000B237F" w:rsidRDefault="000175C6">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b/>
          <w:noProof/>
        </w:rPr>
      </w:pPr>
      <w:r>
        <w:rPr>
          <w:rFonts w:ascii="Times New Roman" w:hAnsi="Times New Roman" w:cs="Times New Roman"/>
          <w:b/>
          <w:bCs/>
          <w:noProof/>
        </w:rPr>
        <w:t xml:space="preserve">'Assessing the Quality of Mobile Phone Data as a Source of Statistics' - study by the </w:t>
      </w:r>
      <w:r>
        <w:rPr>
          <w:rFonts w:ascii="Times New Roman" w:hAnsi="Times New Roman" w:cs="Times New Roman"/>
          <w:b/>
          <w:noProof/>
        </w:rPr>
        <w:t>Statisti</w:t>
      </w:r>
      <w:r>
        <w:rPr>
          <w:rFonts w:ascii="Times New Roman" w:hAnsi="Times New Roman" w:cs="Times New Roman"/>
          <w:b/>
          <w:noProof/>
        </w:rPr>
        <w:t>cal Agency of Belgium and Eurostat</w:t>
      </w:r>
      <w:r>
        <w:rPr>
          <w:rStyle w:val="FootnoteReference"/>
          <w:rFonts w:ascii="Times New Roman" w:hAnsi="Times New Roman" w:cs="Times New Roman"/>
          <w:noProof/>
        </w:rPr>
        <w:footnoteReference w:id="24"/>
      </w:r>
    </w:p>
    <w:p w:rsidR="000B237F" w:rsidRDefault="000B237F">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noProof/>
        </w:rPr>
      </w:pPr>
    </w:p>
    <w:p w:rsidR="000B237F" w:rsidRDefault="000175C6">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noProof/>
        </w:rPr>
      </w:pPr>
      <w:r>
        <w:rPr>
          <w:rFonts w:ascii="Times New Roman" w:hAnsi="Times New Roman" w:cs="Times New Roman"/>
          <w:noProof/>
        </w:rPr>
        <w:t xml:space="preserve">A study jointly conducted by Statistics Belgium and Eurostat demonstrated the potential of mobile network data for estimating population density. It aimed at assessing the quality of Belgian mobile phone data (from the </w:t>
      </w:r>
      <w:r>
        <w:rPr>
          <w:rFonts w:ascii="Times New Roman" w:hAnsi="Times New Roman" w:cs="Times New Roman"/>
          <w:noProof/>
        </w:rPr>
        <w:t>major network operator, Proximus) focusing on actual present population. The mobile network data were tested for internal consistency and contrasted with the results of the Belgian population census of 2011, which is constantly updated as part of the popul</w:t>
      </w:r>
      <w:r>
        <w:rPr>
          <w:rFonts w:ascii="Times New Roman" w:hAnsi="Times New Roman" w:cs="Times New Roman"/>
          <w:noProof/>
        </w:rPr>
        <w:t>ation register. Both data sets were aggregated for privacy reasons.</w:t>
      </w:r>
      <w:r>
        <w:rPr>
          <w:rStyle w:val="FootnoteReference"/>
          <w:rFonts w:ascii="Times New Roman" w:hAnsi="Times New Roman" w:cs="Times New Roman"/>
          <w:noProof/>
        </w:rPr>
        <w:footnoteReference w:id="25"/>
      </w:r>
    </w:p>
    <w:p w:rsidR="000B237F" w:rsidRDefault="000175C6">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noProof/>
        </w:rPr>
      </w:pPr>
      <w:r>
        <w:rPr>
          <w:rFonts w:ascii="Times New Roman" w:hAnsi="Times New Roman" w:cs="Times New Roman"/>
          <w:noProof/>
        </w:rPr>
        <w:t xml:space="preserve">The results of the study were beneficial to both parties. On the one hand, it could be shown that mobile network data provide valid and accurate information which may serve as a </w:t>
      </w:r>
      <w:r>
        <w:rPr>
          <w:rFonts w:ascii="Times New Roman" w:hAnsi="Times New Roman" w:cs="Times New Roman"/>
          <w:noProof/>
        </w:rPr>
        <w:t>complement to traditional statistics. On the other, mobile network operators could for example benefit from resident population data to improve estimations of persons' mobility for new applications offered by the mobile network operator.</w:t>
      </w:r>
    </w:p>
    <w:p w:rsidR="000B237F" w:rsidRDefault="000B237F">
      <w:pPr>
        <w:pStyle w:val="ListParagraph"/>
        <w:spacing w:after="0"/>
        <w:jc w:val="both"/>
        <w:rPr>
          <w:rFonts w:ascii="Times New Roman" w:hAnsi="Times New Roman"/>
          <w:noProof/>
          <w:sz w:val="24"/>
        </w:rPr>
      </w:pPr>
    </w:p>
    <w:p w:rsidR="000B237F" w:rsidRDefault="000175C6">
      <w:pPr>
        <w:pStyle w:val="ListParagraph"/>
        <w:numPr>
          <w:ilvl w:val="0"/>
          <w:numId w:val="11"/>
        </w:numPr>
        <w:jc w:val="both"/>
        <w:rPr>
          <w:rFonts w:ascii="Times New Roman" w:hAnsi="Times New Roman"/>
          <w:noProof/>
          <w:sz w:val="24"/>
        </w:rPr>
      </w:pPr>
      <w:r>
        <w:rPr>
          <w:rFonts w:ascii="Times New Roman" w:hAnsi="Times New Roman"/>
          <w:b/>
          <w:noProof/>
          <w:sz w:val="24"/>
        </w:rPr>
        <w:t>Intermediaries</w:t>
      </w:r>
      <w:r>
        <w:rPr>
          <w:rFonts w:ascii="Times New Roman" w:hAnsi="Times New Roman"/>
          <w:noProof/>
          <w:sz w:val="24"/>
        </w:rPr>
        <w:t>: I</w:t>
      </w:r>
      <w:r>
        <w:rPr>
          <w:rFonts w:ascii="Times New Roman" w:hAnsi="Times New Roman"/>
          <w:noProof/>
          <w:sz w:val="24"/>
        </w:rPr>
        <w:t xml:space="preserve">n cases when there is no previous relationship between a company and a public sector body and trust between the two is absent, an intermediary can be tasked to obtain insights necessary for public interest purposes. </w:t>
      </w:r>
    </w:p>
    <w:p w:rsidR="000B237F" w:rsidRDefault="000175C6">
      <w:pPr>
        <w:pBdr>
          <w:top w:val="single" w:sz="4" w:space="1" w:color="auto"/>
          <w:left w:val="single" w:sz="4" w:space="4" w:color="auto"/>
          <w:bottom w:val="single" w:sz="4" w:space="1" w:color="auto"/>
          <w:right w:val="single" w:sz="4" w:space="4" w:color="auto"/>
        </w:pBdr>
        <w:jc w:val="both"/>
        <w:rPr>
          <w:rFonts w:ascii="Times New Roman" w:hAnsi="Times New Roman"/>
          <w:noProof/>
        </w:rPr>
      </w:pPr>
      <w:r>
        <w:rPr>
          <w:rFonts w:ascii="Times New Roman" w:hAnsi="Times New Roman"/>
          <w:b/>
          <w:noProof/>
        </w:rPr>
        <w:t>Consumer Data Research Centre (CDCR UK)</w:t>
      </w:r>
      <w:r>
        <w:rPr>
          <w:rStyle w:val="FootnoteReference"/>
          <w:rFonts w:ascii="Times New Roman" w:hAnsi="Times New Roman"/>
          <w:noProof/>
        </w:rPr>
        <w:footnoteReference w:id="26"/>
      </w:r>
      <w:r>
        <w:rPr>
          <w:rFonts w:ascii="Times New Roman" w:hAnsi="Times New Roman"/>
          <w:noProof/>
        </w:rPr>
        <w:t xml:space="preserve"> </w:t>
      </w:r>
    </w:p>
    <w:p w:rsidR="000B237F" w:rsidRDefault="000175C6">
      <w:pPr>
        <w:pBdr>
          <w:top w:val="single" w:sz="4" w:space="1" w:color="auto"/>
          <w:left w:val="single" w:sz="4" w:space="4" w:color="auto"/>
          <w:bottom w:val="single" w:sz="4" w:space="1" w:color="auto"/>
          <w:right w:val="single" w:sz="4" w:space="4" w:color="auto"/>
        </w:pBdr>
        <w:jc w:val="both"/>
        <w:rPr>
          <w:rFonts w:ascii="Times New Roman" w:hAnsi="Times New Roman"/>
          <w:noProof/>
        </w:rPr>
      </w:pPr>
      <w:r>
        <w:rPr>
          <w:rFonts w:ascii="Times New Roman" w:hAnsi="Times New Roman"/>
          <w:noProof/>
        </w:rPr>
        <w:t xml:space="preserve">Vast amounts of UK consumer data are generated each day, providing valuable insight to help organisations operate more efficiently. The aim of CDRC is to work with organisations to open up their data to trusted researchers so they can provide solutions </w:t>
      </w:r>
      <w:r>
        <w:rPr>
          <w:rFonts w:ascii="Times New Roman" w:hAnsi="Times New Roman"/>
          <w:noProof/>
        </w:rPr>
        <w:t>that drive economic growth and improve society.</w:t>
      </w:r>
    </w:p>
    <w:p w:rsidR="000B237F" w:rsidRDefault="000175C6">
      <w:pPr>
        <w:rPr>
          <w:rFonts w:ascii="Times New Roman" w:hAnsi="Times New Roman"/>
          <w:b/>
          <w:noProof/>
          <w:sz w:val="24"/>
          <w:szCs w:val="16"/>
        </w:rPr>
      </w:pPr>
      <w:r>
        <w:rPr>
          <w:rFonts w:ascii="Times New Roman" w:hAnsi="Times New Roman"/>
          <w:b/>
          <w:noProof/>
          <w:sz w:val="24"/>
        </w:rPr>
        <w:br w:type="page"/>
      </w:r>
    </w:p>
    <w:p w:rsidR="000B237F" w:rsidRDefault="000175C6">
      <w:pPr>
        <w:pStyle w:val="BodyText3"/>
        <w:numPr>
          <w:ilvl w:val="0"/>
          <w:numId w:val="11"/>
        </w:numPr>
        <w:spacing w:before="360"/>
        <w:jc w:val="both"/>
        <w:rPr>
          <w:rFonts w:ascii="Times New Roman" w:hAnsi="Times New Roman"/>
          <w:b/>
          <w:noProof/>
          <w:sz w:val="24"/>
        </w:rPr>
      </w:pPr>
      <w:r>
        <w:rPr>
          <w:rFonts w:ascii="Times New Roman" w:hAnsi="Times New Roman"/>
          <w:b/>
          <w:noProof/>
          <w:sz w:val="24"/>
        </w:rPr>
        <w:t xml:space="preserve">"Civic data sharing": </w:t>
      </w:r>
      <w:r>
        <w:rPr>
          <w:rFonts w:ascii="Times New Roman" w:hAnsi="Times New Roman"/>
          <w:noProof/>
          <w:sz w:val="24"/>
        </w:rPr>
        <w:t xml:space="preserve">Individuals may be encouraged to authorise public sector bodies to process their personal data which were previously processed by a private company. It should be highlighted that in </w:t>
      </w:r>
      <w:r>
        <w:rPr>
          <w:rFonts w:ascii="Times New Roman" w:hAnsi="Times New Roman"/>
          <w:noProof/>
          <w:sz w:val="24"/>
        </w:rPr>
        <w:t>this case public authorities would also need to comply with data protection legislation. The processing must be in accordance with an appropriate legal basis (e.g. consent under Article 6(1)(a) or the performance of a task carried out in the public interes</w:t>
      </w:r>
      <w:r>
        <w:rPr>
          <w:rFonts w:ascii="Times New Roman" w:hAnsi="Times New Roman"/>
          <w:noProof/>
          <w:sz w:val="24"/>
        </w:rPr>
        <w:t>t under Article 6(1)(e)</w:t>
      </w:r>
      <w:r>
        <w:rPr>
          <w:rStyle w:val="FootnoteReference"/>
          <w:rFonts w:ascii="Times New Roman" w:hAnsi="Times New Roman"/>
          <w:noProof/>
          <w:sz w:val="24"/>
        </w:rPr>
        <w:footnoteReference w:id="27"/>
      </w:r>
      <w:r>
        <w:rPr>
          <w:rFonts w:ascii="Times New Roman" w:hAnsi="Times New Roman"/>
          <w:noProof/>
          <w:sz w:val="24"/>
        </w:rPr>
        <w:t>). Such "civic data sharing" is most likely to work in situations where there is either a sufficiently strong link between the citizen and the public sector body in question (e.g. the municipality where they live) or when the public</w:t>
      </w:r>
      <w:r>
        <w:rPr>
          <w:rFonts w:ascii="Times New Roman" w:hAnsi="Times New Roman"/>
          <w:noProof/>
          <w:sz w:val="24"/>
        </w:rPr>
        <w:t xml:space="preserve"> interest purpose is particularly convincing from a citizen's perspective (fighting certain diseases, make travel flows around popular events work etc.). </w:t>
      </w:r>
    </w:p>
    <w:p w:rsidR="000B237F" w:rsidRDefault="000175C6">
      <w:pPr>
        <w:pStyle w:val="BodyText3"/>
        <w:spacing w:before="360" w:after="270"/>
        <w:jc w:val="both"/>
        <w:rPr>
          <w:rFonts w:ascii="Times New Roman" w:hAnsi="Times New Roman" w:cs="Times New Roman"/>
          <w:b/>
          <w:noProof/>
          <w:sz w:val="24"/>
          <w:szCs w:val="24"/>
        </w:rPr>
      </w:pPr>
      <w:r>
        <w:rPr>
          <w:rFonts w:ascii="Times New Roman" w:hAnsi="Times New Roman" w:cs="Times New Roman"/>
          <w:b/>
          <w:noProof/>
          <w:sz w:val="24"/>
          <w:szCs w:val="24"/>
        </w:rPr>
        <w:t>4.2. Legal and practical considerations in B2G data sharing collaboration</w:t>
      </w:r>
    </w:p>
    <w:p w:rsidR="000B237F" w:rsidRDefault="000175C6">
      <w:pPr>
        <w:pStyle w:val="BodyText3"/>
        <w:spacing w:after="200"/>
        <w:jc w:val="both"/>
        <w:rPr>
          <w:rFonts w:ascii="Times New Roman" w:hAnsi="Times New Roman"/>
          <w:noProof/>
          <w:sz w:val="24"/>
        </w:rPr>
      </w:pPr>
      <w:r>
        <w:rPr>
          <w:rFonts w:ascii="Times New Roman" w:hAnsi="Times New Roman" w:cs="Times New Roman"/>
          <w:noProof/>
          <w:sz w:val="24"/>
          <w:szCs w:val="24"/>
        </w:rPr>
        <w:t>The following consideration</w:t>
      </w:r>
      <w:r>
        <w:rPr>
          <w:rFonts w:ascii="Times New Roman" w:hAnsi="Times New Roman" w:cs="Times New Roman"/>
          <w:noProof/>
          <w:sz w:val="24"/>
          <w:szCs w:val="24"/>
        </w:rPr>
        <w:t>s may help</w:t>
      </w:r>
      <w:r>
        <w:rPr>
          <w:rFonts w:ascii="Times New Roman" w:hAnsi="Times New Roman"/>
          <w:noProof/>
          <w:sz w:val="24"/>
        </w:rPr>
        <w:t xml:space="preserve"> public </w:t>
      </w:r>
      <w:r>
        <w:rPr>
          <w:rFonts w:ascii="Times New Roman" w:hAnsi="Times New Roman" w:cs="Times New Roman"/>
          <w:noProof/>
          <w:sz w:val="24"/>
          <w:szCs w:val="24"/>
        </w:rPr>
        <w:t>bodies and companies in the preparation and/or negotiation of data usage agreements:</w:t>
      </w:r>
      <w:r>
        <w:rPr>
          <w:rFonts w:ascii="Times New Roman" w:hAnsi="Times New Roman"/>
          <w:noProof/>
          <w:sz w:val="24"/>
        </w:rPr>
        <w:t xml:space="preserve"> </w:t>
      </w:r>
    </w:p>
    <w:p w:rsidR="000B237F" w:rsidRDefault="000175C6">
      <w:pPr>
        <w:pStyle w:val="BodyText3"/>
        <w:numPr>
          <w:ilvl w:val="0"/>
          <w:numId w:val="12"/>
        </w:numPr>
        <w:spacing w:after="200"/>
        <w:jc w:val="both"/>
        <w:rPr>
          <w:rFonts w:ascii="Times New Roman" w:hAnsi="Times New Roman"/>
          <w:noProof/>
          <w:sz w:val="24"/>
        </w:rPr>
      </w:pPr>
      <w:r>
        <w:rPr>
          <w:rFonts w:ascii="Times New Roman" w:hAnsi="Times New Roman"/>
          <w:noProof/>
          <w:sz w:val="24"/>
        </w:rPr>
        <w:t>Public bodies should identify a public interest purpose, the private sector data and the level of granularity needed. Some examples of private sector data serving public interest purposes can be social media data, transaction data or retailer data. Compani</w:t>
      </w:r>
      <w:r>
        <w:rPr>
          <w:rFonts w:ascii="Times New Roman" w:hAnsi="Times New Roman"/>
          <w:noProof/>
          <w:sz w:val="24"/>
        </w:rPr>
        <w:t xml:space="preserve">es may also reflect on their data can contribute to a public interest purpose and start the negotiation process. </w:t>
      </w:r>
    </w:p>
    <w:p w:rsidR="000B237F" w:rsidRDefault="000175C6">
      <w:pPr>
        <w:pStyle w:val="BodyText3"/>
        <w:numPr>
          <w:ilvl w:val="0"/>
          <w:numId w:val="12"/>
        </w:numPr>
        <w:spacing w:after="200"/>
        <w:jc w:val="both"/>
        <w:rPr>
          <w:rFonts w:ascii="Times New Roman" w:hAnsi="Times New Roman"/>
          <w:noProof/>
          <w:sz w:val="24"/>
        </w:rPr>
      </w:pPr>
      <w:r>
        <w:rPr>
          <w:rFonts w:ascii="Times New Roman" w:hAnsi="Times New Roman"/>
          <w:noProof/>
          <w:sz w:val="24"/>
        </w:rPr>
        <w:t>The parties should identify the internal challenges and constraints related to data sharing.</w:t>
      </w:r>
    </w:p>
    <w:p w:rsidR="000B237F" w:rsidRDefault="000175C6">
      <w:pPr>
        <w:pStyle w:val="ListParagraph"/>
        <w:numPr>
          <w:ilvl w:val="1"/>
          <w:numId w:val="13"/>
        </w:numPr>
        <w:jc w:val="both"/>
        <w:rPr>
          <w:rFonts w:ascii="Times New Roman" w:hAnsi="Times New Roman"/>
          <w:noProof/>
          <w:sz w:val="24"/>
        </w:rPr>
      </w:pPr>
      <w:r>
        <w:rPr>
          <w:rFonts w:ascii="Times New Roman" w:hAnsi="Times New Roman"/>
          <w:noProof/>
          <w:sz w:val="24"/>
        </w:rPr>
        <w:t xml:space="preserve">Public bodies and companies might need to invest </w:t>
      </w:r>
      <w:r>
        <w:rPr>
          <w:rFonts w:ascii="Times New Roman" w:hAnsi="Times New Roman"/>
          <w:noProof/>
          <w:sz w:val="24"/>
        </w:rPr>
        <w:t xml:space="preserve">in knowledge management and data governance. </w:t>
      </w:r>
    </w:p>
    <w:p w:rsidR="000B237F" w:rsidRDefault="000175C6">
      <w:pPr>
        <w:pStyle w:val="ListParagraph"/>
        <w:numPr>
          <w:ilvl w:val="1"/>
          <w:numId w:val="13"/>
        </w:numPr>
        <w:jc w:val="both"/>
        <w:rPr>
          <w:rFonts w:ascii="Times New Roman" w:hAnsi="Times New Roman"/>
          <w:noProof/>
          <w:sz w:val="24"/>
        </w:rPr>
      </w:pPr>
      <w:r>
        <w:rPr>
          <w:rFonts w:ascii="Times New Roman" w:hAnsi="Times New Roman"/>
          <w:noProof/>
          <w:sz w:val="24"/>
        </w:rPr>
        <w:t xml:space="preserve">Companies that establish corporate departments responsible for data sharing including data monetisation in B2B contexts will find B2G data sharing to be less costly and challenging in terms of data governance, </w:t>
      </w:r>
      <w:r>
        <w:rPr>
          <w:rFonts w:ascii="Times New Roman" w:hAnsi="Times New Roman"/>
          <w:noProof/>
          <w:sz w:val="24"/>
        </w:rPr>
        <w:t>infrastructure, and legal drafting. As data sharing gains importance for more companies, the cost and burden per individual collaboration are likely to go down.</w:t>
      </w:r>
    </w:p>
    <w:p w:rsidR="000B237F" w:rsidRDefault="000175C6">
      <w:pPr>
        <w:pStyle w:val="ListParagraph"/>
        <w:numPr>
          <w:ilvl w:val="1"/>
          <w:numId w:val="13"/>
        </w:numPr>
        <w:jc w:val="both"/>
        <w:rPr>
          <w:rFonts w:ascii="Times New Roman" w:hAnsi="Times New Roman"/>
          <w:noProof/>
          <w:sz w:val="24"/>
        </w:rPr>
      </w:pPr>
      <w:r>
        <w:rPr>
          <w:rFonts w:ascii="Times New Roman" w:hAnsi="Times New Roman"/>
          <w:noProof/>
          <w:sz w:val="24"/>
        </w:rPr>
        <w:t>Companies and public sector bodies need to ensure compliance with the provisions of the GDPR an</w:t>
      </w:r>
      <w:r>
        <w:rPr>
          <w:rFonts w:ascii="Times New Roman" w:hAnsi="Times New Roman"/>
          <w:noProof/>
          <w:sz w:val="24"/>
        </w:rPr>
        <w:t>d ePrivacy legislation (ensure lawfulness of processing, including reliance on a legal basis, such as consent, proper use of anonymization techniques, confidentiality respect of the principle of data protection by design and by default, use of privacy-pres</w:t>
      </w:r>
      <w:r>
        <w:rPr>
          <w:rFonts w:ascii="Times New Roman" w:hAnsi="Times New Roman"/>
          <w:noProof/>
          <w:sz w:val="24"/>
        </w:rPr>
        <w:t xml:space="preserve">erving analytics methods, data protection impact assessments where required). </w:t>
      </w:r>
    </w:p>
    <w:p w:rsidR="000B237F" w:rsidRDefault="000175C6">
      <w:pPr>
        <w:pStyle w:val="ListParagraph"/>
        <w:numPr>
          <w:ilvl w:val="1"/>
          <w:numId w:val="13"/>
        </w:numPr>
        <w:spacing w:after="240"/>
        <w:ind w:left="1434" w:hanging="357"/>
        <w:contextualSpacing w:val="0"/>
        <w:jc w:val="both"/>
        <w:rPr>
          <w:rFonts w:ascii="Times New Roman" w:hAnsi="Times New Roman"/>
          <w:noProof/>
          <w:sz w:val="24"/>
        </w:rPr>
      </w:pPr>
      <w:r>
        <w:rPr>
          <w:rFonts w:ascii="Times New Roman" w:hAnsi="Times New Roman"/>
          <w:noProof/>
          <w:sz w:val="24"/>
        </w:rPr>
        <w:t>In order to ensure representativeness of the insights, avoiding selection bias, public sector bodies need to make a careful analysis of potential data sources and ascertain limi</w:t>
      </w:r>
      <w:r>
        <w:rPr>
          <w:rFonts w:ascii="Times New Roman" w:hAnsi="Times New Roman"/>
          <w:noProof/>
          <w:sz w:val="24"/>
        </w:rPr>
        <w:t>tations of one specific data provider. They should carefully consider data triangulation, constant observation and recalibration of models, and a combination with e.g. public consultation and tools to gather evidence and stakeholders' views to mitigate ris</w:t>
      </w:r>
      <w:r>
        <w:rPr>
          <w:rFonts w:ascii="Times New Roman" w:hAnsi="Times New Roman"/>
          <w:noProof/>
          <w:sz w:val="24"/>
        </w:rPr>
        <w:t xml:space="preserve">ks and possible methodological limitations of the private sector data sources. </w:t>
      </w:r>
    </w:p>
    <w:p w:rsidR="000B237F" w:rsidRDefault="000175C6">
      <w:pPr>
        <w:pStyle w:val="ListParagraph"/>
        <w:numPr>
          <w:ilvl w:val="0"/>
          <w:numId w:val="12"/>
        </w:numPr>
        <w:jc w:val="both"/>
        <w:rPr>
          <w:rFonts w:ascii="Times New Roman" w:hAnsi="Times New Roman"/>
          <w:noProof/>
          <w:sz w:val="24"/>
        </w:rPr>
      </w:pPr>
      <w:r>
        <w:rPr>
          <w:rFonts w:ascii="Times New Roman" w:hAnsi="Times New Roman"/>
          <w:noProof/>
          <w:sz w:val="24"/>
        </w:rPr>
        <w:t xml:space="preserve">Parties need to choose the technical or practical modalities for data sharing that are best suited to their internal challenges and data governance. </w:t>
      </w:r>
    </w:p>
    <w:p w:rsidR="000B237F" w:rsidRDefault="000175C6">
      <w:pPr>
        <w:pStyle w:val="ListParagraph"/>
        <w:numPr>
          <w:ilvl w:val="1"/>
          <w:numId w:val="13"/>
        </w:numPr>
        <w:jc w:val="both"/>
        <w:rPr>
          <w:rFonts w:ascii="Times New Roman" w:hAnsi="Times New Roman"/>
          <w:noProof/>
          <w:sz w:val="24"/>
        </w:rPr>
      </w:pPr>
      <w:r>
        <w:rPr>
          <w:rFonts w:ascii="Times New Roman" w:hAnsi="Times New Roman"/>
          <w:noProof/>
          <w:sz w:val="24"/>
        </w:rPr>
        <w:t>Public bodies need to safe</w:t>
      </w:r>
      <w:r>
        <w:rPr>
          <w:rFonts w:ascii="Times New Roman" w:hAnsi="Times New Roman"/>
          <w:noProof/>
          <w:sz w:val="24"/>
        </w:rPr>
        <w:t>guard the protection of legitimate commercial interests (e.g. business confidential information, trade secrets) and ensure the security of the technical modality to access the private sector data. Private sector data that are transferred to a public sector</w:t>
      </w:r>
      <w:r>
        <w:rPr>
          <w:rFonts w:ascii="Times New Roman" w:hAnsi="Times New Roman"/>
          <w:noProof/>
          <w:sz w:val="24"/>
        </w:rPr>
        <w:t xml:space="preserve"> body should be treated as confidential data. It needs to be made explicit in the relevant data processing infrastructures through annotation and access restrictions that they are covered by established exemptions if the public sector body is subject to ac</w:t>
      </w:r>
      <w:r>
        <w:rPr>
          <w:rFonts w:ascii="Times New Roman" w:hAnsi="Times New Roman"/>
          <w:noProof/>
          <w:sz w:val="24"/>
        </w:rPr>
        <w:t xml:space="preserve">cess to documents legislation. Adequate measures to ensure network and information systems security need to be in place. </w:t>
      </w:r>
    </w:p>
    <w:p w:rsidR="000B237F" w:rsidRDefault="000175C6">
      <w:pPr>
        <w:pStyle w:val="ListParagraph"/>
        <w:numPr>
          <w:ilvl w:val="1"/>
          <w:numId w:val="13"/>
        </w:numPr>
        <w:jc w:val="both"/>
        <w:rPr>
          <w:rFonts w:ascii="Times New Roman" w:hAnsi="Times New Roman"/>
          <w:noProof/>
          <w:sz w:val="24"/>
        </w:rPr>
      </w:pPr>
      <w:r>
        <w:rPr>
          <w:rFonts w:ascii="Times New Roman" w:hAnsi="Times New Roman"/>
          <w:noProof/>
          <w:sz w:val="24"/>
        </w:rPr>
        <w:t>Public bodies might need to expand their technical and staff capabilities to exploit the possibilities to use private sector data.</w:t>
      </w:r>
    </w:p>
    <w:p w:rsidR="000B237F" w:rsidRDefault="000B237F">
      <w:pPr>
        <w:pStyle w:val="ListParagraph"/>
        <w:ind w:left="1440"/>
        <w:jc w:val="both"/>
        <w:rPr>
          <w:rFonts w:ascii="Times New Roman" w:hAnsi="Times New Roman"/>
          <w:noProof/>
          <w:sz w:val="24"/>
        </w:rPr>
      </w:pPr>
    </w:p>
    <w:p w:rsidR="000B237F" w:rsidRDefault="000175C6">
      <w:pPr>
        <w:pStyle w:val="ListParagraph"/>
        <w:numPr>
          <w:ilvl w:val="0"/>
          <w:numId w:val="12"/>
        </w:numPr>
        <w:jc w:val="both"/>
        <w:rPr>
          <w:rFonts w:ascii="Times New Roman" w:hAnsi="Times New Roman"/>
          <w:noProof/>
          <w:sz w:val="24"/>
        </w:rPr>
      </w:pPr>
      <w:r>
        <w:rPr>
          <w:rFonts w:ascii="Times New Roman" w:hAnsi="Times New Roman"/>
          <w:noProof/>
          <w:sz w:val="24"/>
        </w:rPr>
        <w:t>Th</w:t>
      </w:r>
      <w:r>
        <w:rPr>
          <w:rFonts w:ascii="Times New Roman" w:hAnsi="Times New Roman"/>
          <w:noProof/>
          <w:sz w:val="24"/>
        </w:rPr>
        <w:t xml:space="preserve">e contract should include the conditions for implementation, the time limitations and the specific data sets that would be used. </w:t>
      </w:r>
    </w:p>
    <w:p w:rsidR="000B237F" w:rsidRDefault="000175C6">
      <w:pPr>
        <w:pStyle w:val="ListParagraph"/>
        <w:numPr>
          <w:ilvl w:val="1"/>
          <w:numId w:val="15"/>
        </w:numPr>
        <w:jc w:val="both"/>
        <w:rPr>
          <w:rFonts w:ascii="Times New Roman" w:hAnsi="Times New Roman"/>
          <w:noProof/>
          <w:sz w:val="24"/>
        </w:rPr>
      </w:pPr>
      <w:r>
        <w:rPr>
          <w:rFonts w:ascii="Times New Roman" w:hAnsi="Times New Roman"/>
          <w:noProof/>
          <w:sz w:val="24"/>
        </w:rPr>
        <w:t>Public bodies should ensure that their request for specific private data complies with the principle of proportionality and is</w:t>
      </w:r>
      <w:r>
        <w:rPr>
          <w:rFonts w:ascii="Times New Roman" w:hAnsi="Times New Roman"/>
          <w:noProof/>
          <w:sz w:val="24"/>
        </w:rPr>
        <w:t xml:space="preserve"> necessary to achieve the public interest purpose defined. The agreement should specify that after the purpose has been achieved or the limit of the duration has been reached, the data transmitted are to be erased. The usage of the same data for a differen</w:t>
      </w:r>
      <w:r>
        <w:rPr>
          <w:rFonts w:ascii="Times New Roman" w:hAnsi="Times New Roman"/>
          <w:noProof/>
          <w:sz w:val="24"/>
        </w:rPr>
        <w:t>t purpose should be subject to a new or amended collaboration agreement.</w:t>
      </w:r>
    </w:p>
    <w:p w:rsidR="000B237F" w:rsidRDefault="000175C6">
      <w:pPr>
        <w:pStyle w:val="ListParagraph"/>
        <w:numPr>
          <w:ilvl w:val="1"/>
          <w:numId w:val="15"/>
        </w:numPr>
        <w:jc w:val="both"/>
        <w:rPr>
          <w:rFonts w:ascii="Times New Roman" w:hAnsi="Times New Roman"/>
          <w:noProof/>
          <w:sz w:val="24"/>
        </w:rPr>
      </w:pPr>
      <w:r>
        <w:rPr>
          <w:rFonts w:ascii="Times New Roman" w:hAnsi="Times New Roman"/>
          <w:noProof/>
          <w:sz w:val="24"/>
        </w:rPr>
        <w:t>The parties should define the conditions at operational level for the transfer of data: format of the data and metadata, quality, granularity and duration of access and mode of access</w:t>
      </w:r>
      <w:r>
        <w:rPr>
          <w:rFonts w:ascii="Times New Roman" w:hAnsi="Times New Roman"/>
          <w:noProof/>
          <w:sz w:val="24"/>
        </w:rPr>
        <w:t xml:space="preserve">. </w:t>
      </w:r>
    </w:p>
    <w:p w:rsidR="000B237F" w:rsidRDefault="000175C6">
      <w:pPr>
        <w:pStyle w:val="ListParagraph"/>
        <w:numPr>
          <w:ilvl w:val="1"/>
          <w:numId w:val="15"/>
        </w:numPr>
        <w:jc w:val="both"/>
        <w:rPr>
          <w:rFonts w:ascii="Times New Roman" w:hAnsi="Times New Roman"/>
          <w:noProof/>
          <w:sz w:val="24"/>
        </w:rPr>
      </w:pPr>
      <w:r>
        <w:rPr>
          <w:rFonts w:ascii="Times New Roman" w:hAnsi="Times New Roman"/>
          <w:noProof/>
          <w:sz w:val="24"/>
        </w:rPr>
        <w:t>The parties should determine the compensation. In this regard different options exist, namely limiting the remuneration to a pro rata recovery of the costs incurred in the production, preservation and dissemination of the data – only exceptionally combi</w:t>
      </w:r>
      <w:r>
        <w:rPr>
          <w:rFonts w:ascii="Times New Roman" w:hAnsi="Times New Roman"/>
          <w:noProof/>
          <w:sz w:val="24"/>
        </w:rPr>
        <w:t>ned with allowing a fair return on investment – and limiting the remuneration to, at maximum, the costs related to the dissemination of the data, considering that the costs of production and preservation of the data depending on the instant case may have a</w:t>
      </w:r>
      <w:r>
        <w:rPr>
          <w:rFonts w:ascii="Times New Roman" w:hAnsi="Times New Roman"/>
          <w:noProof/>
          <w:sz w:val="24"/>
        </w:rPr>
        <w:t xml:space="preserve">lready been covered by other revenue streams. The choice of the option could be linked to the public interest purpose pursued and the specificities of the social need it aims to fulfil. </w:t>
      </w:r>
    </w:p>
    <w:p w:rsidR="000B237F" w:rsidRDefault="000175C6">
      <w:pPr>
        <w:pStyle w:val="ListParagraph"/>
        <w:numPr>
          <w:ilvl w:val="1"/>
          <w:numId w:val="15"/>
        </w:numPr>
        <w:jc w:val="both"/>
        <w:rPr>
          <w:rFonts w:ascii="Times New Roman" w:hAnsi="Times New Roman"/>
          <w:noProof/>
          <w:sz w:val="24"/>
        </w:rPr>
      </w:pPr>
      <w:r>
        <w:rPr>
          <w:rFonts w:ascii="Times New Roman" w:hAnsi="Times New Roman"/>
          <w:noProof/>
          <w:sz w:val="24"/>
        </w:rPr>
        <w:t>In order to allow public bodies to make the necessary quality assessm</w:t>
      </w:r>
      <w:r>
        <w:rPr>
          <w:rFonts w:ascii="Times New Roman" w:hAnsi="Times New Roman"/>
          <w:noProof/>
          <w:sz w:val="24"/>
        </w:rPr>
        <w:t>ent in order to ascertain the presence of potential selection biases or other quality limitations that may only become apparent after the conclusion of the agreement, companies supplying the data should offer, to the best of their abilities, reasonable and</w:t>
      </w:r>
      <w:r>
        <w:rPr>
          <w:rFonts w:ascii="Times New Roman" w:hAnsi="Times New Roman"/>
          <w:noProof/>
          <w:sz w:val="24"/>
        </w:rPr>
        <w:t xml:space="preserve"> proportionate support so as to enable the assessment of the quality of the data for the stated purposes, including through the possibility to audit or otherwise verify the data wherever appropriate.</w:t>
      </w:r>
    </w:p>
    <w:p w:rsidR="000B237F" w:rsidRDefault="000B237F">
      <w:pPr>
        <w:pStyle w:val="ListParagraph"/>
        <w:ind w:left="1440"/>
        <w:jc w:val="both"/>
        <w:rPr>
          <w:rFonts w:ascii="Times New Roman" w:hAnsi="Times New Roman"/>
          <w:noProof/>
          <w:sz w:val="24"/>
        </w:rPr>
      </w:pPr>
    </w:p>
    <w:p w:rsidR="000B237F" w:rsidRDefault="000175C6">
      <w:pPr>
        <w:pStyle w:val="ListParagraph"/>
        <w:numPr>
          <w:ilvl w:val="0"/>
          <w:numId w:val="12"/>
        </w:numPr>
        <w:jc w:val="both"/>
        <w:rPr>
          <w:rFonts w:ascii="Times New Roman" w:hAnsi="Times New Roman"/>
          <w:noProof/>
          <w:sz w:val="24"/>
        </w:rPr>
      </w:pPr>
      <w:r>
        <w:rPr>
          <w:rFonts w:ascii="Times New Roman" w:hAnsi="Times New Roman"/>
          <w:noProof/>
          <w:sz w:val="24"/>
        </w:rPr>
        <w:t xml:space="preserve">The parties should agree on common guiding principles for the monitoring of the implementation of the contract: </w:t>
      </w:r>
    </w:p>
    <w:p w:rsidR="000B237F" w:rsidRDefault="000175C6">
      <w:pPr>
        <w:pStyle w:val="ListParagraph"/>
        <w:numPr>
          <w:ilvl w:val="1"/>
          <w:numId w:val="16"/>
        </w:numPr>
        <w:jc w:val="both"/>
        <w:rPr>
          <w:rFonts w:ascii="Times New Roman" w:hAnsi="Times New Roman"/>
          <w:noProof/>
          <w:sz w:val="24"/>
        </w:rPr>
      </w:pPr>
      <w:r>
        <w:rPr>
          <w:rFonts w:ascii="Times New Roman" w:hAnsi="Times New Roman"/>
          <w:noProof/>
          <w:sz w:val="24"/>
        </w:rPr>
        <w:t>They may agree on a code of conduct or use existing ethical rules such as the European Statistics Code of Practice</w:t>
      </w:r>
      <w:r>
        <w:rPr>
          <w:rStyle w:val="FootnoteReference"/>
          <w:rFonts w:ascii="Times New Roman" w:hAnsi="Times New Roman"/>
          <w:noProof/>
          <w:sz w:val="24"/>
        </w:rPr>
        <w:footnoteReference w:id="28"/>
      </w:r>
      <w:r>
        <w:rPr>
          <w:rFonts w:ascii="Times New Roman" w:hAnsi="Times New Roman"/>
          <w:noProof/>
          <w:sz w:val="24"/>
        </w:rPr>
        <w:t>, install a coordination com</w:t>
      </w:r>
      <w:r>
        <w:rPr>
          <w:rFonts w:ascii="Times New Roman" w:hAnsi="Times New Roman"/>
          <w:noProof/>
          <w:sz w:val="24"/>
        </w:rPr>
        <w:t xml:space="preserve">mittee or appoint an independent auditor to oversee the data use. </w:t>
      </w:r>
    </w:p>
    <w:p w:rsidR="000B237F" w:rsidRDefault="000175C6">
      <w:pPr>
        <w:pStyle w:val="ListParagraph"/>
        <w:numPr>
          <w:ilvl w:val="1"/>
          <w:numId w:val="16"/>
        </w:numPr>
        <w:jc w:val="both"/>
        <w:rPr>
          <w:rFonts w:ascii="Times New Roman" w:hAnsi="Times New Roman"/>
          <w:noProof/>
          <w:sz w:val="24"/>
        </w:rPr>
      </w:pPr>
      <w:r>
        <w:rPr>
          <w:rFonts w:ascii="Times New Roman" w:hAnsi="Times New Roman"/>
          <w:noProof/>
          <w:sz w:val="24"/>
        </w:rPr>
        <w:t>Public bodies put in place the necessary safeguards preventing the misuse of the accessed data for other purposes than the ones defined in the contract.</w:t>
      </w:r>
    </w:p>
    <w:p w:rsidR="000B237F" w:rsidRDefault="000B237F">
      <w:pPr>
        <w:pStyle w:val="ListParagraph"/>
        <w:ind w:left="1440"/>
        <w:jc w:val="both"/>
        <w:rPr>
          <w:rFonts w:ascii="Times New Roman" w:hAnsi="Times New Roman"/>
          <w:noProof/>
          <w:sz w:val="24"/>
        </w:rPr>
      </w:pPr>
    </w:p>
    <w:p w:rsidR="000B237F" w:rsidRDefault="000175C6">
      <w:pPr>
        <w:pStyle w:val="ListParagraph"/>
        <w:numPr>
          <w:ilvl w:val="0"/>
          <w:numId w:val="12"/>
        </w:numPr>
        <w:jc w:val="both"/>
        <w:rPr>
          <w:rFonts w:ascii="Times New Roman" w:hAnsi="Times New Roman"/>
          <w:noProof/>
          <w:sz w:val="24"/>
        </w:rPr>
      </w:pPr>
      <w:r>
        <w:rPr>
          <w:rFonts w:ascii="Times New Roman" w:hAnsi="Times New Roman"/>
          <w:noProof/>
          <w:sz w:val="24"/>
        </w:rPr>
        <w:t>The contract should include rules o</w:t>
      </w:r>
      <w:r>
        <w:rPr>
          <w:rFonts w:ascii="Times New Roman" w:hAnsi="Times New Roman"/>
          <w:noProof/>
          <w:sz w:val="24"/>
        </w:rPr>
        <w:t>n</w:t>
      </w:r>
      <w:r>
        <w:rPr>
          <w:rFonts w:ascii="Times New Roman" w:hAnsi="Times New Roman"/>
          <w:noProof/>
          <w:sz w:val="24"/>
          <w:szCs w:val="24"/>
        </w:rPr>
        <w:t xml:space="preserve"> liability for supply of erroneous data, disruptions in the data transmission, low quality interpretative work, if shared with datasets, or for destruction/loss or alteration of data (if it is unlawful or accidental) that may cause damages</w:t>
      </w:r>
      <w:r>
        <w:rPr>
          <w:rFonts w:ascii="Times New Roman" w:hAnsi="Times New Roman"/>
          <w:noProof/>
          <w:sz w:val="24"/>
        </w:rPr>
        <w:t xml:space="preserve">. </w:t>
      </w:r>
    </w:p>
    <w:p w:rsidR="000B237F" w:rsidRDefault="000B237F">
      <w:pPr>
        <w:pStyle w:val="ListParagraph"/>
        <w:jc w:val="both"/>
        <w:rPr>
          <w:rFonts w:ascii="Times New Roman" w:hAnsi="Times New Roman"/>
          <w:noProof/>
          <w:sz w:val="24"/>
        </w:rPr>
      </w:pPr>
    </w:p>
    <w:p w:rsidR="000B237F" w:rsidRDefault="000175C6">
      <w:pPr>
        <w:pStyle w:val="ListParagraph"/>
        <w:numPr>
          <w:ilvl w:val="0"/>
          <w:numId w:val="12"/>
        </w:numPr>
        <w:jc w:val="both"/>
        <w:rPr>
          <w:rFonts w:ascii="Times New Roman" w:hAnsi="Times New Roman"/>
          <w:noProof/>
          <w:sz w:val="24"/>
        </w:rPr>
      </w:pPr>
      <w:r>
        <w:rPr>
          <w:rFonts w:ascii="Times New Roman" w:hAnsi="Times New Roman"/>
          <w:noProof/>
          <w:sz w:val="24"/>
        </w:rPr>
        <w:t>The contract</w:t>
      </w:r>
      <w:r>
        <w:rPr>
          <w:rFonts w:ascii="Times New Roman" w:hAnsi="Times New Roman"/>
          <w:noProof/>
          <w:sz w:val="24"/>
        </w:rPr>
        <w:t xml:space="preserve"> should establish the applicable law and the dispute settlement mechanisms. </w:t>
      </w:r>
      <w:r>
        <w:rPr>
          <w:rFonts w:ascii="Times New Roman" w:hAnsi="Times New Roman"/>
          <w:noProof/>
          <w:sz w:val="24"/>
        </w:rPr>
        <w:br/>
        <w:t>Any party should have the freedom to terminate the contract when there is a legal or technical risk as regards the treatment or the use of the data shared.</w:t>
      </w:r>
    </w:p>
    <w:p w:rsidR="000B237F" w:rsidRDefault="000B237F">
      <w:pPr>
        <w:pStyle w:val="ListParagraph"/>
        <w:ind w:left="1434"/>
        <w:jc w:val="both"/>
        <w:rPr>
          <w:rFonts w:ascii="Times New Roman" w:hAnsi="Times New Roman"/>
          <w:noProof/>
          <w:sz w:val="24"/>
        </w:rPr>
      </w:pPr>
    </w:p>
    <w:p w:rsidR="000B237F" w:rsidRDefault="000175C6">
      <w:pPr>
        <w:pStyle w:val="ListParagraph"/>
        <w:numPr>
          <w:ilvl w:val="0"/>
          <w:numId w:val="12"/>
        </w:numPr>
        <w:ind w:left="714" w:hanging="357"/>
        <w:contextualSpacing w:val="0"/>
        <w:jc w:val="both"/>
        <w:rPr>
          <w:rFonts w:ascii="Times New Roman" w:hAnsi="Times New Roman"/>
          <w:noProof/>
          <w:sz w:val="24"/>
        </w:rPr>
      </w:pPr>
      <w:r>
        <w:rPr>
          <w:rFonts w:ascii="Times New Roman" w:hAnsi="Times New Roman"/>
          <w:noProof/>
          <w:sz w:val="24"/>
        </w:rPr>
        <w:t>Public bodies should d</w:t>
      </w:r>
      <w:r>
        <w:rPr>
          <w:rFonts w:ascii="Times New Roman" w:hAnsi="Times New Roman"/>
          <w:noProof/>
          <w:sz w:val="24"/>
        </w:rPr>
        <w:t xml:space="preserve">isseminate the results/insights of the B2G collaboration and ensure mechanisms for public feedback, whenever necessary or relevant, without compromising the confidentiality of the private sector data. </w:t>
      </w:r>
    </w:p>
    <w:p w:rsidR="000B237F" w:rsidRDefault="000175C6">
      <w:pPr>
        <w:rPr>
          <w:rFonts w:ascii="Times New Roman" w:hAnsi="Times New Roman"/>
          <w:b/>
          <w:noProof/>
          <w:sz w:val="24"/>
        </w:rPr>
      </w:pPr>
      <w:r>
        <w:rPr>
          <w:rFonts w:ascii="Times New Roman" w:hAnsi="Times New Roman"/>
          <w:b/>
          <w:noProof/>
          <w:sz w:val="24"/>
        </w:rPr>
        <w:br w:type="page"/>
      </w:r>
    </w:p>
    <w:p w:rsidR="000B237F" w:rsidRDefault="000175C6">
      <w:pPr>
        <w:pStyle w:val="Heading3"/>
        <w:keepNext/>
        <w:numPr>
          <w:ilvl w:val="0"/>
          <w:numId w:val="0"/>
        </w:numPr>
        <w:rPr>
          <w:rFonts w:ascii="Times New Roman" w:hAnsi="Times New Roman"/>
          <w:b/>
          <w:noProof/>
          <w:sz w:val="24"/>
        </w:rPr>
      </w:pPr>
      <w:r>
        <w:rPr>
          <w:rFonts w:ascii="Times New Roman" w:eastAsiaTheme="minorHAnsi" w:hAnsi="Times New Roman" w:cstheme="minorBidi"/>
          <w:b/>
          <w:noProof/>
          <w:sz w:val="24"/>
          <w:szCs w:val="22"/>
        </w:rPr>
        <w:t xml:space="preserve">4.3. </w:t>
      </w:r>
      <w:r>
        <w:rPr>
          <w:rFonts w:ascii="Times New Roman" w:hAnsi="Times New Roman"/>
          <w:b/>
          <w:noProof/>
          <w:sz w:val="24"/>
        </w:rPr>
        <w:t>Technical means to establish B2G collaboration</w:t>
      </w:r>
    </w:p>
    <w:p w:rsidR="000B237F" w:rsidRDefault="000175C6">
      <w:pPr>
        <w:spacing w:before="120"/>
        <w:jc w:val="both"/>
        <w:rPr>
          <w:rFonts w:ascii="Times New Roman" w:hAnsi="Times New Roman" w:cs="Times New Roman"/>
          <w:noProof/>
          <w:sz w:val="24"/>
          <w:szCs w:val="24"/>
        </w:rPr>
      </w:pPr>
      <w:r>
        <w:rPr>
          <w:rFonts w:ascii="Times New Roman" w:hAnsi="Times New Roman" w:cs="Times New Roman"/>
          <w:noProof/>
          <w:sz w:val="24"/>
          <w:szCs w:val="24"/>
        </w:rPr>
        <w:t>In any B2G collaboration a decision has to be made about how the insights from the private sector data are to be derived for public interest purposes. This may mean an actual transfer of private sector data to the IT environment of the public body in quest</w:t>
      </w:r>
      <w:r>
        <w:rPr>
          <w:rFonts w:ascii="Times New Roman" w:hAnsi="Times New Roman" w:cs="Times New Roman"/>
          <w:noProof/>
          <w:sz w:val="24"/>
          <w:szCs w:val="24"/>
        </w:rPr>
        <w:t xml:space="preserve">ion. However, this is not the only possibility and other mechanisms can be considered. This section offers an overview of technical means that are alternative to the transfer of private sector data to the IT environment of the public body. These technical </w:t>
      </w:r>
      <w:r>
        <w:rPr>
          <w:rFonts w:ascii="Times New Roman" w:hAnsi="Times New Roman" w:cs="Times New Roman"/>
          <w:noProof/>
          <w:sz w:val="24"/>
          <w:szCs w:val="24"/>
        </w:rPr>
        <w:t xml:space="preserve">mechanisms can provide access and data usage rules while offering a trusted and secure environment for the exchange of datasets. </w:t>
      </w:r>
    </w:p>
    <w:p w:rsidR="000B237F" w:rsidRDefault="000175C6">
      <w:pPr>
        <w:pStyle w:val="ListParagraph"/>
        <w:numPr>
          <w:ilvl w:val="0"/>
          <w:numId w:val="18"/>
        </w:numPr>
        <w:jc w:val="both"/>
        <w:rPr>
          <w:rFonts w:ascii="Times New Roman" w:hAnsi="Times New Roman"/>
          <w:noProof/>
          <w:sz w:val="24"/>
        </w:rPr>
      </w:pPr>
      <w:r>
        <w:rPr>
          <w:rFonts w:ascii="Times New Roman" w:hAnsi="Times New Roman"/>
          <w:b/>
          <w:noProof/>
          <w:sz w:val="24"/>
        </w:rPr>
        <w:t>Data platforms</w:t>
      </w:r>
      <w:r>
        <w:rPr>
          <w:rFonts w:ascii="Times New Roman" w:hAnsi="Times New Roman"/>
          <w:noProof/>
          <w:sz w:val="24"/>
        </w:rPr>
        <w:t>: The creation of data platforms can offer a secure environment to store and exchange data between companies and</w:t>
      </w:r>
      <w:r>
        <w:rPr>
          <w:rFonts w:ascii="Times New Roman" w:hAnsi="Times New Roman"/>
          <w:noProof/>
          <w:sz w:val="24"/>
        </w:rPr>
        <w:t xml:space="preserve"> public bodies. Such platforms can provide public bodies with standardised data to create shared data resources or insights, in collaboration with companies.</w:t>
      </w:r>
    </w:p>
    <w:p w:rsidR="000B237F" w:rsidRDefault="000175C6">
      <w:pPr>
        <w:keepNext/>
        <w:pBdr>
          <w:top w:val="single" w:sz="4" w:space="1" w:color="auto"/>
          <w:left w:val="single" w:sz="4" w:space="4" w:color="auto"/>
          <w:bottom w:val="single" w:sz="4" w:space="1" w:color="auto"/>
          <w:right w:val="single" w:sz="4" w:space="4" w:color="auto"/>
        </w:pBdr>
        <w:spacing w:after="0"/>
        <w:jc w:val="both"/>
        <w:rPr>
          <w:rFonts w:ascii="Times New Roman" w:hAnsi="Times New Roman"/>
          <w:noProof/>
        </w:rPr>
      </w:pPr>
      <w:r>
        <w:rPr>
          <w:rFonts w:ascii="Times New Roman" w:hAnsi="Times New Roman"/>
          <w:b/>
          <w:noProof/>
        </w:rPr>
        <w:t>Centre for Big Data Statistics</w:t>
      </w:r>
      <w:r>
        <w:rPr>
          <w:rFonts w:ascii="Times New Roman" w:hAnsi="Times New Roman"/>
          <w:noProof/>
        </w:rPr>
        <w:t>, the Netherlands</w:t>
      </w:r>
      <w:r>
        <w:rPr>
          <w:rStyle w:val="FootnoteReference"/>
          <w:rFonts w:ascii="Times New Roman" w:hAnsi="Times New Roman"/>
          <w:noProof/>
        </w:rPr>
        <w:footnoteReference w:id="29"/>
      </w:r>
    </w:p>
    <w:p w:rsidR="000B237F" w:rsidRDefault="000B237F">
      <w:pPr>
        <w:keepNext/>
        <w:pBdr>
          <w:top w:val="single" w:sz="4" w:space="1" w:color="auto"/>
          <w:left w:val="single" w:sz="4" w:space="4" w:color="auto"/>
          <w:bottom w:val="single" w:sz="4" w:space="1" w:color="auto"/>
          <w:right w:val="single" w:sz="4" w:space="4" w:color="auto"/>
        </w:pBdr>
        <w:spacing w:after="0"/>
        <w:jc w:val="both"/>
        <w:rPr>
          <w:rFonts w:ascii="Times New Roman" w:hAnsi="Times New Roman"/>
          <w:noProof/>
        </w:rPr>
      </w:pPr>
    </w:p>
    <w:p w:rsidR="000B237F" w:rsidRDefault="000175C6">
      <w:pPr>
        <w:pBdr>
          <w:top w:val="single" w:sz="4" w:space="1" w:color="auto"/>
          <w:left w:val="single" w:sz="4" w:space="4" w:color="auto"/>
          <w:bottom w:val="single" w:sz="4" w:space="1" w:color="auto"/>
          <w:right w:val="single" w:sz="4" w:space="4" w:color="auto"/>
        </w:pBdr>
        <w:jc w:val="both"/>
        <w:rPr>
          <w:rFonts w:ascii="Times New Roman" w:hAnsi="Times New Roman"/>
          <w:noProof/>
        </w:rPr>
      </w:pPr>
      <w:r>
        <w:rPr>
          <w:rFonts w:ascii="Times New Roman" w:hAnsi="Times New Roman"/>
          <w:noProof/>
        </w:rPr>
        <w:t xml:space="preserve">The Centre for Big Data Statistics (CBS) </w:t>
      </w:r>
      <w:r>
        <w:rPr>
          <w:rFonts w:ascii="Times New Roman" w:hAnsi="Times New Roman"/>
          <w:noProof/>
        </w:rPr>
        <w:t>partners with a variety of organizations from the private sector to gather the necessary private sector data to create high quality data visualisations. Since CBS is a public sector organization, it also has access to the Netherland's large repository of g</w:t>
      </w:r>
      <w:r>
        <w:rPr>
          <w:rFonts w:ascii="Times New Roman" w:hAnsi="Times New Roman"/>
          <w:noProof/>
        </w:rPr>
        <w:t>overnment and sensor data, which they are able to pool with these new data sources to provide new insights.</w:t>
      </w:r>
    </w:p>
    <w:p w:rsidR="000B237F" w:rsidRDefault="000175C6">
      <w:pPr>
        <w:pStyle w:val="ListParagraph"/>
        <w:numPr>
          <w:ilvl w:val="0"/>
          <w:numId w:val="18"/>
        </w:numPr>
        <w:spacing w:before="360"/>
        <w:ind w:left="714" w:hanging="357"/>
        <w:jc w:val="both"/>
        <w:rPr>
          <w:rFonts w:ascii="Times New Roman" w:hAnsi="Times New Roman"/>
          <w:noProof/>
          <w:sz w:val="24"/>
        </w:rPr>
      </w:pPr>
      <w:r>
        <w:rPr>
          <w:rFonts w:ascii="Times New Roman" w:hAnsi="Times New Roman"/>
          <w:b/>
          <w:noProof/>
          <w:sz w:val="24"/>
        </w:rPr>
        <w:t>Algorithm-to-the-data</w:t>
      </w:r>
      <w:r>
        <w:rPr>
          <w:rFonts w:ascii="Times New Roman" w:hAnsi="Times New Roman"/>
          <w:noProof/>
          <w:sz w:val="24"/>
        </w:rPr>
        <w:t>: Bringing the algorithm to the data can be a solution to the security, data protection and privacy challenges of data. It woul</w:t>
      </w:r>
      <w:r>
        <w:rPr>
          <w:rFonts w:ascii="Times New Roman" w:hAnsi="Times New Roman"/>
          <w:noProof/>
          <w:sz w:val="24"/>
        </w:rPr>
        <w:t>d respect one of the main considerations for ensuring protection of personal data and privacy, which is to move data as little as possible. Using this solution means that the algorithm is installed within the IT environment of the private company and the a</w:t>
      </w:r>
      <w:r>
        <w:rPr>
          <w:rFonts w:ascii="Times New Roman" w:hAnsi="Times New Roman"/>
          <w:noProof/>
          <w:sz w:val="24"/>
        </w:rPr>
        <w:t>nalysis takes place there. Only the anonymous insights derived by the algorithm are transferred back to the public sector body. The data query interface and analytics possibilities could be co-designed by the company and/or the public organisation in quest</w:t>
      </w:r>
      <w:r>
        <w:rPr>
          <w:rFonts w:ascii="Times New Roman" w:hAnsi="Times New Roman"/>
          <w:noProof/>
          <w:sz w:val="24"/>
        </w:rPr>
        <w:t xml:space="preserve">ion (or by a trusted intermediary). </w:t>
      </w:r>
    </w:p>
    <w:p w:rsidR="000B237F" w:rsidRDefault="000B237F">
      <w:pPr>
        <w:pStyle w:val="ListParagraph"/>
        <w:spacing w:after="0"/>
        <w:jc w:val="both"/>
        <w:rPr>
          <w:rFonts w:ascii="Times New Roman" w:hAnsi="Times New Roman"/>
          <w:noProof/>
          <w:sz w:val="24"/>
        </w:rPr>
      </w:pPr>
    </w:p>
    <w:p w:rsidR="000B237F" w:rsidRDefault="000175C6">
      <w:pPr>
        <w:pBdr>
          <w:top w:val="single" w:sz="4" w:space="1" w:color="auto"/>
          <w:left w:val="single" w:sz="4" w:space="4" w:color="auto"/>
          <w:bottom w:val="single" w:sz="4" w:space="1" w:color="auto"/>
          <w:right w:val="single" w:sz="4" w:space="4" w:color="auto"/>
        </w:pBdr>
        <w:spacing w:after="0"/>
        <w:jc w:val="both"/>
        <w:rPr>
          <w:rFonts w:ascii="Times New Roman" w:hAnsi="Times New Roman"/>
          <w:b/>
          <w:noProof/>
        </w:rPr>
      </w:pPr>
      <w:r>
        <w:rPr>
          <w:rFonts w:ascii="Times New Roman" w:hAnsi="Times New Roman"/>
          <w:b/>
          <w:noProof/>
        </w:rPr>
        <w:t>The Open Algorithms (OPAL)</w:t>
      </w:r>
      <w:r>
        <w:rPr>
          <w:rStyle w:val="FootnoteReference"/>
          <w:rFonts w:ascii="Times New Roman" w:hAnsi="Times New Roman"/>
          <w:noProof/>
        </w:rPr>
        <w:footnoteReference w:id="30"/>
      </w:r>
    </w:p>
    <w:p w:rsidR="000B237F" w:rsidRDefault="000B237F">
      <w:pPr>
        <w:pBdr>
          <w:top w:val="single" w:sz="4" w:space="1" w:color="auto"/>
          <w:left w:val="single" w:sz="4" w:space="4" w:color="auto"/>
          <w:bottom w:val="single" w:sz="4" w:space="1" w:color="auto"/>
          <w:right w:val="single" w:sz="4" w:space="4" w:color="auto"/>
        </w:pBdr>
        <w:spacing w:after="0"/>
        <w:jc w:val="both"/>
        <w:rPr>
          <w:rFonts w:ascii="Times New Roman" w:hAnsi="Times New Roman"/>
          <w:noProof/>
        </w:rPr>
      </w:pPr>
    </w:p>
    <w:p w:rsidR="000B237F" w:rsidRDefault="000175C6">
      <w:pPr>
        <w:pBdr>
          <w:top w:val="single" w:sz="4" w:space="1" w:color="auto"/>
          <w:left w:val="single" w:sz="4" w:space="4" w:color="auto"/>
          <w:bottom w:val="single" w:sz="4" w:space="1" w:color="auto"/>
          <w:right w:val="single" w:sz="4" w:space="4" w:color="auto"/>
        </w:pBdr>
        <w:jc w:val="both"/>
        <w:rPr>
          <w:rFonts w:ascii="Times New Roman" w:hAnsi="Times New Roman"/>
          <w:noProof/>
        </w:rPr>
      </w:pPr>
      <w:r>
        <w:rPr>
          <w:rFonts w:ascii="Times New Roman" w:hAnsi="Times New Roman"/>
          <w:noProof/>
        </w:rPr>
        <w:t>The project is a socio-technological innovation developed by Data-Pop Alliance, Imperial College London, MIT Media Lab, Orange and the World Economic Forum to leverage private sector data f</w:t>
      </w:r>
      <w:r>
        <w:rPr>
          <w:rFonts w:ascii="Times New Roman" w:hAnsi="Times New Roman"/>
          <w:noProof/>
        </w:rPr>
        <w:t xml:space="preserve">or public good purposes by “sending the code to the data” in a privacy preserving, predictable, participatory, scalable and sustainable manner. The design of the algorithm has the input from the local advisory Committees for the Orientation of Development </w:t>
      </w:r>
      <w:r>
        <w:rPr>
          <w:rFonts w:ascii="Times New Roman" w:hAnsi="Times New Roman"/>
          <w:noProof/>
        </w:rPr>
        <w:t>and Ethics (CODE) so that these algorithms serve local needs and respect local standards, instead of imposing external perspectives and expertise.</w:t>
      </w:r>
    </w:p>
    <w:p w:rsidR="000B237F" w:rsidRDefault="000175C6">
      <w:pPr>
        <w:spacing w:before="360" w:after="360"/>
        <w:ind w:left="709" w:hanging="352"/>
        <w:jc w:val="both"/>
        <w:rPr>
          <w:rFonts w:ascii="Times New Roman" w:hAnsi="Times New Roman"/>
          <w:noProof/>
          <w:sz w:val="24"/>
        </w:rPr>
      </w:pPr>
      <w:r>
        <w:rPr>
          <w:rFonts w:ascii="Times New Roman" w:hAnsi="Times New Roman"/>
          <w:noProof/>
          <w:sz w:val="24"/>
        </w:rPr>
        <w:t>c)</w:t>
      </w:r>
      <w:r>
        <w:rPr>
          <w:rFonts w:ascii="Times New Roman" w:hAnsi="Times New Roman"/>
          <w:noProof/>
          <w:sz w:val="24"/>
        </w:rPr>
        <w:tab/>
      </w:r>
      <w:r>
        <w:rPr>
          <w:rFonts w:ascii="Times New Roman" w:hAnsi="Times New Roman"/>
          <w:b/>
          <w:noProof/>
          <w:sz w:val="24"/>
        </w:rPr>
        <w:t>Privacy-preserving computation:</w:t>
      </w:r>
      <w:r>
        <w:rPr>
          <w:rFonts w:ascii="Times New Roman" w:hAnsi="Times New Roman"/>
          <w:noProof/>
          <w:sz w:val="24"/>
        </w:rPr>
        <w:t xml:space="preserve"> In the last years several computation models were developed that allow per</w:t>
      </w:r>
      <w:r>
        <w:rPr>
          <w:rFonts w:ascii="Times New Roman" w:hAnsi="Times New Roman"/>
          <w:noProof/>
          <w:sz w:val="24"/>
        </w:rPr>
        <w:t>forming operations on data that need to remain confidential. Such models allow extracting the desired output information without disclosing the input data. Therefore, data computation can take place collaboratively across different administrative domains (</w:t>
      </w:r>
      <w:r>
        <w:rPr>
          <w:rFonts w:ascii="Times New Roman" w:hAnsi="Times New Roman"/>
          <w:noProof/>
          <w:sz w:val="24"/>
        </w:rPr>
        <w:t>public or private) with no need to move data outside the company. Such models imply a fundamental paradigm shift from “sharing data” to “sharing computation”. Among the existing privacy-preserving computation methods, the class of secure multi-party comput</w:t>
      </w:r>
      <w:r>
        <w:rPr>
          <w:rFonts w:ascii="Times New Roman" w:hAnsi="Times New Roman"/>
          <w:noProof/>
          <w:sz w:val="24"/>
        </w:rPr>
        <w:t>ation seems to be particularly suited in the context of B2G data collaboration. Some simple secure multi-party computation techniques are very scalable and powerful. A few companies already provide the technology and relevant platforms. Studies have been c</w:t>
      </w:r>
      <w:r>
        <w:rPr>
          <w:rFonts w:ascii="Times New Roman" w:hAnsi="Times New Roman"/>
          <w:noProof/>
          <w:sz w:val="24"/>
        </w:rPr>
        <w:t xml:space="preserve">onducted that made use of this technique in B2G collaboration. </w:t>
      </w:r>
    </w:p>
    <w:p w:rsidR="000B237F" w:rsidRDefault="000175C6">
      <w:pPr>
        <w:pBdr>
          <w:top w:val="single" w:sz="4" w:space="1" w:color="auto"/>
          <w:left w:val="single" w:sz="4" w:space="4" w:color="auto"/>
          <w:bottom w:val="single" w:sz="4" w:space="1" w:color="auto"/>
          <w:right w:val="single" w:sz="4" w:space="4" w:color="auto"/>
        </w:pBdr>
        <w:spacing w:after="0"/>
        <w:jc w:val="both"/>
        <w:rPr>
          <w:rFonts w:ascii="Times New Roman" w:hAnsi="Times New Roman"/>
          <w:b/>
          <w:noProof/>
        </w:rPr>
      </w:pPr>
      <w:r>
        <w:rPr>
          <w:rFonts w:ascii="Times New Roman" w:hAnsi="Times New Roman"/>
          <w:b/>
          <w:noProof/>
        </w:rPr>
        <w:t>Secure multi-party computation</w:t>
      </w:r>
      <w:r>
        <w:rPr>
          <w:rStyle w:val="FootnoteReference"/>
          <w:rFonts w:ascii="Times New Roman" w:hAnsi="Times New Roman"/>
          <w:b/>
          <w:noProof/>
        </w:rPr>
        <w:footnoteReference w:id="31"/>
      </w:r>
      <w:r>
        <w:rPr>
          <w:rFonts w:ascii="Times New Roman" w:hAnsi="Times New Roman"/>
          <w:b/>
          <w:noProof/>
        </w:rPr>
        <w:t xml:space="preserve"> </w:t>
      </w:r>
    </w:p>
    <w:p w:rsidR="000B237F" w:rsidRDefault="000B237F">
      <w:pPr>
        <w:pBdr>
          <w:top w:val="single" w:sz="4" w:space="1" w:color="auto"/>
          <w:left w:val="single" w:sz="4" w:space="4" w:color="auto"/>
          <w:bottom w:val="single" w:sz="4" w:space="1" w:color="auto"/>
          <w:right w:val="single" w:sz="4" w:space="4" w:color="auto"/>
        </w:pBdr>
        <w:spacing w:after="0"/>
        <w:jc w:val="both"/>
        <w:rPr>
          <w:rFonts w:ascii="Times New Roman" w:hAnsi="Times New Roman"/>
          <w:b/>
          <w:noProof/>
        </w:rPr>
      </w:pPr>
    </w:p>
    <w:p w:rsidR="000B237F" w:rsidRDefault="000175C6">
      <w:pPr>
        <w:pBdr>
          <w:top w:val="single" w:sz="4" w:space="1" w:color="auto"/>
          <w:left w:val="single" w:sz="4" w:space="4" w:color="auto"/>
          <w:bottom w:val="single" w:sz="4" w:space="1" w:color="auto"/>
          <w:right w:val="single" w:sz="4" w:space="4" w:color="auto"/>
        </w:pBdr>
        <w:jc w:val="both"/>
        <w:rPr>
          <w:rFonts w:ascii="Times New Roman" w:hAnsi="Times New Roman"/>
          <w:noProof/>
        </w:rPr>
      </w:pPr>
      <w:r>
        <w:rPr>
          <w:rFonts w:ascii="Times New Roman" w:hAnsi="Times New Roman"/>
          <w:noProof/>
        </w:rPr>
        <w:t xml:space="preserve">Secure multi-party computation is a practical cryptographic method for processing confidential data. Research progress has led to its use in </w:t>
      </w:r>
      <w:r>
        <w:rPr>
          <w:rFonts w:ascii="Times New Roman" w:hAnsi="Times New Roman"/>
          <w:noProof/>
        </w:rPr>
        <w:t>privacy-preserving statistical analysis. In 2015, statisticians from the Estonian Centre of Applied Research (CentAR) conducted a big data study to look for correlations between working during university studies and failing to graduate in time. The study w</w:t>
      </w:r>
      <w:r>
        <w:rPr>
          <w:rFonts w:ascii="Times New Roman" w:hAnsi="Times New Roman"/>
          <w:noProof/>
        </w:rPr>
        <w:t xml:space="preserve">as conducted by linking the database of individual tax payments from the Estonian Tax and Customs Board and the database of higher education events from the Ministry of Education and Research. Data collection, preparation and analysis were conducted using </w:t>
      </w:r>
      <w:r>
        <w:rPr>
          <w:rFonts w:ascii="Times New Roman" w:hAnsi="Times New Roman"/>
          <w:noProof/>
        </w:rPr>
        <w:t>the Share-mind secure multi-party computation system that provided end-to-end cryptographic protection to the analysis. Using ten million tax records and half a million education records in the analysis, this is the largest cryptographically private statis</w:t>
      </w:r>
      <w:r>
        <w:rPr>
          <w:rFonts w:ascii="Times New Roman" w:hAnsi="Times New Roman"/>
          <w:noProof/>
        </w:rPr>
        <w:t>tical study ever conducted on real data.</w:t>
      </w:r>
    </w:p>
    <w:sectPr w:rsidR="000B237F">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37F" w:rsidRDefault="000175C6">
      <w:pPr>
        <w:spacing w:after="0" w:line="240" w:lineRule="auto"/>
      </w:pPr>
      <w:r>
        <w:separator/>
      </w:r>
    </w:p>
  </w:endnote>
  <w:endnote w:type="continuationSeparator" w:id="0">
    <w:p w:rsidR="000B237F" w:rsidRDefault="000175C6">
      <w:pPr>
        <w:spacing w:after="0" w:line="240" w:lineRule="auto"/>
      </w:pPr>
      <w:r>
        <w:continuationSeparator/>
      </w:r>
    </w:p>
  </w:endnote>
  <w:endnote w:type="continuationNotice" w:id="1">
    <w:p w:rsidR="000B237F" w:rsidRDefault="000B23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5C6" w:rsidRPr="000175C6" w:rsidRDefault="000175C6" w:rsidP="000175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5C6" w:rsidRPr="000175C6" w:rsidRDefault="000175C6" w:rsidP="000175C6">
    <w:pPr>
      <w:pStyle w:val="FooterCoverPage"/>
      <w:rPr>
        <w:rFonts w:ascii="Arial" w:hAnsi="Arial" w:cs="Arial"/>
        <w:b/>
        <w:sz w:val="48"/>
      </w:rPr>
    </w:pPr>
    <w:r w:rsidRPr="000175C6">
      <w:rPr>
        <w:rFonts w:ascii="Arial" w:hAnsi="Arial" w:cs="Arial"/>
        <w:b/>
        <w:sz w:val="48"/>
      </w:rPr>
      <w:t>EN</w:t>
    </w:r>
    <w:r w:rsidRPr="000175C6">
      <w:rPr>
        <w:rFonts w:ascii="Arial" w:hAnsi="Arial" w:cs="Arial"/>
        <w:b/>
        <w:sz w:val="48"/>
      </w:rPr>
      <w:tab/>
    </w:r>
    <w:r w:rsidRPr="000175C6">
      <w:rPr>
        <w:rFonts w:ascii="Arial" w:hAnsi="Arial" w:cs="Arial"/>
        <w:b/>
        <w:sz w:val="48"/>
      </w:rPr>
      <w:tab/>
    </w:r>
    <w:r w:rsidRPr="000175C6">
      <w:tab/>
    </w:r>
    <w:proofErr w:type="spellStart"/>
    <w:r w:rsidRPr="000175C6">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5C6" w:rsidRPr="000175C6" w:rsidRDefault="000175C6" w:rsidP="000175C6">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37F" w:rsidRDefault="000B237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663665298"/>
      <w:docPartObj>
        <w:docPartGallery w:val="Page Numbers (Bottom of Page)"/>
        <w:docPartUnique/>
      </w:docPartObj>
    </w:sdtPr>
    <w:sdtEndPr>
      <w:rPr>
        <w:noProof/>
      </w:rPr>
    </w:sdtEndPr>
    <w:sdtContent>
      <w:p w:rsidR="000B237F" w:rsidRDefault="000175C6">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18</w:t>
        </w:r>
        <w:r>
          <w:rPr>
            <w:rFonts w:ascii="Times New Roman" w:hAnsi="Times New Roman" w:cs="Times New Roman"/>
            <w:noProof/>
            <w:sz w:val="24"/>
            <w:szCs w:val="24"/>
          </w:rPr>
          <w:fldChar w:fldCharType="end"/>
        </w:r>
      </w:p>
    </w:sdtContent>
  </w:sdt>
  <w:p w:rsidR="000B237F" w:rsidRDefault="000B237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37F" w:rsidRDefault="000B23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37F" w:rsidRDefault="000175C6">
      <w:pPr>
        <w:spacing w:after="0" w:line="240" w:lineRule="auto"/>
      </w:pPr>
      <w:r>
        <w:separator/>
      </w:r>
    </w:p>
  </w:footnote>
  <w:footnote w:type="continuationSeparator" w:id="0">
    <w:p w:rsidR="000B237F" w:rsidRDefault="000175C6">
      <w:pPr>
        <w:spacing w:after="0" w:line="240" w:lineRule="auto"/>
      </w:pPr>
      <w:r>
        <w:continuationSeparator/>
      </w:r>
    </w:p>
  </w:footnote>
  <w:footnote w:type="continuationNotice" w:id="1">
    <w:p w:rsidR="000B237F" w:rsidRDefault="000B237F">
      <w:pPr>
        <w:spacing w:after="0" w:line="240" w:lineRule="auto"/>
      </w:pPr>
    </w:p>
  </w:footnote>
  <w:footnote w:id="2">
    <w:p w:rsidR="000B237F" w:rsidRDefault="000175C6">
      <w:pPr>
        <w:pStyle w:val="FootnoteText"/>
        <w:rPr>
          <w:lang w:val="en-GB"/>
        </w:rPr>
      </w:pPr>
      <w:r>
        <w:rPr>
          <w:rStyle w:val="FootnoteReference"/>
        </w:rPr>
        <w:footnoteRef/>
      </w:r>
      <w:r>
        <w:rPr>
          <w:lang w:val="en-GB"/>
        </w:rPr>
        <w:t xml:space="preserve"> </w:t>
      </w:r>
      <w:proofErr w:type="gramStart"/>
      <w:r>
        <w:rPr>
          <w:lang w:val="en-GB"/>
        </w:rPr>
        <w:t xml:space="preserve">Including via the European Data Portal </w:t>
      </w:r>
      <w:r>
        <w:fldChar w:fldCharType="begin"/>
      </w:r>
      <w:proofErr w:type="gramEnd"/>
      <w:r w:rsidRPr="000175C6">
        <w:rPr>
          <w:lang w:val="en-GB"/>
        </w:rPr>
        <w:instrText xml:space="preserve"> HYPERLINK "https://www.europeandataportal.eu" </w:instrText>
      </w:r>
      <w:proofErr w:type="gramStart"/>
      <w:r>
        <w:fldChar w:fldCharType="separate"/>
      </w:r>
      <w:r>
        <w:rPr>
          <w:rStyle w:val="Hyperlink"/>
          <w:lang w:val="en-GB"/>
        </w:rPr>
        <w:t>https://www.europeandataportal.eu</w:t>
      </w:r>
      <w:r>
        <w:rPr>
          <w:rStyle w:val="Hyperlink"/>
          <w:lang w:val="en-GB"/>
        </w:rPr>
        <w:fldChar w:fldCharType="end"/>
      </w:r>
      <w:r>
        <w:rPr>
          <w:lang w:val="en-GB"/>
        </w:rPr>
        <w:t>.</w:t>
      </w:r>
      <w:proofErr w:type="gramEnd"/>
    </w:p>
  </w:footnote>
  <w:footnote w:id="3">
    <w:p w:rsidR="000B237F" w:rsidRDefault="000175C6">
      <w:pPr>
        <w:pStyle w:val="FootnoteText"/>
        <w:rPr>
          <w:lang w:val="en-GB"/>
        </w:rPr>
      </w:pPr>
      <w:r>
        <w:rPr>
          <w:rStyle w:val="FootnoteReference"/>
        </w:rPr>
        <w:footnoteRef/>
      </w:r>
      <w:r>
        <w:rPr>
          <w:lang w:val="en-GB"/>
        </w:rPr>
        <w:t xml:space="preserve"> </w:t>
      </w:r>
      <w:proofErr w:type="gramStart"/>
      <w:r>
        <w:rPr>
          <w:lang w:val="en-GB"/>
        </w:rPr>
        <w:t xml:space="preserve">Directive 2002/58/EC of the European Parliament and of the Council of 12 July 2002 concerning the processing of personal data and the protection of privacy in the electronic communications sector (Directive on privacy and electronic communications) (OJ L </w:t>
      </w:r>
      <w:r>
        <w:rPr>
          <w:lang w:val="en-GB"/>
        </w:rPr>
        <w:t>201, 31.7.2002, p.37).</w:t>
      </w:r>
      <w:proofErr w:type="gramEnd"/>
      <w:r>
        <w:rPr>
          <w:lang w:val="en-GB"/>
        </w:rPr>
        <w:t xml:space="preserve"> See also: Proposal for a Regulation of the European Parliament and of the Council concerning the respect for private life and the protection of personal data in electronic communications and repealing Directive 2002/58/EC (Regulation</w:t>
      </w:r>
      <w:r>
        <w:rPr>
          <w:lang w:val="en-GB"/>
        </w:rPr>
        <w:t xml:space="preserve"> on Privacy and Electronic Communications), COM(2017) 10 final of 10.1.2017.</w:t>
      </w:r>
    </w:p>
  </w:footnote>
  <w:footnote w:id="4">
    <w:p w:rsidR="000B237F" w:rsidRDefault="000175C6">
      <w:pPr>
        <w:pStyle w:val="FootnoteText"/>
      </w:pPr>
      <w:r>
        <w:rPr>
          <w:rStyle w:val="FootnoteReference"/>
        </w:rPr>
        <w:footnoteRef/>
      </w:r>
      <w:r>
        <w:t xml:space="preserve"> </w:t>
      </w:r>
      <w:proofErr w:type="gramStart"/>
      <w:r>
        <w:t>COM(2017</w:t>
      </w:r>
      <w:proofErr w:type="gramEnd"/>
      <w:r>
        <w:t>) 495 final.</w:t>
      </w:r>
    </w:p>
  </w:footnote>
  <w:footnote w:id="5">
    <w:p w:rsidR="000B237F" w:rsidRDefault="000175C6">
      <w:pPr>
        <w:pStyle w:val="FootnoteText"/>
      </w:pPr>
      <w:r>
        <w:rPr>
          <w:rStyle w:val="FootnoteReference"/>
        </w:rPr>
        <w:footnoteRef/>
      </w:r>
      <w:r>
        <w:t xml:space="preserve"> </w:t>
      </w:r>
      <w:proofErr w:type="gramStart"/>
      <w:r>
        <w:t>COM(2017</w:t>
      </w:r>
      <w:proofErr w:type="gramEnd"/>
      <w:r>
        <w:t>) 9 final.</w:t>
      </w:r>
    </w:p>
  </w:footnote>
  <w:footnote w:id="6">
    <w:p w:rsidR="000B237F" w:rsidRDefault="000175C6">
      <w:pPr>
        <w:pStyle w:val="FootnoteText"/>
      </w:pPr>
      <w:r>
        <w:rPr>
          <w:rStyle w:val="FootnoteReference"/>
        </w:rPr>
        <w:footnoteRef/>
      </w:r>
      <w:r>
        <w:t xml:space="preserve"> </w:t>
      </w:r>
      <w:hyperlink r:id="rId1" w:history="1">
        <w:r>
          <w:rPr>
            <w:rStyle w:val="Hyperlink"/>
          </w:rPr>
          <w:t>https://ec.europa.eu/digital-single-market/en/news/synopsis-report-public-consultation-building-european-data-economy</w:t>
        </w:r>
      </w:hyperlink>
      <w:r>
        <w:t xml:space="preserve"> </w:t>
      </w:r>
    </w:p>
  </w:footnote>
  <w:footnote w:id="7">
    <w:p w:rsidR="000B237F" w:rsidRDefault="000175C6">
      <w:pPr>
        <w:pStyle w:val="FootnoteText"/>
        <w:rPr>
          <w:lang w:val="en-GB"/>
        </w:rPr>
      </w:pPr>
      <w:r>
        <w:rPr>
          <w:rStyle w:val="FootnoteReference"/>
        </w:rPr>
        <w:footnoteRef/>
      </w:r>
      <w:r>
        <w:rPr>
          <w:lang w:val="en-GB"/>
        </w:rPr>
        <w:t xml:space="preserve"> </w:t>
      </w:r>
      <w:proofErr w:type="gramStart"/>
      <w:r>
        <w:rPr>
          <w:lang w:val="en-GB"/>
        </w:rPr>
        <w:t>COM(</w:t>
      </w:r>
      <w:proofErr w:type="gramEnd"/>
      <w:r>
        <w:rPr>
          <w:lang w:val="en-GB"/>
        </w:rPr>
        <w:t>2018) 232.</w:t>
      </w:r>
    </w:p>
  </w:footnote>
  <w:footnote w:id="8">
    <w:p w:rsidR="000B237F" w:rsidRDefault="000175C6">
      <w:pPr>
        <w:pStyle w:val="FootnoteText"/>
        <w:rPr>
          <w:lang w:val="en-GB"/>
        </w:rPr>
      </w:pPr>
      <w:r>
        <w:rPr>
          <w:rStyle w:val="FootnoteReference"/>
        </w:rPr>
        <w:footnoteRef/>
      </w:r>
      <w:r>
        <w:rPr>
          <w:lang w:val="en-GB"/>
        </w:rPr>
        <w:t xml:space="preserve"> </w:t>
      </w:r>
      <w:proofErr w:type="gramStart"/>
      <w:r>
        <w:rPr>
          <w:lang w:val="en-GB"/>
        </w:rPr>
        <w:t>COM(</w:t>
      </w:r>
      <w:proofErr w:type="gramEnd"/>
      <w:r>
        <w:rPr>
          <w:lang w:val="en-GB"/>
        </w:rPr>
        <w:t>2018) 232.</w:t>
      </w:r>
    </w:p>
  </w:footnote>
  <w:footnote w:id="9">
    <w:p w:rsidR="000B237F" w:rsidRDefault="000175C6">
      <w:pPr>
        <w:pStyle w:val="FootnoteText"/>
        <w:rPr>
          <w:lang w:val="en-GB"/>
        </w:rPr>
      </w:pPr>
      <w:r>
        <w:rPr>
          <w:rStyle w:val="FootnoteReference"/>
        </w:rPr>
        <w:footnoteRef/>
      </w:r>
      <w:r>
        <w:rPr>
          <w:lang w:val="en-GB"/>
        </w:rPr>
        <w:t xml:space="preserve"> E.g. data produced by robots in the context of industrial processes, relevant for provision of after</w:t>
      </w:r>
      <w:r>
        <w:rPr>
          <w:lang w:val="en-GB"/>
        </w:rPr>
        <w:t>-sales services (e.g. repair and maintenance), or data on the rating of service providers.</w:t>
      </w:r>
    </w:p>
  </w:footnote>
  <w:footnote w:id="10">
    <w:p w:rsidR="000B237F" w:rsidRDefault="000175C6">
      <w:pPr>
        <w:pStyle w:val="FootnoteText"/>
        <w:rPr>
          <w:lang w:val="en-GB"/>
        </w:rPr>
      </w:pPr>
      <w:r>
        <w:rPr>
          <w:rStyle w:val="FootnoteReference"/>
        </w:rPr>
        <w:footnoteRef/>
      </w:r>
      <w:r>
        <w:rPr>
          <w:lang w:val="en-GB"/>
        </w:rPr>
        <w:t xml:space="preserve"> </w:t>
      </w:r>
      <w:r>
        <w:rPr>
          <w:lang w:val="en-GB"/>
        </w:rPr>
        <w:tab/>
        <w:t>See e.g. the Commission's Guidelines on Vertical Restraints, OJ C 130, 19.05.2010, p. 1, and Guidance on the Commission's enforcement priorities in applying Artic</w:t>
      </w:r>
      <w:r>
        <w:rPr>
          <w:lang w:val="en-GB"/>
        </w:rPr>
        <w:t>le 82 of the EC Treaty [now Article 102 TFEU] to abusive exclusionary conduct by dominant undertakings, OJ C 45, 24.2.2009, p. 7.</w:t>
      </w:r>
    </w:p>
  </w:footnote>
  <w:footnote w:id="11">
    <w:p w:rsidR="000B237F" w:rsidRDefault="000175C6">
      <w:pPr>
        <w:pStyle w:val="FootnoteText"/>
        <w:rPr>
          <w:lang w:val="en-GB"/>
        </w:rPr>
      </w:pPr>
      <w:r>
        <w:rPr>
          <w:rStyle w:val="FootnoteReference"/>
        </w:rPr>
        <w:footnoteRef/>
      </w:r>
      <w:r>
        <w:rPr>
          <w:lang w:val="en-GB"/>
        </w:rPr>
        <w:t xml:space="preserve"> </w:t>
      </w:r>
      <w:proofErr w:type="gramStart"/>
      <w:r>
        <w:rPr>
          <w:lang w:val="en-GB"/>
        </w:rPr>
        <w:t>Cf. Annex to the Commission implementing decision on the adoption of the work programme for 2018 and on the financing of Con</w:t>
      </w:r>
      <w:r>
        <w:rPr>
          <w:lang w:val="en-GB"/>
        </w:rPr>
        <w:t>necting Europe Facility (CEF) - Telecommunications Sector, p. 42.</w:t>
      </w:r>
      <w:proofErr w:type="gramEnd"/>
    </w:p>
  </w:footnote>
  <w:footnote w:id="12">
    <w:p w:rsidR="000B237F" w:rsidRDefault="000175C6">
      <w:pPr>
        <w:pStyle w:val="FootnoteText"/>
        <w:rPr>
          <w:lang w:val="en-GB"/>
        </w:rPr>
      </w:pPr>
      <w:r>
        <w:rPr>
          <w:rStyle w:val="FootnoteReference"/>
        </w:rPr>
        <w:footnoteRef/>
      </w:r>
      <w:r>
        <w:rPr>
          <w:lang w:val="en-GB"/>
        </w:rPr>
        <w:t xml:space="preserve"> The mechanisms described and the examples are taken from a Study on data-sharing between companies in Europe, performed by </w:t>
      </w:r>
      <w:proofErr w:type="spellStart"/>
      <w:r>
        <w:rPr>
          <w:lang w:val="en-GB"/>
        </w:rPr>
        <w:t>Everis</w:t>
      </w:r>
      <w:proofErr w:type="spellEnd"/>
      <w:r>
        <w:rPr>
          <w:lang w:val="en-GB"/>
        </w:rPr>
        <w:t xml:space="preserve"> on behalf of the Commission (study report forthcoming).</w:t>
      </w:r>
    </w:p>
  </w:footnote>
  <w:footnote w:id="13">
    <w:p w:rsidR="000B237F" w:rsidRDefault="000175C6">
      <w:pPr>
        <w:pStyle w:val="FootnoteText"/>
        <w:rPr>
          <w:lang w:val="en-GB"/>
        </w:rPr>
      </w:pPr>
      <w:r>
        <w:rPr>
          <w:rStyle w:val="FootnoteReference"/>
        </w:rPr>
        <w:footnoteRef/>
      </w:r>
      <w:r>
        <w:rPr>
          <w:lang w:val="en-GB"/>
        </w:rPr>
        <w:t xml:space="preserve"> </w:t>
      </w:r>
      <w:hyperlink r:id="rId2" w:history="1">
        <w:r>
          <w:rPr>
            <w:rStyle w:val="Hyperlink"/>
            <w:lang w:val="en-GB"/>
          </w:rPr>
          <w:t>http://www.programmableweb.com/api-research</w:t>
        </w:r>
      </w:hyperlink>
      <w:r>
        <w:rPr>
          <w:lang w:val="en-GB"/>
        </w:rPr>
        <w:t xml:space="preserve"> </w:t>
      </w:r>
    </w:p>
  </w:footnote>
  <w:footnote w:id="14">
    <w:p w:rsidR="000B237F" w:rsidRDefault="000175C6">
      <w:pPr>
        <w:pStyle w:val="FootnoteText"/>
        <w:rPr>
          <w:lang w:val="en-GB"/>
        </w:rPr>
      </w:pPr>
      <w:r>
        <w:rPr>
          <w:rStyle w:val="FootnoteReference"/>
        </w:rPr>
        <w:footnoteRef/>
      </w:r>
      <w:r>
        <w:rPr>
          <w:lang w:val="en-GB"/>
        </w:rPr>
        <w:t xml:space="preserve"> See the details of the guidance document on APIs developed by the Share PSI network co-funded by the European Commission under the Competitiveness an</w:t>
      </w:r>
      <w:r>
        <w:rPr>
          <w:lang w:val="en-GB"/>
        </w:rPr>
        <w:t xml:space="preserve">d Innovation Framework Programme: </w:t>
      </w:r>
      <w:hyperlink r:id="rId3" w:anchor="useanAPI" w:history="1">
        <w:r>
          <w:rPr>
            <w:rStyle w:val="Hyperlink"/>
            <w:lang w:val="en-GB"/>
          </w:rPr>
          <w:t>http://www.w3.org/TR/dwbp/#useanAPI</w:t>
        </w:r>
      </w:hyperlink>
      <w:r>
        <w:rPr>
          <w:rStyle w:val="Hyperlink"/>
          <w:lang w:val="en-GB"/>
        </w:rPr>
        <w:t xml:space="preserve">. </w:t>
      </w:r>
    </w:p>
  </w:footnote>
  <w:footnote w:id="15">
    <w:p w:rsidR="000B237F" w:rsidRDefault="000175C6">
      <w:pPr>
        <w:pStyle w:val="FootnoteText"/>
        <w:rPr>
          <w:lang w:val="en-GB"/>
        </w:rPr>
      </w:pPr>
      <w:r>
        <w:rPr>
          <w:rStyle w:val="FootnoteReference"/>
        </w:rPr>
        <w:footnoteRef/>
      </w:r>
      <w:r>
        <w:rPr>
          <w:lang w:val="en-GB"/>
        </w:rPr>
        <w:t xml:space="preserve"> </w:t>
      </w:r>
      <w:proofErr w:type="gramStart"/>
      <w:r>
        <w:rPr>
          <w:lang w:val="en-GB"/>
        </w:rPr>
        <w:t>COM(</w:t>
      </w:r>
      <w:proofErr w:type="gramEnd"/>
      <w:r>
        <w:rPr>
          <w:lang w:val="en-GB"/>
        </w:rPr>
        <w:t>2017) 9 final.</w:t>
      </w:r>
    </w:p>
  </w:footnote>
  <w:footnote w:id="16">
    <w:p w:rsidR="000B237F" w:rsidRDefault="000175C6">
      <w:pPr>
        <w:pStyle w:val="FootnoteText"/>
        <w:rPr>
          <w:lang w:val="en-GB"/>
        </w:rPr>
      </w:pPr>
      <w:r>
        <w:rPr>
          <w:rStyle w:val="FootnoteReference"/>
        </w:rPr>
        <w:footnoteRef/>
      </w:r>
      <w:r>
        <w:rPr>
          <w:lang w:val="en-GB"/>
        </w:rPr>
        <w:t xml:space="preserve"> </w:t>
      </w:r>
      <w:proofErr w:type="spellStart"/>
      <w:r>
        <w:rPr>
          <w:lang w:val="en-GB"/>
        </w:rPr>
        <w:t>Everis</w:t>
      </w:r>
      <w:proofErr w:type="spellEnd"/>
      <w:r>
        <w:rPr>
          <w:lang w:val="en-GB"/>
        </w:rPr>
        <w:t>, Study on data-sharing between companies in Europe (forthcoming)</w:t>
      </w:r>
    </w:p>
  </w:footnote>
  <w:footnote w:id="17">
    <w:p w:rsidR="000B237F" w:rsidRDefault="000175C6">
      <w:pPr>
        <w:pStyle w:val="FootnoteText"/>
        <w:rPr>
          <w:lang w:val="en-GB"/>
        </w:rPr>
      </w:pPr>
      <w:r>
        <w:rPr>
          <w:rStyle w:val="FootnoteReference"/>
        </w:rPr>
        <w:footnoteRef/>
      </w:r>
      <w:r>
        <w:rPr>
          <w:lang w:val="en-GB"/>
        </w:rPr>
        <w:t xml:space="preserve"> </w:t>
      </w:r>
      <w:hyperlink r:id="rId4" w:history="1">
        <w:r>
          <w:rPr>
            <w:rStyle w:val="Hyperlink"/>
            <w:lang w:val="en-GB"/>
          </w:rPr>
          <w:t>https://developer.tomtom.com/tomtom-maps-apis-developers</w:t>
        </w:r>
      </w:hyperlink>
      <w:r>
        <w:rPr>
          <w:lang w:val="en-GB"/>
        </w:rPr>
        <w:t xml:space="preserve"> </w:t>
      </w:r>
    </w:p>
  </w:footnote>
  <w:footnote w:id="18">
    <w:p w:rsidR="000B237F" w:rsidRDefault="000175C6">
      <w:pPr>
        <w:pStyle w:val="FootnoteText"/>
        <w:rPr>
          <w:lang w:val="en-GB"/>
        </w:rPr>
      </w:pPr>
      <w:r>
        <w:rPr>
          <w:rStyle w:val="FootnoteReference"/>
        </w:rPr>
        <w:footnoteRef/>
      </w:r>
      <w:r>
        <w:rPr>
          <w:lang w:val="en-GB"/>
        </w:rPr>
        <w:t xml:space="preserve"> </w:t>
      </w:r>
      <w:hyperlink r:id="rId5" w:history="1">
        <w:r>
          <w:rPr>
            <w:rStyle w:val="Hyperlink"/>
            <w:lang w:val="en-GB"/>
          </w:rPr>
          <w:t>https://services.airbus.com/maintenance/expertise-an</w:t>
        </w:r>
        <w:r>
          <w:rPr>
            <w:rStyle w:val="Hyperlink"/>
            <w:lang w:val="en-GB"/>
          </w:rPr>
          <w:t>d-other-services/skywise/skywise</w:t>
        </w:r>
      </w:hyperlink>
      <w:r>
        <w:rPr>
          <w:rStyle w:val="Hyperlink"/>
          <w:lang w:val="en-GB"/>
        </w:rPr>
        <w:t xml:space="preserve"> </w:t>
      </w:r>
    </w:p>
  </w:footnote>
  <w:footnote w:id="19">
    <w:p w:rsidR="000B237F" w:rsidRDefault="000175C6">
      <w:pPr>
        <w:pStyle w:val="FootnoteText"/>
        <w:rPr>
          <w:lang w:val="en-GB"/>
        </w:rPr>
      </w:pPr>
      <w:r>
        <w:rPr>
          <w:rStyle w:val="FootnoteReference"/>
        </w:rPr>
        <w:footnoteRef/>
      </w:r>
      <w:r>
        <w:rPr>
          <w:lang w:val="en-GB"/>
        </w:rPr>
        <w:t xml:space="preserve"> </w:t>
      </w:r>
      <w:hyperlink r:id="rId6" w:history="1">
        <w:r>
          <w:rPr>
            <w:rStyle w:val="Hyperlink"/>
            <w:lang w:val="en-GB"/>
          </w:rPr>
          <w:t>https://www.dawex.com/en/</w:t>
        </w:r>
      </w:hyperlink>
      <w:r>
        <w:rPr>
          <w:lang w:val="en-GB"/>
        </w:rPr>
        <w:t xml:space="preserve"> </w:t>
      </w:r>
    </w:p>
  </w:footnote>
  <w:footnote w:id="20">
    <w:p w:rsidR="000B237F" w:rsidRDefault="000175C6">
      <w:pPr>
        <w:pStyle w:val="FootnoteText"/>
        <w:rPr>
          <w:lang w:val="en-GB"/>
        </w:rPr>
      </w:pPr>
      <w:r>
        <w:rPr>
          <w:rStyle w:val="FootnoteReference"/>
        </w:rPr>
        <w:footnoteRef/>
      </w:r>
      <w:r>
        <w:rPr>
          <w:lang w:val="en-GB"/>
        </w:rPr>
        <w:t xml:space="preserve"> </w:t>
      </w:r>
      <w:r>
        <w:fldChar w:fldCharType="begin"/>
      </w:r>
      <w:r w:rsidRPr="000175C6">
        <w:rPr>
          <w:lang w:val="en-GB"/>
        </w:rPr>
        <w:instrText xml:space="preserve"> HYPERLINK "https://www.nallian.com/" </w:instrText>
      </w:r>
      <w:r>
        <w:fldChar w:fldCharType="separate"/>
      </w:r>
      <w:r>
        <w:rPr>
          <w:rStyle w:val="Hyperlink"/>
          <w:lang w:val="en-GB"/>
        </w:rPr>
        <w:t>https://www.nallian.com/</w:t>
      </w:r>
      <w:r>
        <w:rPr>
          <w:rStyle w:val="Hyperlink"/>
          <w:lang w:val="en-GB"/>
        </w:rPr>
        <w:fldChar w:fldCharType="end"/>
      </w:r>
      <w:r>
        <w:rPr>
          <w:lang w:val="en-GB"/>
        </w:rPr>
        <w:t xml:space="preserve"> </w:t>
      </w:r>
    </w:p>
  </w:footnote>
  <w:footnote w:id="21">
    <w:p w:rsidR="000B237F" w:rsidRDefault="000175C6">
      <w:pPr>
        <w:pStyle w:val="FootnoteText"/>
        <w:rPr>
          <w:lang w:val="en-GB"/>
        </w:rPr>
      </w:pPr>
      <w:r>
        <w:rPr>
          <w:rStyle w:val="FootnoteReference"/>
        </w:rPr>
        <w:footnoteRef/>
      </w:r>
      <w:r>
        <w:rPr>
          <w:lang w:val="en-GB"/>
        </w:rPr>
        <w:t xml:space="preserve"> </w:t>
      </w:r>
      <w:hyperlink r:id="rId7" w:history="1">
        <w:r>
          <w:rPr>
            <w:rStyle w:val="Hyperlink"/>
            <w:lang w:val="en-GB"/>
          </w:rPr>
          <w:t>https://mastercardcenter.org/action/call-action-data-philanthropy/</w:t>
        </w:r>
      </w:hyperlink>
      <w:r>
        <w:rPr>
          <w:lang w:val="en-GB"/>
        </w:rPr>
        <w:t xml:space="preserve"> </w:t>
      </w:r>
    </w:p>
  </w:footnote>
  <w:footnote w:id="22">
    <w:p w:rsidR="000B237F" w:rsidRDefault="000175C6">
      <w:pPr>
        <w:pStyle w:val="FootnoteText"/>
        <w:rPr>
          <w:lang w:val="en-GB"/>
        </w:rPr>
      </w:pPr>
      <w:r>
        <w:rPr>
          <w:rStyle w:val="FootnoteReference"/>
        </w:rPr>
        <w:footnoteRef/>
      </w:r>
      <w:r>
        <w:rPr>
          <w:lang w:val="en-GB"/>
        </w:rPr>
        <w:t xml:space="preserve"> </w:t>
      </w:r>
      <w:hyperlink r:id="rId8" w:history="1">
        <w:r>
          <w:rPr>
            <w:rStyle w:val="Hyperlink"/>
            <w:lang w:val="en-GB"/>
          </w:rPr>
          <w:t>http://ec.europa.eu/research/horizonprize/index.cfm?prize=bigdata</w:t>
        </w:r>
      </w:hyperlink>
      <w:r>
        <w:rPr>
          <w:lang w:val="en-GB"/>
        </w:rPr>
        <w:t xml:space="preserve"> </w:t>
      </w:r>
    </w:p>
  </w:footnote>
  <w:footnote w:id="23">
    <w:p w:rsidR="000B237F" w:rsidRDefault="000175C6">
      <w:pPr>
        <w:pStyle w:val="FootnoteText"/>
        <w:rPr>
          <w:lang w:val="en-GB"/>
        </w:rPr>
      </w:pPr>
      <w:r>
        <w:rPr>
          <w:rStyle w:val="FootnoteReference"/>
        </w:rPr>
        <w:footnoteRef/>
      </w:r>
      <w:r>
        <w:rPr>
          <w:lang w:val="en-GB"/>
        </w:rPr>
        <w:t xml:space="preserve"> </w:t>
      </w:r>
      <w:r>
        <w:rPr>
          <w:rFonts w:eastAsia="Arial Unicode MS"/>
          <w:noProof/>
          <w:lang w:val="en-GB"/>
        </w:rPr>
        <w:t>Directive 2003/98/EC of the Euro</w:t>
      </w:r>
      <w:r>
        <w:rPr>
          <w:rFonts w:eastAsia="Arial Unicode MS"/>
          <w:noProof/>
          <w:lang w:val="en-GB"/>
        </w:rPr>
        <w:t>pean Parliament and the Council on the re-use of public sector information (OJ L 345, 31.12.2003, p. 90).</w:t>
      </w:r>
    </w:p>
  </w:footnote>
  <w:footnote w:id="24">
    <w:p w:rsidR="000B237F" w:rsidRDefault="000175C6">
      <w:pPr>
        <w:pStyle w:val="FootnoteText"/>
        <w:rPr>
          <w:lang w:val="en-GB"/>
        </w:rPr>
      </w:pPr>
      <w:r>
        <w:rPr>
          <w:rStyle w:val="FootnoteReference"/>
        </w:rPr>
        <w:footnoteRef/>
      </w:r>
      <w:r>
        <w:rPr>
          <w:lang w:val="en-GB"/>
        </w:rPr>
        <w:t xml:space="preserve"> De </w:t>
      </w:r>
      <w:proofErr w:type="spellStart"/>
      <w:r>
        <w:rPr>
          <w:lang w:val="en-GB"/>
        </w:rPr>
        <w:t>Meersman</w:t>
      </w:r>
      <w:proofErr w:type="spellEnd"/>
      <w:r>
        <w:rPr>
          <w:lang w:val="en-GB"/>
        </w:rPr>
        <w:t xml:space="preserve"> et al (2016): Assessing the Quality of Mobile Phone Data as a Source of Statistics, </w:t>
      </w:r>
      <w:hyperlink r:id="rId9" w:history="1">
        <w:r>
          <w:rPr>
            <w:rStyle w:val="Hyperlink"/>
            <w:lang w:val="en-GB"/>
          </w:rPr>
          <w:t>https://ec.europa.eu/eurostat/cros/system/files/assessing_the_quality_of_mobile_phone_data_as_a_source_of_statistics_q2016.pdf</w:t>
        </w:r>
      </w:hyperlink>
      <w:r>
        <w:rPr>
          <w:lang w:val="en-GB"/>
        </w:rPr>
        <w:t xml:space="preserve"> </w:t>
      </w:r>
    </w:p>
  </w:footnote>
  <w:footnote w:id="25">
    <w:p w:rsidR="000B237F" w:rsidRDefault="000175C6">
      <w:pPr>
        <w:pStyle w:val="FootnoteText"/>
        <w:rPr>
          <w:lang w:val="en-GB"/>
        </w:rPr>
      </w:pPr>
      <w:r>
        <w:rPr>
          <w:rStyle w:val="FootnoteReference"/>
        </w:rPr>
        <w:footnoteRef/>
      </w:r>
      <w:r>
        <w:rPr>
          <w:lang w:val="en-GB"/>
        </w:rPr>
        <w:t xml:space="preserve"> Statistical offices maintain regist</w:t>
      </w:r>
      <w:r>
        <w:rPr>
          <w:lang w:val="en-GB"/>
        </w:rPr>
        <w:t>ers containing personal and companies' data but these registers cannot be shared with other parties due to protection of personal data and statistical confidentiality restrictions. However, data from private sector can be linked with register data while en</w:t>
      </w:r>
      <w:r>
        <w:rPr>
          <w:lang w:val="en-GB"/>
        </w:rPr>
        <w:t>suring the security of the data. Aggregated statistical results that cannot be traced back to the data subject may be published as a result of this analysis.</w:t>
      </w:r>
    </w:p>
  </w:footnote>
  <w:footnote w:id="26">
    <w:p w:rsidR="000B237F" w:rsidRDefault="000175C6">
      <w:pPr>
        <w:pStyle w:val="FootnoteText"/>
        <w:rPr>
          <w:lang w:val="en-GB"/>
        </w:rPr>
      </w:pPr>
      <w:r>
        <w:rPr>
          <w:rStyle w:val="FootnoteReference"/>
        </w:rPr>
        <w:footnoteRef/>
      </w:r>
      <w:r>
        <w:rPr>
          <w:lang w:val="en-GB"/>
        </w:rPr>
        <w:t xml:space="preserve"> </w:t>
      </w:r>
      <w:hyperlink r:id="rId10" w:history="1">
        <w:r>
          <w:rPr>
            <w:rStyle w:val="Hyperlink"/>
            <w:lang w:val="en-GB"/>
          </w:rPr>
          <w:t>https://www.cdrc.ac.uk/</w:t>
        </w:r>
      </w:hyperlink>
      <w:r>
        <w:rPr>
          <w:lang w:val="en-GB"/>
        </w:rPr>
        <w:t xml:space="preserve"> </w:t>
      </w:r>
    </w:p>
  </w:footnote>
  <w:footnote w:id="27">
    <w:p w:rsidR="000B237F" w:rsidRDefault="000175C6">
      <w:pPr>
        <w:pStyle w:val="FootnoteText"/>
        <w:rPr>
          <w:lang w:val="en-GB"/>
        </w:rPr>
      </w:pPr>
      <w:r>
        <w:rPr>
          <w:rStyle w:val="FootnoteReference"/>
        </w:rPr>
        <w:footnoteRef/>
      </w:r>
      <w:r>
        <w:rPr>
          <w:lang w:val="en-GB"/>
        </w:rPr>
        <w:t xml:space="preserve"> In case public authorities rely on Article 6(1</w:t>
      </w:r>
      <w:proofErr w:type="gramStart"/>
      <w:r>
        <w:rPr>
          <w:lang w:val="en-GB"/>
        </w:rPr>
        <w:t>)(</w:t>
      </w:r>
      <w:proofErr w:type="gramEnd"/>
      <w:r>
        <w:rPr>
          <w:lang w:val="en-GB"/>
        </w:rPr>
        <w:t xml:space="preserve">e) of the GDPR (“processing is necessary for the performance of a task carried out in the public interest”) such legal basis must be laid down by the Union or the Member State law. Moreover, in case of such </w:t>
      </w:r>
      <w:r>
        <w:rPr>
          <w:lang w:val="en-GB"/>
        </w:rPr>
        <w:t>“civic data sharing”, data subjects would have to be clearly informed, including on the right to withdraw consent and about any possible further processing of their personal data by public authorities.</w:t>
      </w:r>
    </w:p>
  </w:footnote>
  <w:footnote w:id="28">
    <w:p w:rsidR="000B237F" w:rsidRDefault="000175C6">
      <w:pPr>
        <w:pStyle w:val="FootnoteText"/>
        <w:rPr>
          <w:lang w:val="en-GB"/>
        </w:rPr>
      </w:pPr>
      <w:r>
        <w:rPr>
          <w:rStyle w:val="FootnoteReference"/>
        </w:rPr>
        <w:footnoteRef/>
      </w:r>
      <w:r>
        <w:rPr>
          <w:lang w:val="en-GB"/>
        </w:rPr>
        <w:t xml:space="preserve"> In the case of agreements with statistical offices, </w:t>
      </w:r>
      <w:r>
        <w:rPr>
          <w:lang w:val="en-GB"/>
        </w:rPr>
        <w:t xml:space="preserve">this could be the European Statistics Code of Practice, </w:t>
      </w:r>
      <w:hyperlink r:id="rId11" w:history="1">
        <w:r>
          <w:rPr>
            <w:rStyle w:val="Hyperlink"/>
            <w:lang w:val="en-GB"/>
          </w:rPr>
          <w:t>http://ec.europa.eu/eurostat/web/products-manuals-and-guidelines/-/KS-32-11-955</w:t>
        </w:r>
      </w:hyperlink>
      <w:r>
        <w:rPr>
          <w:lang w:val="en-GB"/>
        </w:rPr>
        <w:t xml:space="preserve"> </w:t>
      </w:r>
    </w:p>
  </w:footnote>
  <w:footnote w:id="29">
    <w:p w:rsidR="000B237F" w:rsidRDefault="000175C6">
      <w:pPr>
        <w:pStyle w:val="FootnoteText"/>
        <w:rPr>
          <w:lang w:val="en-GB"/>
        </w:rPr>
      </w:pPr>
      <w:r>
        <w:rPr>
          <w:rStyle w:val="FootnoteReference"/>
        </w:rPr>
        <w:footnoteRef/>
      </w:r>
      <w:r>
        <w:rPr>
          <w:lang w:val="en-GB"/>
        </w:rPr>
        <w:t xml:space="preserve"> </w:t>
      </w:r>
      <w:hyperlink r:id="rId12" w:history="1">
        <w:r>
          <w:rPr>
            <w:rStyle w:val="Hyperlink"/>
            <w:lang w:val="en-GB"/>
          </w:rPr>
          <w:t>https://www.cbs.nl/en-gb/our-services/innovation/big-data</w:t>
        </w:r>
      </w:hyperlink>
      <w:r>
        <w:rPr>
          <w:lang w:val="en-GB"/>
        </w:rPr>
        <w:t xml:space="preserve"> </w:t>
      </w:r>
    </w:p>
  </w:footnote>
  <w:footnote w:id="30">
    <w:p w:rsidR="000B237F" w:rsidRDefault="000175C6">
      <w:pPr>
        <w:pStyle w:val="FootnoteText"/>
        <w:rPr>
          <w:lang w:val="en-GB"/>
        </w:rPr>
      </w:pPr>
      <w:r>
        <w:rPr>
          <w:rStyle w:val="FootnoteReference"/>
        </w:rPr>
        <w:footnoteRef/>
      </w:r>
      <w:r>
        <w:rPr>
          <w:lang w:val="en-GB"/>
        </w:rPr>
        <w:t xml:space="preserve"> </w:t>
      </w:r>
      <w:hyperlink r:id="rId13" w:history="1">
        <w:r>
          <w:rPr>
            <w:rStyle w:val="Hyperlink"/>
            <w:lang w:val="en-GB"/>
          </w:rPr>
          <w:t>http://www.opalproject.org/about-us/</w:t>
        </w:r>
      </w:hyperlink>
      <w:r>
        <w:rPr>
          <w:lang w:val="en-GB"/>
        </w:rPr>
        <w:t xml:space="preserve"> </w:t>
      </w:r>
    </w:p>
  </w:footnote>
  <w:footnote w:id="31">
    <w:p w:rsidR="000B237F" w:rsidRDefault="000175C6">
      <w:pPr>
        <w:pStyle w:val="FootnoteText"/>
        <w:rPr>
          <w:lang w:val="en-GB"/>
        </w:rPr>
      </w:pPr>
      <w:r>
        <w:rPr>
          <w:rStyle w:val="FootnoteReference"/>
        </w:rPr>
        <w:footnoteRef/>
      </w:r>
      <w:r>
        <w:rPr>
          <w:lang w:val="en-GB"/>
        </w:rPr>
        <w:t xml:space="preserve"> </w:t>
      </w:r>
      <w:proofErr w:type="spellStart"/>
      <w:r>
        <w:rPr>
          <w:lang w:val="en-GB"/>
        </w:rPr>
        <w:t>Bogdanov</w:t>
      </w:r>
      <w:proofErr w:type="spellEnd"/>
      <w:r>
        <w:rPr>
          <w:lang w:val="en-GB"/>
        </w:rPr>
        <w:t xml:space="preserve"> (et al.), Students and Taxes: a Privacy-</w:t>
      </w:r>
      <w:r>
        <w:rPr>
          <w:lang w:val="en-GB"/>
        </w:rPr>
        <w:t xml:space="preserve">Preserving Social Study Using Secure Computation. </w:t>
      </w:r>
      <w:proofErr w:type="gramStart"/>
      <w:r>
        <w:rPr>
          <w:lang w:val="en-GB"/>
        </w:rPr>
        <w:t xml:space="preserve">In Proceedings on Privacy Enhancing Technologies, </w:t>
      </w:r>
      <w:proofErr w:type="spellStart"/>
      <w:r>
        <w:rPr>
          <w:lang w:val="en-GB"/>
        </w:rPr>
        <w:t>PoPETs</w:t>
      </w:r>
      <w:proofErr w:type="spellEnd"/>
      <w:r>
        <w:rPr>
          <w:lang w:val="en-GB"/>
        </w:rPr>
        <w:t>, 2016 (3), pp 117–135, 2016.</w:t>
      </w:r>
      <w:proofErr w:type="gramEnd"/>
      <w:r>
        <w:rPr>
          <w:lang w:val="en-GB"/>
        </w:rPr>
        <w:t xml:space="preserve"> </w:t>
      </w:r>
      <w:proofErr w:type="gramStart"/>
      <w:r>
        <w:rPr>
          <w:lang w:val="en-GB"/>
        </w:rPr>
        <w:t>(Extended version, PDF).</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5C6" w:rsidRPr="000175C6" w:rsidRDefault="000175C6" w:rsidP="000175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5C6" w:rsidRPr="000175C6" w:rsidRDefault="000175C6" w:rsidP="000175C6">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5C6" w:rsidRPr="000175C6" w:rsidRDefault="000175C6" w:rsidP="000175C6">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37F" w:rsidRDefault="000B237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37F" w:rsidRDefault="000175C6">
    <w:pPr>
      <w:pStyle w:val="Header"/>
      <w:rPr>
        <w:rFonts w:ascii="Times New Roman" w:hAnsi="Times New Roman" w:cs="Times New Roman"/>
        <w:b/>
        <w:sz w:val="24"/>
        <w:szCs w:val="24"/>
      </w:rPr>
    </w:pPr>
    <w:r>
      <w:tab/>
    </w:r>
    <w:r>
      <w:tab/>
    </w:r>
  </w:p>
  <w:p w:rsidR="000B237F" w:rsidRDefault="000B237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37F" w:rsidRDefault="000B23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DD224C0"/>
    <w:lvl w:ilvl="0">
      <w:start w:val="1"/>
      <w:numFmt w:val="none"/>
      <w:pStyle w:val="Heading1"/>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Times New Roman" w:hAnsi="Times New Roman" w:cs="Times New Roman" w:hint="default"/>
        <w:b/>
        <w:i w:val="0"/>
        <w:sz w:val="24"/>
        <w:szCs w:val="24"/>
      </w:rPr>
    </w:lvl>
    <w:lvl w:ilvl="2">
      <w:start w:val="1"/>
      <w:numFmt w:val="decimal"/>
      <w:lvlText w:val="%2.%3"/>
      <w:lvlJc w:val="left"/>
      <w:pPr>
        <w:tabs>
          <w:tab w:val="num" w:pos="720"/>
        </w:tabs>
        <w:ind w:left="720" w:hanging="720"/>
      </w:pPr>
      <w:rPr>
        <w:rFonts w:ascii="Times New Roman" w:hAnsi="Times New Roman" w:cs="Times New Roman" w:hint="default"/>
        <w:b/>
        <w:i/>
        <w:sz w:val="24"/>
        <w:szCs w:val="24"/>
      </w:rPr>
    </w:lvl>
    <w:lvl w:ilvl="3">
      <w:start w:val="1"/>
      <w:numFmt w:val="bullet"/>
      <w:pStyle w:val="Heading4"/>
      <w:lvlText w:val=""/>
      <w:lvlJc w:val="left"/>
      <w:pPr>
        <w:tabs>
          <w:tab w:val="num" w:pos="1440"/>
        </w:tabs>
        <w:ind w:left="1440" w:hanging="720"/>
      </w:pPr>
      <w:rPr>
        <w:rFonts w:ascii="Symbol" w:hAnsi="Symbol" w:hint="default"/>
        <w:b w:val="0"/>
        <w:i w:val="0"/>
        <w:sz w:val="24"/>
        <w:szCs w:val="24"/>
      </w:rPr>
    </w:lvl>
    <w:lvl w:ilvl="4">
      <w:start w:val="1"/>
      <w:numFmt w:val="lowerRoman"/>
      <w:pStyle w:val="Heading5"/>
      <w:lvlText w:val="(%5)"/>
      <w:lvlJc w:val="left"/>
      <w:pPr>
        <w:tabs>
          <w:tab w:val="num" w:pos="2160"/>
        </w:tabs>
        <w:ind w:left="2160" w:hanging="720"/>
      </w:pPr>
      <w:rPr>
        <w:rFonts w:ascii="Times New Roman" w:hAnsi="Times New Roman" w:cs="Times New Roman" w:hint="default"/>
        <w:b w:val="0"/>
        <w:i w:val="0"/>
        <w:sz w:val="24"/>
        <w:szCs w:val="24"/>
      </w:rPr>
    </w:lvl>
    <w:lvl w:ilvl="5">
      <w:start w:val="1"/>
      <w:numFmt w:val="upperLetter"/>
      <w:pStyle w:val="Heading6"/>
      <w:lvlText w:val="(%6)"/>
      <w:lvlJc w:val="left"/>
      <w:pPr>
        <w:tabs>
          <w:tab w:val="num" w:pos="2880"/>
        </w:tabs>
        <w:ind w:left="2880" w:hanging="719"/>
      </w:pPr>
      <w:rPr>
        <w:rFonts w:ascii="Arial" w:hAnsi="Arial" w:cs="Arial" w:hint="default"/>
        <w:b w:val="0"/>
        <w:i w:val="0"/>
        <w:sz w:val="20"/>
      </w:rPr>
    </w:lvl>
    <w:lvl w:ilvl="6">
      <w:start w:val="1"/>
      <w:numFmt w:val="lowerRoman"/>
      <w:pStyle w:val="Heading7"/>
      <w:lvlText w:val="(%7)"/>
      <w:lvlJc w:val="left"/>
      <w:pPr>
        <w:tabs>
          <w:tab w:val="num" w:pos="0"/>
        </w:tabs>
        <w:ind w:left="4296" w:hanging="708"/>
      </w:pPr>
      <w:rPr>
        <w:rFonts w:hint="default"/>
      </w:rPr>
    </w:lvl>
    <w:lvl w:ilvl="7">
      <w:start w:val="1"/>
      <w:numFmt w:val="lowerLetter"/>
      <w:pStyle w:val="Heading8"/>
      <w:lvlText w:val="(%8)"/>
      <w:lvlJc w:val="left"/>
      <w:pPr>
        <w:tabs>
          <w:tab w:val="num" w:pos="0"/>
        </w:tabs>
        <w:ind w:left="5004" w:hanging="708"/>
      </w:pPr>
      <w:rPr>
        <w:rFonts w:hint="default"/>
      </w:rPr>
    </w:lvl>
    <w:lvl w:ilvl="8">
      <w:start w:val="1"/>
      <w:numFmt w:val="lowerRoman"/>
      <w:pStyle w:val="Heading9"/>
      <w:lvlText w:val="(%9)"/>
      <w:lvlJc w:val="left"/>
      <w:pPr>
        <w:tabs>
          <w:tab w:val="num" w:pos="0"/>
        </w:tabs>
        <w:ind w:left="5712" w:hanging="708"/>
      </w:pPr>
      <w:rPr>
        <w:rFonts w:hint="default"/>
      </w:rPr>
    </w:lvl>
  </w:abstractNum>
  <w:abstractNum w:abstractNumId="1">
    <w:nsid w:val="01B11EF9"/>
    <w:multiLevelType w:val="hybridMultilevel"/>
    <w:tmpl w:val="F7BCB0B2"/>
    <w:lvl w:ilvl="0" w:tplc="0809000F">
      <w:start w:val="1"/>
      <w:numFmt w:val="decimal"/>
      <w:lvlText w:val="%1."/>
      <w:lvlJc w:val="left"/>
      <w:pPr>
        <w:ind w:left="720" w:hanging="360"/>
      </w:pPr>
    </w:lvl>
    <w:lvl w:ilvl="1" w:tplc="D0F4BB6C">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865E3E66">
      <w:start w:val="1"/>
      <w:numFmt w:val="decimal"/>
      <w:lvlText w:val="%4."/>
      <w:lvlJc w:val="left"/>
      <w:pPr>
        <w:ind w:left="2880" w:hanging="360"/>
      </w:pPr>
      <w:rPr>
        <w:rFonts w:ascii="Times New Roman" w:hAnsi="Times New Roman" w:cs="Times New Roman" w:hint="default"/>
      </w:rPr>
    </w:lvl>
    <w:lvl w:ilvl="4" w:tplc="08090001">
      <w:start w:val="1"/>
      <w:numFmt w:val="bullet"/>
      <w:lvlText w:val=""/>
      <w:lvlJc w:val="left"/>
      <w:pPr>
        <w:ind w:left="3600" w:hanging="360"/>
      </w:pPr>
      <w:rPr>
        <w:rFonts w:ascii="Symbol" w:hAnsi="Symbol"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BD4FA3"/>
    <w:multiLevelType w:val="hybridMultilevel"/>
    <w:tmpl w:val="F3CA294A"/>
    <w:lvl w:ilvl="0" w:tplc="21BEEA80">
      <w:start w:val="1"/>
      <w:numFmt w:val="decimal"/>
      <w:pStyle w:val="Heading3"/>
      <w:lvlText w:val="%1."/>
      <w:lvlJc w:val="left"/>
      <w:pPr>
        <w:ind w:left="720" w:hanging="360"/>
      </w:pPr>
      <w:rPr>
        <w:rFonts w:ascii="Times New Roman" w:hAnsi="Times New Roman"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202E10"/>
    <w:multiLevelType w:val="hybridMultilevel"/>
    <w:tmpl w:val="A97EB0DA"/>
    <w:lvl w:ilvl="0" w:tplc="0809000F">
      <w:start w:val="1"/>
      <w:numFmt w:val="decimal"/>
      <w:lvlText w:val="%1."/>
      <w:lvlJc w:val="left"/>
      <w:pPr>
        <w:ind w:left="720" w:hanging="360"/>
      </w:pPr>
    </w:lvl>
    <w:lvl w:ilvl="1" w:tplc="D0F4BB6C">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865E3E66">
      <w:start w:val="1"/>
      <w:numFmt w:val="decimal"/>
      <w:lvlText w:val="%4."/>
      <w:lvlJc w:val="left"/>
      <w:pPr>
        <w:ind w:left="2880" w:hanging="360"/>
      </w:pPr>
      <w:rPr>
        <w:rFonts w:ascii="Times New Roman" w:hAnsi="Times New Roman" w:cs="Times New Roman" w:hint="default"/>
      </w:rPr>
    </w:lvl>
    <w:lvl w:ilvl="4" w:tplc="08090001">
      <w:start w:val="1"/>
      <w:numFmt w:val="bullet"/>
      <w:lvlText w:val=""/>
      <w:lvlJc w:val="left"/>
      <w:pPr>
        <w:ind w:left="3600" w:hanging="360"/>
      </w:pPr>
      <w:rPr>
        <w:rFonts w:ascii="Symbol" w:hAnsi="Symbol"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6F2642"/>
    <w:multiLevelType w:val="hybridMultilevel"/>
    <w:tmpl w:val="3E4667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4423E8"/>
    <w:multiLevelType w:val="hybridMultilevel"/>
    <w:tmpl w:val="66B6E1A2"/>
    <w:lvl w:ilvl="0" w:tplc="D0F4BB6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994077E"/>
    <w:multiLevelType w:val="hybridMultilevel"/>
    <w:tmpl w:val="EAF436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7A63F90"/>
    <w:multiLevelType w:val="hybridMultilevel"/>
    <w:tmpl w:val="533EE856"/>
    <w:lvl w:ilvl="0" w:tplc="D0F4BB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D44949"/>
    <w:multiLevelType w:val="hybridMultilevel"/>
    <w:tmpl w:val="6BC49624"/>
    <w:lvl w:ilvl="0" w:tplc="D0F4BB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321DD3"/>
    <w:multiLevelType w:val="hybridMultilevel"/>
    <w:tmpl w:val="D3586D04"/>
    <w:lvl w:ilvl="0" w:tplc="D0F4BB6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36662ADA"/>
    <w:multiLevelType w:val="hybridMultilevel"/>
    <w:tmpl w:val="D94267E8"/>
    <w:lvl w:ilvl="0" w:tplc="D0F4BB6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B746C83"/>
    <w:multiLevelType w:val="hybridMultilevel"/>
    <w:tmpl w:val="FE5A7A5E"/>
    <w:lvl w:ilvl="0" w:tplc="EC643912">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07C7CE0"/>
    <w:multiLevelType w:val="hybridMultilevel"/>
    <w:tmpl w:val="E6E220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5C6D11"/>
    <w:multiLevelType w:val="hybridMultilevel"/>
    <w:tmpl w:val="082606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BEF36C0"/>
    <w:multiLevelType w:val="hybridMultilevel"/>
    <w:tmpl w:val="46488E9A"/>
    <w:lvl w:ilvl="0" w:tplc="0809000F">
      <w:start w:val="1"/>
      <w:numFmt w:val="decimal"/>
      <w:lvlText w:val="%1."/>
      <w:lvlJc w:val="left"/>
      <w:pPr>
        <w:ind w:left="720" w:hanging="360"/>
      </w:pPr>
    </w:lvl>
    <w:lvl w:ilvl="1" w:tplc="D0F4BB6C">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865E3E66">
      <w:start w:val="1"/>
      <w:numFmt w:val="decimal"/>
      <w:lvlText w:val="%4."/>
      <w:lvlJc w:val="left"/>
      <w:pPr>
        <w:ind w:left="2880" w:hanging="360"/>
      </w:pPr>
      <w:rPr>
        <w:rFonts w:ascii="Times New Roman" w:hAnsi="Times New Roman" w:cs="Times New Roman" w:hint="default"/>
      </w:rPr>
    </w:lvl>
    <w:lvl w:ilvl="4" w:tplc="08090001">
      <w:start w:val="1"/>
      <w:numFmt w:val="bullet"/>
      <w:lvlText w:val=""/>
      <w:lvlJc w:val="left"/>
      <w:pPr>
        <w:ind w:left="3600" w:hanging="360"/>
      </w:pPr>
      <w:rPr>
        <w:rFonts w:ascii="Symbol" w:hAnsi="Symbol"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E0F2268"/>
    <w:multiLevelType w:val="hybridMultilevel"/>
    <w:tmpl w:val="EAF436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1BB12F6"/>
    <w:multiLevelType w:val="hybridMultilevel"/>
    <w:tmpl w:val="EFECCB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5582199"/>
    <w:multiLevelType w:val="hybridMultilevel"/>
    <w:tmpl w:val="3AECD328"/>
    <w:lvl w:ilvl="0" w:tplc="D0F4BB6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A6C7121"/>
    <w:multiLevelType w:val="hybridMultilevel"/>
    <w:tmpl w:val="BACA89BA"/>
    <w:lvl w:ilvl="0" w:tplc="D0F4BB6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6F961177"/>
    <w:multiLevelType w:val="hybridMultilevel"/>
    <w:tmpl w:val="4B24074A"/>
    <w:lvl w:ilvl="0" w:tplc="0809000F">
      <w:start w:val="1"/>
      <w:numFmt w:val="decimal"/>
      <w:lvlText w:val="%1."/>
      <w:lvlJc w:val="left"/>
      <w:pPr>
        <w:ind w:left="720" w:hanging="360"/>
      </w:pPr>
    </w:lvl>
    <w:lvl w:ilvl="1" w:tplc="D0F4BB6C">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865E3E66">
      <w:start w:val="1"/>
      <w:numFmt w:val="decimal"/>
      <w:lvlText w:val="%4."/>
      <w:lvlJc w:val="left"/>
      <w:pPr>
        <w:ind w:left="2880" w:hanging="360"/>
      </w:pPr>
      <w:rPr>
        <w:rFonts w:ascii="Times New Roman" w:hAnsi="Times New Roman" w:cs="Times New Roman" w:hint="default"/>
      </w:rPr>
    </w:lvl>
    <w:lvl w:ilvl="4" w:tplc="08090001">
      <w:start w:val="1"/>
      <w:numFmt w:val="bullet"/>
      <w:lvlText w:val=""/>
      <w:lvlJc w:val="left"/>
      <w:pPr>
        <w:ind w:left="3600" w:hanging="360"/>
      </w:pPr>
      <w:rPr>
        <w:rFonts w:ascii="Symbol" w:hAnsi="Symbol"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22013C2"/>
    <w:multiLevelType w:val="hybridMultilevel"/>
    <w:tmpl w:val="3E780388"/>
    <w:lvl w:ilvl="0" w:tplc="0809000F">
      <w:start w:val="1"/>
      <w:numFmt w:val="decimal"/>
      <w:lvlText w:val="%1."/>
      <w:lvlJc w:val="left"/>
      <w:pPr>
        <w:ind w:left="720" w:hanging="360"/>
      </w:pPr>
    </w:lvl>
    <w:lvl w:ilvl="1" w:tplc="D0F4BB6C">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865E3E66">
      <w:start w:val="1"/>
      <w:numFmt w:val="decimal"/>
      <w:lvlText w:val="%4."/>
      <w:lvlJc w:val="left"/>
      <w:pPr>
        <w:ind w:left="2880" w:hanging="360"/>
      </w:pPr>
      <w:rPr>
        <w:rFonts w:ascii="Times New Roman" w:hAnsi="Times New Roman" w:cs="Times New Roman" w:hint="default"/>
      </w:rPr>
    </w:lvl>
    <w:lvl w:ilvl="4" w:tplc="08090001">
      <w:start w:val="1"/>
      <w:numFmt w:val="bullet"/>
      <w:lvlText w:val=""/>
      <w:lvlJc w:val="left"/>
      <w:pPr>
        <w:ind w:left="3600" w:hanging="360"/>
      </w:pPr>
      <w:rPr>
        <w:rFonts w:ascii="Symbol" w:hAnsi="Symbol"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7"/>
  </w:num>
  <w:num w:numId="5">
    <w:abstractNumId w:val="13"/>
  </w:num>
  <w:num w:numId="6">
    <w:abstractNumId w:val="4"/>
  </w:num>
  <w:num w:numId="7">
    <w:abstractNumId w:val="16"/>
  </w:num>
  <w:num w:numId="8">
    <w:abstractNumId w:val="5"/>
  </w:num>
  <w:num w:numId="9">
    <w:abstractNumId w:val="18"/>
  </w:num>
  <w:num w:numId="10">
    <w:abstractNumId w:val="17"/>
  </w:num>
  <w:num w:numId="11">
    <w:abstractNumId w:val="11"/>
  </w:num>
  <w:num w:numId="12">
    <w:abstractNumId w:val="12"/>
  </w:num>
  <w:num w:numId="13">
    <w:abstractNumId w:val="20"/>
  </w:num>
  <w:num w:numId="14">
    <w:abstractNumId w:val="19"/>
  </w:num>
  <w:num w:numId="15">
    <w:abstractNumId w:val="1"/>
  </w:num>
  <w:num w:numId="16">
    <w:abstractNumId w:val="3"/>
  </w:num>
  <w:num w:numId="17">
    <w:abstractNumId w:val="14"/>
  </w:num>
  <w:num w:numId="18">
    <w:abstractNumId w:val="6"/>
  </w:num>
  <w:num w:numId="19">
    <w:abstractNumId w:val="10"/>
  </w:num>
  <w:num w:numId="20">
    <w:abstractNumId w:val="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F795263B-C1D4-44C6-97C5-58287D58C3FB"/>
    <w:docVar w:name="LW_COVERPAGE_TYPE" w:val="1"/>
    <w:docVar w:name="LW_CROSSREFERENCE" w:val="{COM(2018) 232 final}"/>
    <w:docVar w:name="LW_DocType" w:val="NORMAL"/>
    <w:docVar w:name="LW_EMISSION" w:val="25.4.2018"/>
    <w:docVar w:name="LW_EMISSION_ISODATE" w:val="2018-04-25"/>
    <w:docVar w:name="LW_EMISSION_LOCATION" w:val="BRX"/>
    <w:docVar w:name="LW_EMISSION_PREFIX" w:val="Brussels,"/>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quot;Towards a common European data space&quot;"/>
    <w:docVar w:name="LW_PART_NBR" w:val="1"/>
    <w:docVar w:name="LW_PART_NBR_TOTAL" w:val="1"/>
    <w:docVar w:name="LW_REF.INST.NEW" w:val="SWD"/>
    <w:docVar w:name="LW_REF.INST.NEW_ADOPTED" w:val="final"/>
    <w:docVar w:name="LW_REF.INST.NEW_TEXT" w:val="(2018) 1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Guidance on sharing private sector data &lt;/FMT&gt;_x000b_&lt;FMT:Bold&gt;in the European data economy&lt;/FMT&gt;"/>
    <w:docVar w:name="LW_TYPE.DOC.CP" w:val="COMMISSION STAFF WORKING DOCUMENT"/>
    <w:docVar w:name="LW_TYPEACTEPRINCIPAL.CP" w:val="Communication from the Commission to the European Parliament, the Council, the European economic and social Committee and the Committee of the Regions"/>
  </w:docVars>
  <w:rsids>
    <w:rsidRoot w:val="000B237F"/>
    <w:rsid w:val="000175C6"/>
    <w:rsid w:val="000B237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overflowPunct w:val="0"/>
      <w:autoSpaceDE w:val="0"/>
      <w:autoSpaceDN w:val="0"/>
      <w:adjustRightInd w:val="0"/>
      <w:spacing w:after="270" w:line="240" w:lineRule="exact"/>
      <w:textAlignment w:val="baseline"/>
      <w:outlineLvl w:val="0"/>
    </w:pPr>
    <w:rPr>
      <w:rFonts w:ascii="Times New Roman" w:eastAsia="Times New Roman" w:hAnsi="Times New Roman" w:cs="Arial"/>
      <w:b/>
      <w:kern w:val="28"/>
      <w:sz w:val="28"/>
      <w:szCs w:val="20"/>
    </w:rPr>
  </w:style>
  <w:style w:type="paragraph" w:styleId="Heading3">
    <w:name w:val="heading 3"/>
    <w:basedOn w:val="Normal"/>
    <w:next w:val="BodyText3"/>
    <w:link w:val="Heading3Char"/>
    <w:qFormat/>
    <w:pPr>
      <w:numPr>
        <w:numId w:val="2"/>
      </w:numPr>
      <w:overflowPunct w:val="0"/>
      <w:autoSpaceDE w:val="0"/>
      <w:autoSpaceDN w:val="0"/>
      <w:adjustRightInd w:val="0"/>
      <w:spacing w:after="270" w:line="240" w:lineRule="exact"/>
      <w:jc w:val="both"/>
      <w:textAlignment w:val="baseline"/>
      <w:outlineLvl w:val="2"/>
    </w:pPr>
    <w:rPr>
      <w:rFonts w:ascii="Arial" w:eastAsia="Times New Roman" w:hAnsi="Arial" w:cs="Arial"/>
      <w:sz w:val="20"/>
      <w:szCs w:val="20"/>
    </w:rPr>
  </w:style>
  <w:style w:type="paragraph" w:styleId="Heading4">
    <w:name w:val="heading 4"/>
    <w:basedOn w:val="Normal"/>
    <w:next w:val="Normal"/>
    <w:link w:val="Heading4Char"/>
    <w:qFormat/>
    <w:pPr>
      <w:numPr>
        <w:ilvl w:val="3"/>
        <w:numId w:val="1"/>
      </w:numPr>
      <w:overflowPunct w:val="0"/>
      <w:autoSpaceDE w:val="0"/>
      <w:autoSpaceDN w:val="0"/>
      <w:adjustRightInd w:val="0"/>
      <w:spacing w:after="270" w:line="240" w:lineRule="exact"/>
      <w:jc w:val="both"/>
      <w:textAlignment w:val="baseline"/>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pPr>
      <w:numPr>
        <w:ilvl w:val="4"/>
        <w:numId w:val="1"/>
      </w:numPr>
      <w:overflowPunct w:val="0"/>
      <w:autoSpaceDE w:val="0"/>
      <w:autoSpaceDN w:val="0"/>
      <w:adjustRightInd w:val="0"/>
      <w:spacing w:after="270" w:line="240" w:lineRule="exact"/>
      <w:jc w:val="both"/>
      <w:textAlignment w:val="baseline"/>
      <w:outlineLvl w:val="4"/>
    </w:pPr>
    <w:rPr>
      <w:rFonts w:ascii="Arial" w:eastAsia="Times New Roman" w:hAnsi="Arial" w:cs="Arial"/>
      <w:sz w:val="20"/>
      <w:szCs w:val="20"/>
    </w:rPr>
  </w:style>
  <w:style w:type="paragraph" w:styleId="Heading6">
    <w:name w:val="heading 6"/>
    <w:basedOn w:val="Normal"/>
    <w:next w:val="Normal"/>
    <w:link w:val="Heading6Char"/>
    <w:qFormat/>
    <w:pPr>
      <w:numPr>
        <w:ilvl w:val="5"/>
        <w:numId w:val="1"/>
      </w:numPr>
      <w:overflowPunct w:val="0"/>
      <w:autoSpaceDE w:val="0"/>
      <w:autoSpaceDN w:val="0"/>
      <w:adjustRightInd w:val="0"/>
      <w:spacing w:after="270" w:line="240" w:lineRule="exact"/>
      <w:jc w:val="both"/>
      <w:textAlignment w:val="baseline"/>
      <w:outlineLvl w:val="5"/>
    </w:pPr>
    <w:rPr>
      <w:rFonts w:ascii="Arial" w:eastAsia="Times New Roman" w:hAnsi="Arial" w:cs="Arial"/>
      <w:sz w:val="20"/>
      <w:szCs w:val="20"/>
    </w:rPr>
  </w:style>
  <w:style w:type="paragraph" w:styleId="Heading7">
    <w:name w:val="heading 7"/>
    <w:basedOn w:val="Normal"/>
    <w:next w:val="Normal"/>
    <w:link w:val="Heading7Char"/>
    <w:qFormat/>
    <w:pPr>
      <w:numPr>
        <w:ilvl w:val="6"/>
        <w:numId w:val="1"/>
      </w:numPr>
      <w:overflowPunct w:val="0"/>
      <w:autoSpaceDE w:val="0"/>
      <w:autoSpaceDN w:val="0"/>
      <w:adjustRightInd w:val="0"/>
      <w:spacing w:before="240" w:after="60" w:line="240" w:lineRule="exact"/>
      <w:jc w:val="both"/>
      <w:textAlignment w:val="baseline"/>
      <w:outlineLvl w:val="6"/>
    </w:pPr>
    <w:rPr>
      <w:rFonts w:ascii="Arial" w:eastAsia="Times New Roman" w:hAnsi="Arial" w:cs="Arial"/>
      <w:sz w:val="20"/>
      <w:szCs w:val="20"/>
    </w:rPr>
  </w:style>
  <w:style w:type="paragraph" w:styleId="Heading8">
    <w:name w:val="heading 8"/>
    <w:basedOn w:val="Normal"/>
    <w:next w:val="Normal"/>
    <w:link w:val="Heading8Char"/>
    <w:qFormat/>
    <w:pPr>
      <w:numPr>
        <w:ilvl w:val="7"/>
        <w:numId w:val="1"/>
      </w:numPr>
      <w:overflowPunct w:val="0"/>
      <w:autoSpaceDE w:val="0"/>
      <w:autoSpaceDN w:val="0"/>
      <w:adjustRightInd w:val="0"/>
      <w:spacing w:before="240" w:after="60" w:line="240" w:lineRule="exact"/>
      <w:jc w:val="both"/>
      <w:textAlignment w:val="baseline"/>
      <w:outlineLvl w:val="7"/>
    </w:pPr>
    <w:rPr>
      <w:rFonts w:ascii="Arial" w:eastAsia="Times New Roman" w:hAnsi="Arial" w:cs="Arial"/>
      <w:i/>
      <w:sz w:val="20"/>
      <w:szCs w:val="20"/>
    </w:rPr>
  </w:style>
  <w:style w:type="paragraph" w:styleId="Heading9">
    <w:name w:val="heading 9"/>
    <w:basedOn w:val="Normal"/>
    <w:next w:val="Normal"/>
    <w:link w:val="Heading9Char"/>
    <w:qFormat/>
    <w:pPr>
      <w:numPr>
        <w:ilvl w:val="8"/>
        <w:numId w:val="1"/>
      </w:numPr>
      <w:overflowPunct w:val="0"/>
      <w:autoSpaceDE w:val="0"/>
      <w:autoSpaceDN w:val="0"/>
      <w:adjustRightInd w:val="0"/>
      <w:spacing w:before="240" w:after="60" w:line="240" w:lineRule="exact"/>
      <w:jc w:val="both"/>
      <w:textAlignment w:val="baseline"/>
      <w:outlineLvl w:val="8"/>
    </w:pPr>
    <w:rPr>
      <w:rFonts w:ascii="Arial" w:eastAsia="Times New Roman" w:hAnsi="Arial" w:cs="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Arial"/>
      <w:b/>
      <w:kern w:val="28"/>
      <w:sz w:val="28"/>
      <w:szCs w:val="20"/>
    </w:rPr>
  </w:style>
  <w:style w:type="character" w:customStyle="1" w:styleId="Heading3Char">
    <w:name w:val="Heading 3 Char"/>
    <w:basedOn w:val="DefaultParagraphFont"/>
    <w:link w:val="Heading3"/>
    <w:rPr>
      <w:rFonts w:ascii="Arial" w:eastAsia="Times New Roman" w:hAnsi="Arial" w:cs="Arial"/>
      <w:sz w:val="20"/>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4"/>
    </w:rPr>
  </w:style>
  <w:style w:type="character" w:customStyle="1" w:styleId="Heading5Char">
    <w:name w:val="Heading 5 Char"/>
    <w:basedOn w:val="DefaultParagraphFont"/>
    <w:link w:val="Heading5"/>
    <w:rPr>
      <w:rFonts w:ascii="Arial" w:eastAsia="Times New Roman" w:hAnsi="Arial" w:cs="Arial"/>
      <w:sz w:val="20"/>
      <w:szCs w:val="20"/>
    </w:rPr>
  </w:style>
  <w:style w:type="character" w:customStyle="1" w:styleId="Heading6Char">
    <w:name w:val="Heading 6 Char"/>
    <w:basedOn w:val="DefaultParagraphFont"/>
    <w:link w:val="Heading6"/>
    <w:rPr>
      <w:rFonts w:ascii="Arial" w:eastAsia="Times New Roman" w:hAnsi="Arial" w:cs="Arial"/>
      <w:sz w:val="20"/>
      <w:szCs w:val="20"/>
    </w:rPr>
  </w:style>
  <w:style w:type="character" w:customStyle="1" w:styleId="Heading7Char">
    <w:name w:val="Heading 7 Char"/>
    <w:basedOn w:val="DefaultParagraphFont"/>
    <w:link w:val="Heading7"/>
    <w:rPr>
      <w:rFonts w:ascii="Arial" w:eastAsia="Times New Roman" w:hAnsi="Arial" w:cs="Arial"/>
      <w:sz w:val="20"/>
      <w:szCs w:val="20"/>
    </w:rPr>
  </w:style>
  <w:style w:type="character" w:customStyle="1" w:styleId="Heading8Char">
    <w:name w:val="Heading 8 Char"/>
    <w:basedOn w:val="DefaultParagraphFont"/>
    <w:link w:val="Heading8"/>
    <w:rPr>
      <w:rFonts w:ascii="Arial" w:eastAsia="Times New Roman" w:hAnsi="Arial" w:cs="Arial"/>
      <w:i/>
      <w:sz w:val="20"/>
      <w:szCs w:val="20"/>
    </w:rPr>
  </w:style>
  <w:style w:type="character" w:customStyle="1" w:styleId="Heading9Char">
    <w:name w:val="Heading 9 Char"/>
    <w:basedOn w:val="DefaultParagraphFont"/>
    <w:link w:val="Heading9"/>
    <w:rPr>
      <w:rFonts w:ascii="Arial" w:eastAsia="Times New Roman" w:hAnsi="Arial" w:cs="Arial"/>
      <w:b/>
      <w:i/>
      <w:sz w:val="18"/>
      <w:szCs w:val="20"/>
    </w:rPr>
  </w:style>
  <w:style w:type="paragraph" w:styleId="ListParagraph">
    <w:name w:val="List Paragraph"/>
    <w:aliases w:val="Normal bullet 2,Bullet list,Numbered List,List Paragraph1,1st level - Bullet List Paragraph,Lettre d'introduction,Paragrafo elenco,Fiche List Paragraph,Task Body,Viñetas (Inicio Parrafo),3 Txt tabla,Zerrenda-paragrafoa,Dot pt"/>
    <w:basedOn w:val="Normal"/>
    <w:link w:val="ListParagraphChar"/>
    <w:uiPriority w:val="34"/>
    <w:qFormat/>
    <w:pPr>
      <w:ind w:left="720"/>
      <w:contextualSpacing/>
    </w:pPr>
  </w:style>
  <w:style w:type="character" w:customStyle="1" w:styleId="ListParagraphChar">
    <w:name w:val="List Paragraph Char"/>
    <w:aliases w:val="Normal bullet 2 Char,Bullet list Char,Numbered List Char,List Paragraph1 Char,1st level - Bullet List Paragraph Char,Lettre d'introduction Char,Paragrafo elenco Char,Fiche List Paragraph Char,Task Body Char,3 Txt tabla Char"/>
    <w:basedOn w:val="DefaultParagraphFont"/>
    <w:link w:val="ListParagraph"/>
    <w:uiPriority w:val="34"/>
    <w:qFormat/>
  </w:style>
  <w:style w:type="character" w:styleId="Hyperlink">
    <w:name w:val="Hyperlink"/>
    <w:basedOn w:val="DefaultParagraphFont"/>
    <w:uiPriority w:val="99"/>
    <w:unhideWhenUsed/>
    <w:rPr>
      <w:color w:val="0000FF" w:themeColor="hyperlink"/>
      <w:u w:val="single"/>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AF Fußnotentext"/>
    <w:basedOn w:val="Normal"/>
    <w:link w:val="FootnoteTextChar"/>
    <w:uiPriority w:val="99"/>
    <w:unhideWhenUsed/>
    <w:qFormat/>
    <w:pPr>
      <w:tabs>
        <w:tab w:val="left" w:pos="284"/>
      </w:tabs>
      <w:spacing w:after="0" w:line="240" w:lineRule="auto"/>
      <w:jc w:val="both"/>
    </w:pPr>
    <w:rPr>
      <w:rFonts w:ascii="Times New Roman" w:hAnsi="Times New Roman" w:cs="Times New Roman"/>
      <w:sz w:val="20"/>
      <w:szCs w:val="20"/>
      <w:lang w:val="pt-PT"/>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hAnsi="Times New Roman" w:cs="Times New Roman"/>
      <w:sz w:val="20"/>
      <w:szCs w:val="20"/>
      <w:lang w:val="pt-PT"/>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overflowPunct w:val="0"/>
      <w:autoSpaceDE w:val="0"/>
      <w:autoSpaceDN w:val="0"/>
      <w:adjustRightInd w:val="0"/>
      <w:spacing w:after="270" w:line="240" w:lineRule="exact"/>
      <w:textAlignment w:val="baseline"/>
      <w:outlineLvl w:val="0"/>
    </w:pPr>
    <w:rPr>
      <w:rFonts w:ascii="Times New Roman" w:eastAsia="Times New Roman" w:hAnsi="Times New Roman" w:cs="Arial"/>
      <w:b/>
      <w:kern w:val="28"/>
      <w:sz w:val="28"/>
      <w:szCs w:val="20"/>
    </w:rPr>
  </w:style>
  <w:style w:type="paragraph" w:styleId="Heading3">
    <w:name w:val="heading 3"/>
    <w:basedOn w:val="Normal"/>
    <w:next w:val="BodyText3"/>
    <w:link w:val="Heading3Char"/>
    <w:qFormat/>
    <w:pPr>
      <w:numPr>
        <w:numId w:val="2"/>
      </w:numPr>
      <w:overflowPunct w:val="0"/>
      <w:autoSpaceDE w:val="0"/>
      <w:autoSpaceDN w:val="0"/>
      <w:adjustRightInd w:val="0"/>
      <w:spacing w:after="270" w:line="240" w:lineRule="exact"/>
      <w:jc w:val="both"/>
      <w:textAlignment w:val="baseline"/>
      <w:outlineLvl w:val="2"/>
    </w:pPr>
    <w:rPr>
      <w:rFonts w:ascii="Arial" w:eastAsia="Times New Roman" w:hAnsi="Arial" w:cs="Arial"/>
      <w:sz w:val="20"/>
      <w:szCs w:val="20"/>
    </w:rPr>
  </w:style>
  <w:style w:type="paragraph" w:styleId="Heading4">
    <w:name w:val="heading 4"/>
    <w:basedOn w:val="Normal"/>
    <w:next w:val="Normal"/>
    <w:link w:val="Heading4Char"/>
    <w:qFormat/>
    <w:pPr>
      <w:numPr>
        <w:ilvl w:val="3"/>
        <w:numId w:val="1"/>
      </w:numPr>
      <w:overflowPunct w:val="0"/>
      <w:autoSpaceDE w:val="0"/>
      <w:autoSpaceDN w:val="0"/>
      <w:adjustRightInd w:val="0"/>
      <w:spacing w:after="270" w:line="240" w:lineRule="exact"/>
      <w:jc w:val="both"/>
      <w:textAlignment w:val="baseline"/>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pPr>
      <w:numPr>
        <w:ilvl w:val="4"/>
        <w:numId w:val="1"/>
      </w:numPr>
      <w:overflowPunct w:val="0"/>
      <w:autoSpaceDE w:val="0"/>
      <w:autoSpaceDN w:val="0"/>
      <w:adjustRightInd w:val="0"/>
      <w:spacing w:after="270" w:line="240" w:lineRule="exact"/>
      <w:jc w:val="both"/>
      <w:textAlignment w:val="baseline"/>
      <w:outlineLvl w:val="4"/>
    </w:pPr>
    <w:rPr>
      <w:rFonts w:ascii="Arial" w:eastAsia="Times New Roman" w:hAnsi="Arial" w:cs="Arial"/>
      <w:sz w:val="20"/>
      <w:szCs w:val="20"/>
    </w:rPr>
  </w:style>
  <w:style w:type="paragraph" w:styleId="Heading6">
    <w:name w:val="heading 6"/>
    <w:basedOn w:val="Normal"/>
    <w:next w:val="Normal"/>
    <w:link w:val="Heading6Char"/>
    <w:qFormat/>
    <w:pPr>
      <w:numPr>
        <w:ilvl w:val="5"/>
        <w:numId w:val="1"/>
      </w:numPr>
      <w:overflowPunct w:val="0"/>
      <w:autoSpaceDE w:val="0"/>
      <w:autoSpaceDN w:val="0"/>
      <w:adjustRightInd w:val="0"/>
      <w:spacing w:after="270" w:line="240" w:lineRule="exact"/>
      <w:jc w:val="both"/>
      <w:textAlignment w:val="baseline"/>
      <w:outlineLvl w:val="5"/>
    </w:pPr>
    <w:rPr>
      <w:rFonts w:ascii="Arial" w:eastAsia="Times New Roman" w:hAnsi="Arial" w:cs="Arial"/>
      <w:sz w:val="20"/>
      <w:szCs w:val="20"/>
    </w:rPr>
  </w:style>
  <w:style w:type="paragraph" w:styleId="Heading7">
    <w:name w:val="heading 7"/>
    <w:basedOn w:val="Normal"/>
    <w:next w:val="Normal"/>
    <w:link w:val="Heading7Char"/>
    <w:qFormat/>
    <w:pPr>
      <w:numPr>
        <w:ilvl w:val="6"/>
        <w:numId w:val="1"/>
      </w:numPr>
      <w:overflowPunct w:val="0"/>
      <w:autoSpaceDE w:val="0"/>
      <w:autoSpaceDN w:val="0"/>
      <w:adjustRightInd w:val="0"/>
      <w:spacing w:before="240" w:after="60" w:line="240" w:lineRule="exact"/>
      <w:jc w:val="both"/>
      <w:textAlignment w:val="baseline"/>
      <w:outlineLvl w:val="6"/>
    </w:pPr>
    <w:rPr>
      <w:rFonts w:ascii="Arial" w:eastAsia="Times New Roman" w:hAnsi="Arial" w:cs="Arial"/>
      <w:sz w:val="20"/>
      <w:szCs w:val="20"/>
    </w:rPr>
  </w:style>
  <w:style w:type="paragraph" w:styleId="Heading8">
    <w:name w:val="heading 8"/>
    <w:basedOn w:val="Normal"/>
    <w:next w:val="Normal"/>
    <w:link w:val="Heading8Char"/>
    <w:qFormat/>
    <w:pPr>
      <w:numPr>
        <w:ilvl w:val="7"/>
        <w:numId w:val="1"/>
      </w:numPr>
      <w:overflowPunct w:val="0"/>
      <w:autoSpaceDE w:val="0"/>
      <w:autoSpaceDN w:val="0"/>
      <w:adjustRightInd w:val="0"/>
      <w:spacing w:before="240" w:after="60" w:line="240" w:lineRule="exact"/>
      <w:jc w:val="both"/>
      <w:textAlignment w:val="baseline"/>
      <w:outlineLvl w:val="7"/>
    </w:pPr>
    <w:rPr>
      <w:rFonts w:ascii="Arial" w:eastAsia="Times New Roman" w:hAnsi="Arial" w:cs="Arial"/>
      <w:i/>
      <w:sz w:val="20"/>
      <w:szCs w:val="20"/>
    </w:rPr>
  </w:style>
  <w:style w:type="paragraph" w:styleId="Heading9">
    <w:name w:val="heading 9"/>
    <w:basedOn w:val="Normal"/>
    <w:next w:val="Normal"/>
    <w:link w:val="Heading9Char"/>
    <w:qFormat/>
    <w:pPr>
      <w:numPr>
        <w:ilvl w:val="8"/>
        <w:numId w:val="1"/>
      </w:numPr>
      <w:overflowPunct w:val="0"/>
      <w:autoSpaceDE w:val="0"/>
      <w:autoSpaceDN w:val="0"/>
      <w:adjustRightInd w:val="0"/>
      <w:spacing w:before="240" w:after="60" w:line="240" w:lineRule="exact"/>
      <w:jc w:val="both"/>
      <w:textAlignment w:val="baseline"/>
      <w:outlineLvl w:val="8"/>
    </w:pPr>
    <w:rPr>
      <w:rFonts w:ascii="Arial" w:eastAsia="Times New Roman" w:hAnsi="Arial" w:cs="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Arial"/>
      <w:b/>
      <w:kern w:val="28"/>
      <w:sz w:val="28"/>
      <w:szCs w:val="20"/>
    </w:rPr>
  </w:style>
  <w:style w:type="character" w:customStyle="1" w:styleId="Heading3Char">
    <w:name w:val="Heading 3 Char"/>
    <w:basedOn w:val="DefaultParagraphFont"/>
    <w:link w:val="Heading3"/>
    <w:rPr>
      <w:rFonts w:ascii="Arial" w:eastAsia="Times New Roman" w:hAnsi="Arial" w:cs="Arial"/>
      <w:sz w:val="20"/>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4"/>
    </w:rPr>
  </w:style>
  <w:style w:type="character" w:customStyle="1" w:styleId="Heading5Char">
    <w:name w:val="Heading 5 Char"/>
    <w:basedOn w:val="DefaultParagraphFont"/>
    <w:link w:val="Heading5"/>
    <w:rPr>
      <w:rFonts w:ascii="Arial" w:eastAsia="Times New Roman" w:hAnsi="Arial" w:cs="Arial"/>
      <w:sz w:val="20"/>
      <w:szCs w:val="20"/>
    </w:rPr>
  </w:style>
  <w:style w:type="character" w:customStyle="1" w:styleId="Heading6Char">
    <w:name w:val="Heading 6 Char"/>
    <w:basedOn w:val="DefaultParagraphFont"/>
    <w:link w:val="Heading6"/>
    <w:rPr>
      <w:rFonts w:ascii="Arial" w:eastAsia="Times New Roman" w:hAnsi="Arial" w:cs="Arial"/>
      <w:sz w:val="20"/>
      <w:szCs w:val="20"/>
    </w:rPr>
  </w:style>
  <w:style w:type="character" w:customStyle="1" w:styleId="Heading7Char">
    <w:name w:val="Heading 7 Char"/>
    <w:basedOn w:val="DefaultParagraphFont"/>
    <w:link w:val="Heading7"/>
    <w:rPr>
      <w:rFonts w:ascii="Arial" w:eastAsia="Times New Roman" w:hAnsi="Arial" w:cs="Arial"/>
      <w:sz w:val="20"/>
      <w:szCs w:val="20"/>
    </w:rPr>
  </w:style>
  <w:style w:type="character" w:customStyle="1" w:styleId="Heading8Char">
    <w:name w:val="Heading 8 Char"/>
    <w:basedOn w:val="DefaultParagraphFont"/>
    <w:link w:val="Heading8"/>
    <w:rPr>
      <w:rFonts w:ascii="Arial" w:eastAsia="Times New Roman" w:hAnsi="Arial" w:cs="Arial"/>
      <w:i/>
      <w:sz w:val="20"/>
      <w:szCs w:val="20"/>
    </w:rPr>
  </w:style>
  <w:style w:type="character" w:customStyle="1" w:styleId="Heading9Char">
    <w:name w:val="Heading 9 Char"/>
    <w:basedOn w:val="DefaultParagraphFont"/>
    <w:link w:val="Heading9"/>
    <w:rPr>
      <w:rFonts w:ascii="Arial" w:eastAsia="Times New Roman" w:hAnsi="Arial" w:cs="Arial"/>
      <w:b/>
      <w:i/>
      <w:sz w:val="18"/>
      <w:szCs w:val="20"/>
    </w:rPr>
  </w:style>
  <w:style w:type="paragraph" w:styleId="ListParagraph">
    <w:name w:val="List Paragraph"/>
    <w:aliases w:val="Normal bullet 2,Bullet list,Numbered List,List Paragraph1,1st level - Bullet List Paragraph,Lettre d'introduction,Paragrafo elenco,Fiche List Paragraph,Task Body,Viñetas (Inicio Parrafo),3 Txt tabla,Zerrenda-paragrafoa,Dot pt"/>
    <w:basedOn w:val="Normal"/>
    <w:link w:val="ListParagraphChar"/>
    <w:uiPriority w:val="34"/>
    <w:qFormat/>
    <w:pPr>
      <w:ind w:left="720"/>
      <w:contextualSpacing/>
    </w:pPr>
  </w:style>
  <w:style w:type="character" w:customStyle="1" w:styleId="ListParagraphChar">
    <w:name w:val="List Paragraph Char"/>
    <w:aliases w:val="Normal bullet 2 Char,Bullet list Char,Numbered List Char,List Paragraph1 Char,1st level - Bullet List Paragraph Char,Lettre d'introduction Char,Paragrafo elenco Char,Fiche List Paragraph Char,Task Body Char,3 Txt tabla Char"/>
    <w:basedOn w:val="DefaultParagraphFont"/>
    <w:link w:val="ListParagraph"/>
    <w:uiPriority w:val="34"/>
    <w:qFormat/>
  </w:style>
  <w:style w:type="character" w:styleId="Hyperlink">
    <w:name w:val="Hyperlink"/>
    <w:basedOn w:val="DefaultParagraphFont"/>
    <w:uiPriority w:val="99"/>
    <w:unhideWhenUsed/>
    <w:rPr>
      <w:color w:val="0000FF" w:themeColor="hyperlink"/>
      <w:u w:val="single"/>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AF Fußnotentext"/>
    <w:basedOn w:val="Normal"/>
    <w:link w:val="FootnoteTextChar"/>
    <w:uiPriority w:val="99"/>
    <w:unhideWhenUsed/>
    <w:qFormat/>
    <w:pPr>
      <w:tabs>
        <w:tab w:val="left" w:pos="284"/>
      </w:tabs>
      <w:spacing w:after="0" w:line="240" w:lineRule="auto"/>
      <w:jc w:val="both"/>
    </w:pPr>
    <w:rPr>
      <w:rFonts w:ascii="Times New Roman" w:hAnsi="Times New Roman" w:cs="Times New Roman"/>
      <w:sz w:val="20"/>
      <w:szCs w:val="20"/>
      <w:lang w:val="pt-PT"/>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hAnsi="Times New Roman" w:cs="Times New Roman"/>
      <w:sz w:val="20"/>
      <w:szCs w:val="20"/>
      <w:lang w:val="pt-PT"/>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research/horizonprize/index.cfm?prize=bigdata" TargetMode="External"/><Relationship Id="rId13" Type="http://schemas.openxmlformats.org/officeDocument/2006/relationships/hyperlink" Target="http://www.opalproject.org/about-us/" TargetMode="External"/><Relationship Id="rId3" Type="http://schemas.openxmlformats.org/officeDocument/2006/relationships/hyperlink" Target="http://www.w3.org/TR/dwbp/" TargetMode="External"/><Relationship Id="rId7" Type="http://schemas.openxmlformats.org/officeDocument/2006/relationships/hyperlink" Target="https://mastercardcenter.org/action/call-action-data-philanthropy/" TargetMode="External"/><Relationship Id="rId12" Type="http://schemas.openxmlformats.org/officeDocument/2006/relationships/hyperlink" Target="https://www.cbs.nl/en-gb/our-services/innovation/big-data" TargetMode="External"/><Relationship Id="rId2" Type="http://schemas.openxmlformats.org/officeDocument/2006/relationships/hyperlink" Target="http://www.programmableweb.com/api-research" TargetMode="External"/><Relationship Id="rId1" Type="http://schemas.openxmlformats.org/officeDocument/2006/relationships/hyperlink" Target="https://ec.europa.eu/digital-single-market/en/news/synopsis-report-public-consultation-building-european-data-economy" TargetMode="External"/><Relationship Id="rId6" Type="http://schemas.openxmlformats.org/officeDocument/2006/relationships/hyperlink" Target="https://www.dawex.com/en/" TargetMode="External"/><Relationship Id="rId11" Type="http://schemas.openxmlformats.org/officeDocument/2006/relationships/hyperlink" Target="http://ec.europa.eu/eurostat/web/products-manuals-and-guidelines/-/KS-32-11-955" TargetMode="External"/><Relationship Id="rId5" Type="http://schemas.openxmlformats.org/officeDocument/2006/relationships/hyperlink" Target="https://services.airbus.com/maintenance/expertise-and-other-services/skywise/skywise" TargetMode="External"/><Relationship Id="rId10" Type="http://schemas.openxmlformats.org/officeDocument/2006/relationships/hyperlink" Target="https://www.cdrc.ac.uk/" TargetMode="External"/><Relationship Id="rId4" Type="http://schemas.openxmlformats.org/officeDocument/2006/relationships/hyperlink" Target="https://developer.tomtom.com/tomtom-maps-apis-developers" TargetMode="External"/><Relationship Id="rId9" Type="http://schemas.openxmlformats.org/officeDocument/2006/relationships/hyperlink" Target="https://ec.europa.eu/eurostat/cros/system/files/assessing_the_quality_of_mobile_phone_data_as_a_source_of_statistics_q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66aabb8-7ec2-447a-a7ff-f911015037e7">UVNUSV5RWJH5-815657195-498</_dlc_DocId>
    <_dlc_DocIdUrl xmlns="866aabb8-7ec2-447a-a7ff-f911015037e7">
      <Url>https://myintracomm-collab.ec.europa.eu/dg/CONNECT/directorateG/UnitG1/_layouts/15/DocIdRedir.aspx?ID=UVNUSV5RWJH5-815657195-498</Url>
      <Description>UVNUSV5RWJH5-815657195-498</Description>
    </_dlc_DocIdUrl>
    <EC_Collab_Reference xmlns="8a4779a7-a821-41bc-9264-6a7285c3b1da" xsi:nil="true"/>
    <EC_Collab_DocumentLanguage xmlns="8a4779a7-a821-41bc-9264-6a7285c3b1da">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33CE8E76DF1EC14FB803D6FF12E6DEFF" ma:contentTypeVersion="9" ma:contentTypeDescription="Create a new document." ma:contentTypeScope="" ma:versionID="bce2b482114eb32cf30f053350693ec4">
  <xsd:schema xmlns:xsd="http://www.w3.org/2001/XMLSchema" xmlns:xs="http://www.w3.org/2001/XMLSchema" xmlns:p="http://schemas.microsoft.com/office/2006/metadata/properties" xmlns:ns3="8a4779a7-a821-41bc-9264-6a7285c3b1da" xmlns:ns4="866aabb8-7ec2-447a-a7ff-f911015037e7" targetNamespace="http://schemas.microsoft.com/office/2006/metadata/properties" ma:root="true" ma:fieldsID="4838d94350bd37eefc22bf8610b88a32" ns3:_="" ns4:_="">
    <xsd:import namespace="8a4779a7-a821-41bc-9264-6a7285c3b1da"/>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779a7-a821-41bc-9264-6a7285c3b1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2D8E6-2474-45BA-80DD-0A5A52E5D71C}">
  <ds:schemaRefs>
    <ds:schemaRef ds:uri="8a4779a7-a821-41bc-9264-6a7285c3b1da"/>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866aabb8-7ec2-447a-a7ff-f911015037e7"/>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3564D97-3B2F-494B-A759-BBB6F97459B8}">
  <ds:schemaRefs>
    <ds:schemaRef ds:uri="http://schemas.microsoft.com/sharepoint/v3/contenttype/forms"/>
  </ds:schemaRefs>
</ds:datastoreItem>
</file>

<file path=customXml/itemProps3.xml><?xml version="1.0" encoding="utf-8"?>
<ds:datastoreItem xmlns:ds="http://schemas.openxmlformats.org/officeDocument/2006/customXml" ds:itemID="{18902B46-A44F-42C0-95A7-8F5EAB0C5D63}">
  <ds:schemaRefs>
    <ds:schemaRef ds:uri="http://schemas.microsoft.com/sharepoint/events"/>
  </ds:schemaRefs>
</ds:datastoreItem>
</file>

<file path=customXml/itemProps4.xml><?xml version="1.0" encoding="utf-8"?>
<ds:datastoreItem xmlns:ds="http://schemas.openxmlformats.org/officeDocument/2006/customXml" ds:itemID="{B2225A97-C4A6-403E-A4C5-E1A55AA0E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779a7-a821-41bc-9264-6a7285c3b1da"/>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16B38B-7004-459A-8F98-54B486D87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6570</Words>
  <Characters>35839</Characters>
  <Application>Microsoft Office Word</Application>
  <DocSecurity>0</DocSecurity>
  <Lines>584</Lines>
  <Paragraphs>146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17</cp:revision>
  <cp:lastPrinted>2018-04-11T07:26:00Z</cp:lastPrinted>
  <dcterms:created xsi:type="dcterms:W3CDTF">2018-04-20T10:00:00Z</dcterms:created>
  <dcterms:modified xsi:type="dcterms:W3CDTF">2018-04-25T08:06:00Z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_dlc_DocIdItemGuid">
    <vt:lpwstr>fbf222a9-965b-482d-8a3d-cc0fda65bc7f</vt:lpwstr>
  </property>
  <property fmtid="{D5CDD505-2E9C-101B-9397-08002B2CF9AE}" pid="7" name="ContentTypeId">
    <vt:lpwstr>0x010100258AA79CEB83498886A3A086811232500033CE8E76DF1EC14FB803D6FF12E6DEFF</vt:lpwstr>
  </property>
</Properties>
</file>