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44C221B-288B-41FE-9E66-505E62AF0416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 за оправомощаване на държавите членки да подпишат и ратифицират, в интерес на Европейския съюз, Конвенцията на Съвета на Европа за интегриран подход към безопасността, сигурността и обслужването по време на футболни срещи и други спортни прояви („CETS № 218“ или „Конвенцията“).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noProof/>
        </w:rPr>
      </w:pPr>
      <w:r>
        <w:rPr>
          <w:noProof/>
        </w:rPr>
        <w:t>2.1.</w:t>
      </w:r>
      <w:r>
        <w:rPr>
          <w:noProof/>
        </w:rPr>
        <w:tab/>
        <w:t>Контекст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На 29 май 1985 г. 39 души намериха смъртта си и стотици бяха ранени при ожесточени сблъсъци между футболните фенове на финала на купата на европейските шампиони на стадион „Хейзел“ в Брюксел. В резултат на тази трагедия Съветът на Европа изготви Европейската конвенция за насилието и лошото поведение на зрители при спортни прояви и в частност футболни срещи („CETS № 120“) („Конвенция № 120“). Конвенция № 120 е насочена към предотвратяване, възпиране и реакция на инциденти на насилие и лошо поведение в стадионите или около тях. Конвенция № 120 влезе в сила на 1 ноември 1985 г. и бе ратифицирана от 41 страни, включително повечето държави — членки на Европейския съюз.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През декември 2013 г. в контекста на проучване относно ползите и желателността на актуализирането на Конвенция № 120 Комитетът на министрите на Съвета на Европа заключи, че тя е остаряла: нейното съдържание — по-специално фактът, че акцентът е поставен основно върху мерките за сигурност — бе счетено за несъвместимо с опита и добрите практики и несъобразено с последните препоръки на постоянния комитет към конвенцията.  Ето защо Комитетът на министрите възложи на постоянния комитет да преразгледа Конвенция № 120. Вместо да я преразгледа, постоянният комитет реши да започне работа по нов текст. Тази работа доведе до Конвенция на Съвета на Европа № 218.</w:t>
      </w:r>
    </w:p>
    <w:p>
      <w:pPr>
        <w:pStyle w:val="ManualHeading2"/>
        <w:rPr>
          <w:noProof/>
        </w:rPr>
      </w:pPr>
      <w:r>
        <w:rPr>
          <w:noProof/>
        </w:rPr>
        <w:t>2.2.</w:t>
      </w:r>
      <w:r>
        <w:rPr>
          <w:noProof/>
        </w:rPr>
        <w:tab/>
        <w:t>Конвенцията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CETS № 218 има за цел да осигури безопасна, сигурна и гостоприемна среда по време на футболни срещи и други спортни прояви (член 2).  В Конвенцията се прави разлика между „мерки за безопасност“, „мерки за сигурност“ и „мерки за обслужване“ (член 3).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Конвенцията задължава страните да приемат „интегриран, междуведомствен и балансиран подход към безопасността, сигурността и обслужването“ (член 2, буква а), т.е. подход, основан на идеята, че „мерките за безопасност, сигурност и обслужване по време на футболни срещи и други спортни прояви неизменно се припокриват, взаимосвързани са по отношение на въздействието, трябва да бъдат балансирани и не могат да бъдат разработени или изпълнени поотделно“ (член 3, буква е).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Конвенцията задължава страните да осигурят национални и местни условия за координиране за целите на изготвянето и изпълнението на многоведомствен, интегриран подход към безопасността, сигурността и обслужването (член 4).  Страните са длъжни да предприемат различни мерки, за да гарантират безопасността, сигурността и обслужването в спортните стадиони (член 5); например те трябва да гарантират, че в оперативните разпоредби на стадионите се предвижда ефективна </w:t>
      </w:r>
      <w:r>
        <w:rPr>
          <w:noProof/>
        </w:rPr>
        <w:lastRenderedPageBreak/>
        <w:t>връзка с полицията, службите за спешно реагиране и другите партньорски ведомства, и включват политики и процедури по въпроси като расисткото или дискриминационно поведение (член 5, параграф 5).  От страните се изисква също да насърчават всички компетентни ведомства и заинтересовани страни да работят заедно, за да създават безопасна, сигурна и гостоприемна среда на обществените места извън стадионите (член 6).  Страните трябва да гарантират, че съответните ведомства подготвят извънредни и аварийни планове (член 7) и те трябва да насърчават всички ведомства да се ангажират проактивно с поддръжниците и местните общности (член 8).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Що се отнася до полицейската дейност, член 9 от Конвенцията изисква страните да гарантират, че „се разработват, редовно се оценяват и подобряват полицейски стратегии“, които отчитат добрите практики и са съвместими с интегрирания подход към безопасността, сигурността и обслужването; страните също така трябва да гарантират, че полицията работи в партньорство със съответните заинтересовани страни.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Във връзка с предотвратяването и санкционирането член 10 от Конвенцията изисква от страните да „предприемат всички възможни мерки“, за да се намали рискът от инциденти на насилие и безредици, и да гарантират, в съответствие с националното и международното право, че са налице „ефективни процедури за недопускане, подходящи за естеството и мястото на риска“, с цел възпиране и предотвратяване на подобни инциденти.  Страните също така са задължени да си „сътрудничат в усилията за гарантиране, че лицата, извършили престъпления в чужбина, получават подходящи санкции“ (член 10, параграф 3), както и да „обмислят предоставянето на съдебните или административните органи, отговорни да налагат санкции на лицата, които са причинили или способствали за инциденти, свързани с футболно насилие и/или безредици, възможността да налагат ограничения за пътуване по повод на футболни прояви, провеждани в друга страна“ (член 10, параграф 4).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11 от Конвенцията е озаглавен „международно сътрудничество“.  Той задължава страните да създадат национално футболно информационно звено (НФИЗ), което действа като единствен канал за обмен на информация и сведения във връзка с футболни срещи с международно значение и за уреждане на други въпроси от областта на международното полицейско сътрудничество (член 11, параграфи 2—4).  Текстът на член 11, параграфи 2—4 е вдъхновен от Решение 2002/348/ПВР на Съвета от 25 април 2002 г. относно сигурността във връзка с футболни срещи с международно значение и използва неговата терминология.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Заключителните клаузи на Конвенцията се отнасят за подписването (член 16), влизането в сила (член 17), присъединяването на държави, които не са членки на Съвета на Европа (член 18), действието на Конвенцията във връзка с Конвенция № 120 (член 19), териториалното приложение (член 20), денонсирането (член 21) и нотификациите (член 22).  Тези клаузи са „по същество основани“ на модела за заключителни клаузи за конвенциите и споразуменията, сключвани от Съвета на Европа, от февруари 1980 г. и на заключителните разпоредби на Конвенция № 120.</w:t>
      </w:r>
    </w:p>
    <w:p>
      <w:pPr>
        <w:pStyle w:val="ManualHeading2"/>
        <w:rPr>
          <w:noProof/>
        </w:rPr>
      </w:pPr>
      <w:r>
        <w:rPr>
          <w:noProof/>
        </w:rPr>
        <w:t>2.3.</w:t>
      </w:r>
      <w:r>
        <w:rPr>
          <w:noProof/>
        </w:rPr>
        <w:tab/>
        <w:t>Действащо законодателство на Съюза и политика в тази област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Съюзът е приел редица мерки по отношение на полицейското сътрудничество и обмена на полицейска информация.  По-специално по отношение на полицейското сътрудничество и обмена на полицейска информация по въпросите на безопасността и сигурността по време на футболни срещи, Съюзът е приел Решение 2002/348/ПВР на </w:t>
      </w:r>
      <w:r>
        <w:rPr>
          <w:noProof/>
        </w:rPr>
        <w:lastRenderedPageBreak/>
        <w:t>Съвета от 25 април 2002 г. относно сигурността във връзка с футболни срещи с международно значение</w:t>
      </w:r>
      <w:r>
        <w:rPr>
          <w:rStyle w:val="FootnoteReference"/>
          <w:noProof/>
        </w:rPr>
        <w:footnoteReference w:id="1"/>
      </w:r>
      <w:r>
        <w:rPr>
          <w:noProof/>
        </w:rPr>
        <w:t>.  Решение 2002/348/ПВР на Съвета се основава на член 30, параграф 1, буква а) от Договора за Европейския съюз, понастоящем член 87, параграф 1 от Договора за функционирането на Европейския съюз (ДФЕС), както и на член 34, параграф 2, буква в) от Договора за Европейския съюз (ДЕС), отменен.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Решение 2002/348/ПВР на Съвета от всяка държава членка се изисква да „създаде или определи национално футболно информационно звено към полицията“ (НФИЗ), което „играе ролята на централен пункт за пряка връзка с цел обмен на съответната информация и улесняване на полицейското сътрудничество по време на футболни срещи с международно участие“ (член 1).  В Решението на Съвета се определят задачите на НФИЗ (член 2), полицейската информация, която ще се обменя между тях (член 3), и процедурата за комуникация между НФИЗ (член 4).  Решение 2007/412/ПВР на Съвета от 12 юни 2007 г. за изменение на Решение 2002/348/ПВР относно сигурността във връзка с футболни срещи с международно значение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добавя разпоредби относно периодичните оценки на свързаните с футбола безредици в национален мащаб (член 2, параграф 6) и формулярите за обмен на информация (член 3, параграф 4).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 2002/348/ПВР на Съвета е посочено в резолюция на Съвета от 17 ноември 2003 г. относно използването от държавите членки на забрани за достъп до места за провеждане на футболни срещи с международно измерение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в Наръчника на ЕС за футбола</w:t>
      </w:r>
      <w:r>
        <w:rPr>
          <w:rStyle w:val="FootnoteReference"/>
          <w:noProof/>
        </w:rPr>
        <w:footnoteReference w:id="4"/>
      </w:r>
      <w:r>
        <w:rPr>
          <w:noProof/>
        </w:rPr>
        <w:t>.  Наръчникът, който бе приет през юни 1999 г. и бе последно актуализиран през ноември 2016 г., съдържа подробни препоръки за международно полицейско сътрудничество и мерки за предотвратяване и контрол на насилието и безредиците във връзка с футболни срещи с международно значение, включително насоки за обмена на полицейска информация и за ролята и задачите на НФИЗ.</w:t>
      </w:r>
    </w:p>
    <w:p>
      <w:pPr>
        <w:pStyle w:val="ManualHeading2"/>
        <w:rPr>
          <w:noProof/>
        </w:rPr>
      </w:pPr>
      <w:r>
        <w:rPr>
          <w:noProof/>
        </w:rPr>
        <w:t>2.4.</w:t>
      </w:r>
      <w:r>
        <w:rPr>
          <w:noProof/>
        </w:rPr>
        <w:tab/>
        <w:t>Основания за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Въпреки че в Конвенцията се съдържат разпоредби в областта на полицейското сътрудничество (87 от ДФЕС), тя също така се отнася по-общо и за целите на политиката на Съюза във връзка със спортните въпроси (член 165 от ДФЕС).  Съгласно член 165, параграф 3 от ДФЕС Съюзът и държавите членки трябва да поощряват сътрудничеството с трети страни и с компетентните международни организации в областта на образованието и спорта, в частност Съвета на Европа.  Насърчителните мерки на ЕС, включително подкрепата за проекти в рамките на посветената на спорта глава от програма „Еразъм+“, кампаниите за повишаване на осведомеността на футболните привърженици и спортните санкции не са достатъчни за справяне с актовете на насилие и дискриминация, които се извършват по периферията на спортните състезания.  Доколкото това е проблем на обществения ред, националните публични органи допълват тези инициативи с превантивни дейности и целеви принудителни мерки.  Това е сложна задача поради международния характер на някои мачове и поради разликите, които съществуват между съответните разпоредби и практики, свързани с опазването на реда, безопасността и сигурността в отделните </w:t>
      </w:r>
      <w:r>
        <w:rPr>
          <w:noProof/>
        </w:rPr>
        <w:lastRenderedPageBreak/>
        <w:t>държави — членки на ЕС.  Необходимо е по-тясно сътрудничество между различните заинтересовани страни в борбата срещу насилието и дискриминацията от всякакъв вид. Действията по правоприлагане трябва да бъдат по-добре координирани и ЕС може да улесни този процес, по-специално като подкрепи Конвенцията на Съвета на Европа.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ЕС сам по себе си не може да стане страна по Конвенцията.  Това се дължи на факта, че Конвенцията се отнася изключително до „държави“ или „държави — страни по Конвенцията“ и не съдържа формулировка, позволяваща на ЕС или други организации за регионална интеграция да станат страна по нея.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Въпреки това ЕС прие както общи, така и специфични мерки по отношение на сътрудничеството и обмена на полицейска информация, които се прилагат по въпросите на безопасността и сигурността по време на футболни срещи с международно измерение, както и подробни, наскоро актуализирани препоръки относно това как да се прилагат тези мерки.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Освен това ангажиментите, поети в член 11 от Конвенцията по отношение на националните футболни информационни звена (НФИЗ), могат да засегнат общите правила по смисъла на член 3, параграф 2 от ДФЕС.  Това е така, защото задължението за създаване или определяне на НФИЗ вече се съдържа в Решение 2002/348/ПВР на Съвета, в което се уточняват задачите на НФИЗ и се определят правила за сътрудничество между тях, по-специално по отношение на обмена на полицейска информация.  Задълженията, съдържащи се в член 11, параграфи 2—4 от Конвенция № 218, съвпадат почти изцяло със задълженията, съдържащи се в Решение 2002/348/ПВР на Съвета.  Всъщност според обяснителния доклад към Конвенция № 218 „НФИЗ са създадени по силата на правото на Европейския съюз“ и текстът на член 11, параграфи 2—4 е вдъхновен от Решение 2002/348/ПВР на Съвета и използва неговата терминология.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Тези обстоятелства подчертават необходимостта държавите членки да действат в рамките на институциите на ЕС, когато поемат международни ангажименти в областта на сътрудничеството и обмена на полицейска информация между държавите членки, особено по отношение на безопасността и сигурността по време на футболни срещи с международно значение.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Въпреки че член 11, параграфи 2—4 от Конвенцията се основават на Решение 2002/348/ПВР на Съвета, точно за да се избегне конфликт с правото на ЕС, това не променя факта, че в Решение 2002/348/ПВР на Съвета се предвижда система на сътрудничество и обмен на полицейска информация между държавите членки в областта на безопасността и сигурността по време на футболни срещи с международно значение посредством мрежа от органи, създадени специално за тази цел.  Само ЕС е в състояние да поеме задължение спрямо трети държави да продължи да прилага тази система в ЕС, както и да разшири прилагането ѝ в съответните трети държави.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Предвид факта, че ЕС сам по себе си не може да стане страна по CETS № 218, и тъй като държавите членки могат да бъдат страни по тази конвенция само ако бъдат оправомощени за това от ЕС (член 2, параграф 1 от ДФЕС), е целесъобразно да бъде прието решение за оправомощаване на държавите членки да подпишат и ратифицират Конвенцията в интерес на ЕС.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Предложеното решение на Съвета се основава на член 218, параграф 6, буква а), подточка v) и член 218, параграф 8 от ДФЕС във връзка с член 87, параграф 1 от ДФЕС, който представлява главното правно основание за законодателството на ЕС по въпросите на полицейското сътрудничество.</w:t>
      </w:r>
    </w:p>
    <w:p>
      <w:pPr>
        <w:pStyle w:val="ManualHeading1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2018/0116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оправомощаване на държавите членки да станат страна, в интерес на Европейския съюз, по Конвенцията на Съвета на Европа за интегриран подход към безопасността, сигурността и обслужването по време на футболни срещи и други спортни прояви </w:t>
      </w:r>
      <w:r>
        <w:rPr>
          <w:noProof/>
        </w:rPr>
        <w:br/>
        <w:t>(CETS № 218)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 6, буква а), подточка v) и член 218, параграф 8 във връзка с член 87, параграф 1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Конвенцията на Съвета на Европа за интегриран подход към безопасността, сигурността и обслужването по време на футболни срещи и други спортни прояви („Конвенцията“) е открита за подписване и ратифициране от 3 юли 2016 г. насам.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Конвенцията има за цел да осигури безопасна, сигурна и гостоприемна среда по време на футболни срещи и други спортни прояви.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Член 11, параграфи 2—4 от Конвенцията относно националните футболни информационни звена (НФИЗ) може да засегне общите правила или да промени техния обхват по смисъла на член 3, параграф 2 от ДФЕС, тъй като тези разпоредби съвпадат със задълженията, съдържащи се в Решение 2002/348/ПВР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относно сигурността във връзка с футболни срещи с международно значение.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Подкрепата на Съюза за Конвенцията е важна за борбата с насилието, свързани със спортни прояви, и ще допълни вече положените усилия в тази област чрез подпомагане на проекти в рамките на посветената на спорта глава от програма „Еразъм+“.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Съюзът не може да стане страна по Конвенцията, тъй като страни по нея могат да бъдат само държави.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Поради това държавите членки следва да бъдат оправомощени да подпишат и ратифицират Конвенцията, като действат съвместно в интерес на Съюза, по отношение на частите, попадащи в изключителната компетентност на Съюза.</w:t>
      </w:r>
    </w:p>
    <w:p>
      <w:pPr>
        <w:pStyle w:val="ManualConsidrant"/>
        <w:rPr>
          <w:noProof/>
        </w:rPr>
      </w:pPr>
      <w:r>
        <w:lastRenderedPageBreak/>
        <w:t>(7)</w:t>
      </w:r>
      <w:r>
        <w:tab/>
      </w:r>
      <w:r>
        <w:rPr>
          <w:noProof/>
        </w:rPr>
        <w:t>Обединеното кралство и Ирландия са обвързани с Решение 2002/348/ПВР на Съвета и поради това вземат участие в приемането на настоящото решение.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В съответствие с членове 1 и 2 от Протокол № 22 относно позицията на Дания, приложен към Договора за Европейския съюз и към ДФЕС, Дания не участва в приемането на настоящото решение и не е обвързана от него, нито от неговото прилагане,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Държавите членки се оправомощават да станат страна по Конвенцията на Съвета на Европа за интегриран подход към безопасността, сигурността и обслужването по време на футболни срещи и други спортни прояви (CETS № 218) по отношение на частите, попадащи в изключителната компетентност на Съюза.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121, 8.5.2002 г</w:t>
      </w:r>
      <w:r>
        <w:rPr>
          <w:i/>
        </w:rPr>
        <w:t>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155, 15.6.2007 г., стр. 76.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C 281, 22.11.2003 г., стр.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Резолюция на Съвета от 6 декември 2001 г. относно наръчник с препоръки за международното полицейско сътрудничество и мерки с цел предотвратяване и ограничаване на насилието и безредиците във връзка с футболни срещи с международно значение, в които участва поне една държава членка (ОВ C 022 , 24.1.2002 г., стр. 1.).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Решение 2002/348/ПВР на Съвета от 25 април 2002 г. относно сигурността във връзка с футболни срещи с международно значение (ОВ L 121, 8.5.2002 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F1A7E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42893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AA438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0B4F5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ACA7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7095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3D27E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806B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removePersonalInformation/>
  <w:removeDateAndTim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6 13:12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44C221B-288B-41FE-9E66-505E62AF0416"/>
    <w:docVar w:name="LW_COVERPAGE_TYPE" w:val="1"/>
    <w:docVar w:name="LW_CROSSREFERENCE" w:val="&lt;UNUSED&gt;"/>
    <w:docVar w:name="LW_DocType" w:val="COM"/>
    <w:docVar w:name="LW_EMISSION" w:val="27.4.2018"/>
    <w:docVar w:name="LW_EMISSION_ISODATE" w:val="2018-04-27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16"/>
    <w:docVar w:name="LW_REF.II.NEW.CP_YEAR" w:val="2018"/>
    <w:docVar w:name="LW_REF.INST.NEW" w:val="COM"/>
    <w:docVar w:name="LW_REF.INST.NEW_ADOPTED" w:val="final"/>
    <w:docVar w:name="LW_REF.INST.NEW_TEXT" w:val="(2018) 24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2?\u1074?\u1086?\u1084?\u1086?\u1097?\u1072?\u1074?\u1072?\u1085?\u1077? \u1085?\u1072? \u1076?\u1098?\u1088?\u1078?\u1072?\u1074?\u1080?\u1090?\u1077? \u1095?\u1083?\u1077?\u1085?\u1082?\u1080? \u1076?\u1072? \u1089?\u1090?\u1072?\u1085?\u1072?\u1090? \u1089?\u1090?\u1088?\u1072?\u1085?\u1072?, \u1074? \u1080?\u1085?\u1090?\u1077?\u1088?\u1077?\u1089? \u1085?\u1072? \u1045?\u1074?\u1088?\u1086?\u1087?\u1077?\u1081?\u1089?\u1082?\u1080?\u1103? \u1089?\u1098?\u1102?\u1079?, \u1087?\u1086? \u1050?\u1086?\u1085?\u1074?\u1077?\u1085?\u1094?\u1080?\u1103?\u1090?\u1072? \u1085?\u1072? \u1057?\u1098?\u1074?\u1077?\u1090?\u1072? \u1085?\u1072? \u1045?\u1074?\u1088?\u1086?\u1087?\u1072? \u1079?\u1072? \u1080?\u1085?\u1090?\u1077?\u1075?\u1088?\u1080?\u1088?\u1072?\u1085? \u1087?\u1086?\u1076?\u1093?\u1086?\u1076? \u1082?\u1098?\u1084? \u1073?\u1077?\u1079?\u1086?\u1087?\u1072?\u1089?\u1085?\u1086?\u1089?\u1090?\u1090?\u1072?, \u1089?\u1080?\u1075?\u1091?\u1088?\u1085?\u1086?\u1089?\u1090?\u1090?\u1072? \u1080? \u1086?\u1073?\u1089?\u1083?\u1091?\u1078?\u1074?\u1072?\u1085?\u1077?\u1090?\u1086? \u1087?\u1086? \u1074?\u1088?\u1077?\u1084?\u1077? \u1085?\u1072? \u1092?\u1091?\u1090?\u1073?\u1086?\u1083?\u1085?\u1080? \u1089?\u1088?\u1077?\u1097?\u1080? \u1080? \u1076?\u1088?\u1091?\u1075?\u1080? \u1089?\u1087?\u1086?\u1088?\u1090?\u1085?\u1080? \u1087?\u1088?\u1086?\u1103?\u1074?\u1080? _x000b_(CETS \u8470? 218)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CFA6-A71D-44DB-B6FC-A9AE9355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8</Pages>
  <Words>2400</Words>
  <Characters>13418</Characters>
  <Application>Microsoft Office Word</Application>
  <DocSecurity>0</DocSecurity>
  <Lines>239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2018-04-24T07:55:00Z</dcterms:created>
  <dcterms:modified xsi:type="dcterms:W3CDTF">2018-04-26T11:12:00Z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6.0, Build 20171009</vt:lpwstr>
  </property>
  <property fmtid="{D5CDD505-2E9C-101B-9397-08002B2CF9AE}" pid="3" name="Category">
    <vt:lpwstr>COM/PL/ORG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SJ-019</vt:lpwstr>
  </property>
  <property fmtid="{D5CDD505-2E9C-101B-9397-08002B2CF9AE}" pid="8" name="DQCStatus">
    <vt:lpwstr>Green (DQC version 03)</vt:lpwstr>
  </property>
</Properties>
</file>