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F912A6D-3BA9-4B35-8FC8-8E9069DAD2EC" style="width:450.95pt;height:424.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footerReference w:type="default" r:id="rId15"/>
          <w:footerReference w:type="first" r:id="rId16"/>
          <w:pgSz w:w="11907" w:h="16840" w:code="9"/>
          <w:pgMar w:top="1134" w:right="1418" w:bottom="1134" w:left="1418" w:header="709" w:footer="709" w:gutter="0"/>
          <w:pgNumType w:start="1"/>
          <w:cols w:space="720"/>
          <w:docGrid w:linePitch="360"/>
        </w:sectPr>
      </w:pPr>
      <w:r>
        <w:rPr>
          <w:b w:val="0"/>
          <w:noProof/>
        </w:rPr>
        <w:tab/>
        <w:t>3.3.</w:t>
      </w:r>
      <w:r>
        <w:rPr>
          <w:b w:val="0"/>
          <w:noProof/>
        </w:rPr>
        <w:tab/>
        <w:t>Estimated impact on revenue</w:t>
      </w:r>
    </w:p>
    <w:p>
      <w:pPr>
        <w:jc w:val="center"/>
        <w:rPr>
          <w:b/>
          <w:noProof/>
          <w:u w:val="single"/>
        </w:rPr>
      </w:pPr>
      <w:r>
        <w:rPr>
          <w:b/>
          <w:noProof/>
          <w:u w:val="single"/>
        </w:rPr>
        <w:lastRenderedPageBreak/>
        <w:t>LEGISLATIVE FINANCIAL STATEMENT</w:t>
      </w:r>
    </w:p>
    <w:p>
      <w:pPr>
        <w:pStyle w:val="Heading1"/>
        <w:numPr>
          <w:ilvl w:val="0"/>
          <w:numId w:val="13"/>
        </w:numPr>
        <w:rPr>
          <w:noProof/>
        </w:rPr>
      </w:pPr>
      <w:r>
        <w:rPr>
          <w:noProof/>
        </w:rPr>
        <w:t xml:space="preserve">FRAMEWORK OF THE PROPOSAL/INITIATIVE </w:t>
      </w:r>
    </w:p>
    <w:p>
      <w:pPr>
        <w:pStyle w:val="Heading2"/>
        <w:rPr>
          <w:noProof/>
        </w:rPr>
      </w:pP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Proposal for a Regulation of the European Parliament and of the Council on the implementation and functioning of the .eu Top Level Domain name and repealing Regulation (EC) No 733/2002 and Commission Regulation (EC) No 874/2004</w:t>
      </w:r>
    </w:p>
    <w:p>
      <w:pPr>
        <w:pStyle w:val="Text1"/>
        <w:pBdr>
          <w:top w:val="single" w:sz="4" w:space="1" w:color="auto"/>
          <w:left w:val="single" w:sz="4" w:space="4" w:color="auto"/>
          <w:bottom w:val="single" w:sz="4" w:space="1" w:color="auto"/>
          <w:right w:val="single" w:sz="4" w:space="4" w:color="auto"/>
        </w:pBdr>
        <w:rPr>
          <w:noProof/>
          <w:szCs w:val="24"/>
        </w:rPr>
      </w:pPr>
      <w:r>
        <w:rPr>
          <w:noProof/>
        </w:rPr>
        <w:t>Policy area(s) concerned</w:t>
      </w:r>
      <w:r>
        <w:rPr>
          <w:i/>
          <w:noProof/>
        </w:rPr>
        <w:t xml:space="preserv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Policy area: 09 - Communications networks, content and technology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Activity: 09.02 digital single market</w:t>
      </w:r>
    </w:p>
    <w:p>
      <w:pPr>
        <w:pStyle w:val="Heading2"/>
        <w:rPr>
          <w:bCs w:val="0"/>
          <w:noProof/>
          <w:szCs w:val="24"/>
        </w:rPr>
      </w:pPr>
      <w:r>
        <w:rPr>
          <w:noProof/>
        </w:rPr>
        <w:t xml:space="preserve">Nature of the proposal/initiative </w:t>
      </w:r>
    </w:p>
    <w:p>
      <w:pPr>
        <w:pStyle w:val="Text1"/>
        <w:rPr>
          <w:b/>
          <w:noProof/>
          <w:sz w:val="22"/>
        </w:rPr>
      </w:pPr>
      <w:r>
        <w:rPr>
          <w:noProof/>
          <w:sz w:val="22"/>
        </w:rPr>
        <w:sym w:font="Wingdings" w:char="F0A8"/>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
      </w:r>
      <w:r>
        <w:rPr>
          <w:noProof/>
          <w:sz w:val="22"/>
        </w:rPr>
        <w:t xml:space="preserve"> </w:t>
      </w:r>
    </w:p>
    <w:p>
      <w:pPr>
        <w:pStyle w:val="Text1"/>
        <w:rPr>
          <w:noProof/>
          <w:sz w:val="22"/>
        </w:rPr>
      </w:pPr>
      <w:r>
        <w:rPr>
          <w:noProof/>
          <w:sz w:val="22"/>
        </w:rPr>
        <w:sym w:font="Wingdings" w:char="F0FD"/>
      </w:r>
      <w:r>
        <w:rPr>
          <w:i/>
          <w:noProof/>
          <w:sz w:val="22"/>
        </w:rPr>
        <w:t xml:space="preserve"> </w:t>
      </w:r>
      <w:r>
        <w:rPr>
          <w:noProof/>
        </w:rPr>
        <w:t xml:space="preserve">The proposal/initiative relates to </w:t>
      </w:r>
      <w:r>
        <w:rPr>
          <w:b/>
          <w:noProof/>
        </w:rPr>
        <w:t>the extension of an existing action</w:t>
      </w:r>
      <w:r>
        <w:rPr>
          <w:noProof/>
          <w:sz w:val="22"/>
        </w:rPr>
        <w:t xml:space="preserve"> [</w:t>
      </w:r>
      <w:r>
        <w:rPr>
          <w:i/>
          <w:noProof/>
          <w:sz w:val="22"/>
        </w:rPr>
        <w:t>it is a REFIT initiative</w:t>
      </w:r>
      <w:r>
        <w:rPr>
          <w:noProof/>
          <w:sz w:val="22"/>
        </w:rPr>
        <w:t>]</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Heading2"/>
        <w:rPr>
          <w:bCs w:val="0"/>
          <w:noProof/>
          <w:szCs w:val="24"/>
        </w:rPr>
      </w:pPr>
      <w:r>
        <w:rPr>
          <w:noProof/>
        </w:rPr>
        <w:t>Objective(s)</w:t>
      </w:r>
    </w:p>
    <w:p>
      <w:pPr>
        <w:pStyle w:val="Heading3"/>
        <w:rPr>
          <w:noProof/>
        </w:rPr>
      </w:pP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general objective of the initiative is to ensure the stability and sustainability of the .eu TLD, so as to better enable it to achieve its intended mission to:</w:t>
      </w:r>
    </w:p>
    <w:p>
      <w:pPr>
        <w:pStyle w:val="Text1"/>
        <w:pBdr>
          <w:top w:val="single" w:sz="4" w:space="1" w:color="auto"/>
          <w:left w:val="single" w:sz="4" w:space="4" w:color="auto"/>
          <w:bottom w:val="single" w:sz="4" w:space="1" w:color="auto"/>
          <w:right w:val="single" w:sz="4" w:space="4" w:color="auto"/>
        </w:pBdr>
        <w:rPr>
          <w:noProof/>
        </w:rPr>
      </w:pPr>
      <w:r>
        <w:rPr>
          <w:noProof/>
        </w:rPr>
        <w:t>Encourage online cross-border activities in Europe and support the Digital Single Market</w:t>
      </w:r>
    </w:p>
    <w:p>
      <w:pPr>
        <w:pStyle w:val="Text1"/>
        <w:pBdr>
          <w:top w:val="single" w:sz="4" w:space="1" w:color="auto"/>
          <w:left w:val="single" w:sz="4" w:space="4" w:color="auto"/>
          <w:bottom w:val="single" w:sz="4" w:space="1" w:color="auto"/>
          <w:right w:val="single" w:sz="4" w:space="4" w:color="auto"/>
        </w:pBdr>
        <w:rPr>
          <w:noProof/>
        </w:rPr>
      </w:pPr>
      <w:r>
        <w:rPr>
          <w:noProof/>
        </w:rPr>
        <w:t>Enable/build an online European identity</w:t>
      </w:r>
    </w:p>
    <w:p>
      <w:pPr>
        <w:pStyle w:val="Text1"/>
        <w:pBdr>
          <w:top w:val="single" w:sz="4" w:space="1" w:color="auto"/>
          <w:left w:val="single" w:sz="4" w:space="4" w:color="auto"/>
          <w:bottom w:val="single" w:sz="4" w:space="1" w:color="auto"/>
          <w:right w:val="single" w:sz="4" w:space="4" w:color="auto"/>
        </w:pBdr>
        <w:rPr>
          <w:noProof/>
        </w:rPr>
      </w:pPr>
    </w:p>
    <w:p>
      <w:pPr>
        <w:pStyle w:val="Heading3"/>
        <w:rPr>
          <w:bCs w:val="0"/>
          <w:noProof/>
          <w:szCs w:val="24"/>
        </w:rPr>
      </w:pPr>
      <w:r>
        <w:rPr>
          <w:noProof/>
        </w:rPr>
        <w:t xml:space="preserve">Specific objective(s) and Specific objective No </w:t>
      </w:r>
      <w:r>
        <w:rPr>
          <w:noProof/>
          <w:lang w:val="en-US"/>
        </w:rPr>
        <w:t>[ ]</w:t>
      </w:r>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N1: Remove outdated legal/administrative requirements.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N2: Ensure the rules are future-proof and allow the .eu to adapt to the rapid evolution of the TLD market and the dynamic digital landscape, while at the same time incorporating and promoting EU priorities in the on line world</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N3: Ensure a governance structure that both reflects technical and governance best practices and serves EU public interest.</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N4: Promote the attractiveness of .eu.</w:t>
      </w:r>
    </w:p>
    <w:p>
      <w:pPr>
        <w:pStyle w:val="Text1"/>
        <w:pBdr>
          <w:top w:val="single" w:sz="4" w:space="1" w:color="auto"/>
          <w:left w:val="single" w:sz="4" w:space="4" w:color="auto"/>
          <w:bottom w:val="single" w:sz="4" w:space="1" w:color="auto"/>
          <w:right w:val="single" w:sz="4" w:space="4" w:color="auto"/>
        </w:pBdr>
        <w:rPr>
          <w:b/>
          <w:noProof/>
        </w:rPr>
      </w:pPr>
      <w:r>
        <w:rPr>
          <w:b/>
          <w:noProof/>
        </w:rPr>
        <w:t>In the remainder of the fiche, we focus on Specific objective N3.</w:t>
      </w:r>
    </w:p>
    <w:p>
      <w:pPr>
        <w:pStyle w:val="Text1"/>
        <w:pBdr>
          <w:top w:val="single" w:sz="4" w:space="1" w:color="auto"/>
          <w:left w:val="single" w:sz="4" w:space="4" w:color="auto"/>
          <w:bottom w:val="single" w:sz="4" w:space="1" w:color="auto"/>
          <w:right w:val="single" w:sz="4" w:space="4" w:color="auto"/>
        </w:pBdr>
        <w:rPr>
          <w:noProof/>
        </w:rPr>
      </w:pPr>
    </w:p>
    <w:p>
      <w:pPr>
        <w:pStyle w:val="Heading3"/>
        <w:rPr>
          <w:bCs w:val="0"/>
          <w:noProof/>
          <w:szCs w:val="24"/>
        </w:rPr>
      </w:pPr>
      <w:r>
        <w:rPr>
          <w:noProof/>
        </w:rPr>
        <w:br w:type="page"/>
      </w:r>
      <w:r>
        <w:rPr>
          <w:noProof/>
        </w:rPr>
        <w:lastRenderedPageBreak/>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relation to Specific objective N3, the proposal introduces a separate governance framework: while the current model of outsourcing the daily operational activities to an external operator would continue, the creation of a separate multistakeholder body with an advisory role is foreseen. The introduction of a multistakeholder body (the .eu Multistakeholder Council) would effectively strengthen and widen the input into the good governance of the .eu Registry and increase the transparency of its corporate governance. </w:t>
      </w:r>
    </w:p>
    <w:p>
      <w:pPr>
        <w:pStyle w:val="Text1"/>
        <w:pBdr>
          <w:top w:val="single" w:sz="4" w:space="1" w:color="auto"/>
          <w:left w:val="single" w:sz="4" w:space="4" w:color="auto"/>
          <w:bottom w:val="single" w:sz="4" w:space="1" w:color="auto"/>
          <w:right w:val="single" w:sz="4" w:space="4" w:color="auto"/>
        </w:pBdr>
        <w:rPr>
          <w:noProof/>
        </w:rPr>
      </w:pPr>
      <w:r>
        <w:rPr>
          <w:noProof/>
        </w:rPr>
        <w:t>The .eu Multistakeholder Council will need to be adequately resourced. The cost is estimated around €50.000 annually (for reimbursing experts travel and subsistence, organising the meetings, and costs in relation to activities such as production of external reports and studies) to be covered by the Commission.</w:t>
      </w:r>
    </w:p>
    <w:p>
      <w:pPr>
        <w:pStyle w:val="Text1"/>
        <w:pBdr>
          <w:top w:val="single" w:sz="4" w:space="1" w:color="auto"/>
          <w:left w:val="single" w:sz="4" w:space="4" w:color="auto"/>
          <w:bottom w:val="single" w:sz="4" w:space="1" w:color="auto"/>
          <w:right w:val="single" w:sz="4" w:space="4" w:color="auto"/>
        </w:pBdr>
        <w:rPr>
          <w:noProof/>
        </w:rPr>
      </w:pPr>
    </w:p>
    <w:p>
      <w:pPr>
        <w:pStyle w:val="Heading3"/>
        <w:rPr>
          <w:bCs w:val="0"/>
          <w:noProof/>
          <w:szCs w:val="24"/>
        </w:rPr>
      </w:pP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For specific objective N3: Number and importance of findings of external audits on the .eu Registry; Robustness and resilience of the technical infrastructure; Annual vulnerability and penetration tests rates; Long-term financial sustainability indicators including percentage of bad-debtors; Number of assessed risks, number of business continuity plan exercises over a year, non-conformities out of BCP exercises; Disaster recovery timeframes; Number of Court cases per year and possible financial costs.</w:t>
      </w:r>
    </w:p>
    <w:p>
      <w:pPr>
        <w:pStyle w:val="Heading2"/>
        <w:rPr>
          <w:bCs w:val="0"/>
          <w:noProof/>
          <w:szCs w:val="24"/>
        </w:rPr>
      </w:pPr>
      <w:r>
        <w:rPr>
          <w:noProof/>
        </w:rPr>
        <w:t xml:space="preserve">Grounds for the proposal/initiative </w:t>
      </w:r>
    </w:p>
    <w:p>
      <w:pPr>
        <w:pStyle w:val="Heading3"/>
        <w:rPr>
          <w:noProof/>
        </w:rPr>
      </w:pPr>
      <w:r>
        <w:rPr>
          <w:noProof/>
        </w:rPr>
        <w:t xml:space="preserve">Requirement(s) to be met in the short or long term </w:t>
      </w:r>
    </w:p>
    <w:p>
      <w:pPr>
        <w:pStyle w:val="Text1"/>
        <w:pBdr>
          <w:top w:val="single" w:sz="4" w:space="1" w:color="auto"/>
          <w:left w:val="single" w:sz="4" w:space="4" w:color="auto"/>
          <w:bottom w:val="single" w:sz="4" w:space="2" w:color="auto"/>
          <w:right w:val="single" w:sz="4" w:space="4" w:color="auto"/>
        </w:pBdr>
        <w:rPr>
          <w:noProof/>
        </w:rPr>
      </w:pPr>
      <w:r>
        <w:rPr>
          <w:noProof/>
        </w:rPr>
        <w:t>The introduction of a multistakeholder body would effectively strengthen and widen input into the good governance of the .eu Registry and increase the transparency of its corporate governance, and would be designed to reflect the multi-stakeholder approach. This will bring the model into line with the Commission's stated policy on Internet Governance.</w:t>
      </w:r>
    </w:p>
    <w:p>
      <w:pPr>
        <w:pStyle w:val="Text1"/>
        <w:pBdr>
          <w:top w:val="single" w:sz="4" w:space="1" w:color="auto"/>
          <w:left w:val="single" w:sz="4" w:space="4" w:color="auto"/>
          <w:bottom w:val="single" w:sz="4" w:space="2" w:color="auto"/>
          <w:right w:val="single" w:sz="4" w:space="4" w:color="auto"/>
        </w:pBdr>
        <w:rPr>
          <w:noProof/>
        </w:rPr>
      </w:pPr>
      <w:r>
        <w:rPr>
          <w:noProof/>
        </w:rPr>
        <w:t>Representatives of all relevant stakeholders will be able to participate in the dialogue and shed further light on the likely consequences of decisions and advise on the implementation of .eu ccTLD. The members of the new governance body will be appointed by the Commission on the basis of an open and transparent procedure aimed at limiting any risk of potential conflicts of interest.</w:t>
      </w:r>
    </w:p>
    <w:p>
      <w:pPr>
        <w:pStyle w:val="Text1"/>
        <w:pBdr>
          <w:top w:val="single" w:sz="4" w:space="1" w:color="auto"/>
          <w:left w:val="single" w:sz="4" w:space="4" w:color="auto"/>
          <w:bottom w:val="single" w:sz="4" w:space="2" w:color="auto"/>
          <w:right w:val="single" w:sz="4" w:space="4" w:color="auto"/>
        </w:pBdr>
        <w:rPr>
          <w:noProof/>
        </w:rPr>
      </w:pPr>
    </w:p>
    <w:p>
      <w:pPr>
        <w:pStyle w:val="Heading3"/>
        <w:rPr>
          <w:bCs w:val="0"/>
          <w:noProof/>
          <w:szCs w:val="24"/>
        </w:rPr>
      </w:pP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EU added value (ex-post): The existence of the .eu TLD is highly symbolic and reflects the existence of a European online community (of citizens, institutions and businesses) who wishes to be clearly identified as such. The .eu TLD gives users wishing to operate across the Single Market a specific European connotation which is recognised globally.  </w:t>
      </w:r>
    </w:p>
    <w:p>
      <w:pPr>
        <w:pStyle w:val="Text1"/>
        <w:pBdr>
          <w:top w:val="single" w:sz="4" w:space="1" w:color="auto"/>
          <w:left w:val="single" w:sz="4" w:space="4" w:color="auto"/>
          <w:bottom w:val="single" w:sz="4" w:space="1" w:color="auto"/>
          <w:right w:val="single" w:sz="4" w:space="4" w:color="auto"/>
        </w:pBdr>
        <w:rPr>
          <w:noProof/>
        </w:rPr>
      </w:pPr>
      <w:r>
        <w:rPr>
          <w:noProof/>
        </w:rPr>
        <w:t>A regulatory framework at EU level for the .eu is useful in order to continue providing for and expanding a domain name space on the Internet under the .eu TLD, in which relevant EU law, data and consumer protection rules are applicable.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Regulatory action taken at Member States level would not be able to deliver on the fundamental objectives standing behind the creation and management of a trusted and innovative namespace for the EU, to promote the European Union's image on the Internet and to deliver added value in terms of increased choice for users, in addition to the national ccTLDs. </w:t>
      </w:r>
    </w:p>
    <w:p>
      <w:pPr>
        <w:pStyle w:val="Text1"/>
        <w:pBdr>
          <w:top w:val="single" w:sz="4" w:space="1" w:color="auto"/>
          <w:left w:val="single" w:sz="4" w:space="4" w:color="auto"/>
          <w:bottom w:val="single" w:sz="4" w:space="1" w:color="auto"/>
          <w:right w:val="single" w:sz="4" w:space="4" w:color="auto"/>
        </w:pBdr>
        <w:rPr>
          <w:noProof/>
        </w:rPr>
      </w:pPr>
    </w:p>
    <w:p>
      <w:pPr>
        <w:pStyle w:val="Heading3"/>
        <w:rPr>
          <w:bCs w:val="0"/>
          <w:noProof/>
          <w:szCs w:val="24"/>
        </w:rPr>
      </w:pP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current regulatory framework is not providing for an optimum governance structure in terms of oversight and accountability in line with the Commission's stated approach to internet governance.</w:t>
      </w:r>
    </w:p>
    <w:p>
      <w:pPr>
        <w:pStyle w:val="Heading3"/>
        <w:rPr>
          <w:bCs w:val="0"/>
          <w:noProof/>
          <w:szCs w:val="24"/>
        </w:rPr>
      </w:pP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Heading2"/>
        <w:rPr>
          <w:bCs w:val="0"/>
          <w:noProof/>
          <w:szCs w:val="24"/>
        </w:rPr>
      </w:pPr>
      <w:r>
        <w:rPr>
          <w:noProof/>
        </w:rPr>
        <w:br w:type="page"/>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D"/>
      </w:r>
      <w:r>
        <w:rPr>
          <w:b/>
          <w:i/>
          <w:noProof/>
        </w:rPr>
        <w:t xml:space="preserve"> </w:t>
      </w:r>
      <w:r>
        <w:rPr>
          <w:noProof/>
        </w:rPr>
        <w:t xml:space="preserve">Proposal/initiative of </w:t>
      </w:r>
      <w:r>
        <w:rPr>
          <w:b/>
          <w:noProof/>
        </w:rPr>
        <w:t>unlimited duration</w:t>
      </w:r>
      <w:r>
        <w:rPr>
          <w:rStyle w:val="FootnoteReference"/>
          <w:b/>
          <w:noProof/>
        </w:rPr>
        <w:footnoteReference w:id="2"/>
      </w:r>
    </w:p>
    <w:p>
      <w:pPr>
        <w:pStyle w:val="ListDash1"/>
        <w:rPr>
          <w:noProof/>
        </w:rPr>
      </w:pPr>
      <w:r>
        <w:rPr>
          <w:noProof/>
        </w:rPr>
        <w:t>Implementation with a start-up period from 2020 to 2020,</w:t>
      </w:r>
    </w:p>
    <w:p>
      <w:pPr>
        <w:pStyle w:val="ListDash1"/>
        <w:rPr>
          <w:noProof/>
        </w:rPr>
      </w:pPr>
      <w:r>
        <w:rPr>
          <w:noProof/>
        </w:rPr>
        <w:t>followed by full-scale operation.</w:t>
      </w:r>
    </w:p>
    <w:p>
      <w:pPr>
        <w:pStyle w:val="Heading2"/>
        <w:rPr>
          <w:bCs w:val="0"/>
          <w:noProof/>
          <w:szCs w:val="24"/>
        </w:rPr>
      </w:pPr>
      <w:r>
        <w:rPr>
          <w:noProof/>
        </w:rPr>
        <w:t>Management mode(s) planned</w:t>
      </w:r>
      <w:r>
        <w:rPr>
          <w:rStyle w:val="FootnoteReference"/>
          <w:bCs w:val="0"/>
          <w:noProof/>
        </w:rPr>
        <w:footnoteReference w:id="3"/>
      </w:r>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D"/>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 xml:space="preserve"> </w:t>
      </w:r>
    </w:p>
    <w:p>
      <w:pPr>
        <w:pStyle w:val="Heading1"/>
        <w:rPr>
          <w:bCs w:val="0"/>
          <w:noProof/>
          <w:szCs w:val="24"/>
        </w:rPr>
      </w:pPr>
      <w:r>
        <w:rPr>
          <w:noProof/>
        </w:rPr>
        <w:t xml:space="preserve">MANAGEMENT MEASURES </w:t>
      </w:r>
    </w:p>
    <w:p>
      <w:pPr>
        <w:pStyle w:val="Heading2"/>
        <w:rPr>
          <w:noProof/>
        </w:rPr>
      </w:pPr>
      <w:r>
        <w:rPr>
          <w:noProof/>
        </w:rPr>
        <w:t xml:space="preserve">Monitoring and reporting rules </w:t>
      </w:r>
    </w:p>
    <w:p>
      <w:pPr>
        <w:pStyle w:val="Text1"/>
        <w:rPr>
          <w:i/>
          <w:noProof/>
          <w:sz w:val="20"/>
          <w:u w:val="single"/>
        </w:rPr>
      </w:pPr>
      <w:r>
        <w:rPr>
          <w:i/>
          <w:noProof/>
          <w:sz w:val="20"/>
        </w:rPr>
        <w:t>Specify frequency and conditions.</w:t>
      </w:r>
    </w:p>
    <w:p>
      <w:pPr>
        <w:pBdr>
          <w:top w:val="single" w:sz="4" w:space="1" w:color="auto"/>
          <w:left w:val="single" w:sz="4" w:space="4" w:color="auto"/>
          <w:bottom w:val="single" w:sz="4" w:space="1" w:color="auto"/>
          <w:right w:val="single" w:sz="4" w:space="4" w:color="auto"/>
        </w:pBdr>
        <w:rPr>
          <w:noProof/>
        </w:rPr>
      </w:pPr>
      <w:r>
        <w:rPr>
          <w:noProof/>
        </w:rPr>
        <w:t xml:space="preserve">The Commission will monitor the application of the Regulation and submit a report on its evaluation to the European Parliament and the Council and the European Economic and Social Committee no later than five years after the date of application of this Regulation. </w:t>
      </w:r>
    </w:p>
    <w:p>
      <w:pPr>
        <w:pBdr>
          <w:top w:val="single" w:sz="4" w:space="1" w:color="auto"/>
          <w:left w:val="single" w:sz="4" w:space="4" w:color="auto"/>
          <w:bottom w:val="single" w:sz="4" w:space="1" w:color="auto"/>
          <w:right w:val="single" w:sz="4" w:space="4" w:color="auto"/>
        </w:pBdr>
        <w:rPr>
          <w:noProof/>
        </w:rPr>
      </w:pPr>
      <w:r>
        <w:rPr>
          <w:noProof/>
        </w:rPr>
        <w:t>Further to that, the progress of the .eu TLD will be regularly monitored through the submission of a report to the European Parliament and the Council on the implementation, effectiveness and functioning of the domain name three years after the submission of the aforementioned evaluation report and every three years thereafter.</w:t>
      </w:r>
    </w:p>
    <w:p>
      <w:pPr>
        <w:pStyle w:val="Heading2"/>
        <w:rPr>
          <w:bCs w:val="0"/>
          <w:noProof/>
          <w:szCs w:val="24"/>
        </w:rPr>
      </w:pPr>
      <w:r>
        <w:rPr>
          <w:noProof/>
        </w:rPr>
        <w:t xml:space="preserve">Management and control system </w:t>
      </w:r>
    </w:p>
    <w:p>
      <w:pPr>
        <w:pStyle w:val="Heading3"/>
        <w:rPr>
          <w:noProof/>
        </w:rPr>
      </w:pP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Risks identified relate to the need to guarantee independence from the .eu registry, and to possible conflic of interests of the expert members of the .eu Multistakeholder Council.</w:t>
      </w:r>
    </w:p>
    <w:p>
      <w:pPr>
        <w:pStyle w:val="Heading3"/>
        <w:rPr>
          <w:bCs w:val="0"/>
          <w:noProof/>
          <w:szCs w:val="24"/>
        </w:rPr>
      </w:pP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basic practical modalities of setting up the separate body are spelled out in the legal text of the regulation. The set-up of the .eu Multistakeholder Council will be executed by the Commission using established principles on expert groups. The legal requirements will include:</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Measures to guarantee that the newly formed governance body has the necessary autonomy and independence from the Registry;</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The guarantee that the newly formed governance body will work in line with Commission's objectives and policies;</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The key tasks (in principle, only advisory)  entrusted to the newly formed governance body and its relations vis-à-vis the Commission and the Registry;</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The role and powers of the Commission vis-à-vis the Registry and the newly formed governance body (e.g. the oversight power of the Commission over the Registry).</w:t>
      </w:r>
    </w:p>
    <w:p>
      <w:pPr>
        <w:pStyle w:val="Text1"/>
        <w:pBdr>
          <w:top w:val="single" w:sz="4" w:space="1" w:color="auto"/>
          <w:left w:val="single" w:sz="4" w:space="4" w:color="auto"/>
          <w:bottom w:val="single" w:sz="4" w:space="1" w:color="auto"/>
          <w:right w:val="single" w:sz="4" w:space="4" w:color="auto"/>
        </w:pBdr>
        <w:rPr>
          <w:noProof/>
        </w:rPr>
      </w:pPr>
    </w:p>
    <w:p>
      <w:pPr>
        <w:pStyle w:val="Heading3"/>
        <w:rPr>
          <w:noProof/>
        </w:rPr>
      </w:pP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The functioning of the .eu Multistakeholder Council follows the rules on the creation and operation of Commission expert groups.</w:t>
      </w:r>
    </w:p>
    <w:p>
      <w:pPr>
        <w:pStyle w:val="Heading2"/>
        <w:rPr>
          <w:bCs w:val="0"/>
          <w:noProof/>
          <w:szCs w:val="24"/>
        </w:rPr>
      </w:pP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Article 13 of the .eu ccTLD legal Proposal provides specific supervisory powers to the Commission vis-a-vis the Registry operator which would include measures to prevent fraud and irregularities</w:t>
      </w:r>
    </w:p>
    <w:p>
      <w:pPr>
        <w:pStyle w:val="Text1"/>
        <w:pBdr>
          <w:top w:val="single" w:sz="4" w:space="1" w:color="auto"/>
          <w:left w:val="single" w:sz="4" w:space="4" w:color="auto"/>
          <w:bottom w:val="single" w:sz="4" w:space="1" w:color="auto"/>
          <w:right w:val="single" w:sz="4" w:space="4" w:color="auto"/>
        </w:pBdr>
        <w:rPr>
          <w:noProof/>
        </w:rPr>
      </w:pPr>
      <w:r>
        <w:rPr>
          <w:noProof/>
        </w:rPr>
        <w:t>Additionally, the contract with the registry shall include detailed provisions to prevent fraud and irregularities.</w:t>
      </w:r>
    </w:p>
    <w:p>
      <w:pPr>
        <w:pStyle w:val="Text1"/>
        <w:pBdr>
          <w:top w:val="single" w:sz="4" w:space="1" w:color="auto"/>
          <w:left w:val="single" w:sz="4" w:space="4" w:color="auto"/>
          <w:bottom w:val="single" w:sz="4" w:space="1" w:color="auto"/>
          <w:right w:val="single" w:sz="4" w:space="4" w:color="auto"/>
        </w:pBdr>
        <w:ind w:left="0"/>
        <w:rPr>
          <w:noProof/>
        </w:rPr>
        <w:sectPr>
          <w:pgSz w:w="11907" w:h="16840" w:code="9"/>
          <w:pgMar w:top="1134" w:right="1418" w:bottom="1134" w:left="1418" w:header="709" w:footer="709" w:gutter="0"/>
          <w:cols w:space="708"/>
          <w:docGrid w:linePitch="360"/>
        </w:sectPr>
      </w:pPr>
    </w:p>
    <w:p>
      <w:pPr>
        <w:pStyle w:val="Heading1"/>
        <w:rPr>
          <w:bCs w:val="0"/>
          <w:noProof/>
          <w:szCs w:val="24"/>
        </w:rPr>
      </w:pPr>
      <w:r>
        <w:rPr>
          <w:noProof/>
        </w:rPr>
        <w:t xml:space="preserve">ESTIMATED FINANCIAL IMPACT OF THE PROPOSAL/INITIATIVE </w:t>
      </w:r>
    </w:p>
    <w:p>
      <w:pPr>
        <w:pStyle w:val="Heading2"/>
        <w:rPr>
          <w:noProof/>
        </w:rPr>
      </w:pP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986"/>
        <w:gridCol w:w="1080"/>
        <w:gridCol w:w="956"/>
        <w:gridCol w:w="1080"/>
        <w:gridCol w:w="956"/>
        <w:gridCol w:w="1448"/>
      </w:tblGrid>
      <w:tr>
        <w:tc>
          <w:tcPr>
            <w:tcW w:w="3054" w:type="dxa"/>
            <w:vMerge w:val="restart"/>
            <w:vAlign w:val="center"/>
          </w:tcPr>
          <w:p>
            <w:pPr>
              <w:spacing w:before="60" w:after="60"/>
              <w:jc w:val="center"/>
              <w:rPr>
                <w:noProof/>
              </w:rPr>
            </w:pPr>
            <w:r>
              <w:rPr>
                <w:noProof/>
                <w:sz w:val="18"/>
              </w:rPr>
              <w:t>Heading of multiannual financial framework</w:t>
            </w:r>
          </w:p>
        </w:tc>
        <w:tc>
          <w:tcPr>
            <w:tcW w:w="1986"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3054" w:type="dxa"/>
            <w:vMerge/>
            <w:vAlign w:val="center"/>
          </w:tcPr>
          <w:p>
            <w:pPr>
              <w:jc w:val="center"/>
              <w:rPr>
                <w:noProof/>
              </w:rPr>
            </w:pPr>
          </w:p>
        </w:tc>
        <w:tc>
          <w:tcPr>
            <w:tcW w:w="1986" w:type="dxa"/>
            <w:vAlign w:val="center"/>
          </w:tcPr>
          <w:p>
            <w:pPr>
              <w:rPr>
                <w:noProof/>
              </w:rPr>
            </w:pPr>
            <w:r>
              <w:rPr>
                <w:noProof/>
                <w:sz w:val="20"/>
              </w:rPr>
              <w:t xml:space="preserve">Number Heading </w:t>
            </w:r>
          </w:p>
        </w:tc>
        <w:tc>
          <w:tcPr>
            <w:tcW w:w="1080" w:type="dxa"/>
            <w:vAlign w:val="center"/>
          </w:tcPr>
          <w:p>
            <w:pPr>
              <w:jc w:val="center"/>
              <w:rPr>
                <w:noProof/>
              </w:rPr>
            </w:pPr>
            <w:r>
              <w:rPr>
                <w:noProof/>
                <w:sz w:val="18"/>
              </w:rPr>
              <w:t>Diff./Non-diff.</w:t>
            </w:r>
            <w:r>
              <w:rPr>
                <w:rStyle w:val="FootnoteReference"/>
                <w:noProof/>
                <w:sz w:val="18"/>
              </w:rPr>
              <w:footnoteReference w:id="4"/>
            </w:r>
          </w:p>
        </w:tc>
        <w:tc>
          <w:tcPr>
            <w:tcW w:w="956" w:type="dxa"/>
            <w:vAlign w:val="center"/>
          </w:tcPr>
          <w:p>
            <w:pPr>
              <w:jc w:val="center"/>
              <w:rPr>
                <w:noProof/>
              </w:rPr>
            </w:pPr>
            <w:r>
              <w:rPr>
                <w:noProof/>
                <w:sz w:val="18"/>
              </w:rPr>
              <w:t>from EFTA countries</w:t>
            </w:r>
            <w:r>
              <w:rPr>
                <w:rStyle w:val="FootnoteReference"/>
                <w:noProof/>
                <w:sz w:val="18"/>
              </w:rPr>
              <w:footnoteReference w:id="5"/>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3054" w:type="dxa"/>
            <w:vAlign w:val="center"/>
          </w:tcPr>
          <w:p>
            <w:pPr>
              <w:jc w:val="center"/>
              <w:rPr>
                <w:noProof/>
                <w:sz w:val="20"/>
              </w:rPr>
            </w:pPr>
            <w:r>
              <w:rPr>
                <w:noProof/>
                <w:sz w:val="20"/>
              </w:rPr>
              <w:t>Definition and implementation of Union’s policy in the field of electronic communications</w:t>
            </w:r>
          </w:p>
        </w:tc>
        <w:tc>
          <w:tcPr>
            <w:tcW w:w="1986" w:type="dxa"/>
            <w:vAlign w:val="center"/>
          </w:tcPr>
          <w:p>
            <w:pPr>
              <w:spacing w:after="60"/>
              <w:rPr>
                <w:noProof/>
                <w:sz w:val="20"/>
              </w:rPr>
            </w:pPr>
            <w:r>
              <w:rPr>
                <w:noProof/>
                <w:sz w:val="20"/>
              </w:rPr>
              <w:t>09.0201</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Heading2"/>
        <w:rPr>
          <w:bCs w:val="0"/>
          <w:noProof/>
          <w:szCs w:val="24"/>
        </w:rPr>
      </w:pPr>
      <w:r>
        <w:rPr>
          <w:noProof/>
        </w:rPr>
        <w:t xml:space="preserve">Estimated impact on expenditure </w:t>
      </w:r>
    </w:p>
    <w:p>
      <w:pPr>
        <w:pStyle w:val="Text1"/>
        <w:rPr>
          <w:noProof/>
        </w:rPr>
      </w:pPr>
      <w:r>
        <w:rPr>
          <w:noProof/>
          <w:highlight w:val="lightGray"/>
        </w:rPr>
        <w:t xml:space="preserve">[This section should be filled in using the </w:t>
      </w:r>
      <w:hyperlink r:id="rId17"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DECIDE for interservice consultation purposes.]</w:t>
      </w:r>
    </w:p>
    <w:p>
      <w:pPr>
        <w:pStyle w:val="Heading3"/>
        <w:rPr>
          <w:noProof/>
          <w:u w:val="single"/>
        </w:rPr>
      </w:pP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1a</w:t>
            </w:r>
          </w:p>
        </w:tc>
        <w:tc>
          <w:tcPr>
            <w:tcW w:w="7817" w:type="dxa"/>
            <w:vAlign w:val="center"/>
          </w:tcPr>
          <w:p>
            <w:pPr>
              <w:spacing w:before="60" w:after="60"/>
              <w:rPr>
                <w:noProof/>
              </w:rPr>
            </w:pPr>
            <w:r>
              <w:rPr>
                <w:noProof/>
                <w:sz w:val="22"/>
              </w:rPr>
              <w:t xml:space="preserve"> Competitiveness for growth and employment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b/>
                <w:noProof/>
              </w:rPr>
            </w:pPr>
            <w:r>
              <w:rPr>
                <w:b/>
                <w:noProof/>
                <w:sz w:val="22"/>
              </w:rPr>
              <w:t>DG CONNECT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vAlign w:val="center"/>
          </w:tcPr>
          <w:p>
            <w:pPr>
              <w:rPr>
                <w:noProof/>
              </w:rPr>
            </w:pPr>
            <w:r>
              <w:rPr>
                <w:noProof/>
                <w:sz w:val="20"/>
              </w:rPr>
              <w:t>09 02 01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7"/>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b/>
                <w:noProof/>
                <w:sz w:val="22"/>
              </w:rPr>
              <w:br/>
              <w:t>for DG CONNECT</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0.050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r>
              <w:rPr>
                <w:noProof/>
                <w:sz w:val="20"/>
              </w:rPr>
              <w:t>0.050</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r>
              <w:rPr>
                <w:b/>
                <w:noProof/>
                <w:sz w:val="20"/>
              </w:rPr>
              <w:t>0.050</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r>
              <w:rPr>
                <w:noProof/>
                <w:sz w:val="20"/>
              </w:rPr>
              <w:t>0.025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r>
              <w:rPr>
                <w:b/>
                <w:noProof/>
                <w:sz w:val="20"/>
              </w:rPr>
              <w:t>0.050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0.050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r>
              <w:rPr>
                <w:b/>
                <w:noProof/>
                <w:sz w:val="20"/>
              </w:rPr>
              <w:t>0.050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r>
              <w:rPr>
                <w:noProof/>
                <w:sz w:val="20"/>
              </w:rPr>
              <w:t>0.025</w:t>
            </w:r>
          </w:p>
        </w:tc>
        <w:tc>
          <w:tcPr>
            <w:tcW w:w="868" w:type="dxa"/>
            <w:tcBorders>
              <w:bottom w:val="single" w:sz="4" w:space="0" w:color="FF0000"/>
            </w:tcBorders>
            <w:vAlign w:val="center"/>
          </w:tcPr>
          <w:p>
            <w:pPr>
              <w:spacing w:before="20" w:after="20"/>
              <w:jc w:val="right"/>
              <w:rPr>
                <w:noProof/>
                <w:sz w:val="20"/>
              </w:rPr>
            </w:pPr>
            <w:r>
              <w:rPr>
                <w:noProof/>
                <w:sz w:val="20"/>
              </w:rPr>
              <w:t>0.025</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r>
              <w:rPr>
                <w:b/>
                <w:noProof/>
                <w:sz w:val="20"/>
              </w:rPr>
              <w:t>0.050</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noProof/>
                <w:sz w:val="20"/>
              </w:rPr>
              <w:t>N</w:t>
            </w:r>
          </w:p>
        </w:tc>
        <w:tc>
          <w:tcPr>
            <w:tcW w:w="868" w:type="dxa"/>
            <w:vAlign w:val="center"/>
          </w:tcPr>
          <w:p>
            <w:pPr>
              <w:jc w:val="center"/>
              <w:rPr>
                <w:noProof/>
                <w:sz w:val="20"/>
              </w:rPr>
            </w:pPr>
            <w:r>
              <w:rPr>
                <w:noProof/>
                <w:sz w:val="20"/>
              </w:rPr>
              <w:t>Year</w:t>
            </w:r>
            <w:r>
              <w:rPr>
                <w:noProof/>
                <w:sz w:val="22"/>
              </w:rPr>
              <w:br/>
            </w:r>
            <w:r>
              <w:rPr>
                <w:noProof/>
                <w:sz w:val="20"/>
              </w:rPr>
              <w:t>N+1</w:t>
            </w:r>
          </w:p>
        </w:tc>
        <w:tc>
          <w:tcPr>
            <w:tcW w:w="868" w:type="dxa"/>
            <w:vAlign w:val="center"/>
          </w:tcPr>
          <w:p>
            <w:pPr>
              <w:jc w:val="center"/>
              <w:rPr>
                <w:noProof/>
                <w:sz w:val="20"/>
              </w:rPr>
            </w:pPr>
            <w:r>
              <w:rPr>
                <w:noProof/>
                <w:sz w:val="20"/>
              </w:rPr>
              <w:t>Year</w:t>
            </w:r>
            <w:r>
              <w:rPr>
                <w:noProof/>
                <w:sz w:val="22"/>
              </w:rPr>
              <w:br/>
            </w:r>
            <w:r>
              <w:rPr>
                <w:noProof/>
                <w:sz w:val="20"/>
              </w:rPr>
              <w:t>N+2</w:t>
            </w:r>
          </w:p>
        </w:tc>
        <w:tc>
          <w:tcPr>
            <w:tcW w:w="868" w:type="dxa"/>
            <w:vAlign w:val="center"/>
          </w:tcPr>
          <w:p>
            <w:pPr>
              <w:jc w:val="center"/>
              <w:rPr>
                <w:noProof/>
                <w:sz w:val="20"/>
              </w:rPr>
            </w:pPr>
            <w:r>
              <w:rPr>
                <w:noProof/>
                <w:sz w:val="20"/>
              </w:rPr>
              <w:t>Year</w:t>
            </w:r>
            <w:r>
              <w:rPr>
                <w:noProof/>
                <w:sz w:val="22"/>
              </w:rPr>
              <w:br/>
            </w:r>
            <w:r>
              <w:rPr>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p>
        </w:tc>
      </w:tr>
      <w:tr>
        <w:trPr>
          <w:trHeight w:val="313"/>
        </w:trPr>
        <w:tc>
          <w:tcPr>
            <w:tcW w:w="6054" w:type="dxa"/>
            <w:gridSpan w:val="3"/>
            <w:vAlign w:val="center"/>
          </w:tcPr>
          <w:p>
            <w:pPr>
              <w:spacing w:before="20" w:after="20"/>
              <w:rPr>
                <w:noProof/>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p>
            <w:pPr>
              <w:spacing w:before="20" w:after="20"/>
              <w:rPr>
                <w:noProof/>
                <w:sz w:val="22"/>
              </w:rPr>
            </w:pPr>
          </w:p>
          <w:p>
            <w:pPr>
              <w:spacing w:before="20" w:after="20"/>
              <w:rPr>
                <w:i/>
                <w:noProof/>
                <w:sz w:val="22"/>
              </w:rPr>
            </w:pPr>
            <w:r>
              <w:rPr>
                <w:i/>
                <w:noProof/>
                <w:sz w:val="22"/>
              </w:rPr>
              <w:t>(.eu Multistakeholder Council)</w:t>
            </w:r>
          </w:p>
          <w:p>
            <w:pPr>
              <w:spacing w:before="20" w:after="20"/>
              <w:rPr>
                <w:i/>
                <w:noProof/>
              </w:rPr>
            </w:pPr>
          </w:p>
        </w:tc>
        <w:tc>
          <w:tcPr>
            <w:tcW w:w="868" w:type="dxa"/>
            <w:vAlign w:val="center"/>
          </w:tcPr>
          <w:p>
            <w:pPr>
              <w:spacing w:before="20" w:after="20"/>
              <w:jc w:val="right"/>
              <w:rPr>
                <w:noProof/>
                <w:sz w:val="20"/>
              </w:rPr>
            </w:pPr>
          </w:p>
        </w:tc>
        <w:tc>
          <w:tcPr>
            <w:tcW w:w="868" w:type="dxa"/>
            <w:vAlign w:val="center"/>
          </w:tcPr>
          <w:p>
            <w:pPr>
              <w:spacing w:before="20" w:after="20"/>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center"/>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rPr>
                <w:b/>
                <w:noProof/>
                <w:sz w:val="20"/>
              </w:rPr>
            </w:pPr>
          </w:p>
        </w:tc>
      </w:tr>
      <w:tr>
        <w:tc>
          <w:tcPr>
            <w:tcW w:w="3960" w:type="dxa"/>
            <w:vAlign w:val="center"/>
          </w:tcPr>
          <w:p>
            <w:pPr>
              <w:jc w:val="center"/>
              <w:rPr>
                <w:b/>
                <w:noProof/>
              </w:rPr>
            </w:pPr>
            <w:r>
              <w:rPr>
                <w:b/>
                <w:noProof/>
                <w:sz w:val="22"/>
              </w:rPr>
              <w:t xml:space="preserve">TOTAL DG </w:t>
            </w:r>
            <w:r>
              <w:rPr>
                <w:noProof/>
                <w:sz w:val="22"/>
              </w:rPr>
              <w:t>Connect</w:t>
            </w:r>
          </w:p>
        </w:tc>
        <w:tc>
          <w:tcPr>
            <w:tcW w:w="2094" w:type="dxa"/>
            <w:gridSpan w:val="2"/>
            <w:vAlign w:val="center"/>
          </w:tcPr>
          <w:p>
            <w:pPr>
              <w:rPr>
                <w:noProof/>
                <w:sz w:val="14"/>
              </w:rPr>
            </w:pPr>
          </w:p>
        </w:tc>
        <w:tc>
          <w:tcPr>
            <w:tcW w:w="868" w:type="dxa"/>
            <w:vAlign w:val="center"/>
          </w:tcPr>
          <w:p>
            <w:pPr>
              <w:spacing w:before="60" w:after="6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center"/>
              <w:rPr>
                <w:noProof/>
                <w:sz w:val="20"/>
              </w:rPr>
            </w:pPr>
          </w:p>
        </w:tc>
        <w:tc>
          <w:tcPr>
            <w:tcW w:w="868" w:type="dxa"/>
            <w:vAlign w:val="center"/>
          </w:tcPr>
          <w:p>
            <w:pPr>
              <w:spacing w:before="20" w:after="20"/>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r>
              <w:rPr>
                <w:noProof/>
                <w:sz w:val="20"/>
              </w:rPr>
              <w:t>0.050</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0.050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r>
              <w:rPr>
                <w:noProof/>
                <w:sz w:val="20"/>
              </w:rPr>
              <w:t>0.025</w:t>
            </w:r>
          </w:p>
        </w:tc>
        <w:tc>
          <w:tcPr>
            <w:tcW w:w="868" w:type="dxa"/>
            <w:vAlign w:val="center"/>
          </w:tcPr>
          <w:p>
            <w:pPr>
              <w:spacing w:before="60" w:after="60"/>
              <w:jc w:val="right"/>
              <w:rPr>
                <w:noProof/>
                <w:sz w:val="20"/>
              </w:rPr>
            </w:pPr>
            <w:r>
              <w:rPr>
                <w:noProof/>
                <w:sz w:val="20"/>
              </w:rPr>
              <w:t>0.025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0.050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Heading3"/>
        <w:rPr>
          <w:bCs w:val="0"/>
          <w:noProof/>
          <w:szCs w:val="24"/>
        </w:rPr>
      </w:pP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D"/>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2020</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2021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2022</w:t>
            </w:r>
          </w:p>
        </w:tc>
        <w:tc>
          <w:tcPr>
            <w:tcW w:w="1620" w:type="dxa"/>
            <w:gridSpan w:val="2"/>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8"/>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.eu Multistakeholder Council</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817"/>
          <w:jc w:val="center"/>
        </w:trPr>
        <w:tc>
          <w:tcPr>
            <w:tcW w:w="1423" w:type="dxa"/>
          </w:tcPr>
          <w:p>
            <w:pPr>
              <w:ind w:right="-29"/>
              <w:jc w:val="center"/>
              <w:rPr>
                <w:noProof/>
                <w:sz w:val="18"/>
                <w:szCs w:val="18"/>
              </w:rPr>
            </w:pPr>
            <w:r>
              <w:rPr>
                <w:noProof/>
                <w:sz w:val="18"/>
              </w:rPr>
              <w:t>- reimbursement of experts travel and subsistence</w:t>
            </w:r>
          </w:p>
        </w:tc>
        <w:tc>
          <w:tcPr>
            <w:tcW w:w="720" w:type="dxa"/>
          </w:tcPr>
          <w:p>
            <w:pPr>
              <w:ind w:right="-29"/>
              <w:jc w:val="center"/>
              <w:rPr>
                <w:noProof/>
                <w:sz w:val="18"/>
                <w:szCs w:val="18"/>
              </w:rPr>
            </w:pPr>
          </w:p>
        </w:tc>
        <w:tc>
          <w:tcPr>
            <w:tcW w:w="701" w:type="dxa"/>
          </w:tcPr>
          <w:p>
            <w:pPr>
              <w:ind w:right="-29"/>
              <w:jc w:val="center"/>
              <w:rPr>
                <w:noProof/>
                <w:sz w:val="18"/>
                <w:szCs w:val="18"/>
              </w:rPr>
            </w:pPr>
            <w:r>
              <w:rPr>
                <w:noProof/>
                <w:sz w:val="18"/>
                <w:szCs w:val="18"/>
              </w:rPr>
              <w:t>0,001</w:t>
            </w:r>
          </w:p>
        </w:tc>
        <w:tc>
          <w:tcPr>
            <w:tcW w:w="504" w:type="dxa"/>
            <w:tcBorders>
              <w:right w:val="dashSmallGap" w:sz="4" w:space="0" w:color="auto"/>
            </w:tcBorders>
          </w:tcPr>
          <w:p>
            <w:pPr>
              <w:ind w:right="-29"/>
              <w:jc w:val="center"/>
              <w:rPr>
                <w:noProof/>
                <w:sz w:val="18"/>
                <w:szCs w:val="18"/>
              </w:rPr>
            </w:pPr>
            <w:r>
              <w:rPr>
                <w:noProof/>
                <w:sz w:val="18"/>
                <w:szCs w:val="18"/>
              </w:rPr>
              <w:t>32</w:t>
            </w:r>
          </w:p>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0.032</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0.032</w:t>
            </w:r>
          </w:p>
        </w:tc>
      </w:tr>
      <w:tr>
        <w:trPr>
          <w:trHeight w:hRule="exact" w:val="559"/>
          <w:jc w:val="center"/>
        </w:trPr>
        <w:tc>
          <w:tcPr>
            <w:tcW w:w="1423" w:type="dxa"/>
          </w:tcPr>
          <w:p>
            <w:pPr>
              <w:ind w:right="-29"/>
              <w:jc w:val="center"/>
              <w:rPr>
                <w:noProof/>
                <w:sz w:val="18"/>
                <w:szCs w:val="18"/>
              </w:rPr>
            </w:pPr>
            <w:r>
              <w:rPr>
                <w:noProof/>
                <w:sz w:val="18"/>
              </w:rPr>
              <w:t>- Meetings organisation</w:t>
            </w:r>
          </w:p>
        </w:tc>
        <w:tc>
          <w:tcPr>
            <w:tcW w:w="720" w:type="dxa"/>
          </w:tcPr>
          <w:p>
            <w:pPr>
              <w:ind w:right="-29"/>
              <w:jc w:val="center"/>
              <w:rPr>
                <w:noProof/>
                <w:sz w:val="18"/>
                <w:szCs w:val="18"/>
              </w:rPr>
            </w:pPr>
          </w:p>
        </w:tc>
        <w:tc>
          <w:tcPr>
            <w:tcW w:w="701" w:type="dxa"/>
          </w:tcPr>
          <w:p>
            <w:pPr>
              <w:ind w:right="-29"/>
              <w:jc w:val="center"/>
              <w:rPr>
                <w:noProof/>
                <w:sz w:val="18"/>
                <w:szCs w:val="18"/>
              </w:rPr>
            </w:pPr>
            <w:r>
              <w:rPr>
                <w:noProof/>
                <w:sz w:val="18"/>
                <w:szCs w:val="18"/>
              </w:rPr>
              <w:t>0,004</w:t>
            </w:r>
          </w:p>
        </w:tc>
        <w:tc>
          <w:tcPr>
            <w:tcW w:w="504" w:type="dxa"/>
            <w:tcBorders>
              <w:right w:val="dashSmallGap" w:sz="4" w:space="0" w:color="auto"/>
            </w:tcBorders>
          </w:tcPr>
          <w:p>
            <w:pPr>
              <w:ind w:right="-29"/>
              <w:jc w:val="center"/>
              <w:rPr>
                <w:noProof/>
                <w:sz w:val="18"/>
                <w:szCs w:val="18"/>
              </w:rPr>
            </w:pPr>
            <w:r>
              <w:rPr>
                <w:noProof/>
                <w:sz w:val="18"/>
                <w:szCs w:val="18"/>
              </w:rPr>
              <w:t>2</w:t>
            </w:r>
          </w:p>
        </w:tc>
        <w:tc>
          <w:tcPr>
            <w:tcW w:w="720" w:type="dxa"/>
            <w:tcBorders>
              <w:left w:val="dashSmallGap" w:sz="4" w:space="0" w:color="auto"/>
            </w:tcBorders>
          </w:tcPr>
          <w:p>
            <w:pPr>
              <w:ind w:right="-29"/>
              <w:jc w:val="center"/>
              <w:rPr>
                <w:noProof/>
                <w:sz w:val="18"/>
                <w:szCs w:val="18"/>
              </w:rPr>
            </w:pPr>
            <w:r>
              <w:rPr>
                <w:noProof/>
                <w:sz w:val="18"/>
                <w:szCs w:val="18"/>
              </w:rPr>
              <w:t>0.008</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0.008</w:t>
            </w:r>
          </w:p>
        </w:tc>
      </w:tr>
      <w:tr>
        <w:trPr>
          <w:trHeight w:hRule="exact" w:val="1417"/>
          <w:jc w:val="center"/>
        </w:trPr>
        <w:tc>
          <w:tcPr>
            <w:tcW w:w="1423" w:type="dxa"/>
          </w:tcPr>
          <w:p>
            <w:pPr>
              <w:ind w:right="-29"/>
              <w:jc w:val="center"/>
              <w:rPr>
                <w:noProof/>
                <w:sz w:val="18"/>
                <w:szCs w:val="18"/>
              </w:rPr>
            </w:pPr>
            <w:r>
              <w:rPr>
                <w:noProof/>
                <w:sz w:val="18"/>
              </w:rPr>
              <w:t>- Other costs (external reports, studies)</w:t>
            </w:r>
          </w:p>
        </w:tc>
        <w:tc>
          <w:tcPr>
            <w:tcW w:w="720" w:type="dxa"/>
          </w:tcPr>
          <w:p>
            <w:pPr>
              <w:ind w:right="-29"/>
              <w:jc w:val="center"/>
              <w:rPr>
                <w:noProof/>
                <w:sz w:val="18"/>
                <w:szCs w:val="18"/>
              </w:rPr>
            </w:pPr>
          </w:p>
        </w:tc>
        <w:tc>
          <w:tcPr>
            <w:tcW w:w="701" w:type="dxa"/>
          </w:tcPr>
          <w:p>
            <w:pPr>
              <w:ind w:right="-29"/>
              <w:jc w:val="center"/>
              <w:rPr>
                <w:noProof/>
                <w:sz w:val="18"/>
                <w:szCs w:val="18"/>
              </w:rPr>
            </w:pPr>
            <w:r>
              <w:rPr>
                <w:noProof/>
                <w:sz w:val="18"/>
                <w:szCs w:val="18"/>
              </w:rPr>
              <w:t>0,005</w:t>
            </w:r>
          </w:p>
        </w:tc>
        <w:tc>
          <w:tcPr>
            <w:tcW w:w="504" w:type="dxa"/>
          </w:tcPr>
          <w:p>
            <w:pPr>
              <w:ind w:right="-29"/>
              <w:jc w:val="center"/>
              <w:rPr>
                <w:noProof/>
                <w:sz w:val="18"/>
                <w:szCs w:val="18"/>
              </w:rPr>
            </w:pPr>
            <w:r>
              <w:rPr>
                <w:noProof/>
                <w:sz w:val="18"/>
                <w:szCs w:val="18"/>
              </w:rPr>
              <w:t>2</w:t>
            </w:r>
          </w:p>
        </w:tc>
        <w:tc>
          <w:tcPr>
            <w:tcW w:w="720" w:type="dxa"/>
          </w:tcPr>
          <w:p>
            <w:pPr>
              <w:ind w:right="-29"/>
              <w:jc w:val="center"/>
              <w:rPr>
                <w:noProof/>
                <w:sz w:val="18"/>
                <w:szCs w:val="18"/>
              </w:rPr>
            </w:pPr>
            <w:r>
              <w:rPr>
                <w:noProof/>
                <w:sz w:val="18"/>
                <w:szCs w:val="18"/>
              </w:rPr>
              <w:t>0.010</w:t>
            </w: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0.010</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3</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0.050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0.050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0.05</w:t>
            </w:r>
          </w:p>
        </w:tc>
      </w:tr>
    </w:tbl>
    <w:p>
      <w:pPr>
        <w:rPr>
          <w:noProof/>
        </w:rPr>
        <w:sectPr>
          <w:pgSz w:w="16840" w:h="11907" w:orient="landscape" w:code="9"/>
          <w:pgMar w:top="1134" w:right="1418" w:bottom="567" w:left="1418" w:header="709" w:footer="709" w:gutter="0"/>
          <w:cols w:space="708"/>
          <w:docGrid w:linePitch="360"/>
        </w:sectPr>
      </w:pPr>
    </w:p>
    <w:p>
      <w:pPr>
        <w:pStyle w:val="Heading3"/>
        <w:rPr>
          <w:bCs w:val="0"/>
          <w:noProof/>
          <w:szCs w:val="24"/>
        </w:rPr>
      </w:pPr>
      <w:r>
        <w:rPr>
          <w:noProof/>
        </w:rPr>
        <w:t>Estimated impact on appropriations of an administrative nature</w:t>
      </w:r>
    </w:p>
    <w:p>
      <w:pPr>
        <w:pStyle w:val="Heading4"/>
        <w:rPr>
          <w:noProof/>
        </w:rPr>
      </w:pPr>
      <w:r>
        <w:rPr>
          <w:noProof/>
        </w:rPr>
        <w:t xml:space="preserve">Summary </w:t>
      </w:r>
    </w:p>
    <w:p>
      <w:pPr>
        <w:pStyle w:val="ListDash1"/>
        <w:rPr>
          <w:noProof/>
        </w:rPr>
      </w:pPr>
      <w:r>
        <w:rPr>
          <w:noProof/>
        </w:rPr>
        <w:sym w:font="Wingdings" w:char="F0FD"/>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20" w:after="20"/>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9"/>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Heading4"/>
        <w:rPr>
          <w:bCs w:val="0"/>
          <w:noProof/>
          <w:szCs w:val="24"/>
        </w:rPr>
      </w:pPr>
      <w:r>
        <w:rPr>
          <w:noProof/>
        </w:rPr>
        <w:t>Estimated requirements of human resources</w:t>
      </w:r>
    </w:p>
    <w:p>
      <w:pPr>
        <w:pStyle w:val="ListDash1"/>
        <w:rPr>
          <w:noProof/>
        </w:rPr>
      </w:pPr>
      <w:r>
        <w:rPr>
          <w:noProof/>
        </w:rPr>
        <w:sym w:font="Wingdings" w:char="F0FD"/>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3470"/>
        <w:gridCol w:w="422"/>
        <w:gridCol w:w="465"/>
        <w:gridCol w:w="237"/>
        <w:gridCol w:w="237"/>
        <w:gridCol w:w="237"/>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1685" w:type="pct"/>
            <w:shd w:val="clear" w:color="auto" w:fill="auto"/>
            <w:vAlign w:val="center"/>
          </w:tcPr>
          <w:p>
            <w:pPr>
              <w:spacing w:before="20" w:after="20"/>
              <w:jc w:val="center"/>
              <w:rPr>
                <w:noProof/>
                <w:sz w:val="16"/>
                <w:szCs w:val="16"/>
              </w:rPr>
            </w:pPr>
            <w:r>
              <w:rPr>
                <w:noProof/>
                <w:sz w:val="16"/>
                <w:szCs w:val="16"/>
              </w:rPr>
              <w:t>Year</w:t>
            </w:r>
          </w:p>
          <w:p>
            <w:pPr>
              <w:spacing w:before="20" w:after="20"/>
              <w:jc w:val="center"/>
              <w:rPr>
                <w:b/>
                <w:noProof/>
                <w:sz w:val="16"/>
                <w:szCs w:val="16"/>
              </w:rPr>
            </w:pPr>
            <w:r>
              <w:rPr>
                <w:b/>
                <w:noProof/>
                <w:sz w:val="16"/>
                <w:szCs w:val="16"/>
              </w:rPr>
              <w:t>2021</w:t>
            </w:r>
          </w:p>
        </w:tc>
        <w:tc>
          <w:tcPr>
            <w:tcW w:w="431" w:type="pct"/>
            <w:gridSpan w:val="2"/>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2022</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218"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431" w:type="pct"/>
            <w:gridSpan w:val="2"/>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1" w:type="pct"/>
          <w:trHeight w:val="248"/>
          <w:jc w:val="center"/>
        </w:trPr>
        <w:tc>
          <w:tcPr>
            <w:tcW w:w="4429" w:type="pct"/>
            <w:gridSpan w:val="7"/>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85" w:type="pct"/>
            <w:shd w:val="clear" w:color="auto" w:fill="auto"/>
            <w:vAlign w:val="center"/>
          </w:tcPr>
          <w:p>
            <w:pPr>
              <w:spacing w:beforeLines="20" w:before="48" w:afterLines="20" w:after="48"/>
              <w:jc w:val="center"/>
              <w:rPr>
                <w:noProof/>
                <w:sz w:val="16"/>
                <w:szCs w:val="16"/>
              </w:rPr>
            </w:pPr>
          </w:p>
        </w:tc>
        <w:tc>
          <w:tcPr>
            <w:tcW w:w="431"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68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1"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68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31"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Heading3"/>
        <w:rPr>
          <w:bCs w:val="0"/>
          <w:noProof/>
          <w:szCs w:val="24"/>
        </w:rPr>
      </w:pPr>
      <w:r>
        <w:rPr>
          <w:noProof/>
        </w:rPr>
        <w:t xml:space="preserve">Compatibility with the current multiannual financial framework </w:t>
      </w:r>
    </w:p>
    <w:p>
      <w:pPr>
        <w:pStyle w:val="ListDash1"/>
        <w:rPr>
          <w:noProof/>
        </w:rPr>
      </w:pPr>
      <w:r>
        <w:rPr>
          <w:noProof/>
        </w:rPr>
        <w:sym w:font="Wingdings" w:char="F0FD"/>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No additional resources will be required from the EU budget compared to what already foreseen by financial programming.</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Heading3"/>
        <w:rPr>
          <w:bCs w:val="0"/>
          <w:noProof/>
          <w:szCs w:val="24"/>
        </w:rPr>
      </w:pP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Heading2"/>
        <w:rPr>
          <w:bCs w:val="0"/>
          <w:noProof/>
          <w:szCs w:val="24"/>
        </w:rPr>
      </w:pPr>
      <w:r>
        <w:rPr>
          <w:noProof/>
        </w:rPr>
        <w:br w:type="page"/>
        <w:t xml:space="preserve">Estimated impact on revenue </w:t>
      </w:r>
    </w:p>
    <w:p>
      <w:pPr>
        <w:pStyle w:val="ListDash1"/>
        <w:rPr>
          <w:noProof/>
        </w:rPr>
      </w:pPr>
      <w:r>
        <w:rPr>
          <w:noProof/>
        </w:rPr>
        <w:sym w:font="Wingdings" w:char="F0FD"/>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Specify the method for calculating the impact on revenue.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As referred to in Article 54(2)(a) or (b) of the Financial Regulation.</w:t>
      </w:r>
    </w:p>
  </w:footnote>
  <w:footnote w:id="2">
    <w:p>
      <w:pPr>
        <w:pStyle w:val="FootnoteText"/>
      </w:pPr>
      <w:r>
        <w:rPr>
          <w:rStyle w:val="FootnoteReference"/>
        </w:rPr>
        <w:footnoteRef/>
      </w:r>
      <w:r>
        <w:tab/>
        <w:t>Possible impact on the next MFF 2021-27 will be dealt with in the negotiations on the latter.</w:t>
      </w:r>
    </w:p>
  </w:footnote>
  <w:footnote w:id="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4">
    <w:p>
      <w:pPr>
        <w:pStyle w:val="FootnoteText"/>
        <w:rPr>
          <w:szCs w:val="24"/>
        </w:rPr>
      </w:pPr>
      <w:r>
        <w:rPr>
          <w:rStyle w:val="FootnoteReference"/>
        </w:rPr>
        <w:footnoteRef/>
      </w:r>
      <w:r>
        <w:tab/>
        <w:t>Diff. = Differentiated appropriations / Non-diff. = Non-differentiated appropriations.</w:t>
      </w:r>
    </w:p>
  </w:footnote>
  <w:footnote w:id="5">
    <w:p>
      <w:pPr>
        <w:pStyle w:val="FootnoteText"/>
        <w:rPr>
          <w:szCs w:val="24"/>
        </w:rPr>
      </w:pPr>
      <w:r>
        <w:rPr>
          <w:rStyle w:val="FootnoteReference"/>
        </w:rPr>
        <w:footnoteRef/>
      </w:r>
      <w:r>
        <w:tab/>
        <w:t xml:space="preserve">EFTA: European Free Trade Association. </w:t>
      </w:r>
    </w:p>
  </w:footnote>
  <w:footnote w:id="6">
    <w:p>
      <w:pPr>
        <w:pStyle w:val="FootnoteText"/>
        <w:rPr>
          <w:szCs w:val="24"/>
        </w:rPr>
      </w:pPr>
      <w:r>
        <w:rPr>
          <w:rStyle w:val="FootnoteReference"/>
        </w:rPr>
        <w:footnoteRef/>
      </w:r>
      <w:r>
        <w:tab/>
        <w:t>Candidate countries and, where applicable, potential candidates from the Western Balkans.</w:t>
      </w:r>
    </w:p>
  </w:footnote>
  <w:footnote w:id="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8">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0">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1">
    <w:p>
      <w:pPr>
        <w:pStyle w:val="FootnoteText"/>
        <w:rPr>
          <w:szCs w:val="24"/>
        </w:rPr>
      </w:pPr>
      <w:r>
        <w:rPr>
          <w:rStyle w:val="FootnoteReference"/>
        </w:rPr>
        <w:footnoteRef/>
      </w:r>
      <w:r>
        <w:tab/>
        <w:t>Sub-ceiling for external staff covered by operational appropriations (former ‘BA’ lines).</w:t>
      </w:r>
    </w:p>
  </w:footnote>
  <w:footnote w:id="12">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1D14DD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700"/>
        </w:tabs>
        <w:ind w:left="1700"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2"/>
  </w:num>
  <w:num w:numId="3">
    <w:abstractNumId w:val="17"/>
  </w:num>
  <w:num w:numId="4">
    <w:abstractNumId w:val="16"/>
  </w:num>
  <w:num w:numId="5">
    <w:abstractNumId w:val="24"/>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23"/>
  </w:num>
  <w:num w:numId="17">
    <w:abstractNumId w:val="11"/>
  </w:num>
  <w:num w:numId="18">
    <w:abstractNumId w:val="14"/>
  </w:num>
  <w:num w:numId="19">
    <w:abstractNumId w:val="9"/>
  </w:num>
  <w:num w:numId="20">
    <w:abstractNumId w:val="22"/>
  </w:num>
  <w:num w:numId="21">
    <w:abstractNumId w:val="8"/>
  </w:num>
  <w:num w:numId="22">
    <w:abstractNumId w:val="15"/>
  </w:num>
  <w:num w:numId="23">
    <w:abstractNumId w:val="19"/>
  </w:num>
  <w:num w:numId="24">
    <w:abstractNumId w:val="20"/>
  </w:num>
  <w:num w:numId="25">
    <w:abstractNumId w:val="10"/>
  </w:num>
  <w:num w:numId="26">
    <w:abstractNumId w:val="18"/>
  </w:num>
  <w:num w:numId="27">
    <w:abstractNumId w:val="25"/>
  </w:num>
  <w:num w:numId="28">
    <w:abstractNumId w:val="21"/>
  </w:num>
  <w:num w:numId="29">
    <w:abstractNumId w:val="13"/>
  </w:num>
  <w:num w:numId="30">
    <w:abstractNumId w:val="23"/>
  </w:num>
  <w:num w:numId="31">
    <w:abstractNumId w:val="11"/>
  </w:num>
  <w:num w:numId="32">
    <w:abstractNumId w:val="14"/>
  </w:num>
  <w:num w:numId="33">
    <w:abstractNumId w:val="9"/>
  </w:num>
  <w:num w:numId="34">
    <w:abstractNumId w:val="22"/>
  </w:num>
  <w:num w:numId="35">
    <w:abstractNumId w:val="8"/>
  </w:num>
  <w:num w:numId="36">
    <w:abstractNumId w:val="15"/>
  </w:num>
  <w:num w:numId="37">
    <w:abstractNumId w:val="19"/>
  </w:num>
  <w:num w:numId="38">
    <w:abstractNumId w:val="20"/>
  </w:num>
  <w:num w:numId="39">
    <w:abstractNumId w:val="10"/>
  </w:num>
  <w:num w:numId="40">
    <w:abstractNumId w:val="18"/>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9 12:03: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F912A6D-3BA9-4B35-8FC8-8E9069DAD2EC"/>
    <w:docVar w:name="LW_COVERPAGE_TYPE" w:val="1"/>
    <w:docVar w:name="LW_CROSSREFERENCE" w:val="{SEC(2018) 205 final}_x000b_{SWD(2018) 120 final}_x000b_{SWD(2018) 121 final}_x000b_{SWD(2018) 122 final}"/>
    <w:docVar w:name="LW_DocType" w:val="ANNEX"/>
    <w:docVar w:name="LW_EMISSION" w:val="27.4.2018"/>
    <w:docVar w:name="LW_EMISSION_ISODATE" w:val="2018-04-2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implementation and functioning of the .eu Top Level Domain name and repealing Regulation (EC) No 733/2002 and Commission Regulation (EC) No 874/2004"/>
    <w:docVar w:name="LW_OBJETACTEPRINCIPAL.CP" w:val="on the implementation and functioning of the .eu Top Level Domain name and repealing Regulation (EC) No 733/2002 and Commission Regulation (EC) No 874/2004"/>
    <w:docVar w:name="LW_PART_NBR" w:val="1"/>
    <w:docVar w:name="LW_PART_NBR_TOTAL" w:val="1"/>
    <w:docVar w:name="LW_REF.INST.NEW" w:val="COM"/>
    <w:docVar w:name="LW_REF.INST.NEW_ADOPTED" w:val="final"/>
    <w:docVar w:name="LW_REF.INST.NEW_TEXT" w:val="(2018) 2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lang w:eastAsia="en-GB"/>
    </w:rPr>
  </w:style>
  <w:style w:type="paragraph" w:customStyle="1" w:styleId="ListBullet1">
    <w:name w:val="List Bullet 1"/>
    <w:basedOn w:val="Normal"/>
    <w:pPr>
      <w:numPr>
        <w:numId w:val="1"/>
      </w:numPr>
    </w:pPr>
    <w:rPr>
      <w:lang w:eastAsia="en-GB"/>
    </w:rPr>
  </w:style>
  <w:style w:type="paragraph" w:customStyle="1" w:styleId="ListDash">
    <w:name w:val="List Dash"/>
    <w:basedOn w:val="Normal"/>
    <w:pPr>
      <w:numPr>
        <w:numId w:val="2"/>
      </w:numPr>
    </w:pPr>
    <w:rPr>
      <w:lang w:eastAsia="en-GB"/>
    </w:rPr>
  </w:style>
  <w:style w:type="paragraph" w:customStyle="1" w:styleId="ListDash1">
    <w:name w:val="List Dash 1"/>
    <w:basedOn w:val="Normal"/>
    <w:pPr>
      <w:numPr>
        <w:numId w:val="3"/>
      </w:numPr>
    </w:pPr>
    <w:rPr>
      <w:lang w:eastAsia="en-GB"/>
    </w:rPr>
  </w:style>
  <w:style w:type="paragraph" w:customStyle="1" w:styleId="ListDash2">
    <w:name w:val="List Dash 2"/>
    <w:basedOn w:val="Normal"/>
    <w:pPr>
      <w:numPr>
        <w:numId w:val="4"/>
      </w:numPr>
    </w:pPr>
    <w:rPr>
      <w:lang w:eastAsia="en-GB"/>
    </w:rPr>
  </w:style>
  <w:style w:type="paragraph" w:customStyle="1" w:styleId="ListNumberLevel2">
    <w:name w:val="List Number (Level 2)"/>
    <w:basedOn w:val="Normal"/>
    <w:pPr>
      <w:numPr>
        <w:ilvl w:val="1"/>
        <w:numId w:val="5"/>
      </w:numPr>
    </w:pPr>
    <w:rPr>
      <w:lang w:eastAsia="en-GB"/>
    </w:rPr>
  </w:style>
  <w:style w:type="paragraph" w:customStyle="1" w:styleId="ListNumberLevel3">
    <w:name w:val="List Number (Level 3)"/>
    <w:basedOn w:val="Normal"/>
    <w:pPr>
      <w:numPr>
        <w:ilvl w:val="2"/>
        <w:numId w:val="5"/>
      </w:numPr>
    </w:pPr>
    <w:rPr>
      <w:lang w:eastAsia="en-GB"/>
    </w:rPr>
  </w:style>
  <w:style w:type="paragraph" w:customStyle="1" w:styleId="ListNumberLevel4">
    <w:name w:val="List Number (Level 4)"/>
    <w:basedOn w:val="Normal"/>
    <w:pPr>
      <w:numPr>
        <w:ilvl w:val="3"/>
        <w:numId w:val="5"/>
      </w:numPr>
    </w:pPr>
    <w:rPr>
      <w:lang w:eastAsia="en-GB"/>
    </w:rPr>
  </w:style>
  <w:style w:type="character" w:styleId="CommentReference">
    <w:name w:val="annotation reference"/>
    <w:rPr>
      <w:rFonts w:cs="Times New Roman"/>
      <w:sz w:val="16"/>
      <w:szCs w:val="16"/>
      <w:lang w:val="en-GB" w:eastAsia="en-GB"/>
    </w:rPr>
  </w:style>
  <w:style w:type="paragraph" w:styleId="CommentText">
    <w:name w:val="annotation text"/>
    <w:basedOn w:val="Normal"/>
    <w:link w:val="CommentTextChar"/>
    <w:rPr>
      <w:sz w:val="20"/>
      <w:lang w:eastAsia="en-GB"/>
    </w:rPr>
  </w:style>
  <w:style w:type="character" w:customStyle="1" w:styleId="CommentTextChar">
    <w:name w:val="Comment Text Char"/>
    <w:basedOn w:val="DefaultParagraphFont"/>
    <w:link w:val="CommentText"/>
    <w:rPr>
      <w:rFonts w:ascii="Times New Roman" w:hAnsi="Times New Roman" w:cs="Times New Roman"/>
      <w:sz w:val="20"/>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hAnsi="Tahoma" w:cs="Tahoma"/>
      <w:sz w:val="16"/>
      <w:szCs w:val="16"/>
      <w:lang w:eastAsia="en-GB"/>
    </w:rPr>
  </w:style>
  <w:style w:type="character" w:customStyle="1" w:styleId="BalloonTextChar">
    <w:name w:val="Balloon Text Char"/>
    <w:basedOn w:val="DefaultParagraphFont"/>
    <w:link w:val="BalloonText"/>
    <w:rPr>
      <w:rFonts w:ascii="Tahoma" w:hAnsi="Tahoma" w:cs="Tahoma"/>
      <w:sz w:val="16"/>
      <w:szCs w:val="16"/>
      <w:lang w:val="en-GB" w:eastAsia="en-GB"/>
    </w:rPr>
  </w:style>
  <w:style w:type="paragraph" w:styleId="Caption">
    <w:name w:val="caption"/>
    <w:basedOn w:val="Normal"/>
    <w:next w:val="Normal"/>
    <w:qFormat/>
    <w:rPr>
      <w:b/>
      <w:bCs/>
      <w:sz w:val="20"/>
      <w:lang w:eastAsia="en-GB"/>
    </w:rPr>
  </w:style>
  <w:style w:type="paragraph" w:styleId="TableofFigures">
    <w:name w:val="table of figures"/>
    <w:basedOn w:val="Normal"/>
    <w:next w:val="Normal"/>
    <w:rPr>
      <w:lang w:eastAsia="en-GB"/>
    </w:rPr>
  </w:style>
  <w:style w:type="paragraph" w:styleId="ListBullet">
    <w:name w:val="List Bullet"/>
    <w:basedOn w:val="Normal"/>
    <w:pPr>
      <w:numPr>
        <w:numId w:val="6"/>
      </w:numPr>
      <w:contextualSpacing/>
    </w:pPr>
    <w:rPr>
      <w:lang w:eastAsia="en-GB"/>
    </w:rPr>
  </w:style>
  <w:style w:type="paragraph" w:styleId="ListBullet2">
    <w:name w:val="List Bullet 2"/>
    <w:basedOn w:val="Normal"/>
    <w:pPr>
      <w:numPr>
        <w:numId w:val="7"/>
      </w:numPr>
      <w:contextualSpacing/>
    </w:pPr>
    <w:rPr>
      <w:lang w:eastAsia="en-GB"/>
    </w:rPr>
  </w:style>
  <w:style w:type="paragraph" w:styleId="ListBullet3">
    <w:name w:val="List Bullet 3"/>
    <w:basedOn w:val="Normal"/>
    <w:pPr>
      <w:numPr>
        <w:numId w:val="8"/>
      </w:numPr>
      <w:contextualSpacing/>
    </w:pPr>
    <w:rPr>
      <w:lang w:eastAsia="en-GB"/>
    </w:rPr>
  </w:style>
  <w:style w:type="paragraph" w:styleId="ListBullet4">
    <w:name w:val="List Bullet 4"/>
    <w:basedOn w:val="Normal"/>
    <w:pPr>
      <w:numPr>
        <w:numId w:val="9"/>
      </w:numPr>
      <w:contextualSpacing/>
    </w:pPr>
    <w:rPr>
      <w:lang w:eastAsia="en-GB"/>
    </w:rPr>
  </w:style>
  <w:style w:type="paragraph" w:styleId="ListNumber2">
    <w:name w:val="List Number 2"/>
    <w:basedOn w:val="Normal"/>
    <w:pPr>
      <w:numPr>
        <w:numId w:val="10"/>
      </w:numPr>
      <w:contextualSpacing/>
    </w:pPr>
    <w:rPr>
      <w:lang w:eastAsia="en-GB"/>
    </w:rPr>
  </w:style>
  <w:style w:type="paragraph" w:styleId="ListNumber3">
    <w:name w:val="List Number 3"/>
    <w:basedOn w:val="Normal"/>
    <w:pPr>
      <w:numPr>
        <w:numId w:val="11"/>
      </w:numPr>
      <w:contextualSpacing/>
    </w:pPr>
    <w:rPr>
      <w:lang w:eastAsia="en-GB"/>
    </w:rPr>
  </w:style>
  <w:style w:type="paragraph" w:styleId="ListNumber4">
    <w:name w:val="List Number 4"/>
    <w:basedOn w:val="Normal"/>
    <w:pPr>
      <w:numPr>
        <w:numId w:val="12"/>
      </w:numPr>
      <w:contextualSpacing/>
    </w:pPr>
    <w:rPr>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hAnsi="Times New Roman" w:cs="Times New Roman"/>
      <w:b/>
      <w:bCs/>
      <w:sz w:val="20"/>
      <w:lang w:val="en-GB" w:eastAsia="en-GB"/>
    </w:rPr>
  </w:style>
  <w:style w:type="paragraph" w:customStyle="1" w:styleId="Sous-titreobjet">
    <w:name w:val="Sous-titre objet"/>
    <w:basedOn w:val="Normal"/>
    <w:pPr>
      <w:spacing w:before="0" w:after="0"/>
      <w:jc w:val="center"/>
    </w:pPr>
    <w:rPr>
      <w:b/>
      <w:lang w:eastAsia="en-GB"/>
    </w:rPr>
  </w:style>
  <w:style w:type="paragraph" w:customStyle="1" w:styleId="Titreobjet">
    <w:name w:val="Titre objet"/>
    <w:basedOn w:val="Normal"/>
    <w:next w:val="Sous-titreobjet"/>
    <w:pPr>
      <w:spacing w:before="180" w:after="180"/>
      <w:jc w:val="center"/>
    </w:pPr>
    <w:rPr>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lang w:eastAsia="en-GB"/>
    </w:rPr>
  </w:style>
  <w:style w:type="paragraph" w:customStyle="1" w:styleId="ListBullet1">
    <w:name w:val="List Bullet 1"/>
    <w:basedOn w:val="Normal"/>
    <w:pPr>
      <w:numPr>
        <w:numId w:val="1"/>
      </w:numPr>
    </w:pPr>
    <w:rPr>
      <w:lang w:eastAsia="en-GB"/>
    </w:rPr>
  </w:style>
  <w:style w:type="paragraph" w:customStyle="1" w:styleId="ListDash">
    <w:name w:val="List Dash"/>
    <w:basedOn w:val="Normal"/>
    <w:pPr>
      <w:numPr>
        <w:numId w:val="2"/>
      </w:numPr>
    </w:pPr>
    <w:rPr>
      <w:lang w:eastAsia="en-GB"/>
    </w:rPr>
  </w:style>
  <w:style w:type="paragraph" w:customStyle="1" w:styleId="ListDash1">
    <w:name w:val="List Dash 1"/>
    <w:basedOn w:val="Normal"/>
    <w:pPr>
      <w:numPr>
        <w:numId w:val="3"/>
      </w:numPr>
    </w:pPr>
    <w:rPr>
      <w:lang w:eastAsia="en-GB"/>
    </w:rPr>
  </w:style>
  <w:style w:type="paragraph" w:customStyle="1" w:styleId="ListDash2">
    <w:name w:val="List Dash 2"/>
    <w:basedOn w:val="Normal"/>
    <w:pPr>
      <w:numPr>
        <w:numId w:val="4"/>
      </w:numPr>
    </w:pPr>
    <w:rPr>
      <w:lang w:eastAsia="en-GB"/>
    </w:rPr>
  </w:style>
  <w:style w:type="paragraph" w:customStyle="1" w:styleId="ListNumberLevel2">
    <w:name w:val="List Number (Level 2)"/>
    <w:basedOn w:val="Normal"/>
    <w:pPr>
      <w:numPr>
        <w:ilvl w:val="1"/>
        <w:numId w:val="5"/>
      </w:numPr>
    </w:pPr>
    <w:rPr>
      <w:lang w:eastAsia="en-GB"/>
    </w:rPr>
  </w:style>
  <w:style w:type="paragraph" w:customStyle="1" w:styleId="ListNumberLevel3">
    <w:name w:val="List Number (Level 3)"/>
    <w:basedOn w:val="Normal"/>
    <w:pPr>
      <w:numPr>
        <w:ilvl w:val="2"/>
        <w:numId w:val="5"/>
      </w:numPr>
    </w:pPr>
    <w:rPr>
      <w:lang w:eastAsia="en-GB"/>
    </w:rPr>
  </w:style>
  <w:style w:type="paragraph" w:customStyle="1" w:styleId="ListNumberLevel4">
    <w:name w:val="List Number (Level 4)"/>
    <w:basedOn w:val="Normal"/>
    <w:pPr>
      <w:numPr>
        <w:ilvl w:val="3"/>
        <w:numId w:val="5"/>
      </w:numPr>
    </w:pPr>
    <w:rPr>
      <w:lang w:eastAsia="en-GB"/>
    </w:rPr>
  </w:style>
  <w:style w:type="character" w:styleId="CommentReference">
    <w:name w:val="annotation reference"/>
    <w:rPr>
      <w:rFonts w:cs="Times New Roman"/>
      <w:sz w:val="16"/>
      <w:szCs w:val="16"/>
      <w:lang w:val="en-GB" w:eastAsia="en-GB"/>
    </w:rPr>
  </w:style>
  <w:style w:type="paragraph" w:styleId="CommentText">
    <w:name w:val="annotation text"/>
    <w:basedOn w:val="Normal"/>
    <w:link w:val="CommentTextChar"/>
    <w:rPr>
      <w:sz w:val="20"/>
      <w:lang w:eastAsia="en-GB"/>
    </w:rPr>
  </w:style>
  <w:style w:type="character" w:customStyle="1" w:styleId="CommentTextChar">
    <w:name w:val="Comment Text Char"/>
    <w:basedOn w:val="DefaultParagraphFont"/>
    <w:link w:val="CommentText"/>
    <w:rPr>
      <w:rFonts w:ascii="Times New Roman" w:hAnsi="Times New Roman" w:cs="Times New Roman"/>
      <w:sz w:val="20"/>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hAnsi="Tahoma" w:cs="Tahoma"/>
      <w:sz w:val="16"/>
      <w:szCs w:val="16"/>
      <w:lang w:eastAsia="en-GB"/>
    </w:rPr>
  </w:style>
  <w:style w:type="character" w:customStyle="1" w:styleId="BalloonTextChar">
    <w:name w:val="Balloon Text Char"/>
    <w:basedOn w:val="DefaultParagraphFont"/>
    <w:link w:val="BalloonText"/>
    <w:rPr>
      <w:rFonts w:ascii="Tahoma" w:hAnsi="Tahoma" w:cs="Tahoma"/>
      <w:sz w:val="16"/>
      <w:szCs w:val="16"/>
      <w:lang w:val="en-GB" w:eastAsia="en-GB"/>
    </w:rPr>
  </w:style>
  <w:style w:type="paragraph" w:styleId="Caption">
    <w:name w:val="caption"/>
    <w:basedOn w:val="Normal"/>
    <w:next w:val="Normal"/>
    <w:qFormat/>
    <w:rPr>
      <w:b/>
      <w:bCs/>
      <w:sz w:val="20"/>
      <w:lang w:eastAsia="en-GB"/>
    </w:rPr>
  </w:style>
  <w:style w:type="paragraph" w:styleId="TableofFigures">
    <w:name w:val="table of figures"/>
    <w:basedOn w:val="Normal"/>
    <w:next w:val="Normal"/>
    <w:rPr>
      <w:lang w:eastAsia="en-GB"/>
    </w:rPr>
  </w:style>
  <w:style w:type="paragraph" w:styleId="ListBullet">
    <w:name w:val="List Bullet"/>
    <w:basedOn w:val="Normal"/>
    <w:pPr>
      <w:numPr>
        <w:numId w:val="6"/>
      </w:numPr>
      <w:contextualSpacing/>
    </w:pPr>
    <w:rPr>
      <w:lang w:eastAsia="en-GB"/>
    </w:rPr>
  </w:style>
  <w:style w:type="paragraph" w:styleId="ListBullet2">
    <w:name w:val="List Bullet 2"/>
    <w:basedOn w:val="Normal"/>
    <w:pPr>
      <w:numPr>
        <w:numId w:val="7"/>
      </w:numPr>
      <w:contextualSpacing/>
    </w:pPr>
    <w:rPr>
      <w:lang w:eastAsia="en-GB"/>
    </w:rPr>
  </w:style>
  <w:style w:type="paragraph" w:styleId="ListBullet3">
    <w:name w:val="List Bullet 3"/>
    <w:basedOn w:val="Normal"/>
    <w:pPr>
      <w:numPr>
        <w:numId w:val="8"/>
      </w:numPr>
      <w:contextualSpacing/>
    </w:pPr>
    <w:rPr>
      <w:lang w:eastAsia="en-GB"/>
    </w:rPr>
  </w:style>
  <w:style w:type="paragraph" w:styleId="ListBullet4">
    <w:name w:val="List Bullet 4"/>
    <w:basedOn w:val="Normal"/>
    <w:pPr>
      <w:numPr>
        <w:numId w:val="9"/>
      </w:numPr>
      <w:contextualSpacing/>
    </w:pPr>
    <w:rPr>
      <w:lang w:eastAsia="en-GB"/>
    </w:rPr>
  </w:style>
  <w:style w:type="paragraph" w:styleId="ListNumber2">
    <w:name w:val="List Number 2"/>
    <w:basedOn w:val="Normal"/>
    <w:pPr>
      <w:numPr>
        <w:numId w:val="10"/>
      </w:numPr>
      <w:contextualSpacing/>
    </w:pPr>
    <w:rPr>
      <w:lang w:eastAsia="en-GB"/>
    </w:rPr>
  </w:style>
  <w:style w:type="paragraph" w:styleId="ListNumber3">
    <w:name w:val="List Number 3"/>
    <w:basedOn w:val="Normal"/>
    <w:pPr>
      <w:numPr>
        <w:numId w:val="11"/>
      </w:numPr>
      <w:contextualSpacing/>
    </w:pPr>
    <w:rPr>
      <w:lang w:eastAsia="en-GB"/>
    </w:rPr>
  </w:style>
  <w:style w:type="paragraph" w:styleId="ListNumber4">
    <w:name w:val="List Number 4"/>
    <w:basedOn w:val="Normal"/>
    <w:pPr>
      <w:numPr>
        <w:numId w:val="12"/>
      </w:numPr>
      <w:contextualSpacing/>
    </w:pPr>
    <w:rPr>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hAnsi="Times New Roman" w:cs="Times New Roman"/>
      <w:b/>
      <w:bCs/>
      <w:sz w:val="20"/>
      <w:lang w:val="en-GB" w:eastAsia="en-GB"/>
    </w:rPr>
  </w:style>
  <w:style w:type="paragraph" w:customStyle="1" w:styleId="Sous-titreobjet">
    <w:name w:val="Sous-titre objet"/>
    <w:basedOn w:val="Normal"/>
    <w:pPr>
      <w:spacing w:before="0" w:after="0"/>
      <w:jc w:val="center"/>
    </w:pPr>
    <w:rPr>
      <w:b/>
      <w:lang w:eastAsia="en-GB"/>
    </w:rPr>
  </w:style>
  <w:style w:type="paragraph" w:customStyle="1" w:styleId="Titreobjet">
    <w:name w:val="Titre objet"/>
    <w:basedOn w:val="Normal"/>
    <w:next w:val="Sous-titreobjet"/>
    <w:pPr>
      <w:spacing w:before="180" w:after="180"/>
      <w:jc w:val="center"/>
    </w:pPr>
    <w:rPr>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cec/budg/leg/internal/leg-070_internal_en.html"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16</Pages>
  <Words>2907</Words>
  <Characters>16692</Characters>
  <Application>Microsoft Office Word</Application>
  <DocSecurity>0</DocSecurity>
  <Lines>1112</Lines>
  <Paragraphs>455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MONFORT Veronique (CNECT)</dc:creator>
  <cp:lastModifiedBy>DIGIT/A3</cp:lastModifiedBy>
  <cp:revision>7</cp:revision>
  <dcterms:created xsi:type="dcterms:W3CDTF">2018-04-20T10:53:00Z</dcterms:created>
  <dcterms:modified xsi:type="dcterms:W3CDTF">2018-04-26T15:59:00Z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