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00A8F3A3-D78D-4885-A08A-4BC9FD7E880E" style="width:451.05pt;height:334.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40"/>
          <w:pgMar w:top="1134" w:right="1417" w:bottom="1134" w:left="1417" w:header="709" w:footer="709" w:gutter="0"/>
          <w:pgNumType w:start="0"/>
          <w:cols w:space="720"/>
          <w:docGrid w:linePitch="299"/>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за разходите по линия на Европейския фонд за гарантиране на земеделието (ЕФГЗ)</w:t>
      </w:r>
      <w:r>
        <w:rPr>
          <w:noProof/>
        </w:rPr>
        <w:br/>
      </w:r>
      <w:r>
        <w:rPr>
          <w:noProof/>
        </w:rPr>
        <w:br/>
        <w:t>Система за ранно предупреждение № 1-3/2018</w:t>
      </w:r>
    </w:p>
    <w:p>
      <w:pPr>
        <w:pStyle w:val="TOCHeading"/>
        <w:rPr>
          <w:noProof/>
        </w:rPr>
      </w:pPr>
      <w:sdt>
        <w:sdtPr>
          <w:rPr>
            <w:noProof/>
          </w:rPr>
          <w:id w:val="1452277424"/>
          <w:docPartObj>
            <w:docPartGallery w:val="Table of Contents"/>
            <w:docPartUnique/>
          </w:docPartObj>
        </w:sdtPr>
        <w:sdtEndPr>
          <w:rPr>
            <w:b w:val="0"/>
            <w:bCs/>
          </w:rPr>
        </w:sdtEndPr>
        <w:sdtContent>
          <w:r>
            <w:rPr>
              <w:noProof/>
            </w:rPr>
            <w:t>Съдържание</w:t>
          </w:r>
        </w:sdtContent>
      </w:sdt>
    </w:p>
    <w:p>
      <w:pPr>
        <w:pStyle w:val="TOC1"/>
        <w:rPr>
          <w:rFonts w:asciiTheme="minorHAnsi" w:eastAsiaTheme="minorEastAsia" w:hAnsiTheme="minorHAnsi" w:cstheme="minorBidi"/>
          <w:noProof/>
          <w:sz w:val="22"/>
          <w:szCs w:val="22"/>
          <w:lang w:val="ru-RU" w:eastAsia="en-GB" w:bidi="ar-SA"/>
        </w:rPr>
      </w:pPr>
      <w:r>
        <w:rPr>
          <w:noProof/>
        </w:rPr>
        <w:fldChar w:fldCharType="begin"/>
      </w:r>
      <w:r>
        <w:rPr>
          <w:noProof/>
        </w:rPr>
        <w:instrText xml:space="preserve"> TOC \o "1-3" \u </w:instrText>
      </w:r>
      <w:r>
        <w:rPr>
          <w:noProof/>
        </w:rPr>
        <w:fldChar w:fldCharType="separate"/>
      </w:r>
      <w:r>
        <w:rPr>
          <w:noProof/>
        </w:rPr>
        <w:t>1.</w:t>
      </w:r>
      <w:r>
        <w:rPr>
          <w:rFonts w:asciiTheme="minorHAnsi" w:eastAsiaTheme="minorEastAsia" w:hAnsiTheme="minorHAnsi" w:cstheme="minorBidi"/>
          <w:noProof/>
          <w:sz w:val="22"/>
          <w:szCs w:val="22"/>
          <w:lang w:val="ru-RU" w:eastAsia="en-GB" w:bidi="ar-SA"/>
        </w:rPr>
        <w:tab/>
      </w:r>
      <w:r>
        <w:rPr>
          <w:noProof/>
        </w:rPr>
        <w:t>Бюджетната процедура за ЕФГЗ за 2018 г.</w:t>
      </w:r>
      <w:r>
        <w:rPr>
          <w:noProof/>
        </w:rPr>
        <w:tab/>
      </w:r>
      <w:r>
        <w:rPr>
          <w:noProof/>
        </w:rPr>
        <w:fldChar w:fldCharType="begin"/>
      </w:r>
      <w:r>
        <w:rPr>
          <w:noProof/>
        </w:rPr>
        <w:instrText xml:space="preserve"> PAGEREF _Toc512006242 \h </w:instrText>
      </w:r>
      <w:r>
        <w:rPr>
          <w:noProof/>
        </w:rPr>
      </w:r>
      <w:r>
        <w:rPr>
          <w:noProof/>
        </w:rPr>
        <w:fldChar w:fldCharType="separate"/>
      </w:r>
      <w:r>
        <w:rPr>
          <w:noProof/>
        </w:rPr>
        <w:t>2</w:t>
      </w:r>
      <w:r>
        <w:rPr>
          <w:noProof/>
        </w:rPr>
        <w:fldChar w:fldCharType="end"/>
      </w:r>
    </w:p>
    <w:p>
      <w:pPr>
        <w:pStyle w:val="TOC1"/>
        <w:rPr>
          <w:rFonts w:asciiTheme="minorHAnsi" w:eastAsiaTheme="minorEastAsia" w:hAnsiTheme="minorHAnsi" w:cstheme="minorBidi"/>
          <w:noProof/>
          <w:sz w:val="22"/>
          <w:szCs w:val="22"/>
          <w:lang w:val="ru-RU" w:eastAsia="en-GB" w:bidi="ar-SA"/>
        </w:rPr>
      </w:pPr>
      <w:r>
        <w:rPr>
          <w:noProof/>
        </w:rPr>
        <w:t>2.</w:t>
      </w:r>
      <w:r>
        <w:rPr>
          <w:rFonts w:asciiTheme="minorHAnsi" w:eastAsiaTheme="minorEastAsia" w:hAnsiTheme="minorHAnsi" w:cstheme="minorBidi"/>
          <w:noProof/>
          <w:sz w:val="22"/>
          <w:szCs w:val="22"/>
          <w:lang w:val="ru-RU" w:eastAsia="en-GB" w:bidi="ar-SA"/>
        </w:rPr>
        <w:tab/>
      </w:r>
      <w:r>
        <w:rPr>
          <w:noProof/>
        </w:rPr>
        <w:t>Целеви приходи за ЕФГЗ</w:t>
      </w:r>
      <w:r>
        <w:rPr>
          <w:noProof/>
        </w:rPr>
        <w:tab/>
      </w:r>
      <w:r>
        <w:rPr>
          <w:noProof/>
        </w:rPr>
        <w:fldChar w:fldCharType="begin"/>
      </w:r>
      <w:r>
        <w:rPr>
          <w:noProof/>
        </w:rPr>
        <w:instrText xml:space="preserve"> PAGEREF _Toc512006243 \h </w:instrText>
      </w:r>
      <w:r>
        <w:rPr>
          <w:noProof/>
        </w:rPr>
      </w:r>
      <w:r>
        <w:rPr>
          <w:noProof/>
        </w:rPr>
        <w:fldChar w:fldCharType="separate"/>
      </w:r>
      <w:r>
        <w:rPr>
          <w:noProof/>
        </w:rPr>
        <w:t>2</w:t>
      </w:r>
      <w:r>
        <w:rPr>
          <w:noProof/>
        </w:rPr>
        <w:fldChar w:fldCharType="end"/>
      </w:r>
    </w:p>
    <w:p>
      <w:pPr>
        <w:pStyle w:val="TOC1"/>
        <w:rPr>
          <w:rFonts w:asciiTheme="minorHAnsi" w:eastAsiaTheme="minorEastAsia" w:hAnsiTheme="minorHAnsi" w:cstheme="minorBidi"/>
          <w:noProof/>
          <w:sz w:val="22"/>
          <w:szCs w:val="22"/>
          <w:lang w:val="ru-RU" w:eastAsia="en-GB" w:bidi="ar-SA"/>
        </w:rPr>
      </w:pPr>
      <w:r>
        <w:rPr>
          <w:noProof/>
        </w:rPr>
        <w:t>3.</w:t>
      </w:r>
      <w:r>
        <w:rPr>
          <w:rFonts w:asciiTheme="minorHAnsi" w:eastAsiaTheme="minorEastAsia" w:hAnsiTheme="minorHAnsi" w:cstheme="minorBidi"/>
          <w:noProof/>
          <w:sz w:val="22"/>
          <w:szCs w:val="22"/>
          <w:lang w:val="ru-RU" w:eastAsia="en-GB" w:bidi="ar-SA"/>
        </w:rPr>
        <w:tab/>
      </w:r>
      <w:r>
        <w:rPr>
          <w:noProof/>
        </w:rPr>
        <w:t>Бележки относно предварителните данни за изпълнението на бюджета на ЕФГЗ за 2018 г.</w:t>
      </w:r>
      <w:r>
        <w:rPr>
          <w:noProof/>
        </w:rPr>
        <w:tab/>
      </w:r>
      <w:r>
        <w:rPr>
          <w:noProof/>
        </w:rPr>
        <w:fldChar w:fldCharType="begin"/>
      </w:r>
      <w:r>
        <w:rPr>
          <w:noProof/>
        </w:rPr>
        <w:instrText xml:space="preserve"> PAGEREF _Toc512006244 \h </w:instrText>
      </w:r>
      <w:r>
        <w:rPr>
          <w:noProof/>
        </w:rPr>
      </w:r>
      <w:r>
        <w:rPr>
          <w:noProof/>
        </w:rPr>
        <w:fldChar w:fldCharType="separate"/>
      </w:r>
      <w:r>
        <w:rPr>
          <w:noProof/>
        </w:rPr>
        <w:t>3</w:t>
      </w:r>
      <w:r>
        <w:rPr>
          <w:noProof/>
        </w:rPr>
        <w:fldChar w:fldCharType="end"/>
      </w:r>
    </w:p>
    <w:p>
      <w:pPr>
        <w:pStyle w:val="TOC1"/>
        <w:rPr>
          <w:rFonts w:asciiTheme="minorHAnsi" w:eastAsiaTheme="minorEastAsia" w:hAnsiTheme="minorHAnsi" w:cstheme="minorBidi"/>
          <w:noProof/>
          <w:sz w:val="22"/>
          <w:szCs w:val="22"/>
          <w:lang w:val="ru-RU" w:eastAsia="en-GB" w:bidi="ar-SA"/>
        </w:rPr>
      </w:pPr>
      <w:r>
        <w:rPr>
          <w:noProof/>
        </w:rPr>
        <w:t>4.</w:t>
      </w:r>
      <w:r>
        <w:rPr>
          <w:rFonts w:asciiTheme="minorHAnsi" w:eastAsiaTheme="minorEastAsia" w:hAnsiTheme="minorHAnsi" w:cstheme="minorBidi"/>
          <w:noProof/>
          <w:sz w:val="22"/>
          <w:szCs w:val="22"/>
          <w:lang w:val="ru-RU" w:eastAsia="en-GB" w:bidi="ar-SA"/>
        </w:rPr>
        <w:tab/>
      </w:r>
      <w:r>
        <w:rPr>
          <w:noProof/>
        </w:rPr>
        <w:t>Изпълнение на целевите приходи за ЕФГЗ</w:t>
      </w:r>
      <w:r>
        <w:rPr>
          <w:noProof/>
        </w:rPr>
        <w:tab/>
      </w:r>
      <w:r>
        <w:rPr>
          <w:noProof/>
        </w:rPr>
        <w:fldChar w:fldCharType="begin"/>
      </w:r>
      <w:r>
        <w:rPr>
          <w:noProof/>
        </w:rPr>
        <w:instrText xml:space="preserve"> PAGEREF _Toc512006254 \h </w:instrText>
      </w:r>
      <w:r>
        <w:rPr>
          <w:noProof/>
        </w:rPr>
      </w:r>
      <w:r>
        <w:rPr>
          <w:noProof/>
        </w:rPr>
        <w:fldChar w:fldCharType="separate"/>
      </w:r>
      <w:r>
        <w:rPr>
          <w:noProof/>
        </w:rPr>
        <w:t>5</w:t>
      </w:r>
      <w:r>
        <w:rPr>
          <w:noProof/>
        </w:rPr>
        <w:fldChar w:fldCharType="end"/>
      </w:r>
    </w:p>
    <w:p>
      <w:pPr>
        <w:pStyle w:val="TOC1"/>
        <w:rPr>
          <w:rFonts w:asciiTheme="minorHAnsi" w:eastAsiaTheme="minorEastAsia" w:hAnsiTheme="minorHAnsi" w:cstheme="minorBidi"/>
          <w:noProof/>
          <w:sz w:val="22"/>
          <w:szCs w:val="22"/>
          <w:lang w:val="en-GB" w:eastAsia="en-GB" w:bidi="ar-SA"/>
        </w:rPr>
      </w:pPr>
      <w:r>
        <w:rPr>
          <w:noProof/>
        </w:rPr>
        <w:t>5.</w:t>
      </w:r>
      <w:r>
        <w:rPr>
          <w:rFonts w:asciiTheme="minorHAnsi" w:eastAsiaTheme="minorEastAsia" w:hAnsiTheme="minorHAnsi" w:cstheme="minorBidi"/>
          <w:noProof/>
          <w:sz w:val="22"/>
          <w:szCs w:val="22"/>
          <w:lang w:val="en-GB" w:eastAsia="en-GB" w:bidi="ar-SA"/>
        </w:rPr>
        <w:tab/>
      </w:r>
      <w:r>
        <w:rPr>
          <w:noProof/>
        </w:rPr>
        <w:t>Заключения</w:t>
      </w:r>
      <w:r>
        <w:rPr>
          <w:noProof/>
        </w:rPr>
        <w:tab/>
      </w:r>
      <w:r>
        <w:rPr>
          <w:noProof/>
        </w:rPr>
        <w:fldChar w:fldCharType="begin"/>
      </w:r>
      <w:r>
        <w:rPr>
          <w:noProof/>
        </w:rPr>
        <w:instrText xml:space="preserve"> PAGEREF _Toc512006255 \h </w:instrText>
      </w:r>
      <w:r>
        <w:rPr>
          <w:noProof/>
        </w:rPr>
      </w:r>
      <w:r>
        <w:rPr>
          <w:noProof/>
        </w:rPr>
        <w:fldChar w:fldCharType="separate"/>
      </w:r>
      <w:r>
        <w:rPr>
          <w:noProof/>
        </w:rPr>
        <w:t>5</w:t>
      </w:r>
      <w:r>
        <w:rPr>
          <w:noProof/>
        </w:rPr>
        <w:fldChar w:fldCharType="end"/>
      </w:r>
    </w:p>
    <w:p>
      <w:pPr>
        <w:pStyle w:val="TOC1"/>
        <w:rPr>
          <w:rFonts w:asciiTheme="minorHAnsi" w:eastAsiaTheme="minorEastAsia" w:hAnsiTheme="minorHAnsi" w:cstheme="minorBidi"/>
          <w:noProof/>
          <w:sz w:val="22"/>
          <w:szCs w:val="22"/>
        </w:rPr>
      </w:pPr>
      <w:r>
        <w:rPr>
          <w:noProof/>
        </w:rPr>
        <w:fldChar w:fldCharType="end"/>
      </w:r>
    </w:p>
    <w:p>
      <w:pPr>
        <w:rPr>
          <w:noProof/>
        </w:rPr>
      </w:pPr>
    </w:p>
    <w:tbl>
      <w:tblPr>
        <w:tblW w:w="0" w:type="auto"/>
        <w:tblLook w:val="01E0" w:firstRow="1" w:lastRow="1" w:firstColumn="1" w:lastColumn="1" w:noHBand="0" w:noVBand="0"/>
      </w:tblPr>
      <w:tblGrid>
        <w:gridCol w:w="2111"/>
        <w:gridCol w:w="7154"/>
      </w:tblGrid>
      <w:tr>
        <w:tc>
          <w:tcPr>
            <w:tcW w:w="1908" w:type="dxa"/>
            <w:hideMark/>
          </w:tcPr>
          <w:p>
            <w:pPr>
              <w:spacing w:before="120" w:after="120"/>
              <w:ind w:right="612"/>
              <w:rPr>
                <w:rFonts w:ascii="Times New Roman" w:hAnsi="Times New Roman"/>
                <w:smallCaps/>
                <w:noProof/>
              </w:rPr>
            </w:pPr>
            <w:r>
              <w:rPr>
                <w:rFonts w:ascii="Times New Roman" w:hAnsi="Times New Roman"/>
                <w:smallCaps/>
                <w:noProof/>
              </w:rPr>
              <w:t>Приложение 1:</w:t>
            </w:r>
          </w:p>
          <w:p>
            <w:pPr>
              <w:spacing w:before="120" w:after="120"/>
              <w:ind w:right="612"/>
              <w:rPr>
                <w:rFonts w:ascii="Times New Roman" w:hAnsi="Times New Roman"/>
                <w:smallCaps/>
                <w:noProof/>
                <w:sz w:val="24"/>
                <w:szCs w:val="24"/>
              </w:rPr>
            </w:pPr>
          </w:p>
        </w:tc>
        <w:tc>
          <w:tcPr>
            <w:tcW w:w="7320" w:type="dxa"/>
            <w:hideMark/>
          </w:tcPr>
          <w:p>
            <w:pPr>
              <w:spacing w:before="120" w:after="120"/>
              <w:rPr>
                <w:rFonts w:ascii="Times New Roman" w:hAnsi="Times New Roman"/>
                <w:smallCaps/>
                <w:noProof/>
                <w:sz w:val="24"/>
                <w:szCs w:val="24"/>
              </w:rPr>
            </w:pPr>
            <w:r>
              <w:rPr>
                <w:rFonts w:ascii="Times New Roman" w:hAnsi="Times New Roman"/>
                <w:smallCaps/>
                <w:noProof/>
              </w:rPr>
              <w:t>предварителни данни за усвояването на бюджетните кредити по линия на ЕФГЗ към 31.1.2018 г.</w:t>
            </w:r>
          </w:p>
        </w:tc>
      </w:tr>
    </w:tbl>
    <w:p>
      <w:pPr>
        <w:spacing w:after="0"/>
        <w:rPr>
          <w:noProof/>
        </w:rPr>
      </w:pPr>
    </w:p>
    <w:p>
      <w:pPr>
        <w:spacing w:after="0"/>
        <w:rPr>
          <w:noProof/>
        </w:rPr>
      </w:pPr>
    </w:p>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40"/>
          <w:pgMar w:top="1134" w:right="1418" w:bottom="1134" w:left="1440" w:header="595" w:footer="567" w:gutter="0"/>
          <w:cols w:space="720"/>
        </w:sectPr>
      </w:pPr>
    </w:p>
    <w:p>
      <w:pPr>
        <w:pStyle w:val="Heading1"/>
        <w:numPr>
          <w:ilvl w:val="0"/>
          <w:numId w:val="4"/>
        </w:numPr>
        <w:rPr>
          <w:noProof/>
        </w:rPr>
      </w:pPr>
      <w:bookmarkStart w:id="2" w:name="_Toc229306111"/>
      <w:bookmarkStart w:id="3" w:name="_Toc413145207"/>
      <w:bookmarkStart w:id="4" w:name="_Toc511305519"/>
      <w:bookmarkStart w:id="5" w:name="_Toc511305596"/>
      <w:bookmarkStart w:id="6" w:name="_Toc512006242"/>
      <w:bookmarkStart w:id="7" w:name="_Toc244054012"/>
      <w:bookmarkStart w:id="8" w:name="_Toc244054013"/>
      <w:r>
        <w:rPr>
          <w:noProof/>
        </w:rPr>
        <w:lastRenderedPageBreak/>
        <w:t>Бюджетната процедура за ЕФГЗ за 2018 г.</w:t>
      </w:r>
      <w:bookmarkEnd w:id="2"/>
      <w:bookmarkEnd w:id="3"/>
      <w:bookmarkEnd w:id="4"/>
      <w:bookmarkEnd w:id="5"/>
      <w:bookmarkEnd w:id="6"/>
    </w:p>
    <w:p>
      <w:pPr>
        <w:pStyle w:val="Text1"/>
        <w:rPr>
          <w:noProof/>
        </w:rPr>
      </w:pPr>
      <w:r>
        <w:rPr>
          <w:noProof/>
        </w:rPr>
        <w:t>Бюджетът на ЕС за 2018 г. бе приет от Европейския парламент на 30 ноември 2017 г. По линия на Европейския фонд за гарантиране на земеделието (ЕФГЗ) той включваше бюджетни кредити за поети задължения и бюджетни кредити за плащания съответно в размер на 43 235 млн. евро и 43 189 млн. евро, за директни плащания и за разходи, свързани с пазара.</w:t>
      </w:r>
    </w:p>
    <w:p>
      <w:pPr>
        <w:pStyle w:val="Text1"/>
        <w:rPr>
          <w:noProof/>
        </w:rPr>
      </w:pPr>
      <w:r>
        <w:rPr>
          <w:noProof/>
        </w:rPr>
        <w:t>Разликата между размера на бюджетните кредити за поети задължения и бюджетните кредити за плащания се дължи на факта, че за някои мерки, прилагани пряко от Комисията, се използват многогодишни бюджетни кредити. Те са свързани главно с мерките за насърчаване на продажбите на селскостопански продукти и с мерките за стратегическо планиране и координиране на политиките.</w:t>
      </w:r>
    </w:p>
    <w:p>
      <w:pPr>
        <w:pStyle w:val="Heading1"/>
        <w:rPr>
          <w:noProof/>
        </w:rPr>
      </w:pPr>
      <w:bookmarkStart w:id="9" w:name="_Toc413145208"/>
      <w:bookmarkStart w:id="10" w:name="_Toc511305520"/>
      <w:bookmarkStart w:id="11" w:name="_Toc511305597"/>
      <w:bookmarkStart w:id="12" w:name="_Toc512006243"/>
      <w:bookmarkEnd w:id="7"/>
      <w:r>
        <w:rPr>
          <w:noProof/>
        </w:rPr>
        <w:t>Целеви приходи за ЕФГЗ</w:t>
      </w:r>
      <w:bookmarkEnd w:id="8"/>
      <w:bookmarkEnd w:id="9"/>
      <w:bookmarkEnd w:id="10"/>
      <w:bookmarkEnd w:id="11"/>
      <w:bookmarkEnd w:id="12"/>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На основание на разпоредбите на член 43 от Регламент (ЕС) № 1306/2013 приходите от финансови корекции по силата на решения за счетоводно уравняване и уравняване по съответствие и вследствие на нередности се определят като целеви приходи за финансирането на разходите по линия на ЕФГЗ.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В съответствие с посочените разпоредби целевите приходи могат да се използват за финансиране на всякакви разходи по линия на ЕФГЗ. Ако част от тези приходи не е усвоена в рамките на бюджетната година, тя автоматично се пренася към следващата бюджетна година</w:t>
      </w:r>
      <w:r>
        <w:rPr>
          <w:rFonts w:ascii="Times New Roman" w:hAnsi="Times New Roman"/>
          <w:noProof/>
          <w:sz w:val="24"/>
          <w:vertAlign w:val="superscript"/>
        </w:rPr>
        <w:footnoteReference w:id="1"/>
      </w:r>
      <w:r>
        <w:rPr>
          <w:rFonts w:ascii="Times New Roman" w:hAnsi="Times New Roman"/>
          <w:noProof/>
          <w:sz w:val="24"/>
        </w:rPr>
        <w:t>.</w:t>
      </w:r>
    </w:p>
    <w:p>
      <w:pPr>
        <w:spacing w:before="120" w:after="0" w:line="240" w:lineRule="auto"/>
        <w:ind w:left="851"/>
        <w:jc w:val="both"/>
        <w:rPr>
          <w:rFonts w:ascii="Times New Roman" w:eastAsia="Times New Roman" w:hAnsi="Times New Roman"/>
          <w:noProof/>
          <w:sz w:val="24"/>
          <w:szCs w:val="24"/>
        </w:rPr>
      </w:pPr>
      <w:r>
        <w:rPr>
          <w:rFonts w:ascii="Times New Roman" w:hAnsi="Times New Roman"/>
          <w:noProof/>
          <w:sz w:val="24"/>
        </w:rPr>
        <w:t>Бюджетът на ЕФГЗ за 2018 г. включва:</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rPr>
        <w:t>най-актуалните разчети на Комисията относно потребностите от финансиране за пазарни мерки и директни плащания,</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rPr>
        <w:t>разчетите относно целевите приходи, които се очаква да бъдат събрани през съответната бюджетна година,</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rPr>
        <w:t>пренесените неусвоени целеви приходи от предходната бюджетна година.</w:t>
      </w:r>
    </w:p>
    <w:p>
      <w:pPr>
        <w:spacing w:before="120" w:after="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В предложението си относно бюджетните кредити за ЕФГЗ за 2018 г. Комисията взе предвид общия размер на очакваните целеви приходи и поиска в бюджета за 2018 г. кредити, чийто размер възлиза на разликата между потребностите и целевите приходи по разчет. Бюджетният орган прие бюджета на ЕФГЗ, като взе предвид очакваните целеви приходи.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Според разчетите на Комисията наличните целеви приходи към момента на съставяне на бюджета за 2018 г. възлизаха на 1 475,9 млн. евро и включваха: </w:t>
      </w:r>
    </w:p>
    <w:p>
      <w:pPr>
        <w:numPr>
          <w:ilvl w:val="0"/>
          <w:numId w:val="13"/>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lastRenderedPageBreak/>
        <w:t>целевите приходи, които се очаква да се генерират през бюджетната 2018 г. и чийто разчетен размер беше 865,9 млн. евро (733,9 млн. евро от корекции от уравняване по съответствие и 132 млн. евро вследствие на нередности);</w:t>
      </w:r>
    </w:p>
    <w:p>
      <w:pPr>
        <w:numPr>
          <w:ilvl w:val="0"/>
          <w:numId w:val="13"/>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целевите приходи за пренос от 2017 г. към 2018 г., чийто размер по разчет беше 610 млн. евро.</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Комисията разпредели тези  приходи в размер на 1 475,9 млн. евро по разчет за следните схеми: </w:t>
      </w:r>
    </w:p>
    <w:p>
      <w:pPr>
        <w:numPr>
          <w:ilvl w:val="0"/>
          <w:numId w:val="14"/>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400 млн. евро за оперативните фондове за организациите на производители на плодове и зеленчуци,</w:t>
      </w:r>
    </w:p>
    <w:p>
      <w:pPr>
        <w:numPr>
          <w:ilvl w:val="0"/>
          <w:numId w:val="14"/>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1 075,9 млн. евро за схемата за основно плащане.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Сборът на одобрените бюджетни кредити и целевите приходи за тези схеми е следният:</w:t>
      </w:r>
    </w:p>
    <w:p>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872 млн. евро за оперативните фондове за организациите на производители на плодове и зеленчуци,</w:t>
      </w:r>
    </w:p>
    <w:p>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17 402 млн. евро за схемата за основно плащане.</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В приложението, в което се представят предварителните данни за изпълнението на бюджета за 2018 г. за периода до 31 януари 2018 г., гореспоменатите целеви приходи не са отчетени в данните за бюджетните кредити по статиите за плодовете и зеленчуците и за отделените от производството директни плащания. Данните представляват одобрените бюджетни кредити по тези статии, възлизащи съответно на 531,8 млн. евро и 34 309,1 млн. евро.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С включването на целевите приходи по тези статии общият размер на средствата, предвидени в бюджета за 2018 г., е 931,8 млн. евро за сектора на плодовете и зеленчуците и 35 385 млн. евро за отделените от производството директни плащания. </w:t>
      </w:r>
    </w:p>
    <w:p>
      <w:pPr>
        <w:pStyle w:val="Heading1"/>
        <w:rPr>
          <w:noProof/>
        </w:rPr>
      </w:pPr>
      <w:bookmarkStart w:id="13" w:name="_Toc244054015"/>
      <w:bookmarkStart w:id="14" w:name="_Toc413145209"/>
      <w:bookmarkStart w:id="15" w:name="_Toc511305521"/>
      <w:bookmarkStart w:id="16" w:name="_Toc511305598"/>
      <w:bookmarkStart w:id="17" w:name="_Toc512006244"/>
      <w:r>
        <w:rPr>
          <w:noProof/>
        </w:rPr>
        <w:t>Бележки относно предварителните данни за изпълнението на бюджета на ЕФГЗ за 2018 г.</w:t>
      </w:r>
      <w:bookmarkEnd w:id="13"/>
      <w:bookmarkEnd w:id="14"/>
      <w:bookmarkEnd w:id="15"/>
      <w:bookmarkEnd w:id="16"/>
      <w:bookmarkEnd w:id="17"/>
    </w:p>
    <w:p>
      <w:pPr>
        <w:spacing w:before="120" w:after="120" w:line="240" w:lineRule="auto"/>
        <w:ind w:left="850"/>
        <w:jc w:val="both"/>
        <w:rPr>
          <w:rFonts w:ascii="Times New Roman" w:eastAsia="Times New Roman" w:hAnsi="Times New Roman"/>
          <w:noProof/>
          <w:sz w:val="24"/>
          <w:szCs w:val="24"/>
        </w:rPr>
      </w:pPr>
      <w:bookmarkStart w:id="18" w:name="_Toc244054016"/>
      <w:r>
        <w:rPr>
          <w:rFonts w:ascii="Times New Roman" w:hAnsi="Times New Roman"/>
          <w:noProof/>
          <w:sz w:val="24"/>
        </w:rPr>
        <w:t xml:space="preserve">Предварителните данни за изпълнението на бюджета за периода от 16 октомври 2017 г. до 31 януари 2018 г. са представени в приложението. Това изпълнение е съпоставено с профила на разходите по системата за ранно предупреждение, въведена съгласно член 28 от Регламент (ЕС) № 1306/2013. </w:t>
      </w:r>
    </w:p>
    <w:p>
      <w:pPr>
        <w:pStyle w:val="Heading2"/>
        <w:rPr>
          <w:noProof/>
        </w:rPr>
      </w:pPr>
      <w:bookmarkStart w:id="19" w:name="_Toc511305522"/>
      <w:bookmarkStart w:id="20" w:name="_Toc511305599"/>
      <w:bookmarkStart w:id="21" w:name="_Toc512006136"/>
      <w:bookmarkStart w:id="22" w:name="_Toc512006245"/>
      <w:r>
        <w:rPr>
          <w:noProof/>
        </w:rPr>
        <w:t>Пазарни мерки</w:t>
      </w:r>
      <w:bookmarkEnd w:id="18"/>
      <w:bookmarkEnd w:id="19"/>
      <w:bookmarkEnd w:id="20"/>
      <w:bookmarkEnd w:id="21"/>
      <w:bookmarkEnd w:id="22"/>
    </w:p>
    <w:p>
      <w:pPr>
        <w:pStyle w:val="Text1"/>
        <w:rPr>
          <w:noProof/>
        </w:rPr>
      </w:pPr>
      <w:r>
        <w:rPr>
          <w:noProof/>
        </w:rPr>
        <w:t>Усвоените бюджетни кредити за интервенции на селскостопанските пазари бяха с 98,4 млн. евро повече от очакваното. При отчитане на целевите приходи от 400 млн. евро, предназначени за сектора на плодовете и зеленчуците, преизпълнението в сравнение с изчисления профил на разходите става 26,7 млн. евро. Тази разлика представлява чистия ефект от по-високото изпълнение при насърчаването на продажбите и по-бавното от очакваното бюджетно изпълнение на извънредните мерки в сектора на птичето месо и училищната схема.</w:t>
      </w:r>
    </w:p>
    <w:p>
      <w:pPr>
        <w:pStyle w:val="Heading3"/>
        <w:rPr>
          <w:noProof/>
        </w:rPr>
      </w:pPr>
      <w:bookmarkStart w:id="23" w:name="_Toc511305523"/>
      <w:bookmarkStart w:id="24" w:name="_Toc511305600"/>
      <w:bookmarkStart w:id="25" w:name="_Toc512006137"/>
      <w:bookmarkStart w:id="26" w:name="_Toc512006246"/>
      <w:r>
        <w:rPr>
          <w:noProof/>
        </w:rPr>
        <w:lastRenderedPageBreak/>
        <w:t>Насърчаване на продажбите (+ 68,7 млн. евро)</w:t>
      </w:r>
      <w:bookmarkEnd w:id="23"/>
      <w:bookmarkEnd w:id="24"/>
      <w:bookmarkEnd w:id="25"/>
      <w:bookmarkEnd w:id="26"/>
    </w:p>
    <w:p>
      <w:pPr>
        <w:pStyle w:val="Text1"/>
        <w:rPr>
          <w:noProof/>
        </w:rPr>
      </w:pPr>
      <w:r>
        <w:rPr>
          <w:noProof/>
        </w:rPr>
        <w:t xml:space="preserve">Превишението спрямо профила на разходите се дължи на по-ранното от обичайното поемане на задължение за бюджетните кредити за т.нар. „множествени“ програми. </w:t>
      </w:r>
    </w:p>
    <w:p>
      <w:pPr>
        <w:pStyle w:val="Heading3"/>
        <w:rPr>
          <w:noProof/>
        </w:rPr>
      </w:pPr>
      <w:bookmarkStart w:id="27" w:name="_Toc511305524"/>
      <w:bookmarkStart w:id="28" w:name="_Toc511305601"/>
      <w:bookmarkStart w:id="29" w:name="_Toc512006138"/>
      <w:bookmarkStart w:id="30" w:name="_Toc512006247"/>
      <w:r>
        <w:rPr>
          <w:noProof/>
        </w:rPr>
        <w:t>Плодове и зеленчуци (+ 65,5 млн. евро)</w:t>
      </w:r>
      <w:bookmarkEnd w:id="27"/>
      <w:bookmarkEnd w:id="28"/>
      <w:bookmarkEnd w:id="29"/>
      <w:bookmarkEnd w:id="30"/>
    </w:p>
    <w:p>
      <w:pPr>
        <w:pStyle w:val="Text1"/>
        <w:rPr>
          <w:noProof/>
        </w:rPr>
      </w:pPr>
      <w:r>
        <w:rPr>
          <w:noProof/>
        </w:rPr>
        <w:t>В данните за това привидно преизпълнение не са отчетени целевите приходи за този сектор. Като се отчетат и посочените приходи, се вижда, че изпълнението съответства на профила: -6,2 млн. евро, т.е. само -0,7 % (вж. бележката под линия в приложението, отбелязана със знака *).</w:t>
      </w:r>
    </w:p>
    <w:p>
      <w:pPr>
        <w:pStyle w:val="Heading3"/>
        <w:rPr>
          <w:noProof/>
        </w:rPr>
      </w:pPr>
      <w:bookmarkStart w:id="31" w:name="_Toc511305525"/>
      <w:bookmarkStart w:id="32" w:name="_Toc511305602"/>
      <w:bookmarkStart w:id="33" w:name="_Toc512006139"/>
      <w:bookmarkStart w:id="34" w:name="_Toc512006248"/>
      <w:r>
        <w:rPr>
          <w:noProof/>
        </w:rPr>
        <w:t>Училищна схема (-24,0 млн. евро)</w:t>
      </w:r>
      <w:bookmarkEnd w:id="31"/>
      <w:bookmarkEnd w:id="32"/>
      <w:bookmarkEnd w:id="33"/>
      <w:bookmarkEnd w:id="34"/>
    </w:p>
    <w:p>
      <w:pPr>
        <w:pStyle w:val="Text1"/>
        <w:rPr>
          <w:noProof/>
        </w:rPr>
      </w:pPr>
      <w:r>
        <w:rPr>
          <w:noProof/>
        </w:rPr>
        <w:t>От началото на учебната 2017/2018 г. предишните две отделни училищни схеми за предлагане — съответно на плодове и зеленчуци и на мляко — бяха обединени. Профилът на разходите за тази бюджетна статия бе съставен въз основа на данните за изпълнението на предишните отделни училищни схеми. Действителното изпълнение по новата схема засега изглежда различно (по-бавно) в сравнение с предишните схеми.</w:t>
      </w:r>
    </w:p>
    <w:p>
      <w:pPr>
        <w:pStyle w:val="Heading3"/>
        <w:rPr>
          <w:noProof/>
        </w:rPr>
      </w:pPr>
      <w:bookmarkStart w:id="35" w:name="_Toc511305526"/>
      <w:bookmarkStart w:id="36" w:name="_Toc511305603"/>
      <w:bookmarkStart w:id="37" w:name="_Toc512006140"/>
      <w:bookmarkStart w:id="38" w:name="_Toc512006249"/>
      <w:r>
        <w:rPr>
          <w:noProof/>
        </w:rPr>
        <w:t>Свинско месо, яйца и птиче месо, пчеларство и други животински продукти (-7,7 млн. евро)</w:t>
      </w:r>
      <w:bookmarkEnd w:id="35"/>
      <w:bookmarkEnd w:id="36"/>
      <w:bookmarkEnd w:id="37"/>
      <w:bookmarkEnd w:id="38"/>
      <w:r>
        <w:rPr>
          <w:noProof/>
        </w:rPr>
        <w:t xml:space="preserve"> </w:t>
      </w:r>
    </w:p>
    <w:p>
      <w:pPr>
        <w:pStyle w:val="Text1"/>
        <w:rPr>
          <w:noProof/>
        </w:rPr>
      </w:pPr>
      <w:r>
        <w:rPr>
          <w:noProof/>
        </w:rPr>
        <w:t>През предишните години по тази бюджетна статия се включваха разходите за пчеларството и мерките за сектора на свинското месо. През 2018 г. по тази статия се финансират помощта за пчеларството и извънредните мерки във връзка със заболяванията при животните. Затова тази година изпълнението може да се различава от профила, изчислен въз основа на изпълнението през предходните години.</w:t>
      </w:r>
    </w:p>
    <w:p>
      <w:pPr>
        <w:pStyle w:val="Heading2"/>
        <w:rPr>
          <w:noProof/>
        </w:rPr>
      </w:pPr>
      <w:bookmarkStart w:id="39" w:name="_Toc511305527"/>
      <w:bookmarkStart w:id="40" w:name="_Toc511305604"/>
      <w:bookmarkStart w:id="41" w:name="_Toc512006141"/>
      <w:bookmarkStart w:id="42" w:name="_Toc512006250"/>
      <w:bookmarkStart w:id="43" w:name="_Toc244054022"/>
      <w:r>
        <w:rPr>
          <w:noProof/>
        </w:rPr>
        <w:t>Директни плащания</w:t>
      </w:r>
      <w:bookmarkEnd w:id="39"/>
      <w:bookmarkEnd w:id="40"/>
      <w:bookmarkEnd w:id="41"/>
      <w:bookmarkEnd w:id="42"/>
      <w:r>
        <w:rPr>
          <w:noProof/>
        </w:rPr>
        <w:t xml:space="preserve"> </w:t>
      </w:r>
      <w:bookmarkEnd w:id="43"/>
    </w:p>
    <w:p>
      <w:pPr>
        <w:spacing w:before="120" w:after="120" w:line="240" w:lineRule="auto"/>
        <w:ind w:left="850"/>
        <w:jc w:val="both"/>
        <w:rPr>
          <w:rFonts w:ascii="Times New Roman" w:eastAsia="Times New Roman" w:hAnsi="Times New Roman"/>
          <w:noProof/>
          <w:sz w:val="24"/>
          <w:szCs w:val="24"/>
        </w:rPr>
      </w:pPr>
      <w:bookmarkStart w:id="44" w:name="_Toc244054023"/>
      <w:r>
        <w:rPr>
          <w:rFonts w:ascii="Times New Roman" w:hAnsi="Times New Roman"/>
          <w:noProof/>
          <w:sz w:val="24"/>
        </w:rPr>
        <w:t>Усвояването на бюджетни кредити за директни плащания превишава профила на усвояването с 1 146,3 млн. евро. Като се отчетат целевите приходи, разпределени по тази глава, а именно 1 075,9 млн. евро, се получава преизпълнение в размер на 358,3 млн. евро.</w:t>
      </w:r>
    </w:p>
    <w:p>
      <w:pPr>
        <w:pStyle w:val="Heading3"/>
        <w:rPr>
          <w:noProof/>
        </w:rPr>
      </w:pPr>
      <w:bookmarkStart w:id="45" w:name="_Toc511305528"/>
      <w:bookmarkStart w:id="46" w:name="_Toc511305605"/>
      <w:bookmarkStart w:id="47" w:name="_Toc512006142"/>
      <w:bookmarkStart w:id="48" w:name="_Toc512006251"/>
      <w:r>
        <w:rPr>
          <w:noProof/>
        </w:rPr>
        <w:t>Отделени от производството директни плащания (+461,6 млн. евро)</w:t>
      </w:r>
      <w:bookmarkEnd w:id="45"/>
      <w:bookmarkEnd w:id="46"/>
      <w:bookmarkEnd w:id="47"/>
      <w:bookmarkEnd w:id="48"/>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Това усвояване показва напредък в равнището на изпълнение, но не е напълно показателно, защото средствата по тази статия се финансират както от одобрените кредити, така и от целевите приходи, а посоченото число е получено само при съпоставяне с кредитите (бел.: за повече сведения вж. точка 2 по-горе).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В бележка под линия, отбелязана със знака *, към таблицата с предварителните данни за изпълнението, съдържаща се в приложението, се прави съпоставяне на усвояването и профила на усвояването с общия размер на наличните финансови средства. От съпоставянето е видно, че изпълнението на разходите изостава с 326,4 млн. евро спрямо профила (което представлява само -0,9 %).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Комисията ежемесечно разглежда степента на изпълнение и прогнозите за разходите на държавите членки. Към настоящия момент се счита, че това малко отклонение е временно, и се очаква, че отделените от производството </w:t>
      </w:r>
      <w:r>
        <w:rPr>
          <w:rFonts w:ascii="Times New Roman" w:hAnsi="Times New Roman"/>
          <w:noProof/>
          <w:sz w:val="24"/>
        </w:rPr>
        <w:lastRenderedPageBreak/>
        <w:t>директни плащания ще бъдат осъществени до края на бюджетната година съгласно предвиденото.</w:t>
      </w:r>
    </w:p>
    <w:p>
      <w:pPr>
        <w:pStyle w:val="Heading3"/>
        <w:rPr>
          <w:noProof/>
        </w:rPr>
      </w:pPr>
      <w:bookmarkStart w:id="49" w:name="_Toc511305529"/>
      <w:bookmarkStart w:id="50" w:name="_Toc511305606"/>
      <w:bookmarkStart w:id="51" w:name="_Toc512006143"/>
      <w:bookmarkStart w:id="52" w:name="_Toc512006252"/>
      <w:r>
        <w:rPr>
          <w:noProof/>
        </w:rPr>
        <w:t>Други директни плащания (+684,7 млн. евро)</w:t>
      </w:r>
      <w:bookmarkEnd w:id="49"/>
      <w:bookmarkEnd w:id="50"/>
      <w:bookmarkEnd w:id="51"/>
      <w:bookmarkEnd w:id="52"/>
    </w:p>
    <w:p>
      <w:pPr>
        <w:spacing w:before="120" w:after="120" w:line="240" w:lineRule="auto"/>
        <w:ind w:left="850"/>
        <w:jc w:val="both"/>
        <w:rPr>
          <w:rFonts w:ascii="Times New Roman" w:eastAsia="Times New Roman" w:hAnsi="Times New Roman"/>
          <w:noProof/>
          <w:sz w:val="24"/>
          <w:szCs w:val="24"/>
        </w:rPr>
      </w:pPr>
      <w:bookmarkStart w:id="53" w:name="_Toc244054027"/>
      <w:bookmarkEnd w:id="44"/>
      <w:r>
        <w:rPr>
          <w:rFonts w:ascii="Times New Roman" w:hAnsi="Times New Roman"/>
          <w:noProof/>
          <w:sz w:val="24"/>
        </w:rPr>
        <w:t xml:space="preserve">Плащанията за доброволно обвързано с производството подпомагане са забележително високи спрямо профила. За разлика от тях при схемата за дребни земеделски стопани се наблюдава неусвояване на кредитите. </w:t>
      </w:r>
    </w:p>
    <w:p>
      <w:pPr>
        <w:spacing w:before="120" w:after="120" w:line="240" w:lineRule="auto"/>
        <w:ind w:left="850"/>
        <w:jc w:val="both"/>
        <w:rPr>
          <w:rFonts w:ascii="Times New Roman" w:eastAsia="Times New Roman" w:hAnsi="Times New Roman"/>
          <w:i/>
          <w:noProof/>
          <w:sz w:val="24"/>
          <w:szCs w:val="24"/>
        </w:rPr>
      </w:pPr>
      <w:r>
        <w:rPr>
          <w:rFonts w:ascii="Times New Roman" w:hAnsi="Times New Roman"/>
          <w:noProof/>
          <w:sz w:val="24"/>
        </w:rPr>
        <w:t>И в двата случая се счита, че отклоненията са временни, и се очаква, че другите директни плащания ще бъдат осъществени до края на бюджетната година съгласно предвиденото.</w:t>
      </w:r>
    </w:p>
    <w:p>
      <w:pPr>
        <w:pStyle w:val="Heading2"/>
        <w:rPr>
          <w:noProof/>
        </w:rPr>
      </w:pPr>
      <w:bookmarkStart w:id="54" w:name="_Toc511305530"/>
      <w:bookmarkStart w:id="55" w:name="_Toc511305607"/>
      <w:bookmarkStart w:id="56" w:name="_Toc512006144"/>
      <w:bookmarkStart w:id="57" w:name="_Toc512006253"/>
      <w:r>
        <w:rPr>
          <w:noProof/>
        </w:rPr>
        <w:t>Одит на разходите за земеделие (-28,4 млн. евро)</w:t>
      </w:r>
      <w:bookmarkEnd w:id="54"/>
      <w:bookmarkEnd w:id="55"/>
      <w:bookmarkEnd w:id="56"/>
      <w:bookmarkEnd w:id="57"/>
    </w:p>
    <w:p>
      <w:pPr>
        <w:pStyle w:val="Text1"/>
        <w:rPr>
          <w:noProof/>
        </w:rPr>
      </w:pPr>
      <w:r>
        <w:rPr>
          <w:noProof/>
        </w:rPr>
        <w:t xml:space="preserve">Неусвояването по глава 05 07 от бюджета показва, че в началото на финансовата година са направени по-малко плащания спрямо средния профил от предходните години. Тези плащания засягат предимно финансови корекции в полза на държавите членки по силата на решения за уравняване по съответствие или финансово уравняване на сметките от предходни години. </w:t>
      </w:r>
    </w:p>
    <w:p>
      <w:pPr>
        <w:pStyle w:val="Heading1"/>
        <w:rPr>
          <w:noProof/>
        </w:rPr>
      </w:pPr>
      <w:bookmarkStart w:id="58" w:name="_Toc413145210"/>
      <w:bookmarkStart w:id="59" w:name="_Toc511305531"/>
      <w:bookmarkStart w:id="60" w:name="_Toc511305608"/>
      <w:bookmarkStart w:id="61" w:name="_Toc512006254"/>
      <w:r>
        <w:rPr>
          <w:noProof/>
        </w:rPr>
        <w:t>Изпълнение на целевите приходи за ЕФГЗ</w:t>
      </w:r>
      <w:bookmarkEnd w:id="53"/>
      <w:bookmarkEnd w:id="58"/>
      <w:bookmarkEnd w:id="59"/>
      <w:bookmarkEnd w:id="60"/>
      <w:bookmarkEnd w:id="61"/>
    </w:p>
    <w:p>
      <w:pPr>
        <w:spacing w:before="90" w:after="120" w:line="240" w:lineRule="auto"/>
        <w:ind w:left="851"/>
        <w:jc w:val="both"/>
        <w:rPr>
          <w:rFonts w:ascii="Times New Roman" w:eastAsia="Times New Roman" w:hAnsi="Times New Roman"/>
          <w:noProof/>
          <w:sz w:val="24"/>
          <w:szCs w:val="24"/>
        </w:rPr>
      </w:pPr>
      <w:bookmarkStart w:id="62" w:name="_Toc244054028"/>
      <w:r>
        <w:rPr>
          <w:rFonts w:ascii="Times New Roman" w:hAnsi="Times New Roman"/>
          <w:noProof/>
          <w:sz w:val="24"/>
        </w:rPr>
        <w:t>Таблицата в приложението показва, че към края на януари 2018 г. са събрани целеви приходи, възлизащи на 402 млн. евро. По-конкретно:</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rPr>
        <w:t>приходи от корекции по силата на решения за счетоводно уравняване и за уравняване по съответствие в размер на 347,5 млн. евро, като до края на бюджетната година се очакват допълнителни суми,</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rPr>
        <w:t xml:space="preserve">приходи вследствие на нередности в размер на 52,6 млн. евро, като до края на бюджетната година също се очакват допълнителни суми, </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rPr>
        <w:t>известна сума остатъчни приходи от налога в сектора на млякото и млечните продукти в размер на 1,9 млн. евро.</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Накрая, целевите приходи, пренесени от 2017 към 2018 г., възлизат на 603,3 млн. евро, което е малко по-малко от очакваното при приемането на бюджета за 2018 г. </w:t>
      </w:r>
    </w:p>
    <w:p>
      <w:pPr>
        <w:pStyle w:val="Text1"/>
        <w:rPr>
          <w:noProof/>
        </w:rPr>
      </w:pPr>
      <w:r>
        <w:rPr>
          <w:noProof/>
        </w:rPr>
        <w:t>Така общият размер на наличните целеви приходи за финансиране на разходите по линия на ЕФГЗ към 31 януари 2018 г. възлиза на 1 005,3 млн. евро, като в течение на бюджетната година се очаква да бъдат събрани още суми.</w:t>
      </w:r>
    </w:p>
    <w:p>
      <w:pPr>
        <w:pStyle w:val="Heading1"/>
        <w:rPr>
          <w:noProof/>
        </w:rPr>
      </w:pPr>
      <w:bookmarkStart w:id="63" w:name="_Toc244054030"/>
      <w:bookmarkStart w:id="64" w:name="_Toc413145211"/>
      <w:bookmarkStart w:id="65" w:name="_Toc511305532"/>
      <w:bookmarkStart w:id="66" w:name="_Toc511305609"/>
      <w:bookmarkStart w:id="67" w:name="_Toc512006255"/>
      <w:bookmarkEnd w:id="62"/>
      <w:r>
        <w:rPr>
          <w:noProof/>
        </w:rPr>
        <w:t>Заключения</w:t>
      </w:r>
      <w:bookmarkEnd w:id="63"/>
      <w:bookmarkEnd w:id="64"/>
      <w:bookmarkEnd w:id="65"/>
      <w:bookmarkEnd w:id="66"/>
      <w:bookmarkEnd w:id="67"/>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Съгласно предварителните данни за усвояването на бюджетните кредити по линия на ЕФГЗ за 2018 г. за периода до 31 януари 2018 г. месечните възстановявания в полза на държавите членки превишават изчисления профил на усвояване с 1 209,9 млн. евро.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Вече са налице целеви приходи в размер на 1 005,3 млн. евро, като в течение на бюджетната година се очаква да бъдат събрани още суми. </w:t>
      </w:r>
    </w:p>
    <w:p>
      <w:pPr>
        <w:spacing w:before="120" w:after="120" w:line="240" w:lineRule="auto"/>
        <w:ind w:left="850"/>
        <w:jc w:val="both"/>
        <w:rPr>
          <w:noProof/>
        </w:rPr>
      </w:pPr>
      <w:r>
        <w:rPr>
          <w:rFonts w:ascii="Times New Roman" w:hAnsi="Times New Roman"/>
          <w:noProof/>
          <w:sz w:val="24"/>
        </w:rPr>
        <w:lastRenderedPageBreak/>
        <w:t xml:space="preserve">Към настоящия момент Комисията очаква, че одобрените бюджетни кредити и целевите приходи, които са вече налични и ще бъдат налични към края на бюджетната година, ще бъдат достатъчни за покриване на всички разходи. </w:t>
      </w:r>
    </w:p>
    <w:p>
      <w:pPr>
        <w:pStyle w:val="Typedudocument"/>
        <w:rPr>
          <w:noProof/>
        </w:rPr>
      </w:pPr>
    </w:p>
    <w:sectPr>
      <w:headerReference w:type="even" r:id="rId22"/>
      <w:headerReference w:type="default" r:id="rId23"/>
      <w:footerReference w:type="even" r:id="rId24"/>
      <w:footerReference w:type="default" r:id="rId25"/>
      <w:headerReference w:type="first" r:id="rId26"/>
      <w:footerReference w:type="first" r:id="rId27"/>
      <w:pgSz w:w="11907" w:h="16840"/>
      <w:pgMar w:top="1134" w:right="1418" w:bottom="1134" w:left="1440" w:header="595"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42DA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r>
      <w:rPr>
        <w:szCs w:val="24"/>
      </w:rPr>
      <w:fldChar w:fldCharType="begin"/>
    </w:r>
    <w:r>
      <w:rPr>
        <w:szCs w:val="24"/>
      </w:rPr>
      <w:instrText xml:space="preserve"> PAGE   \* MERGEFORMAT </w:instrText>
    </w:r>
    <w:r>
      <w:rPr>
        <w:szCs w:val="24"/>
      </w:rPr>
      <w:fldChar w:fldCharType="separate"/>
    </w:r>
    <w:r>
      <w:rPr>
        <w:noProof/>
        <w:szCs w:val="24"/>
      </w:rPr>
      <w:t>1</w:t>
    </w:r>
    <w:r>
      <w:rPr>
        <w:noProof/>
        <w:szCs w:val="24"/>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r>
      <w:rPr>
        <w:szCs w:val="24"/>
      </w:rPr>
      <w:fldChar w:fldCharType="begin"/>
    </w:r>
    <w:r>
      <w:rPr>
        <w:szCs w:val="24"/>
      </w:rPr>
      <w:instrText xml:space="preserve"> PAGE   \* MERGEFORMAT </w:instrText>
    </w:r>
    <w:r>
      <w:rPr>
        <w:szCs w:val="24"/>
      </w:rPr>
      <w:fldChar w:fldCharType="separate"/>
    </w:r>
    <w:r>
      <w:rPr>
        <w:noProof/>
        <w:szCs w:val="24"/>
      </w:rPr>
      <w:t>2</w:t>
    </w:r>
    <w:r>
      <w:rPr>
        <w:noProof/>
        <w:szCs w:val="24"/>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rPr>
          <w:rFonts w:ascii="Times New Roman" w:hAnsi="Times New Roman"/>
        </w:rPr>
      </w:pPr>
      <w:r>
        <w:rPr>
          <w:rStyle w:val="FootnoteReference"/>
          <w:rFonts w:ascii="Times New Roman" w:hAnsi="Times New Roman"/>
        </w:rPr>
        <w:footnoteRef/>
      </w:r>
      <w:r>
        <w:tab/>
      </w:r>
      <w:r>
        <w:rPr>
          <w:rFonts w:ascii="Times New Roman" w:hAnsi="Times New Roman"/>
        </w:rPr>
        <w:t xml:space="preserve">В член 14 от Регламент (ЕС, ЕВРАТОМ) № 966/2012 на Европейския парламент и на Съвета относно финансовите правила, приложими за общия бюджет на Съюза се предвижда, че вътрешните целеви приходи се пренасят само за една година. Поради това и в интерес на доброто бюджетно управление тези целеви приходи по принцип се използват преди всички одобрени бюджетни кредити по съответната бюджетна статия.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243"/>
    <w:multiLevelType w:val="hybridMultilevel"/>
    <w:tmpl w:val="F10CF12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nsid w:val="12E871E7"/>
    <w:multiLevelType w:val="hybridMultilevel"/>
    <w:tmpl w:val="FE3E400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
    <w:nsid w:val="51043F95"/>
    <w:multiLevelType w:val="hybridMultilevel"/>
    <w:tmpl w:val="EC6A612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53F47367"/>
    <w:multiLevelType w:val="singleLevel"/>
    <w:tmpl w:val="B4E8C9F0"/>
    <w:name w:val="LegalNumbering"/>
    <w:lvl w:ilvl="0">
      <w:start w:val="1"/>
      <w:numFmt w:val="bullet"/>
      <w:lvlRestart w:val="0"/>
      <w:lvlText w:val="–"/>
      <w:lvlJc w:val="left"/>
      <w:pPr>
        <w:tabs>
          <w:tab w:val="num" w:pos="1417"/>
        </w:tabs>
        <w:ind w:left="1417" w:hanging="567"/>
      </w:pPr>
    </w:lvl>
  </w:abstractNum>
  <w:abstractNum w:abstractNumId="5">
    <w:nsid w:val="55EA2AD9"/>
    <w:multiLevelType w:val="hybridMultilevel"/>
    <w:tmpl w:val="FB28C2B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6">
    <w:nsid w:val="64A12FA4"/>
    <w:multiLevelType w:val="multilevel"/>
    <w:tmpl w:val="428ECF3E"/>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4E147BA"/>
    <w:multiLevelType w:val="hybridMultilevel"/>
    <w:tmpl w:val="C4FC6E9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8">
    <w:nsid w:val="6C827C2A"/>
    <w:multiLevelType w:val="hybridMultilevel"/>
    <w:tmpl w:val="253E2B00"/>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9">
    <w:nsid w:val="6E6B4B85"/>
    <w:multiLevelType w:val="hybridMultilevel"/>
    <w:tmpl w:val="E67CE6C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0">
    <w:nsid w:val="71632DBE"/>
    <w:multiLevelType w:val="hybridMultilevel"/>
    <w:tmpl w:val="253CB54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6"/>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7"/>
  </w:num>
  <w:num w:numId="8">
    <w:abstractNumId w:val="6"/>
  </w:num>
  <w:num w:numId="9">
    <w:abstractNumId w:val="6"/>
  </w:num>
  <w:num w:numId="10">
    <w:abstractNumId w:val="6"/>
  </w:num>
  <w:num w:numId="11">
    <w:abstractNumId w:val="9"/>
  </w:num>
  <w:num w:numId="12">
    <w:abstractNumId w:val="1"/>
  </w:num>
  <w:num w:numId="13">
    <w:abstractNumId w:val="5"/>
  </w:num>
  <w:num w:numId="14">
    <w:abstractNumId w:val="3"/>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LLEN Frank (AGRI)">
    <w15:presenceInfo w15:providerId="None" w15:userId="BOLLEN Frank (AGRI)"/>
  </w15:person>
  <w15:person w15:author="SOBCZAK Anna (AGRI)">
    <w15:presenceInfo w15:providerId="None" w15:userId="SOBCZAK Anna (AGRI)"/>
  </w15:person>
  <w15:person w15:author="GUFFENS Yvette (AGRI)">
    <w15:presenceInfo w15:providerId="None" w15:userId="GUFFENS Yvette (AGRI)"/>
  </w15:person>
  <w15:person w15:author="VAN DRIEL Martin (AGRI)">
    <w15:presenceInfo w15:providerId="None" w15:userId="VAN DRIEL Martin (A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hideGrammaticalErrors/>
  <w:revisionView w:markup="0"/>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0A8F3A3-D78D-4885-A08A-4BC9FD7E880E"/>
    <w:docVar w:name="LW_COVERPAGE_TYPE" w:val="1"/>
    <w:docVar w:name="LW_CROSSREFERENCE" w:val="&lt;UNUSED&gt;"/>
    <w:docVar w:name="LW_DocType" w:val="NORMAL"/>
    <w:docVar w:name="LW_EMISSION" w:val="27.4.2018"/>
    <w:docVar w:name="LW_EMISSION_ISODATE" w:val="2018-04-27"/>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2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79?\u1072? \u1088?\u1072?\u1079?\u1093?\u1086?\u1076?\u1080?\u1090?\u1077? \u1087?\u1086? \u1083?\u1080?\u1085?\u1080?\u1103? \u1085?\u1072? \u1045?\u1074?\u1088?\u1086?\u1087?\u1077?\u1081?\u1089?\u1082?\u1080?\u1103? \u1092?\u1086?\u1085?\u1076? \u1079?\u1072? \u1075?\u1072?\u1088?\u1072?\u1085?\u1090?\u1080?\u1088?\u1072?\u1085?\u1077? \u1085?\u1072? \u1079?\u1077?\u1084?\u1077?\u1076?\u1077?\u1083?\u1080?\u1077?\u1090?\u1086? (\u1045?\u1060?\u1043?\u1047?)_x000b__x000b_\u1057?\u1080?\u1089?\u1090?\u1077?\u1084?\u1072? \u1079?\u1072? \u1088?\u1072?\u1085?\u1085?\u1086? \u1087?\u1088?\u1077?\u1076?\u1091?\u1087?\u1088?\u1077?\u1078?\u1076?\u1077?\u1085?\u1080?\u1077? \u8470? 1-3/2018"/>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bg-BG"/>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rPr>
      <w:rFonts w:ascii="Times New Roman" w:eastAsia="Times New Roman" w:hAnsi="Times New Roman"/>
      <w:b/>
      <w:bCs/>
      <w:smallCaps/>
      <w:sz w:val="24"/>
      <w:szCs w:val="32"/>
      <w:lang w:eastAsia="bg-BG"/>
    </w:rPr>
  </w:style>
  <w:style w:type="character" w:customStyle="1" w:styleId="Heading2Char">
    <w:name w:val="Heading 2 Char"/>
    <w:link w:val="Heading2"/>
    <w:rPr>
      <w:rFonts w:ascii="Times New Roman" w:eastAsia="Times New Roman" w:hAnsi="Times New Roman"/>
      <w:b/>
      <w:bCs/>
      <w:iCs/>
      <w:sz w:val="24"/>
      <w:szCs w:val="28"/>
      <w:lang w:eastAsia="bg-BG"/>
    </w:rPr>
  </w:style>
  <w:style w:type="character" w:customStyle="1" w:styleId="Heading3Char">
    <w:name w:val="Heading 3 Char"/>
    <w:link w:val="Heading3"/>
    <w:rPr>
      <w:rFonts w:ascii="Times New Roman" w:eastAsia="Times New Roman" w:hAnsi="Times New Roman"/>
      <w:bCs/>
      <w:i/>
      <w:sz w:val="24"/>
      <w:szCs w:val="26"/>
      <w:lang w:eastAsia="bg-BG"/>
    </w:rPr>
  </w:style>
  <w:style w:type="character" w:customStyle="1" w:styleId="Heading4Char">
    <w:name w:val="Heading 4 Char"/>
    <w:link w:val="Heading4"/>
    <w:semiHidden/>
    <w:rPr>
      <w:rFonts w:ascii="Times New Roman" w:eastAsia="Times New Roman" w:hAnsi="Times New Roman"/>
      <w:bCs/>
      <w:sz w:val="24"/>
      <w:szCs w:val="28"/>
      <w:lang w:eastAsia="bg-BG"/>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bg-BG"/>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customStyle="1" w:styleId="Text2">
    <w:name w:val="Text 2"/>
    <w:basedOn w:val="Normal"/>
    <w:pPr>
      <w:spacing w:before="120" w:after="120" w:line="240" w:lineRule="auto"/>
      <w:ind w:left="850"/>
      <w:jc w:val="both"/>
    </w:pPr>
    <w:rPr>
      <w:rFonts w:ascii="Times New Roman" w:hAnsi="Times New Roman"/>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bg-BG"/>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lang w:eastAsia="en-US" w:bidi="ar-SA"/>
    </w:rPr>
  </w:style>
  <w:style w:type="paragraph" w:customStyle="1" w:styleId="TitreobjetPagedecouverture">
    <w:name w:val="Titre objet (Page de couverture)"/>
    <w:basedOn w:val="Titreobjet"/>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bg-BG"/>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rPr>
      <w:rFonts w:ascii="Times New Roman" w:eastAsia="Times New Roman" w:hAnsi="Times New Roman"/>
      <w:b/>
      <w:bCs/>
      <w:smallCaps/>
      <w:sz w:val="24"/>
      <w:szCs w:val="32"/>
      <w:lang w:eastAsia="bg-BG"/>
    </w:rPr>
  </w:style>
  <w:style w:type="character" w:customStyle="1" w:styleId="Heading2Char">
    <w:name w:val="Heading 2 Char"/>
    <w:link w:val="Heading2"/>
    <w:rPr>
      <w:rFonts w:ascii="Times New Roman" w:eastAsia="Times New Roman" w:hAnsi="Times New Roman"/>
      <w:b/>
      <w:bCs/>
      <w:iCs/>
      <w:sz w:val="24"/>
      <w:szCs w:val="28"/>
      <w:lang w:eastAsia="bg-BG"/>
    </w:rPr>
  </w:style>
  <w:style w:type="character" w:customStyle="1" w:styleId="Heading3Char">
    <w:name w:val="Heading 3 Char"/>
    <w:link w:val="Heading3"/>
    <w:rPr>
      <w:rFonts w:ascii="Times New Roman" w:eastAsia="Times New Roman" w:hAnsi="Times New Roman"/>
      <w:bCs/>
      <w:i/>
      <w:sz w:val="24"/>
      <w:szCs w:val="26"/>
      <w:lang w:eastAsia="bg-BG"/>
    </w:rPr>
  </w:style>
  <w:style w:type="character" w:customStyle="1" w:styleId="Heading4Char">
    <w:name w:val="Heading 4 Char"/>
    <w:link w:val="Heading4"/>
    <w:semiHidden/>
    <w:rPr>
      <w:rFonts w:ascii="Times New Roman" w:eastAsia="Times New Roman" w:hAnsi="Times New Roman"/>
      <w:bCs/>
      <w:sz w:val="24"/>
      <w:szCs w:val="28"/>
      <w:lang w:eastAsia="bg-BG"/>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bg-BG"/>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customStyle="1" w:styleId="Text2">
    <w:name w:val="Text 2"/>
    <w:basedOn w:val="Normal"/>
    <w:pPr>
      <w:spacing w:before="120" w:after="120" w:line="240" w:lineRule="auto"/>
      <w:ind w:left="850"/>
      <w:jc w:val="both"/>
    </w:pPr>
    <w:rPr>
      <w:rFonts w:ascii="Times New Roman" w:hAnsi="Times New Roman"/>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bg-BG"/>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lang w:eastAsia="en-US" w:bidi="ar-SA"/>
    </w:rPr>
  </w:style>
  <w:style w:type="paragraph" w:customStyle="1" w:styleId="TitreobjetPagedecouverture">
    <w:name w:val="Titre objet (Page de couverture)"/>
    <w:basedOn w:val="Titreobjet"/>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03164">
      <w:bodyDiv w:val="1"/>
      <w:marLeft w:val="0"/>
      <w:marRight w:val="0"/>
      <w:marTop w:val="0"/>
      <w:marBottom w:val="0"/>
      <w:divBdr>
        <w:top w:val="none" w:sz="0" w:space="0" w:color="auto"/>
        <w:left w:val="none" w:sz="0" w:space="0" w:color="auto"/>
        <w:bottom w:val="none" w:sz="0" w:space="0" w:color="auto"/>
        <w:right w:val="none" w:sz="0" w:space="0" w:color="auto"/>
      </w:divBdr>
    </w:div>
    <w:div w:id="1684211282">
      <w:bodyDiv w:val="1"/>
      <w:marLeft w:val="0"/>
      <w:marRight w:val="0"/>
      <w:marTop w:val="0"/>
      <w:marBottom w:val="0"/>
      <w:divBdr>
        <w:top w:val="none" w:sz="0" w:space="0" w:color="auto"/>
        <w:left w:val="none" w:sz="0" w:space="0" w:color="auto"/>
        <w:bottom w:val="none" w:sz="0" w:space="0" w:color="auto"/>
        <w:right w:val="none" w:sz="0" w:space="0" w:color="auto"/>
      </w:divBdr>
    </w:div>
    <w:div w:id="1811054184">
      <w:bodyDiv w:val="1"/>
      <w:marLeft w:val="0"/>
      <w:marRight w:val="0"/>
      <w:marTop w:val="0"/>
      <w:marBottom w:val="0"/>
      <w:divBdr>
        <w:top w:val="none" w:sz="0" w:space="0" w:color="auto"/>
        <w:left w:val="none" w:sz="0" w:space="0" w:color="auto"/>
        <w:bottom w:val="none" w:sz="0" w:space="0" w:color="auto"/>
        <w:right w:val="none" w:sz="0" w:space="0" w:color="auto"/>
      </w:divBdr>
    </w:div>
    <w:div w:id="1870990847">
      <w:bodyDiv w:val="1"/>
      <w:marLeft w:val="0"/>
      <w:marRight w:val="0"/>
      <w:marTop w:val="0"/>
      <w:marBottom w:val="0"/>
      <w:divBdr>
        <w:top w:val="none" w:sz="0" w:space="0" w:color="auto"/>
        <w:left w:val="none" w:sz="0" w:space="0" w:color="auto"/>
        <w:bottom w:val="none" w:sz="0" w:space="0" w:color="auto"/>
        <w:right w:val="none" w:sz="0" w:space="0" w:color="auto"/>
      </w:divBdr>
    </w:div>
    <w:div w:id="2035571687">
      <w:bodyDiv w:val="1"/>
      <w:marLeft w:val="0"/>
      <w:marRight w:val="0"/>
      <w:marTop w:val="0"/>
      <w:marBottom w:val="0"/>
      <w:divBdr>
        <w:top w:val="none" w:sz="0" w:space="0" w:color="auto"/>
        <w:left w:val="none" w:sz="0" w:space="0" w:color="auto"/>
        <w:bottom w:val="none" w:sz="0" w:space="0" w:color="auto"/>
        <w:right w:val="none" w:sz="0" w:space="0" w:color="auto"/>
      </w:divBdr>
    </w:div>
    <w:div w:id="21034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0E98E-1134-401E-A12E-2A8D1E21E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1600</Words>
  <Characters>8704</Characters>
  <Application>Microsoft Office Word</Application>
  <DocSecurity>0</DocSecurity>
  <Lines>189</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2017-02-28T15:14:00Z</cp:lastPrinted>
  <dcterms:created xsi:type="dcterms:W3CDTF">2018-04-12T12:12:00Z</dcterms:created>
  <dcterms:modified xsi:type="dcterms:W3CDTF">2018-04-27T14:24:00Z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evel of sensitivity">
    <vt:lpwstr>Standard treatment</vt:lpwstr>
  </property>
</Properties>
</file>