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9072D74-F130-4AD5-8F5A-D43AF2242958" style="width:451.35pt;height:477.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spacing w:before="0" w:after="0"/>
        <w:rPr>
          <w:noProof/>
        </w:rPr>
      </w:pP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С проекта на решение на Съвместния комитет на ЕИП (приложен към предложеното решение на Съвета) се цели  да се изменят приложение XI (Електронни комуникации, аудио-визуални услуги и информационно общество) и Протокол 37 (съдържащ списъка, предвиден в член 101) към Споразумението за ЕИП, за да се включи Общият регламент относно защитата на данните (Регламент (ЕС) 2016/679)</w:t>
      </w:r>
      <w:r>
        <w:rPr>
          <w:rStyle w:val="FootnoteReference"/>
          <w:noProof/>
        </w:rPr>
        <w:footnoteReference w:id="1"/>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Приложеният проект на решение на Съвместния комитет на ЕИП разширява вече съществуващата политика на ЕС, за да включи в нея членуващите в ЕИП държави от ЕАСТ (Норвегия, Исландия и Лихтенщайн).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 xml:space="preserve">Разширяването на обхвата на достиженията на правото на ЕС в членуващите в ЕИП държави от ЕАСТ чрез включването на тези достижения в Споразумението за ЕИП се извършва в съответствие с целите и принципите на това споразумение, чиято цел е създаването на динамично и хомогенно Европейско икономическо пространство, основано на общи правила и еднакви условия на конкуренция. </w:t>
      </w:r>
    </w:p>
    <w:p>
      <w:pPr>
        <w:pStyle w:val="ManualHeading1"/>
        <w:rPr>
          <w:noProof/>
        </w:rPr>
      </w:pPr>
      <w:r>
        <w:rPr>
          <w:noProof/>
        </w:rPr>
        <w:t>2.</w:t>
      </w:r>
      <w:r>
        <w:rPr>
          <w:noProof/>
        </w:rPr>
        <w:tab/>
      </w:r>
      <w:r>
        <w:rPr>
          <w:noProof/>
          <w:spacing w:val="-6"/>
        </w:rPr>
        <w:t>ПРАВНО ОСНОВАНИЕ, СУБИСИДИАРНОСТ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Законодателството, което трябва да бъде включено в Споразумението за ЕИП, се основава на член 16 от Договора за функционирането на Европейския съюз.</w:t>
      </w:r>
    </w:p>
    <w:p>
      <w:pPr>
        <w:rPr>
          <w:noProof/>
        </w:rPr>
      </w:pPr>
      <w:r>
        <w:rPr>
          <w:noProof/>
        </w:rPr>
        <w:t>Съгласно член 1, параграф 3 от Регламент (ЕО) № 2894/94</w:t>
      </w:r>
      <w:r>
        <w:rPr>
          <w:rStyle w:val="FootnoteReference"/>
          <w:noProof/>
        </w:rPr>
        <w:footnoteReference w:id="2"/>
      </w:r>
      <w:r>
        <w:rPr>
          <w:noProof/>
        </w:rPr>
        <w:t xml:space="preserve"> на Съвета относно условията за прилагане на Споразумението за ЕИП Съветът определя въз основа на предложение на Комисията позицията, която трябва да се заеме от името на Съюза по отношение на подобни решения. </w:t>
      </w:r>
    </w:p>
    <w:p>
      <w:pPr>
        <w:rPr>
          <w:noProof/>
        </w:rPr>
      </w:pPr>
      <w:r>
        <w:rPr>
          <w:noProof/>
        </w:rPr>
        <w:t>В сътрудничество с ЕСВД Комисията представя проекта на решение на Съвместния комитет на ЕИП пред Съвета, който следва да го приеме като позиция на Съюза. Комисията се надява да има възможност да представи тази позиция на Съюза пред Съвместния комитет на ЕИП възможно най-скоро.</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 xml:space="preserve">Предложението е в съответствие с принципа на субсидиарност по следната причина. </w:t>
      </w:r>
    </w:p>
    <w:p>
      <w:pPr>
        <w:rPr>
          <w:noProof/>
        </w:rPr>
      </w:pPr>
      <w:r>
        <w:rPr>
          <w:noProof/>
        </w:rPr>
        <w:t xml:space="preserve">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вследствие на което може, поради последиците, да бъде постигната по-добре на равнището на Съюза. </w:t>
      </w:r>
    </w:p>
    <w:p>
      <w:pPr>
        <w:rPr>
          <w:noProof/>
        </w:rPr>
      </w:pPr>
      <w:r>
        <w:rPr>
          <w:noProof/>
        </w:rPr>
        <w:lastRenderedPageBreak/>
        <w:t xml:space="preserve">Процесът на включване на достиженията на правото на ЕС в Споразумението за ЕИП се извършва в съответствие с Регламент (ЕО) № 2894/94 на Съвета от 28 ноември 1994 г. относно условията за прилагане на Споразумението за Европейското икономическо пространство, който потвърждава възприетия подход. </w:t>
      </w:r>
    </w:p>
    <w:p>
      <w:pPr>
        <w:pBdr>
          <w:top w:val="nil"/>
          <w:left w:val="nil"/>
          <w:bottom w:val="nil"/>
          <w:right w:val="nil"/>
          <w:between w:val="nil"/>
          <w:bar w:val="nil"/>
        </w:pBdr>
        <w:spacing w:before="0" w:after="240"/>
        <w:rPr>
          <w:rFonts w:eastAsia="Arial Unicode MS"/>
          <w:noProof/>
          <w:u w:color="000000"/>
          <w:bdr w:val="nil"/>
        </w:rPr>
      </w:pPr>
      <w:r>
        <w:rPr>
          <w:noProof/>
        </w:rPr>
        <w:t>•</w:t>
      </w:r>
      <w:r>
        <w:rPr>
          <w:noProof/>
        </w:rPr>
        <w:tab/>
      </w:r>
      <w:r>
        <w:rPr>
          <w:b/>
          <w:noProof/>
        </w:rPr>
        <w:t>Пропорционалност</w:t>
      </w:r>
    </w:p>
    <w:p>
      <w:pPr>
        <w:rPr>
          <w:noProof/>
        </w:rPr>
      </w:pPr>
      <w:r>
        <w:rPr>
          <w:noProof/>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 xml:space="preserve">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rPr>
          <w:noProof/>
        </w:rPr>
      </w:pPr>
      <w:r>
        <w:rPr>
          <w:noProof/>
        </w:rPr>
        <w:t>Не е приложимо.</w:t>
      </w:r>
    </w:p>
    <w:p>
      <w:pPr>
        <w:pStyle w:val="ManualHeading1"/>
        <w:rPr>
          <w:noProof/>
        </w:rPr>
      </w:pPr>
      <w:r>
        <w:rPr>
          <w:noProof/>
        </w:rPr>
        <w:t>4.</w:t>
      </w:r>
      <w:r>
        <w:rPr>
          <w:noProof/>
        </w:rPr>
        <w:tab/>
        <w:t>ОТРАЖЕНИЕ ВЪРХУ БЮДЖЕТА</w:t>
      </w:r>
    </w:p>
    <w:p>
      <w:pPr>
        <w:rPr>
          <w:noProof/>
        </w:rPr>
      </w:pPr>
      <w:r>
        <w:rPr>
          <w:noProof/>
        </w:rPr>
        <w:t>Не се очаква отражение върху бюджета в резултат на включването на Регламент (ЕС) № 2016/679 в Споразумението за ЕИП.</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 xml:space="preserve">Основание на основните предложени адаптации </w:t>
      </w:r>
    </w:p>
    <w:p>
      <w:pPr>
        <w:rPr>
          <w:i/>
          <w:noProof/>
          <w:color w:val="000000" w:themeColor="text1"/>
          <w:szCs w:val="24"/>
        </w:rPr>
      </w:pPr>
      <w:r>
        <w:rPr>
          <w:i/>
          <w:noProof/>
          <w:color w:val="000000" w:themeColor="text1"/>
        </w:rPr>
        <w:t>Клауза за участие (адаптация а) и к)</w:t>
      </w:r>
    </w:p>
    <w:p>
      <w:pPr>
        <w:rPr>
          <w:noProof/>
          <w:color w:val="000000" w:themeColor="text1"/>
          <w:szCs w:val="24"/>
        </w:rPr>
      </w:pPr>
      <w:r>
        <w:rPr>
          <w:noProof/>
          <w:color w:val="000000" w:themeColor="text1"/>
        </w:rPr>
        <w:t>В резултат от включването на ОРЗД в Споразумението за ЕИП надзорните органи на членуващите в ЕИП държави от ЕАСТ участват във възможно най-голяма степен в т. нар. обслужване на едно гише и механизма за съгласуваност, като с изключение на правото на глас и на кандидатиране в избор за председател или заместник-председатели на Комитета, имат същите права и задължения като надзорните органи на държавите — членки на ЕС, в Европейския комитет по защита на данните („Комитетът“). Позициите на надзорните органи на държавите от ЕАСТ също се записват отделно.</w:t>
      </w:r>
    </w:p>
    <w:p>
      <w:pPr>
        <w:rPr>
          <w:noProof/>
          <w:color w:val="000000" w:themeColor="text1"/>
          <w:szCs w:val="24"/>
        </w:rPr>
      </w:pPr>
      <w:r>
        <w:rPr>
          <w:noProof/>
          <w:color w:val="000000" w:themeColor="text1"/>
        </w:rPr>
        <w:t xml:space="preserve">Адаптация a) гарантира също така, че процедурният правилник на Комитета позволява пълноправното участие на надзорните органи на членуващите в ЕИП държави от ЕАСТ и на Надзорния орган на ЕАСТ, с изключение на правото на глас и на кандидатиране в избор за председател или заместник- председатели на Комитета. </w:t>
      </w:r>
    </w:p>
    <w:p>
      <w:pPr>
        <w:rPr>
          <w:noProof/>
          <w:color w:val="000000" w:themeColor="text1"/>
          <w:szCs w:val="24"/>
        </w:rPr>
      </w:pPr>
      <w:r>
        <w:rPr>
          <w:noProof/>
          <w:color w:val="000000" w:themeColor="text1"/>
        </w:rPr>
        <w:t>Тъй като ОРЗД предоставя на националните надзорни органи правомощия, които следва да бъдат упражнявани на национално равнище, и изисква практика на международна координация и сближаване, равноправното участие на надзорните органи на членуващите в ЕИП държави от ЕАСТ в обслужването на едно гише и механизма за съгласуваност е необходимо за последователното сътрудничество и сближаване на надзора в ЕИП.</w:t>
      </w:r>
    </w:p>
    <w:p>
      <w:pPr>
        <w:rPr>
          <w:noProof/>
          <w:color w:val="000000" w:themeColor="text1"/>
          <w:szCs w:val="24"/>
        </w:rPr>
      </w:pPr>
      <w:r>
        <w:rPr>
          <w:noProof/>
          <w:color w:val="000000" w:themeColor="text1"/>
        </w:rPr>
        <w:t xml:space="preserve">За да се улесни и гарантира съгласуваното прилагане на правилата на ЕИП от Надзорния орган на ЕАСТ по отношение на членуващите в ЕИП държави от ЕАСТ и за да се да позволи упражняването на функциите на Надзорния орган на ЕАСТ по </w:t>
      </w:r>
      <w:r>
        <w:rPr>
          <w:noProof/>
          <w:color w:val="000000" w:themeColor="text1"/>
        </w:rPr>
        <w:lastRenderedPageBreak/>
        <w:t xml:space="preserve">член 108 от Споразумението за ЕИП, адаптация к) предвижда, че Надзорният орган на ЕАСТ има право да участва в заседанията на Комитета без право на глас и че Надзорният орган на ЕАСТ определя свой представител в Комитета. Освен това, както беше посочено по-горе, адаптация a) предвижда, че процедурният правилник на Комитета позволява пълноправното участие на Надзорния орган на ЕАСТ. </w:t>
      </w:r>
    </w:p>
    <w:p>
      <w:pPr>
        <w:rPr>
          <w:i/>
          <w:noProof/>
          <w:color w:val="000000" w:themeColor="text1"/>
          <w:szCs w:val="24"/>
        </w:rPr>
      </w:pPr>
      <w:r>
        <w:rPr>
          <w:i/>
          <w:noProof/>
          <w:color w:val="000000" w:themeColor="text1"/>
        </w:rPr>
        <w:t>Информация относно преговори с трети държави (адаптация е)</w:t>
      </w:r>
      <w:r>
        <w:rPr>
          <w:noProof/>
          <w:color w:val="000000" w:themeColor="text1"/>
        </w:rPr>
        <w:t xml:space="preserve"> </w:t>
      </w:r>
    </w:p>
    <w:p>
      <w:pPr>
        <w:rPr>
          <w:noProof/>
          <w:color w:val="000000" w:themeColor="text1"/>
          <w:szCs w:val="24"/>
        </w:rPr>
      </w:pPr>
      <w:r>
        <w:rPr>
          <w:noProof/>
          <w:color w:val="000000" w:themeColor="text1"/>
        </w:rPr>
        <w:t xml:space="preserve">Адаптацията предвижда, че членуващите в ЕИП държави от ЕАСТ биват информирани за консултации с трети държави с цел приемане на решение относно адекватното ниво на защита в съответствие с процедурата, посочена в член 93, параграф 3. Както е гарантирано от член 100 от Споразумението за ЕИП, държавите от ЕАСТ участват пълноправно в Комитета, създаден съгласно член 93, с изключение на правото да гласуват. </w:t>
      </w:r>
    </w:p>
    <w:p>
      <w:pPr>
        <w:rPr>
          <w:noProof/>
          <w:color w:val="000000" w:themeColor="text1"/>
          <w:szCs w:val="24"/>
        </w:rPr>
      </w:pPr>
      <w:r>
        <w:rPr>
          <w:noProof/>
          <w:color w:val="000000" w:themeColor="text1"/>
        </w:rPr>
        <w:t>В адаптацията се посочва също така, че в случаи, когато третата държава или международната организация поема специални задължения по отношение на обработването на лични данни от държавите членки, ЕС взема под внимание положението на членуващите в ЕИП държави от ЕАСТ и обсъжда с третите държави или международните организации евентуалните механизми за последващо евентуално прилагане от членуващите в ЕИП държави от ЕАСТ.</w:t>
      </w:r>
    </w:p>
    <w:p>
      <w:pPr>
        <w:pStyle w:val="Point0"/>
        <w:ind w:left="0" w:firstLine="0"/>
        <w:rPr>
          <w:i/>
          <w:noProof/>
        </w:rPr>
      </w:pPr>
      <w:r>
        <w:rPr>
          <w:i/>
          <w:noProof/>
        </w:rPr>
        <w:t>Член 45, параграф 1 — Предаване на данни на трети държави и международни организации (адаптация д)</w:t>
      </w:r>
    </w:p>
    <w:p>
      <w:pPr>
        <w:pStyle w:val="Point0"/>
        <w:ind w:left="0" w:firstLine="0"/>
        <w:rPr>
          <w:noProof/>
        </w:rPr>
      </w:pPr>
      <w:r>
        <w:rPr>
          <w:noProof/>
        </w:rPr>
        <w:t>Предаване на лични данни от членуваща в ЕИП държава от ЕАСТ на трета държава или международна организация може да се извършва въз основа на акт за изпълнение (решение относно адекватността на защитата), приет от Комисията, който е включен в Споразумението за ЕИП съгласно обичайните процедури, описани в Споразумението за ЕИП. Целта на адаптация д) е да се даде възможност за предаване на данни също и когато решението относно адекватността на защитата се прилага от членуваща в ЕИП държава от ЕАСТ в очакване на решение на Съвместния комитет на ЕИП за включването на посоченото решение относно адекватността на защитата. Адаптация д) предвижда също така, че преди влизането в сила на дадено решение относно адекватността на защитата всяка членуваща в ЕИП държава от ЕАСТ решава и информира Комисията и Надзорния орган на ЕАСТ дали ще прилага това решение относно адекватността на защитата едновременно с държавите — членки на ЕС, или не. Ако държавата от ЕАСТ не информира Комисията и Надзорният орган на ЕАСТ, тя прилага мерките едновременно с държавите — членки на ЕС.</w:t>
      </w:r>
    </w:p>
    <w:p>
      <w:pPr>
        <w:pStyle w:val="Point0"/>
        <w:ind w:left="0" w:firstLine="0"/>
        <w:rPr>
          <w:noProof/>
        </w:rPr>
      </w:pPr>
      <w:r>
        <w:rPr>
          <w:noProof/>
        </w:rPr>
        <w:t xml:space="preserve">Ако в Съвместния комитет на ЕИП не може да се постигне споразумение за включването на решение относно адекватността на защитата в Споразумението за ЕИП в срок от дванадесет месеца след влизането в сила на решението относно адекватността на защитата, всяка членуваща в ЕИП държава от ЕАСТ може да преустанови прилагането на тези мерки, докато решението относно адекватността на защитата бъде включено в Споразумението за ЕИП, като незабавно информира за това Комисията и Надзорния орган на ЕАСТ. Тази адаптация не изключва използването на член 102 от Споразумението за ЕИП, както е посочено в адаптацията. </w:t>
      </w:r>
    </w:p>
    <w:p>
      <w:pPr>
        <w:rPr>
          <w:noProof/>
        </w:rPr>
      </w:pPr>
      <w:r>
        <w:rPr>
          <w:noProof/>
        </w:rPr>
        <w:t xml:space="preserve">Ако членуваща в ЕИП държава от ЕАСТ реши да преустанови прилагането на мерките, приети съгласно член 45, параграф 5 (мерки по отношение на дадена трета държава, територия или един или повече конкретни сектори в трета държава, или международна организация, които вече не гарантират адекватно ниво на защита), другите договарящи </w:t>
      </w:r>
      <w:r>
        <w:rPr>
          <w:noProof/>
        </w:rPr>
        <w:lastRenderedPageBreak/>
        <w:t xml:space="preserve">се страни по Споразумението за ЕИП забраняват свободния поток на лични данни към тази членуваща в ЕИП държава от ЕАСТ. </w:t>
      </w:r>
    </w:p>
    <w:p>
      <w:pPr>
        <w:pStyle w:val="Point0"/>
        <w:ind w:left="0" w:firstLine="0"/>
        <w:rPr>
          <w:noProof/>
        </w:rPr>
      </w:pPr>
      <w:r>
        <w:rPr>
          <w:i/>
          <w:noProof/>
        </w:rPr>
        <w:t>Член 46, параграф 2 — Прилагане на актове за изпълнение относно стандартни клаузи за защита на данните (адаптация з)</w:t>
      </w:r>
    </w:p>
    <w:p>
      <w:pPr>
        <w:pStyle w:val="Point0"/>
        <w:ind w:left="0" w:firstLine="0"/>
        <w:rPr>
          <w:noProof/>
        </w:rPr>
      </w:pPr>
      <w:r>
        <w:rPr>
          <w:noProof/>
        </w:rPr>
        <w:t xml:space="preserve">Тази адаптация се основава на същия принцип като адаптация д) (вж. по-горе). Адаптацията дава възможност на администраторите от ЕАСТ или обработващите данни от ЕАСТ да използват стандартни клаузи за защита на данните по същото време, когато тя влезе в сила в ЕС, освен ако дадена държава от ЕАСТ реши да не прилага мярката едновременно с държавите — членки на ЕС. </w:t>
      </w:r>
    </w:p>
    <w:p>
      <w:pPr>
        <w:pStyle w:val="Point0"/>
        <w:ind w:left="0" w:firstLine="0"/>
        <w:rPr>
          <w:i/>
          <w:noProof/>
        </w:rPr>
      </w:pPr>
      <w:r>
        <w:rPr>
          <w:i/>
          <w:noProof/>
        </w:rPr>
        <w:t>Изключване на позоваването на Хартата на основните права (адаптация и)</w:t>
      </w:r>
    </w:p>
    <w:p>
      <w:pPr>
        <w:pStyle w:val="Point0"/>
        <w:ind w:left="0" w:firstLine="0"/>
        <w:rPr>
          <w:noProof/>
        </w:rPr>
      </w:pPr>
      <w:r>
        <w:rPr>
          <w:noProof/>
        </w:rPr>
        <w:t>В съответствие с член 7 от Споразумението за ЕИП само актовете, които са включени в Споразумението за ЕИП, са задължителни за държавите от ЕАСТ. Хартата на основните права на Европейския съюз е инструмент на първичното право на ЕС, който няма задължителна сила за трети държави и не е от значение в контекста на ЕИП. Ето защо с адаптация и) към ОРЗД се изключва позоваването на Хартата на основните права, съдържащо се в член 58, параграф 4.</w:t>
      </w:r>
    </w:p>
    <w:p>
      <w:pPr>
        <w:pStyle w:val="Point0"/>
        <w:ind w:left="0" w:firstLine="0"/>
        <w:rPr>
          <w:i/>
          <w:noProof/>
        </w:rPr>
      </w:pPr>
      <w:r>
        <w:rPr>
          <w:i/>
          <w:noProof/>
        </w:rPr>
        <w:t xml:space="preserve">Член 63, член 64, параграф 2, член 65, параграф 1, буква в) и член 70, параграф 1, буква д) — искане на Надзорния орган на ЕАСТ за консултация или становище от Комитета (адаптация л) </w:t>
      </w:r>
    </w:p>
    <w:p>
      <w:pPr>
        <w:rPr>
          <w:noProof/>
          <w:color w:val="000000" w:themeColor="text1"/>
          <w:szCs w:val="24"/>
        </w:rPr>
      </w:pPr>
      <w:r>
        <w:rPr>
          <w:noProof/>
          <w:color w:val="000000" w:themeColor="text1"/>
        </w:rPr>
        <w:t>Съгласно адаптация л) Надзорният орган на ЕАСТ има право да поиска консултация или становища и да отнася въпроси до Комитета съгласно член 63, член 64, параграф 2, член 65, параграф 1, буква в) и член 70, параграф 1, буква д). Членовете, в които тези права и задължения следва да са приложими и които са свързани с упражняването на функциите на Надзорния орган на ЕАСТ по член 109 от Споразумението, са определени в адаптацията.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2018/0117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се заеме от името на Европейския съюз </w:t>
      </w:r>
      <w:r>
        <w:rPr>
          <w:noProof/>
        </w:rPr>
        <w:br/>
        <w:t xml:space="preserve">в рамките на Съвместния комитет на ЕИП във връзка с изменение на </w:t>
      </w:r>
      <w:r>
        <w:rPr>
          <w:noProof/>
        </w:rPr>
        <w:br/>
        <w:t xml:space="preserve">приложение XI (Електронни комуникации, аудио-визуални услуги и информационно общество) и Протокол 37 (съдържащ списъка, предвиден в член 101) към Споразумението за ЕИП </w:t>
      </w:r>
      <w:r>
        <w:rPr>
          <w:noProof/>
        </w:rPr>
        <w:br/>
      </w:r>
      <w:r>
        <w:rPr>
          <w:noProof/>
        </w:rPr>
        <w:br/>
        <w:t>(Общ регламент относно защитата на данните)</w:t>
      </w:r>
      <w:r>
        <w:rPr>
          <w:noProof/>
        </w:rPr>
        <w:br/>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16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3"/>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4"/>
      </w:r>
      <w:r>
        <w:rPr>
          <w:noProof/>
        </w:rPr>
        <w:t xml:space="preserve"> („Споразумението за ЕИП“) влезе в сила на 1 януари 1994 г.</w:t>
      </w:r>
    </w:p>
    <w:p>
      <w:pPr>
        <w:pStyle w:val="ManualConsidrant"/>
        <w:rPr>
          <w:noProof/>
        </w:rPr>
      </w:pPr>
      <w:r>
        <w:t>(2)</w:t>
      </w:r>
      <w:r>
        <w:tab/>
      </w:r>
      <w:r>
        <w:rPr>
          <w:noProof/>
        </w:rPr>
        <w:t xml:space="preserve">Съгласно член 98 от Споразумението за ЕИП Съвместният комитет на ЕИП може да реши да измени </w:t>
      </w:r>
      <w:r>
        <w:rPr>
          <w:i/>
          <w:noProof/>
        </w:rPr>
        <w:t>inter alia</w:t>
      </w:r>
      <w:r>
        <w:rPr>
          <w:noProof/>
        </w:rPr>
        <w:t xml:space="preserve"> приложение XI (Електронни комуникации, аудио-визуални услуги и информационно общество) и Протокол 37 (съдържащ списъка, предвиден в член 101) към Споразумението за ЕИП.</w:t>
      </w:r>
    </w:p>
    <w:p>
      <w:pPr>
        <w:pStyle w:val="ManualConsidrant"/>
        <w:rPr>
          <w:noProof/>
        </w:rPr>
      </w:pPr>
      <w:r>
        <w:t>(3)</w:t>
      </w:r>
      <w:r>
        <w:tab/>
      </w:r>
      <w:r>
        <w:rPr>
          <w:noProof/>
        </w:rPr>
        <w:t>Регламент (ЕС) 2016/679 на Европейския парламент и на Съвета</w:t>
      </w:r>
      <w:r>
        <w:rPr>
          <w:rStyle w:val="FootnoteReference"/>
          <w:noProof/>
        </w:rPr>
        <w:footnoteReference w:id="5"/>
      </w:r>
      <w:r>
        <w:rPr>
          <w:noProof/>
        </w:rPr>
        <w:t xml:space="preserve"> следва да бъде включен в Споразумението за ЕИП.</w:t>
      </w:r>
    </w:p>
    <w:p>
      <w:pPr>
        <w:pStyle w:val="ManualConsidrant"/>
        <w:rPr>
          <w:noProof/>
        </w:rPr>
      </w:pPr>
      <w:r>
        <w:t>(4)</w:t>
      </w:r>
      <w:r>
        <w:tab/>
      </w:r>
      <w:r>
        <w:rPr>
          <w:noProof/>
        </w:rPr>
        <w:t>С Регламент (ЕС) 2016/679 се отменя [, считано от 25 май 2018 г.,] Директива 95/46/ЕО на Европейския парламент и на Съвета</w:t>
      </w:r>
      <w:r>
        <w:rPr>
          <w:rStyle w:val="FootnoteReference"/>
          <w:noProof/>
        </w:rPr>
        <w:footnoteReference w:id="6"/>
      </w:r>
      <w:r>
        <w:rPr>
          <w:noProof/>
        </w:rPr>
        <w:t>, която е включена в Споразумението за ЕИП и която следва съответно да отпадне от Споразумението за ЕИП, считано от [25 май 2018 г.].</w:t>
      </w:r>
    </w:p>
    <w:p>
      <w:pPr>
        <w:pStyle w:val="ManualConsidrant"/>
        <w:rPr>
          <w:noProof/>
        </w:rPr>
      </w:pPr>
      <w:r>
        <w:lastRenderedPageBreak/>
        <w:t>(5)</w:t>
      </w:r>
      <w:r>
        <w:tab/>
      </w:r>
      <w:r>
        <w:rPr>
          <w:noProof/>
        </w:rPr>
        <w:t xml:space="preserve">Поради това приложение XI и Протокол 37 към Споразумението за ЕИП следва да бъдат съответно изменени. </w:t>
      </w:r>
    </w:p>
    <w:p>
      <w:pPr>
        <w:pStyle w:val="ManualConsidrant"/>
        <w:rPr>
          <w:noProof/>
        </w:rPr>
      </w:pPr>
      <w:r>
        <w:t>(6)</w:t>
      </w:r>
      <w:r>
        <w:tab/>
      </w:r>
      <w:r>
        <w:rPr>
          <w:noProof/>
        </w:rPr>
        <w:t>Поради това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на ЕИП във връзка с предложеното изменение на приложение IX и Протокол 37 към Споразумението за ЕИП,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eastAsia="de-DE"/>
        </w:rPr>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(ОВ L 119, 4.5.2016 г., стр. 1).</w:t>
      </w:r>
    </w:p>
  </w:footnote>
  <w:footnote w:id="2">
    <w:p>
      <w:pPr>
        <w:pStyle w:val="FootnoteText"/>
        <w:rPr>
          <w:iCs/>
          <w:lang w:val="en-US"/>
        </w:rPr>
      </w:pPr>
      <w:r>
        <w:rPr>
          <w:rStyle w:val="FootnoteReference"/>
        </w:rPr>
        <w:footnoteRef/>
      </w:r>
      <w:r>
        <w:tab/>
        <w:t>ОВ L 305, 30.11.1994 г., стр. 6.</w:t>
      </w:r>
    </w:p>
  </w:footnote>
  <w:footnote w:id="3">
    <w:p>
      <w:pPr>
        <w:pStyle w:val="FootnoteText"/>
        <w:rPr>
          <w:lang w:val="en-US"/>
        </w:rPr>
      </w:pPr>
      <w:r>
        <w:rPr>
          <w:rStyle w:val="FootnoteReference"/>
        </w:rPr>
        <w:footnoteRef/>
      </w:r>
      <w:r>
        <w:tab/>
        <w:t>ОВ L 305, 30.11.1994 г., стр. 6.</w:t>
      </w:r>
    </w:p>
  </w:footnote>
  <w:footnote w:id="4">
    <w:p>
      <w:pPr>
        <w:pStyle w:val="FootnoteText"/>
        <w:rPr>
          <w:lang w:val="en-US"/>
        </w:rPr>
      </w:pPr>
      <w:r>
        <w:rPr>
          <w:rStyle w:val="FootnoteReference"/>
        </w:rPr>
        <w:footnoteRef/>
      </w:r>
      <w:r>
        <w:tab/>
        <w:t xml:space="preserve">ОВ L 1, 3.1.1994 г., стр. 3. </w:t>
      </w:r>
    </w:p>
  </w:footnote>
  <w:footnote w:id="5">
    <w:p>
      <w:pPr>
        <w:pStyle w:val="FootnoteText"/>
        <w:rPr>
          <w:lang w:val="en-US" w:eastAsia="de-DE"/>
        </w:rPr>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(ОВ L 119, 4.5.2016 г., стр. 1).</w:t>
      </w:r>
    </w:p>
  </w:footnote>
  <w:footnote w:id="6">
    <w:p>
      <w:pPr>
        <w:pStyle w:val="FootnoteText"/>
        <w:rPr>
          <w:lang w:eastAsia="de-DE"/>
        </w:rPr>
      </w:pPr>
      <w:r>
        <w:rPr>
          <w:rStyle w:val="FootnoteReference"/>
        </w:rPr>
        <w:footnoteRef/>
      </w:r>
      <w:r>
        <w:tab/>
        <w:t>ОВ L 281, 23.11.1995 г., стр.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3207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6CA2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86FC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3AA2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3"/>
    <w:multiLevelType w:val="singleLevel"/>
    <w:tmpl w:val="0AAA7F72"/>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8548B71E"/>
    <w:lvl w:ilvl="0">
      <w:start w:val="1"/>
      <w:numFmt w:val="decimal"/>
      <w:pStyle w:val="ListNumber"/>
      <w:lvlText w:val="%1."/>
      <w:lvlJc w:val="left"/>
      <w:pPr>
        <w:tabs>
          <w:tab w:val="num" w:pos="360"/>
        </w:tabs>
        <w:ind w:left="360" w:hanging="360"/>
      </w:pPr>
    </w:lvl>
  </w:abstractNum>
  <w:abstractNum w:abstractNumId="6">
    <w:nsid w:val="FFFFFF89"/>
    <w:multiLevelType w:val="singleLevel"/>
    <w:tmpl w:val="A6DA80D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6BC5C11"/>
    <w:multiLevelType w:val="singleLevel"/>
    <w:tmpl w:val="E44CE82E"/>
    <w:name w:val="List Bullet 3"/>
    <w:lvl w:ilvl="0">
      <w:start w:val="1"/>
      <w:numFmt w:val="bullet"/>
      <w:pStyle w:val="ListBullet3"/>
      <w:lvlText w:val=""/>
      <w:lvlJc w:val="left"/>
      <w:pPr>
        <w:tabs>
          <w:tab w:val="num" w:pos="1134"/>
        </w:tabs>
        <w:ind w:left="1134" w:hanging="283"/>
      </w:pPr>
      <w:rPr>
        <w:rFonts w:ascii="Symbol" w:hAnsi="Symbol" w:hint="default"/>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21"/>
    <w:lvlOverride w:ilvl="0">
      <w:startOverride w:val="1"/>
    </w:lvlOverride>
  </w:num>
  <w:num w:numId="3">
    <w:abstractNumId w:val="6"/>
  </w:num>
  <w:num w:numId="4">
    <w:abstractNumId w:val="4"/>
  </w:num>
  <w:num w:numId="5">
    <w:abstractNumId w:val="3"/>
  </w:num>
  <w:num w:numId="6">
    <w:abstractNumId w:val="5"/>
  </w:num>
  <w:num w:numId="7">
    <w:abstractNumId w:val="2"/>
  </w:num>
  <w:num w:numId="8">
    <w:abstractNumId w:val="1"/>
  </w:num>
  <w:num w:numId="9">
    <w:abstractNumId w:val="0"/>
  </w:num>
  <w:num w:numId="10">
    <w:abstractNumId w:val="17"/>
  </w:num>
  <w:num w:numId="11">
    <w:abstractNumId w:val="11"/>
  </w:num>
  <w:num w:numId="12">
    <w:abstractNumId w:val="19"/>
  </w:num>
  <w:num w:numId="13">
    <w:abstractNumId w:val="10"/>
  </w:num>
  <w:num w:numId="14">
    <w:abstractNumId w:val="12"/>
  </w:num>
  <w:num w:numId="15">
    <w:abstractNumId w:val="8"/>
  </w:num>
  <w:num w:numId="16">
    <w:abstractNumId w:val="18"/>
  </w:num>
  <w:num w:numId="17">
    <w:abstractNumId w:val="7"/>
  </w:num>
  <w:num w:numId="18">
    <w:abstractNumId w:val="13"/>
  </w:num>
  <w:num w:numId="19">
    <w:abstractNumId w:val="15"/>
  </w:num>
  <w:num w:numId="20">
    <w:abstractNumId w:val="16"/>
  </w:num>
  <w:num w:numId="21">
    <w:abstractNumId w:val="9"/>
  </w:num>
  <w:num w:numId="22">
    <w:abstractNumId w:val="14"/>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30 17:31:2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9072D74-F130-4AD5-8F5A-D43AF2242958"/>
    <w:docVar w:name="LW_COVERPAGE_TYPE" w:val="1"/>
    <w:docVar w:name="LW_CROSSREFERENCE" w:val="&lt;UNUSED&gt;"/>
    <w:docVar w:name="LW_DocType" w:val="COM"/>
    <w:docVar w:name="LW_EMISSION" w:val="2.5.2018"/>
    <w:docVar w:name="LW_EMISSION_ISODATE" w:val="2018-05-02"/>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7"/>
    <w:docVar w:name="LW_REF.II.NEW.CP_YEAR" w:val="2018"/>
    <w:docVar w:name="LW_REF.INST.NEW" w:val="COM"/>
    <w:docVar w:name="LW_REF.INST.NEW_ADOPTED" w:val="final"/>
    <w:docVar w:name="LW_REF.INST.NEW_TEXT" w:val="(2018) 2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_x000b_\u1087?\u1088?\u1080?\u1083?\u1086?\u1078?\u1077?\u1085?\u1080?\u1077? XI (\u1045?\u1083?\u1077?\u1082?\u1090?\u1088?\u1086?\u1085?\u1085?\u1080? \u1082?\u1086?\u1084?\u1091?\u1085?\u1080?\u1082?\u1072?\u1094?\u1080?\u1080?, \u1072?\u1091?\u1076?\u1080?\u1086?-\u1074?\u1080?\u1079?\u1091?\u1072?\u1083?\u1085?\u1080? \u1091?\u1089?\u1083?\u1091?\u1075?\u1080? \u1080? \u1080?\u1085?\u1092?\u1086?\u1088?\u1084?\u1072?\u1094?\u1080?\u1086?\u1085?\u1085?\u1086? \u1086?\u1073?\u1097?\u1077?\u1089?\u1090?\u1074?\u1086?) \u1080? \u1055?\u1088?\u1086?\u1090?\u1086?\u1082?\u1086?\u1083? 37 (\u1089?\u1098?\u1076?\u1098?\u1088?\u1078?\u1072?\u1097? \u1089?\u1087?\u1080?\u1089?\u1098?\u1082?\u1072?, \u1087?\u1088?\u1077?\u1076?\u1074?\u1080?\u1076?\u1077?\u1085? \u1074? \u1095?\u1083?\u1077?\u1085? 101) \u1082?\u1098?\u1084? \u1057?\u1087?\u1086?\u1088?\u1072?\u1079?\u1091?\u1084?\u1077?\u1085?\u1080?\u1077?\u1090?\u1086? \u1079?\u1072? \u1045?\u1048?\u1055? _x000b__x000b_(\u1054?\u1073?\u1097? \u1088?\u1077?\u1075?\u1083?\u1072?\u1084?\u1077?\u1085?\u1090? \u1086?\u1090?\u1085?\u1086?\u1089?\u1085?\u1086? \u1079?\u1072?\u1097?\u1080?\u1090?\u1072?\u1090?\u1072? \u1085?\u1072? \u1076?\u1072?\u1085?\u1085?\u1080?\u1090?\u1077?)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ListBullet3">
    <w:name w:val="List Bullet 3"/>
    <w:basedOn w:val="Normal"/>
    <w:unhideWhenUsed/>
    <w:pPr>
      <w:numPr>
        <w:numId w:val="1"/>
      </w:numPr>
    </w:pPr>
    <w:rPr>
      <w:rFonts w:eastAsia="Times New Roman"/>
      <w:szCs w:val="24"/>
    </w:rPr>
  </w:style>
  <w:style w:type="character" w:customStyle="1" w:styleId="Point0Char">
    <w:name w:val="Point 0 Char"/>
    <w:basedOn w:val="DefaultParagraphFont"/>
    <w:locked/>
    <w:rPr>
      <w:rFonts w:ascii="Times New Roman" w:hAnsi="Times New Roman" w:cs="Times New Roman"/>
      <w:sz w:val="24"/>
      <w:lang w:val="bg-BG"/>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ListBullet3">
    <w:name w:val="List Bullet 3"/>
    <w:basedOn w:val="Normal"/>
    <w:unhideWhenUsed/>
    <w:pPr>
      <w:numPr>
        <w:numId w:val="1"/>
      </w:numPr>
    </w:pPr>
    <w:rPr>
      <w:rFonts w:eastAsia="Times New Roman"/>
      <w:szCs w:val="24"/>
    </w:rPr>
  </w:style>
  <w:style w:type="character" w:customStyle="1" w:styleId="Point0Char">
    <w:name w:val="Point 0 Char"/>
    <w:basedOn w:val="DefaultParagraphFont"/>
    <w:locked/>
    <w:rPr>
      <w:rFonts w:ascii="Times New Roman" w:hAnsi="Times New Roman" w:cs="Times New Roman"/>
      <w:sz w:val="24"/>
      <w:lang w:val="bg-BG"/>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071">
      <w:bodyDiv w:val="1"/>
      <w:marLeft w:val="0"/>
      <w:marRight w:val="0"/>
      <w:marTop w:val="0"/>
      <w:marBottom w:val="0"/>
      <w:divBdr>
        <w:top w:val="none" w:sz="0" w:space="0" w:color="auto"/>
        <w:left w:val="none" w:sz="0" w:space="0" w:color="auto"/>
        <w:bottom w:val="none" w:sz="0" w:space="0" w:color="auto"/>
        <w:right w:val="none" w:sz="0" w:space="0" w:color="auto"/>
      </w:divBdr>
    </w:div>
    <w:div w:id="172692892">
      <w:bodyDiv w:val="1"/>
      <w:marLeft w:val="0"/>
      <w:marRight w:val="0"/>
      <w:marTop w:val="0"/>
      <w:marBottom w:val="0"/>
      <w:divBdr>
        <w:top w:val="none" w:sz="0" w:space="0" w:color="auto"/>
        <w:left w:val="none" w:sz="0" w:space="0" w:color="auto"/>
        <w:bottom w:val="none" w:sz="0" w:space="0" w:color="auto"/>
        <w:right w:val="none" w:sz="0" w:space="0" w:color="auto"/>
      </w:divBdr>
    </w:div>
    <w:div w:id="645204235">
      <w:bodyDiv w:val="1"/>
      <w:marLeft w:val="0"/>
      <w:marRight w:val="0"/>
      <w:marTop w:val="0"/>
      <w:marBottom w:val="0"/>
      <w:divBdr>
        <w:top w:val="none" w:sz="0" w:space="0" w:color="auto"/>
        <w:left w:val="none" w:sz="0" w:space="0" w:color="auto"/>
        <w:bottom w:val="none" w:sz="0" w:space="0" w:color="auto"/>
        <w:right w:val="none" w:sz="0" w:space="0" w:color="auto"/>
      </w:divBdr>
    </w:div>
    <w:div w:id="724455352">
      <w:bodyDiv w:val="1"/>
      <w:marLeft w:val="0"/>
      <w:marRight w:val="0"/>
      <w:marTop w:val="0"/>
      <w:marBottom w:val="0"/>
      <w:divBdr>
        <w:top w:val="none" w:sz="0" w:space="0" w:color="auto"/>
        <w:left w:val="none" w:sz="0" w:space="0" w:color="auto"/>
        <w:bottom w:val="none" w:sz="0" w:space="0" w:color="auto"/>
        <w:right w:val="none" w:sz="0" w:space="0" w:color="auto"/>
      </w:divBdr>
    </w:div>
    <w:div w:id="772476408">
      <w:bodyDiv w:val="1"/>
      <w:marLeft w:val="0"/>
      <w:marRight w:val="0"/>
      <w:marTop w:val="0"/>
      <w:marBottom w:val="0"/>
      <w:divBdr>
        <w:top w:val="none" w:sz="0" w:space="0" w:color="auto"/>
        <w:left w:val="none" w:sz="0" w:space="0" w:color="auto"/>
        <w:bottom w:val="none" w:sz="0" w:space="0" w:color="auto"/>
        <w:right w:val="none" w:sz="0" w:space="0" w:color="auto"/>
      </w:divBdr>
    </w:div>
    <w:div w:id="1033650115">
      <w:bodyDiv w:val="1"/>
      <w:marLeft w:val="0"/>
      <w:marRight w:val="0"/>
      <w:marTop w:val="0"/>
      <w:marBottom w:val="0"/>
      <w:divBdr>
        <w:top w:val="none" w:sz="0" w:space="0" w:color="auto"/>
        <w:left w:val="none" w:sz="0" w:space="0" w:color="auto"/>
        <w:bottom w:val="none" w:sz="0" w:space="0" w:color="auto"/>
        <w:right w:val="none" w:sz="0" w:space="0" w:color="auto"/>
      </w:divBdr>
    </w:div>
    <w:div w:id="1269704714">
      <w:bodyDiv w:val="1"/>
      <w:marLeft w:val="0"/>
      <w:marRight w:val="0"/>
      <w:marTop w:val="0"/>
      <w:marBottom w:val="0"/>
      <w:divBdr>
        <w:top w:val="none" w:sz="0" w:space="0" w:color="auto"/>
        <w:left w:val="none" w:sz="0" w:space="0" w:color="auto"/>
        <w:bottom w:val="none" w:sz="0" w:space="0" w:color="auto"/>
        <w:right w:val="none" w:sz="0" w:space="0" w:color="auto"/>
      </w:divBdr>
    </w:div>
    <w:div w:id="1395008153">
      <w:bodyDiv w:val="1"/>
      <w:marLeft w:val="0"/>
      <w:marRight w:val="0"/>
      <w:marTop w:val="0"/>
      <w:marBottom w:val="0"/>
      <w:divBdr>
        <w:top w:val="none" w:sz="0" w:space="0" w:color="auto"/>
        <w:left w:val="none" w:sz="0" w:space="0" w:color="auto"/>
        <w:bottom w:val="none" w:sz="0" w:space="0" w:color="auto"/>
        <w:right w:val="none" w:sz="0" w:space="0" w:color="auto"/>
      </w:divBdr>
    </w:div>
    <w:div w:id="1519468563">
      <w:bodyDiv w:val="1"/>
      <w:marLeft w:val="0"/>
      <w:marRight w:val="0"/>
      <w:marTop w:val="0"/>
      <w:marBottom w:val="0"/>
      <w:divBdr>
        <w:top w:val="none" w:sz="0" w:space="0" w:color="auto"/>
        <w:left w:val="none" w:sz="0" w:space="0" w:color="auto"/>
        <w:bottom w:val="none" w:sz="0" w:space="0" w:color="auto"/>
        <w:right w:val="none" w:sz="0" w:space="0" w:color="auto"/>
      </w:divBdr>
    </w:div>
    <w:div w:id="1577593866">
      <w:bodyDiv w:val="1"/>
      <w:marLeft w:val="0"/>
      <w:marRight w:val="0"/>
      <w:marTop w:val="0"/>
      <w:marBottom w:val="0"/>
      <w:divBdr>
        <w:top w:val="none" w:sz="0" w:space="0" w:color="auto"/>
        <w:left w:val="none" w:sz="0" w:space="0" w:color="auto"/>
        <w:bottom w:val="none" w:sz="0" w:space="0" w:color="auto"/>
        <w:right w:val="none" w:sz="0" w:space="0" w:color="auto"/>
      </w:divBdr>
    </w:div>
    <w:div w:id="1919441964">
      <w:bodyDiv w:val="1"/>
      <w:marLeft w:val="0"/>
      <w:marRight w:val="0"/>
      <w:marTop w:val="0"/>
      <w:marBottom w:val="0"/>
      <w:divBdr>
        <w:top w:val="none" w:sz="0" w:space="0" w:color="auto"/>
        <w:left w:val="none" w:sz="0" w:space="0" w:color="auto"/>
        <w:bottom w:val="none" w:sz="0" w:space="0" w:color="auto"/>
        <w:right w:val="none" w:sz="0" w:space="0" w:color="auto"/>
      </w:divBdr>
    </w:div>
    <w:div w:id="19939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BD7A-DE86-420D-BBC9-DDD39DF7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1911</Words>
  <Characters>10436</Characters>
  <Application>Microsoft Office Word</Application>
  <DocSecurity>0</DocSecurity>
  <Lines>200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2018-04-26T08:54:00Z</dcterms:created>
  <dcterms:modified xsi:type="dcterms:W3CDTF">2018-04-30T15:31:00Z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