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14" w:rsidRDefault="00AB5682" w:rsidP="00AB568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1CE68BCE-3FB4-4451-9688-3613486824B9" style="width:450.8pt;height:379.4pt">
            <v:imagedata r:id="rId8" o:title=""/>
          </v:shape>
        </w:pict>
      </w:r>
    </w:p>
    <w:bookmarkEnd w:id="0"/>
    <w:p w:rsidR="00CF0114" w:rsidRDefault="00CF0114">
      <w:pPr>
        <w:rPr>
          <w:noProof/>
        </w:rPr>
        <w:sectPr w:rsidR="00CF0114" w:rsidSect="00AB568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CF0114" w:rsidRDefault="00AB5682">
      <w:pPr>
        <w:pStyle w:val="PartTitle"/>
        <w:rPr>
          <w:rStyle w:val="Added"/>
          <w:b/>
          <w:noProof/>
          <w:sz w:val="28"/>
          <w:szCs w:val="28"/>
        </w:rPr>
      </w:pPr>
      <w:bookmarkStart w:id="1" w:name="_Toc290299541"/>
      <w:bookmarkStart w:id="2" w:name="_Toc293654091"/>
      <w:bookmarkStart w:id="3" w:name="_Toc295473810"/>
      <w:bookmarkStart w:id="4" w:name="_Toc297024232"/>
      <w:r>
        <w:rPr>
          <w:noProof/>
          <w:sz w:val="28"/>
        </w:rPr>
        <w:lastRenderedPageBreak/>
        <w:t xml:space="preserve">ANNEXE - </w:t>
      </w:r>
      <w:r>
        <w:rPr>
          <w:rStyle w:val="Added"/>
          <w:b/>
          <w:noProof/>
          <w:sz w:val="28"/>
        </w:rPr>
        <w:t xml:space="preserve">COOPÉRATION </w:t>
      </w:r>
      <w:bookmarkEnd w:id="1"/>
      <w:r>
        <w:rPr>
          <w:rStyle w:val="Added"/>
          <w:b/>
          <w:noProof/>
          <w:sz w:val="28"/>
        </w:rPr>
        <w:t>INTERINSTITUTIONNELLE AU COURS DE LA PROCÉDURE BUDGÉTAIRE</w:t>
      </w:r>
      <w:bookmarkEnd w:id="2"/>
      <w:bookmarkEnd w:id="3"/>
      <w:bookmarkEnd w:id="4"/>
    </w:p>
    <w:p w:rsidR="00CF0114" w:rsidRDefault="00AB5682">
      <w:pPr>
        <w:pStyle w:val="ManualHeading2"/>
        <w:rPr>
          <w:noProof/>
        </w:rPr>
      </w:pPr>
      <w:bookmarkStart w:id="5" w:name="_Toc290299542"/>
      <w:bookmarkStart w:id="6" w:name="_Toc293653752"/>
      <w:bookmarkStart w:id="7" w:name="_Toc293654092"/>
      <w:bookmarkStart w:id="8" w:name="_Toc294520485"/>
      <w:bookmarkStart w:id="9" w:name="_Toc294520591"/>
      <w:bookmarkStart w:id="10" w:name="_Toc295473811"/>
      <w:bookmarkStart w:id="11" w:name="_Toc297024233"/>
      <w:r>
        <w:rPr>
          <w:noProof/>
        </w:rPr>
        <w:t>Partie A. Calendrier de la procédure budgétaire</w:t>
      </w:r>
      <w:bookmarkEnd w:id="5"/>
      <w:bookmarkEnd w:id="6"/>
      <w:bookmarkEnd w:id="7"/>
      <w:bookmarkEnd w:id="8"/>
      <w:bookmarkEnd w:id="9"/>
      <w:bookmarkEnd w:id="10"/>
      <w:bookmarkEnd w:id="11"/>
    </w:p>
    <w:p w:rsidR="00CF0114" w:rsidRDefault="00AB5682">
      <w:pPr>
        <w:pStyle w:val="NumPar1"/>
        <w:numPr>
          <w:ilvl w:val="0"/>
          <w:numId w:val="5"/>
        </w:numPr>
        <w:rPr>
          <w:noProof/>
        </w:rPr>
      </w:pPr>
      <w:r>
        <w:rPr>
          <w:noProof/>
          <w:sz w:val="22"/>
        </w:rPr>
        <w:t xml:space="preserve">Les institutions </w:t>
      </w:r>
      <w:r>
        <w:rPr>
          <w:noProof/>
          <w:sz w:val="22"/>
        </w:rPr>
        <w:t>conviennent chaque année d'un calendrier pragmatique en temps opportun avant le début de la procédure budgétaire, sur la base de la pratique actuelle.</w:t>
      </w:r>
    </w:p>
    <w:p w:rsidR="00CF0114" w:rsidRDefault="00AB5682">
      <w:pPr>
        <w:pStyle w:val="ManualHeading2"/>
        <w:rPr>
          <w:noProof/>
        </w:rPr>
      </w:pPr>
      <w:bookmarkStart w:id="12" w:name="_Toc290299543"/>
      <w:bookmarkStart w:id="13" w:name="_Toc293653753"/>
      <w:bookmarkStart w:id="14" w:name="_Toc293654093"/>
      <w:bookmarkStart w:id="15" w:name="_Toc294520486"/>
      <w:bookmarkStart w:id="16" w:name="_Toc294520592"/>
      <w:bookmarkStart w:id="17" w:name="_Toc295473812"/>
      <w:bookmarkStart w:id="18" w:name="_Toc297024234"/>
      <w:r>
        <w:rPr>
          <w:noProof/>
        </w:rPr>
        <w:t xml:space="preserve">Partie B. </w:t>
      </w:r>
      <w:bookmarkEnd w:id="12"/>
      <w:bookmarkEnd w:id="13"/>
      <w:bookmarkEnd w:id="14"/>
      <w:bookmarkEnd w:id="15"/>
      <w:bookmarkEnd w:id="16"/>
      <w:bookmarkEnd w:id="17"/>
      <w:bookmarkEnd w:id="18"/>
      <w:r>
        <w:rPr>
          <w:noProof/>
        </w:rPr>
        <w:t>Priorités de la procédure budgétaire</w:t>
      </w:r>
    </w:p>
    <w:p w:rsidR="00CF0114" w:rsidRDefault="00AB5682">
      <w:pPr>
        <w:pStyle w:val="NumPar1"/>
        <w:rPr>
          <w:noProof/>
        </w:rPr>
      </w:pPr>
      <w:r>
        <w:rPr>
          <w:noProof/>
        </w:rPr>
        <w:t>En temps opportun avant l'adoption du projet de budget par</w:t>
      </w:r>
      <w:r>
        <w:rPr>
          <w:noProof/>
        </w:rPr>
        <w:t xml:space="preserve"> la Commission, un trilogue est convoqué pour débattre des priorités envisageables pour le budget de l'exercice suivant.</w:t>
      </w:r>
    </w:p>
    <w:p w:rsidR="00CF0114" w:rsidRDefault="00AB5682">
      <w:pPr>
        <w:pStyle w:val="ManualHeading2"/>
        <w:rPr>
          <w:noProof/>
        </w:rPr>
      </w:pPr>
      <w:bookmarkStart w:id="19" w:name="_Toc290299544"/>
      <w:bookmarkStart w:id="20" w:name="_Toc293653754"/>
      <w:bookmarkStart w:id="21" w:name="_Toc293654094"/>
      <w:bookmarkStart w:id="22" w:name="_Toc294520487"/>
      <w:bookmarkStart w:id="23" w:name="_Toc294520593"/>
      <w:bookmarkStart w:id="24" w:name="_Toc295473813"/>
      <w:bookmarkStart w:id="25" w:name="_Toc297024235"/>
      <w:r>
        <w:rPr>
          <w:noProof/>
        </w:rPr>
        <w:t xml:space="preserve">Partie C. </w:t>
      </w:r>
      <w:bookmarkEnd w:id="19"/>
      <w:bookmarkEnd w:id="20"/>
      <w:bookmarkEnd w:id="21"/>
      <w:bookmarkEnd w:id="22"/>
      <w:bookmarkEnd w:id="23"/>
      <w:bookmarkEnd w:id="24"/>
      <w:bookmarkEnd w:id="25"/>
      <w:r>
        <w:rPr>
          <w:noProof/>
        </w:rPr>
        <w:t>Établissement du projet de budget et mise à jour de l'état prévisionnel</w:t>
      </w:r>
    </w:p>
    <w:p w:rsidR="00CF0114" w:rsidRDefault="00AB5682">
      <w:pPr>
        <w:pStyle w:val="NumPar1"/>
        <w:rPr>
          <w:noProof/>
        </w:rPr>
      </w:pPr>
      <w:r>
        <w:rPr>
          <w:noProof/>
        </w:rPr>
        <w:t>Les institutions autres que la Commission sont invité</w:t>
      </w:r>
      <w:r>
        <w:rPr>
          <w:noProof/>
        </w:rPr>
        <w:t>es à adopter leur état prévisionnel avant la fin du mois de mars.</w:t>
      </w:r>
    </w:p>
    <w:p w:rsidR="00CF0114" w:rsidRDefault="00AB5682">
      <w:pPr>
        <w:pStyle w:val="NumPar1"/>
        <w:rPr>
          <w:noProof/>
        </w:rPr>
      </w:pPr>
      <w:r>
        <w:rPr>
          <w:noProof/>
        </w:rPr>
        <w:t>La Commission présente, chaque année, un projet de budget correspondant aux besoins effectifs de financement de l'Union.</w:t>
      </w:r>
    </w:p>
    <w:p w:rsidR="00CF0114" w:rsidRDefault="00AB5682">
      <w:pPr>
        <w:pStyle w:val="Text1"/>
        <w:rPr>
          <w:noProof/>
        </w:rPr>
      </w:pPr>
      <w:r>
        <w:rPr>
          <w:noProof/>
        </w:rPr>
        <w:t>Elle prend en considération:</w:t>
      </w:r>
    </w:p>
    <w:p w:rsidR="00CF0114" w:rsidRDefault="00AB5682">
      <w:pPr>
        <w:pStyle w:val="Point1letter"/>
        <w:rPr>
          <w:noProof/>
        </w:rPr>
      </w:pPr>
      <w:r>
        <w:rPr>
          <w:noProof/>
        </w:rPr>
        <w:t>les prévisions relatives aux Fonds struc</w:t>
      </w:r>
      <w:r>
        <w:rPr>
          <w:noProof/>
        </w:rPr>
        <w:t>turels fournies par les États membres;</w:t>
      </w:r>
    </w:p>
    <w:p w:rsidR="00CF0114" w:rsidRDefault="00AB5682">
      <w:pPr>
        <w:pStyle w:val="Point1letter"/>
        <w:rPr>
          <w:noProof/>
        </w:rPr>
      </w:pPr>
      <w:r>
        <w:rPr>
          <w:noProof/>
        </w:rPr>
        <w:t>la capacité d'exécution des crédits, en s'attachant à assurer une relation stricte entre crédits pour engagements et crédits pour paiements;</w:t>
      </w:r>
    </w:p>
    <w:p w:rsidR="00CF0114" w:rsidRDefault="00AB5682">
      <w:pPr>
        <w:pStyle w:val="Point1letter"/>
        <w:rPr>
          <w:noProof/>
        </w:rPr>
      </w:pPr>
      <w:r>
        <w:rPr>
          <w:noProof/>
        </w:rPr>
        <w:t xml:space="preserve">les possibilités d'engager des politiques nouvelles à travers des projets </w:t>
      </w:r>
      <w:r>
        <w:rPr>
          <w:noProof/>
        </w:rPr>
        <w:t>pilotes, des actions préparatoires nouvelles, ou les deux, ou de poursuivre des actions pluriannuelles venant à échéance, après avoir évalué les possibilités d'obtention d'un acte de base au sens du règlement financier (définition d'un acte de base, nécess</w:t>
      </w:r>
      <w:r>
        <w:rPr>
          <w:noProof/>
        </w:rPr>
        <w:t>ité d'un acte de base pour l'exécution et exceptions);</w:t>
      </w:r>
    </w:p>
    <w:p w:rsidR="00CF0114" w:rsidRDefault="00AB5682">
      <w:pPr>
        <w:pStyle w:val="Point1letter"/>
        <w:rPr>
          <w:noProof/>
        </w:rPr>
      </w:pPr>
      <w:r>
        <w:rPr>
          <w:noProof/>
        </w:rPr>
        <w:t>la nécessité d'assurer que toute évolution des dépenses par rapport à l'exercice précédent est conforme aux impératifs de la discipline budgétaire.</w:t>
      </w:r>
    </w:p>
    <w:p w:rsidR="00CF0114" w:rsidRDefault="00AB5682">
      <w:pPr>
        <w:pStyle w:val="NumPar1"/>
        <w:rPr>
          <w:noProof/>
        </w:rPr>
      </w:pPr>
      <w:r>
        <w:rPr>
          <w:noProof/>
        </w:rPr>
        <w:t>Les institutions évitent, dans la mesure du possible,</w:t>
      </w:r>
      <w:r>
        <w:rPr>
          <w:noProof/>
        </w:rPr>
        <w:t xml:space="preserve"> l'inscription au budget de postes de dépenses opérationnelles ayant un montant non significatif.</w:t>
      </w:r>
    </w:p>
    <w:p w:rsidR="00CF0114" w:rsidRDefault="00AB5682">
      <w:pPr>
        <w:pStyle w:val="NumPar1"/>
        <w:rPr>
          <w:noProof/>
        </w:rPr>
      </w:pPr>
      <w:r>
        <w:rPr>
          <w:noProof/>
        </w:rPr>
        <w:t>Le Parlement européen et le Conseil s'engagent également à tenir compte de l'évaluation des possibilités d'exécution du budget faite par la Commission dans se</w:t>
      </w:r>
      <w:r>
        <w:rPr>
          <w:noProof/>
        </w:rPr>
        <w:t>s projets ainsi que dans le cadre de l'exécution du budget en cours.</w:t>
      </w:r>
    </w:p>
    <w:p w:rsidR="00CF0114" w:rsidRDefault="00AB5682">
      <w:pPr>
        <w:pStyle w:val="NumPar1"/>
        <w:rPr>
          <w:noProof/>
        </w:rPr>
      </w:pPr>
      <w:r>
        <w:rPr>
          <w:noProof/>
        </w:rPr>
        <w:t>Dans l'intérêt d'une bonne gestion financière et en raison des conséquences qu'entraînent, sur les responsabilités des services de la Commission en matière de compte rendu sur la gestion,</w:t>
      </w:r>
      <w:r>
        <w:rPr>
          <w:noProof/>
        </w:rPr>
        <w:t xml:space="preserve"> les modifications importantes apportées aux titres et aux chapitres dans la nomenclature budgétaire, le Parlement européen et le Conseil s'engagent à examiner avec la Commission, lors de la conciliation, toute modification majeure de cette nature.</w:t>
      </w:r>
    </w:p>
    <w:p w:rsidR="00CF0114" w:rsidRDefault="00AB5682">
      <w:pPr>
        <w:pStyle w:val="NumPar1"/>
        <w:rPr>
          <w:noProof/>
        </w:rPr>
      </w:pPr>
      <w:r>
        <w:rPr>
          <w:noProof/>
        </w:rPr>
        <w:t>Dans l'</w:t>
      </w:r>
      <w:r>
        <w:rPr>
          <w:noProof/>
        </w:rPr>
        <w:t>intérêt d'une coopération institutionnelle loyale et solide, le Parlement européen et le Conseil s'engagent à entretenir des contacts réguliers et actifs à tous les niveaux, par leurs négociateurs respectifs, pendant toute la durée de la procédure budgétai</w:t>
      </w:r>
      <w:r>
        <w:rPr>
          <w:noProof/>
        </w:rPr>
        <w:t xml:space="preserve">re et en particulier pendant la période de conciliation. Le Parlement européen et le Conseil s'engagent à procéder en temps opportun et de manière constante à un échange mutuel d'informations et de documents pertinents aux </w:t>
      </w:r>
      <w:r>
        <w:rPr>
          <w:noProof/>
        </w:rPr>
        <w:lastRenderedPageBreak/>
        <w:t xml:space="preserve">niveaux formel et informel ainsi </w:t>
      </w:r>
      <w:r>
        <w:rPr>
          <w:noProof/>
        </w:rPr>
        <w:t>qu'à tenir des réunions techniques ou informelles, selon les besoins, pendant la période de conciliation, en coopération avec la Commission. La Commission veille à ce que le Parlement européen et le Conseil bénéficient en temps opportun et de manière égale</w:t>
      </w:r>
      <w:r>
        <w:rPr>
          <w:noProof/>
        </w:rPr>
        <w:t xml:space="preserve"> d'un accès aux informations et aux documents.</w:t>
      </w:r>
    </w:p>
    <w:p w:rsidR="00CF0114" w:rsidRDefault="00AB5682">
      <w:pPr>
        <w:pStyle w:val="NumPar1"/>
        <w:rPr>
          <w:noProof/>
        </w:rPr>
      </w:pPr>
      <w:r>
        <w:rPr>
          <w:noProof/>
        </w:rPr>
        <w:t>Jusqu'à ce que le comité de conciliation soit convoqué, la Commission peut, si nécessaire, soumettre des lettres rectificatives modifiant le projet de budget conformément à l'article 314, paragraphe 2, du TFUE</w:t>
      </w:r>
      <w:r>
        <w:rPr>
          <w:noProof/>
        </w:rPr>
        <w:t>, y compris une lettre rectificative actualisant, en particulier, l'estimation des dépenses dans le domaine de l'agriculture. La Commission soumet pour examen, au Parlement européen et au Conseil, les informations concernant les mises à jour dès qu'elles s</w:t>
      </w:r>
      <w:r>
        <w:rPr>
          <w:noProof/>
        </w:rPr>
        <w:t>ont disponibles. Elle fournit au Parlement européen et au Conseil tous les éléments de justification éventuellement requis par ceux-ci.</w:t>
      </w:r>
    </w:p>
    <w:p w:rsidR="00CF0114" w:rsidRDefault="00AB5682">
      <w:pPr>
        <w:pStyle w:val="ManualHeading2"/>
        <w:rPr>
          <w:noProof/>
        </w:rPr>
      </w:pPr>
      <w:bookmarkStart w:id="26" w:name="_Toc290299545"/>
      <w:bookmarkStart w:id="27" w:name="_Toc293653755"/>
      <w:bookmarkStart w:id="28" w:name="_Toc293654095"/>
      <w:bookmarkStart w:id="29" w:name="_Toc294520488"/>
      <w:bookmarkStart w:id="30" w:name="_Toc294520594"/>
      <w:bookmarkStart w:id="31" w:name="_Toc295473814"/>
      <w:bookmarkStart w:id="32" w:name="_Toc297024236"/>
      <w:r>
        <w:rPr>
          <w:noProof/>
        </w:rPr>
        <w:t xml:space="preserve">Partie D. </w:t>
      </w:r>
      <w:bookmarkEnd w:id="26"/>
      <w:bookmarkEnd w:id="27"/>
      <w:bookmarkEnd w:id="28"/>
      <w:bookmarkEnd w:id="29"/>
      <w:bookmarkEnd w:id="30"/>
      <w:bookmarkEnd w:id="31"/>
      <w:bookmarkEnd w:id="32"/>
      <w:r>
        <w:rPr>
          <w:noProof/>
        </w:rPr>
        <w:t>Procédure budgétaire avant la procédure de conciliation</w:t>
      </w:r>
    </w:p>
    <w:p w:rsidR="00CF0114" w:rsidRDefault="00AB5682">
      <w:pPr>
        <w:pStyle w:val="NumPar1"/>
        <w:rPr>
          <w:noProof/>
        </w:rPr>
      </w:pPr>
      <w:r>
        <w:rPr>
          <w:noProof/>
        </w:rPr>
        <w:t>Un trilogue est convoqué en temps opportun avant la le</w:t>
      </w:r>
      <w:r>
        <w:rPr>
          <w:noProof/>
        </w:rPr>
        <w:t>cture par le Conseil pour permettre un échange de vues entre institutions sur le projet de budget.</w:t>
      </w:r>
    </w:p>
    <w:p w:rsidR="00CF0114" w:rsidRDefault="00AB5682">
      <w:pPr>
        <w:pStyle w:val="NumPar1"/>
        <w:rPr>
          <w:noProof/>
        </w:rPr>
      </w:pPr>
      <w:r>
        <w:rPr>
          <w:noProof/>
        </w:rPr>
        <w:t>Afin que la Commission soit en mesure d'apprécier en temps utile les possibilités d’exécution des modifications, envisagées par le Parlement européen et le C</w:t>
      </w:r>
      <w:r>
        <w:rPr>
          <w:noProof/>
        </w:rPr>
        <w:t>onseil, qui créent de nouvelles actions préparatoires ou de nouveaux projets pilotes ou qui prolongent des actions ou projets existants, le Parlement européen et le Conseil informent la Commission de leurs intentions à cet égard, de façon à ce qu'un premie</w:t>
      </w:r>
      <w:r>
        <w:rPr>
          <w:noProof/>
        </w:rPr>
        <w:t>r débat puisse avoir lieu dès ce trilogue.</w:t>
      </w:r>
    </w:p>
    <w:p w:rsidR="00CF0114" w:rsidRDefault="00AB5682">
      <w:pPr>
        <w:pStyle w:val="NumPar1"/>
        <w:rPr>
          <w:noProof/>
        </w:rPr>
      </w:pPr>
      <w:r>
        <w:rPr>
          <w:noProof/>
        </w:rPr>
        <w:t>Un trilogue pourrait être convoqué avant les votes en séance plénière du Parlement européen.</w:t>
      </w:r>
    </w:p>
    <w:p w:rsidR="00CF0114" w:rsidRDefault="00AB5682">
      <w:pPr>
        <w:pStyle w:val="ManualHeading2"/>
        <w:rPr>
          <w:rStyle w:val="Added"/>
          <w:b/>
          <w:noProof/>
        </w:rPr>
      </w:pPr>
      <w:bookmarkStart w:id="33" w:name="_Toc290299546"/>
      <w:bookmarkStart w:id="34" w:name="_Toc293653756"/>
      <w:bookmarkStart w:id="35" w:name="_Toc293654096"/>
      <w:bookmarkStart w:id="36" w:name="_Toc294520489"/>
      <w:bookmarkStart w:id="37" w:name="_Toc294520595"/>
      <w:bookmarkStart w:id="38" w:name="_Toc295473815"/>
      <w:bookmarkStart w:id="39" w:name="_Toc297024237"/>
      <w:r>
        <w:rPr>
          <w:noProof/>
        </w:rPr>
        <w:t xml:space="preserve">Partie E. </w:t>
      </w:r>
      <w:bookmarkEnd w:id="33"/>
      <w:bookmarkEnd w:id="34"/>
      <w:bookmarkEnd w:id="35"/>
      <w:bookmarkEnd w:id="36"/>
      <w:bookmarkEnd w:id="37"/>
      <w:bookmarkEnd w:id="38"/>
      <w:bookmarkEnd w:id="39"/>
      <w:r>
        <w:rPr>
          <w:noProof/>
        </w:rPr>
        <w:t>Procédure de conciliation</w:t>
      </w:r>
    </w:p>
    <w:p w:rsidR="00CF0114" w:rsidRDefault="00AB5682">
      <w:pPr>
        <w:pStyle w:val="NumPar1"/>
        <w:rPr>
          <w:noProof/>
        </w:rPr>
      </w:pPr>
      <w:r>
        <w:rPr>
          <w:noProof/>
        </w:rPr>
        <w:t xml:space="preserve">Si le Parlement européen adopte des amendements à la position du Conseil, le </w:t>
      </w:r>
      <w:r>
        <w:rPr>
          <w:noProof/>
        </w:rPr>
        <w:t>président du Conseil prend acte, au cours de la même séance plénière, des différences entre les positions des deux institutions et donne au président du Parlement européen son accord pour une convocation immédiate du comité de conciliation. La lettre de co</w:t>
      </w:r>
      <w:r>
        <w:rPr>
          <w:noProof/>
        </w:rPr>
        <w:t>nvocation du comité de conciliation est envoyée au plus tard le premier jour ouvrable de la semaine suivant la fin de la période de session parlementaire au cours de laquelle a eu lieu le vote en séance plénière et la période de conciliation commence le jo</w:t>
      </w:r>
      <w:r>
        <w:rPr>
          <w:noProof/>
        </w:rPr>
        <w:t>ur suivant. Le délai de vingt et un jours est calculé conformément au règlement (CEE, Euratom) n° 1182/71 du Conseil (</w:t>
      </w:r>
      <w:r>
        <w:rPr>
          <w:rStyle w:val="FootnoteReference"/>
          <w:noProof/>
        </w:rPr>
        <w:footnoteReference w:id="1"/>
      </w:r>
      <w:r>
        <w:rPr>
          <w:noProof/>
        </w:rPr>
        <w:t>).</w:t>
      </w:r>
    </w:p>
    <w:p w:rsidR="00CF0114" w:rsidRDefault="00AB5682">
      <w:pPr>
        <w:pStyle w:val="NumPar1"/>
        <w:rPr>
          <w:noProof/>
        </w:rPr>
      </w:pPr>
      <w:r>
        <w:rPr>
          <w:noProof/>
        </w:rPr>
        <w:t>Si le Conseil ne peut approuver tous les amendements adoptés par le Parlement européen, il devrait confirmer sa position par une lettr</w:t>
      </w:r>
      <w:r>
        <w:rPr>
          <w:noProof/>
        </w:rPr>
        <w:t>e envoyée avant la première réunion prévue durant la période de conciliation. Dans ce cas, le comité de conciliation se déroule conformément aux conditions énoncées aux points ci-après.</w:t>
      </w:r>
    </w:p>
    <w:p w:rsidR="00CF0114" w:rsidRDefault="00AB5682">
      <w:pPr>
        <w:pStyle w:val="NumPar1"/>
        <w:rPr>
          <w:noProof/>
        </w:rPr>
      </w:pPr>
      <w:r>
        <w:rPr>
          <w:noProof/>
        </w:rPr>
        <w:t>Le comité de conciliation est coprésidé par des représentants du Parle</w:t>
      </w:r>
      <w:r>
        <w:rPr>
          <w:noProof/>
        </w:rPr>
        <w:t>ment européen et du Conseil. Les réunions du comité de conciliation sont présidées par le coprésident de l'institution qui accueille la réunion. Chaque institution, conformément à son propre règlement intérieur, désigne ses participants à chaque réunion et</w:t>
      </w:r>
      <w:r>
        <w:rPr>
          <w:noProof/>
        </w:rPr>
        <w:t xml:space="preserve"> arrête son mandat de négociation. Le Parlement européen et le Conseil sont représentés au sein du comité de conciliation à un niveau approprié pour que chaque délégation soit en mesure d'engager politiquement son institution respective et que de réels pro</w:t>
      </w:r>
      <w:r>
        <w:rPr>
          <w:noProof/>
        </w:rPr>
        <w:t>grès puissent être réalisés e</w:t>
      </w:r>
      <w:bookmarkStart w:id="40" w:name="_GoBack"/>
      <w:bookmarkEnd w:id="40"/>
      <w:r>
        <w:rPr>
          <w:noProof/>
        </w:rPr>
        <w:t>n vue d'un accord définitif.</w:t>
      </w:r>
    </w:p>
    <w:p w:rsidR="00CF0114" w:rsidRDefault="00AB5682">
      <w:pPr>
        <w:pStyle w:val="NumPar1"/>
        <w:rPr>
          <w:noProof/>
        </w:rPr>
      </w:pPr>
      <w:r>
        <w:rPr>
          <w:noProof/>
        </w:rPr>
        <w:t>Conformément à l'article 314, paragraphe 5, deuxième alinéa, du TFUE, la Commission participe aux travaux du comité de conciliation et prend toutes les initiatives nécessaires en vue de promouvoir u</w:t>
      </w:r>
      <w:r>
        <w:rPr>
          <w:noProof/>
        </w:rPr>
        <w:t>n rapprochement des positions du Parlement européen et du Conseil.</w:t>
      </w:r>
    </w:p>
    <w:p w:rsidR="00CF0114" w:rsidRDefault="00AB5682">
      <w:pPr>
        <w:pStyle w:val="NumPar1"/>
        <w:rPr>
          <w:noProof/>
        </w:rPr>
      </w:pPr>
      <w:r>
        <w:rPr>
          <w:noProof/>
        </w:rPr>
        <w:t>Des trilogues se tiennent tout au long de la procédure de conciliation, à différents niveaux de représentation, dans le but de régler les questions en suspens et de préparer le terrain en v</w:t>
      </w:r>
      <w:r>
        <w:rPr>
          <w:noProof/>
        </w:rPr>
        <w:t>ue de la conclusion d'un accord au sein du comité de conciliation.</w:t>
      </w:r>
    </w:p>
    <w:p w:rsidR="00CF0114" w:rsidRDefault="00AB5682">
      <w:pPr>
        <w:pStyle w:val="NumPar1"/>
        <w:rPr>
          <w:noProof/>
        </w:rPr>
      </w:pPr>
      <w:r>
        <w:rPr>
          <w:noProof/>
        </w:rPr>
        <w:t>Les réunions du comité de conciliation et les trilogues se tiennent alternativement dans les locaux du Parlement européen et du Conseil, de manière à partager de façon égale les services of</w:t>
      </w:r>
      <w:r>
        <w:rPr>
          <w:noProof/>
        </w:rPr>
        <w:t>ferts, y compris ceux d'interprétation.</w:t>
      </w:r>
    </w:p>
    <w:p w:rsidR="00CF0114" w:rsidRDefault="00AB5682">
      <w:pPr>
        <w:pStyle w:val="NumPar1"/>
        <w:rPr>
          <w:noProof/>
        </w:rPr>
      </w:pPr>
      <w:r>
        <w:rPr>
          <w:noProof/>
        </w:rPr>
        <w:t>Les dates des réunions du comité de conciliation et des trilogues sont fixées à l'avance d'un commun accord entre les trois institutions.</w:t>
      </w:r>
    </w:p>
    <w:p w:rsidR="00CF0114" w:rsidRDefault="00AB5682">
      <w:pPr>
        <w:pStyle w:val="NumPar1"/>
        <w:rPr>
          <w:noProof/>
        </w:rPr>
      </w:pPr>
      <w:r>
        <w:rPr>
          <w:noProof/>
        </w:rPr>
        <w:t>Une série commune de documents (documents de départ) comparant les différentes</w:t>
      </w:r>
      <w:r>
        <w:rPr>
          <w:noProof/>
        </w:rPr>
        <w:t xml:space="preserve"> étapes de la procédure budgétaire est mise à la disposition du comité de conciliation (</w:t>
      </w:r>
      <w:r>
        <w:rPr>
          <w:rStyle w:val="FootnoteReference"/>
          <w:noProof/>
          <w:sz w:val="22"/>
        </w:rPr>
        <w:footnoteReference w:id="2"/>
      </w:r>
      <w:r>
        <w:rPr>
          <w:noProof/>
        </w:rPr>
        <w:t>). Ces documents comprennent des montants «ligne par ligne», des totaux par rubrique du CFP et un document consolidé contenant les montants et les commentaires relatif</w:t>
      </w:r>
      <w:r>
        <w:rPr>
          <w:noProof/>
        </w:rPr>
        <w:t>s à toutes les lignes budgétaires réputées techniquement «ouvertes». Sans préjudice de la décision finale du comité de conciliation, toutes les lignes budgétaires réputées techniquement closes sont reprises dans un document distinct (</w:t>
      </w:r>
      <w:r>
        <w:rPr>
          <w:rStyle w:val="FootnoteReference"/>
          <w:noProof/>
          <w:sz w:val="22"/>
        </w:rPr>
        <w:footnoteReference w:id="3"/>
      </w:r>
      <w:r>
        <w:rPr>
          <w:noProof/>
        </w:rPr>
        <w:t>). Ces documents sont</w:t>
      </w:r>
      <w:r>
        <w:rPr>
          <w:noProof/>
        </w:rPr>
        <w:t xml:space="preserve"> classés selon la nomenclature budgétaire.</w:t>
      </w:r>
    </w:p>
    <w:p w:rsidR="00CF0114" w:rsidRDefault="00AB5682">
      <w:pPr>
        <w:pStyle w:val="Text1"/>
        <w:rPr>
          <w:noProof/>
        </w:rPr>
      </w:pPr>
      <w:r>
        <w:rPr>
          <w:noProof/>
        </w:rPr>
        <w:t>D'autres documents sont également annexés aux documents de départ destinés au comité de conciliation, y compris une lettre sur les possibilités d'exécution établie par la Commission concernant la position du Conse</w:t>
      </w:r>
      <w:r>
        <w:rPr>
          <w:noProof/>
        </w:rPr>
        <w:t>il et les amendements du Parlement européen et, le cas échéant, une ou plusieurs lettres émanant d'autres institutions concernant la position du Conseil ou les amendements du Parlement européen.</w:t>
      </w:r>
    </w:p>
    <w:p w:rsidR="00CF0114" w:rsidRDefault="00AB5682">
      <w:pPr>
        <w:pStyle w:val="NumPar1"/>
        <w:rPr>
          <w:noProof/>
        </w:rPr>
      </w:pPr>
      <w:r>
        <w:rPr>
          <w:noProof/>
        </w:rPr>
        <w:t xml:space="preserve">En vue de parvenir à un accord avant la fin de la période de </w:t>
      </w:r>
      <w:r>
        <w:rPr>
          <w:noProof/>
        </w:rPr>
        <w:t>conciliation, les trilogues:</w:t>
      </w:r>
    </w:p>
    <w:p w:rsidR="00CF0114" w:rsidRDefault="00AB5682">
      <w:pPr>
        <w:pStyle w:val="Tiret1"/>
        <w:rPr>
          <w:noProof/>
        </w:rPr>
      </w:pPr>
      <w:r>
        <w:rPr>
          <w:noProof/>
        </w:rPr>
        <w:t>définissent la portée des négociations sur les questions budgétaires à aborder;</w:t>
      </w:r>
    </w:p>
    <w:p w:rsidR="00CF0114" w:rsidRDefault="00AB5682">
      <w:pPr>
        <w:pStyle w:val="Tiret1"/>
        <w:rPr>
          <w:noProof/>
        </w:rPr>
      </w:pPr>
      <w:r>
        <w:rPr>
          <w:noProof/>
        </w:rPr>
        <w:t>approuvent la liste des lignes budgétaires réputées techniquement closes, sous réserve de l'accord final sur l'ensemble du budget de l'exercice;</w:t>
      </w:r>
    </w:p>
    <w:p w:rsidR="00CF0114" w:rsidRDefault="00AB5682">
      <w:pPr>
        <w:pStyle w:val="Tiret1"/>
        <w:rPr>
          <w:noProof/>
        </w:rPr>
      </w:pPr>
      <w:r>
        <w:rPr>
          <w:noProof/>
        </w:rPr>
        <w:t>ex</w:t>
      </w:r>
      <w:r>
        <w:rPr>
          <w:noProof/>
        </w:rPr>
        <w:t>aminent les questions recensées au titre du premier tiret en vue de parvenir à d'éventuels accords destinés à être approuvés par le comité de conciliation;</w:t>
      </w:r>
    </w:p>
    <w:p w:rsidR="00CF0114" w:rsidRDefault="00AB5682">
      <w:pPr>
        <w:pStyle w:val="Tiret1"/>
        <w:rPr>
          <w:noProof/>
        </w:rPr>
      </w:pPr>
      <w:r>
        <w:rPr>
          <w:noProof/>
        </w:rPr>
        <w:t>abordent des questions thématiques, y compris par rubrique du CFP.</w:t>
      </w:r>
    </w:p>
    <w:p w:rsidR="00CF0114" w:rsidRDefault="00AB5682">
      <w:pPr>
        <w:pStyle w:val="Text1"/>
        <w:rPr>
          <w:noProof/>
        </w:rPr>
      </w:pPr>
      <w:r>
        <w:rPr>
          <w:noProof/>
        </w:rPr>
        <w:t xml:space="preserve">Des conclusions provisoires sont </w:t>
      </w:r>
      <w:r>
        <w:rPr>
          <w:noProof/>
        </w:rPr>
        <w:t>établies conjointement au cours de chaque trilogue ou immédiatement après et, en même temps, l'ordre du jour de la réunion suivante est convenu. Ces conclusions sont consignées par l'institution accueillant le trilogue et sont censées avoir été provisoirem</w:t>
      </w:r>
      <w:r>
        <w:rPr>
          <w:noProof/>
        </w:rPr>
        <w:t>ent approuvées au bout de vingt-quatre heures, sans préjudice de la décision finale du comité de conciliation.</w:t>
      </w:r>
    </w:p>
    <w:p w:rsidR="00CF0114" w:rsidRDefault="00AB5682">
      <w:pPr>
        <w:pStyle w:val="NumPar1"/>
        <w:rPr>
          <w:noProof/>
        </w:rPr>
      </w:pPr>
      <w:r>
        <w:rPr>
          <w:noProof/>
        </w:rPr>
        <w:t xml:space="preserve">Les conclusions des trilogues et un document pour approbation éventuelle sont à la disposition du comité de conciliation lors de ses réunions, </w:t>
      </w:r>
      <w:r>
        <w:rPr>
          <w:noProof/>
        </w:rPr>
        <w:t>avec les lignes budgétaires pour lesquelles un accord est provisoirement intervenu lors des trilogues.</w:t>
      </w:r>
    </w:p>
    <w:p w:rsidR="00CF0114" w:rsidRDefault="00AB5682">
      <w:pPr>
        <w:pStyle w:val="NumPar1"/>
        <w:rPr>
          <w:noProof/>
        </w:rPr>
      </w:pPr>
      <w:r>
        <w:rPr>
          <w:noProof/>
        </w:rPr>
        <w:t>Le projet commun prévu à l'article 314, paragraphe 5, du TFUE est élaboré par les secrétariats du Parlement européen et du Conseil avec l'aide de la Comm</w:t>
      </w:r>
      <w:r>
        <w:rPr>
          <w:noProof/>
        </w:rPr>
        <w:t>ission. Il consiste en une lettre de transmission adressée par les présidents des deux délégations aux présidents du Parlement européen et du Conseil, contenant la date de l'accord au sein du comité de conciliation, et en des annexes qui comprennent:</w:t>
      </w:r>
    </w:p>
    <w:p w:rsidR="00CF0114" w:rsidRDefault="00AB5682">
      <w:pPr>
        <w:pStyle w:val="Tiret1"/>
        <w:rPr>
          <w:noProof/>
        </w:rPr>
      </w:pPr>
      <w:r>
        <w:rPr>
          <w:noProof/>
        </w:rPr>
        <w:t>les m</w:t>
      </w:r>
      <w:r>
        <w:rPr>
          <w:noProof/>
        </w:rPr>
        <w:t>ontants ligne par ligne pour tous les postes du budget et des montants récapitulatifs par rubrique du CFP;</w:t>
      </w:r>
    </w:p>
    <w:p w:rsidR="00CF0114" w:rsidRDefault="00AB5682">
      <w:pPr>
        <w:pStyle w:val="Tiret1"/>
        <w:rPr>
          <w:noProof/>
        </w:rPr>
      </w:pPr>
      <w:r>
        <w:rPr>
          <w:noProof/>
        </w:rPr>
        <w:t>un document consolidé indiquant les montants et le texte final de toutes les lignes qui ont été modifiées au cours de la procédure de conciliation;</w:t>
      </w:r>
    </w:p>
    <w:p w:rsidR="00CF0114" w:rsidRDefault="00AB5682">
      <w:pPr>
        <w:pStyle w:val="Tiret1"/>
        <w:rPr>
          <w:noProof/>
        </w:rPr>
      </w:pPr>
      <w:r>
        <w:rPr>
          <w:noProof/>
        </w:rPr>
        <w:t>l</w:t>
      </w:r>
      <w:r>
        <w:rPr>
          <w:noProof/>
        </w:rPr>
        <w:t>a liste des lignes n'ayant pas été modifiées par rapport au projet de budget ou à la position du Conseil sur ce projet.</w:t>
      </w:r>
    </w:p>
    <w:p w:rsidR="00CF0114" w:rsidRDefault="00AB5682">
      <w:pPr>
        <w:pStyle w:val="Text1"/>
        <w:rPr>
          <w:noProof/>
        </w:rPr>
      </w:pPr>
      <w:r>
        <w:rPr>
          <w:noProof/>
        </w:rPr>
        <w:t>Le comité de conciliation peut aussi approuver des conclusions et d'éventuelles déclarations communes relatives au budget.</w:t>
      </w:r>
    </w:p>
    <w:p w:rsidR="00CF0114" w:rsidRDefault="00AB5682">
      <w:pPr>
        <w:pStyle w:val="NumPar1"/>
        <w:rPr>
          <w:noProof/>
        </w:rPr>
      </w:pPr>
      <w:r>
        <w:rPr>
          <w:noProof/>
        </w:rPr>
        <w:t>Le projet com</w:t>
      </w:r>
      <w:r>
        <w:rPr>
          <w:noProof/>
        </w:rPr>
        <w:t>mun est traduit dans les langues officielles des institutions de l'Union (par les services du Parlement européen) et est soumis à l'approbation du Parlement européen et du Conseil dans un délai de quatorze jours à compter de la date de l'accord sur le proj</w:t>
      </w:r>
      <w:r>
        <w:rPr>
          <w:noProof/>
        </w:rPr>
        <w:t>et commun en application du point 23.</w:t>
      </w:r>
    </w:p>
    <w:p w:rsidR="00CF0114" w:rsidRDefault="00AB5682">
      <w:pPr>
        <w:pStyle w:val="Text1"/>
        <w:rPr>
          <w:noProof/>
        </w:rPr>
      </w:pPr>
      <w:r>
        <w:rPr>
          <w:noProof/>
        </w:rPr>
        <w:t>Le budget fait l'objet d'une mise au point juridico-linguistique après l'adoption du projet commun, par l'intégration des annexes du projet commun et des lignes budgétaires n'ayant pas été modifiées au cours de la proc</w:t>
      </w:r>
      <w:r>
        <w:rPr>
          <w:noProof/>
        </w:rPr>
        <w:t>édure de conciliation.</w:t>
      </w:r>
    </w:p>
    <w:p w:rsidR="00CF0114" w:rsidRDefault="00AB5682">
      <w:pPr>
        <w:pStyle w:val="NumPar1"/>
        <w:rPr>
          <w:noProof/>
        </w:rPr>
      </w:pPr>
      <w:r>
        <w:rPr>
          <w:noProof/>
        </w:rPr>
        <w:t>L'institution accueillant la réunion (de trilogue ou de conciliation) fournit les services d'interprétation, avec un régime linguistique intégral pour les réunions du comité de conciliation et un régime linguistique ad hoc pour les t</w:t>
      </w:r>
      <w:r>
        <w:rPr>
          <w:noProof/>
        </w:rPr>
        <w:t>rilogues.</w:t>
      </w:r>
    </w:p>
    <w:p w:rsidR="00CF0114" w:rsidRDefault="00AB5682">
      <w:pPr>
        <w:pStyle w:val="Text1"/>
        <w:rPr>
          <w:noProof/>
        </w:rPr>
      </w:pPr>
      <w:r>
        <w:rPr>
          <w:noProof/>
        </w:rPr>
        <w:t>L'institution accueillant la réunion assure la reproduction et la diffusion des documents de séance.</w:t>
      </w:r>
    </w:p>
    <w:p w:rsidR="00CF0114" w:rsidRDefault="00AB5682">
      <w:pPr>
        <w:pStyle w:val="Text1"/>
        <w:rPr>
          <w:noProof/>
        </w:rPr>
      </w:pPr>
      <w:r>
        <w:rPr>
          <w:noProof/>
        </w:rPr>
        <w:t>Les services des trois institutions coopèrent pour la transcription des résultats des négociations en vue de la mise au point du projet commun.</w:t>
      </w:r>
    </w:p>
    <w:p w:rsidR="00CF0114" w:rsidRDefault="00AB5682">
      <w:pPr>
        <w:pStyle w:val="ManualHeading2"/>
        <w:rPr>
          <w:noProof/>
        </w:rPr>
      </w:pPr>
      <w:bookmarkStart w:id="41" w:name="_Toc290299547"/>
      <w:bookmarkStart w:id="42" w:name="_Toc293653757"/>
      <w:bookmarkStart w:id="43" w:name="_Toc293654097"/>
      <w:bookmarkStart w:id="44" w:name="_Toc294520490"/>
      <w:bookmarkStart w:id="45" w:name="_Toc294520596"/>
      <w:bookmarkStart w:id="46" w:name="_Toc295473816"/>
      <w:bookmarkStart w:id="47" w:name="_Toc297024238"/>
      <w:r>
        <w:rPr>
          <w:noProof/>
        </w:rPr>
        <w:t>P</w:t>
      </w:r>
      <w:r>
        <w:rPr>
          <w:noProof/>
        </w:rPr>
        <w:t>artie F. Budgets rectificatifs</w:t>
      </w:r>
      <w:bookmarkEnd w:id="41"/>
      <w:bookmarkEnd w:id="42"/>
      <w:bookmarkEnd w:id="43"/>
      <w:bookmarkEnd w:id="44"/>
      <w:bookmarkEnd w:id="45"/>
      <w:bookmarkEnd w:id="46"/>
      <w:bookmarkEnd w:id="47"/>
    </w:p>
    <w:p w:rsidR="00CF0114" w:rsidRDefault="00AB5682">
      <w:pPr>
        <w:pStyle w:val="ManualHeading3"/>
        <w:rPr>
          <w:noProof/>
        </w:rPr>
      </w:pPr>
      <w:bookmarkStart w:id="48" w:name="_Toc290299548"/>
      <w:bookmarkStart w:id="49" w:name="_Toc293653758"/>
      <w:bookmarkStart w:id="50" w:name="_Toc293654098"/>
      <w:bookmarkStart w:id="51" w:name="_Toc294520491"/>
      <w:bookmarkStart w:id="52" w:name="_Toc294520597"/>
      <w:bookmarkStart w:id="53" w:name="_Toc295473817"/>
      <w:r>
        <w:rPr>
          <w:noProof/>
        </w:rPr>
        <w:t>Principes généraux</w:t>
      </w:r>
      <w:bookmarkEnd w:id="48"/>
      <w:bookmarkEnd w:id="49"/>
      <w:bookmarkEnd w:id="50"/>
      <w:bookmarkEnd w:id="51"/>
      <w:bookmarkEnd w:id="52"/>
      <w:bookmarkEnd w:id="53"/>
    </w:p>
    <w:p w:rsidR="00CF0114" w:rsidRDefault="00AB5682">
      <w:pPr>
        <w:pStyle w:val="NumPar1"/>
        <w:rPr>
          <w:noProof/>
        </w:rPr>
      </w:pPr>
      <w:r>
        <w:rPr>
          <w:noProof/>
        </w:rPr>
        <w:t>Eu égard au fait que les budgets rectificatifs sont fréquemment consacrés à des questions spécifiques et parfois urgentes, les institutions conviennent des principes suivants pour assurer une coopération in</w:t>
      </w:r>
      <w:r>
        <w:rPr>
          <w:noProof/>
        </w:rPr>
        <w:t>terinstitutionnelle appropriée permettant une prise de décision sans difficulté et rapide concernant les budgets rectificatifs tout en évitant, autant que possible, de devoir convoquer une réunion de conciliation pour les budgets rectificatifs.</w:t>
      </w:r>
    </w:p>
    <w:p w:rsidR="00CF0114" w:rsidRDefault="00AB5682">
      <w:pPr>
        <w:pStyle w:val="NumPar1"/>
        <w:rPr>
          <w:noProof/>
        </w:rPr>
      </w:pPr>
      <w:r>
        <w:rPr>
          <w:noProof/>
        </w:rPr>
        <w:t>Dans la mes</w:t>
      </w:r>
      <w:r>
        <w:rPr>
          <w:noProof/>
        </w:rPr>
        <w:t>ure du possible, les institutions s'efforcent de limiter le nombre de budgets rectificatifs.</w:t>
      </w:r>
    </w:p>
    <w:p w:rsidR="00CF0114" w:rsidRDefault="00AB5682">
      <w:pPr>
        <w:pStyle w:val="ManualHeading3"/>
        <w:rPr>
          <w:noProof/>
        </w:rPr>
      </w:pPr>
      <w:bookmarkStart w:id="54" w:name="_Toc290299549"/>
      <w:bookmarkStart w:id="55" w:name="_Toc293653759"/>
      <w:bookmarkStart w:id="56" w:name="_Toc293654099"/>
      <w:bookmarkStart w:id="57" w:name="_Toc294520492"/>
      <w:bookmarkStart w:id="58" w:name="_Toc294520598"/>
      <w:bookmarkStart w:id="59" w:name="_Toc295473818"/>
      <w:r>
        <w:rPr>
          <w:noProof/>
        </w:rPr>
        <w:t>Calendrier</w:t>
      </w:r>
      <w:bookmarkEnd w:id="54"/>
      <w:bookmarkEnd w:id="55"/>
      <w:bookmarkEnd w:id="56"/>
      <w:bookmarkEnd w:id="57"/>
      <w:bookmarkEnd w:id="58"/>
      <w:bookmarkEnd w:id="59"/>
    </w:p>
    <w:p w:rsidR="00CF0114" w:rsidRDefault="00AB5682">
      <w:pPr>
        <w:pStyle w:val="NumPar1"/>
        <w:rPr>
          <w:noProof/>
        </w:rPr>
      </w:pPr>
      <w:r>
        <w:rPr>
          <w:noProof/>
        </w:rPr>
        <w:t>La Commission informe à l'avance le Parlement européen et le Conseil des dates envisagées pour l'adoption de projets de budget rectificatif, sans préjud</w:t>
      </w:r>
      <w:r>
        <w:rPr>
          <w:noProof/>
        </w:rPr>
        <w:t>ice de la date définitive d'adoption.</w:t>
      </w:r>
    </w:p>
    <w:p w:rsidR="00CF0114" w:rsidRDefault="00AB5682">
      <w:pPr>
        <w:pStyle w:val="NumPar1"/>
        <w:rPr>
          <w:noProof/>
        </w:rPr>
      </w:pPr>
      <w:r>
        <w:rPr>
          <w:noProof/>
        </w:rPr>
        <w:t>Chacun conformément à son règlement intérieur, le Parlement européen et le Conseil s'efforcent d'examiner le projet de budget rectificatif proposé par la Commission dans de brefs délais après son adoption par la Commis</w:t>
      </w:r>
      <w:r>
        <w:rPr>
          <w:noProof/>
        </w:rPr>
        <w:t>sion.</w:t>
      </w:r>
    </w:p>
    <w:p w:rsidR="00CF0114" w:rsidRDefault="00AB5682">
      <w:pPr>
        <w:pStyle w:val="NumPar1"/>
        <w:rPr>
          <w:noProof/>
        </w:rPr>
      </w:pPr>
      <w:r>
        <w:rPr>
          <w:noProof/>
        </w:rPr>
        <w:t>Afin d'accélérer la procédure, le Parlement européen et le Conseil veillent à ce que leurs calendriers de travail respectifs soient, autant que possible, coordonnés pour que les travaux puissent être menés de manière cohérente et convergente. Ils s'a</w:t>
      </w:r>
      <w:r>
        <w:rPr>
          <w:noProof/>
        </w:rPr>
        <w:t>ttachent donc à établir dès que possible un calendrier indicatif des différentes étapes conduisant à l'adoption définitive du budget rectificatif.</w:t>
      </w:r>
    </w:p>
    <w:p w:rsidR="00CF0114" w:rsidRDefault="00AB5682">
      <w:pPr>
        <w:pStyle w:val="Text1"/>
        <w:rPr>
          <w:noProof/>
        </w:rPr>
      </w:pPr>
      <w:r>
        <w:rPr>
          <w:noProof/>
        </w:rPr>
        <w:t>Le Parlement européen et le Conseil tiennent compte de l'urgence relative du budget rectificatif et de la néc</w:t>
      </w:r>
      <w:r>
        <w:rPr>
          <w:noProof/>
        </w:rPr>
        <w:t>essité de l'approuver en temps utile pour qu'il produise ses effets durant l'exercice concerné.</w:t>
      </w:r>
    </w:p>
    <w:p w:rsidR="00CF0114" w:rsidRDefault="00AB5682">
      <w:pPr>
        <w:pStyle w:val="ManualHeading3"/>
        <w:rPr>
          <w:noProof/>
        </w:rPr>
      </w:pPr>
      <w:bookmarkStart w:id="60" w:name="_Toc290299550"/>
      <w:bookmarkStart w:id="61" w:name="_Toc293653760"/>
      <w:bookmarkStart w:id="62" w:name="_Toc293654100"/>
      <w:bookmarkStart w:id="63" w:name="_Toc294520493"/>
      <w:bookmarkStart w:id="64" w:name="_Toc294520599"/>
      <w:bookmarkStart w:id="65" w:name="_Toc295473819"/>
      <w:r>
        <w:rPr>
          <w:noProof/>
        </w:rPr>
        <w:t xml:space="preserve">Coopération </w:t>
      </w:r>
      <w:bookmarkEnd w:id="60"/>
      <w:bookmarkEnd w:id="61"/>
      <w:bookmarkEnd w:id="62"/>
      <w:bookmarkEnd w:id="63"/>
      <w:bookmarkEnd w:id="64"/>
      <w:bookmarkEnd w:id="65"/>
      <w:r>
        <w:rPr>
          <w:noProof/>
        </w:rPr>
        <w:t>au cours des lectures</w:t>
      </w:r>
    </w:p>
    <w:p w:rsidR="00CF0114" w:rsidRDefault="00AB5682">
      <w:pPr>
        <w:pStyle w:val="NumPar1"/>
        <w:rPr>
          <w:noProof/>
        </w:rPr>
      </w:pPr>
      <w:r>
        <w:rPr>
          <w:noProof/>
        </w:rPr>
        <w:t>Les institutions coopèrent de bonne foi tout au long de la procédure pour permettre, autant que possible, l'adoption des budge</w:t>
      </w:r>
      <w:r>
        <w:rPr>
          <w:noProof/>
        </w:rPr>
        <w:t>ts rectificatifs à un stade précoce de la procédure.</w:t>
      </w:r>
    </w:p>
    <w:p w:rsidR="00CF0114" w:rsidRDefault="00AB5682">
      <w:pPr>
        <w:pStyle w:val="Text1"/>
        <w:rPr>
          <w:noProof/>
        </w:rPr>
      </w:pPr>
      <w:r>
        <w:rPr>
          <w:noProof/>
        </w:rPr>
        <w:t>S'il y a lieu, et lorsqu'il existe un risque de divergence, le Parlement européen ou le Conseil, avant que chacun n'adopte sa position finale sur le budget rectificatif, ou la Commission à tout moment, p</w:t>
      </w:r>
      <w:r>
        <w:rPr>
          <w:noProof/>
        </w:rPr>
        <w:t>eut proposer de convoquer un trilogue spécifique pour discuter des divergences et tenter de parvenir à un compromis.</w:t>
      </w:r>
    </w:p>
    <w:p w:rsidR="00CF0114" w:rsidRDefault="00AB5682">
      <w:pPr>
        <w:pStyle w:val="NumPar1"/>
        <w:rPr>
          <w:noProof/>
        </w:rPr>
      </w:pPr>
      <w:r>
        <w:rPr>
          <w:noProof/>
        </w:rPr>
        <w:t xml:space="preserve">Tous les projets de budget rectificatif proposés par la Commission qui n'ont pas encore été définitivement approuvés sont systématiquement </w:t>
      </w:r>
      <w:r>
        <w:rPr>
          <w:noProof/>
        </w:rPr>
        <w:t xml:space="preserve">inscrits à l'ordre du jour des trilogues prévus dans le cadre de la procédure budgétaire annuelle. La Commission présente les projets de budget rectificatif et le Parlement européen et le Conseil font connaître, dans la mesure du possible, leurs positions </w:t>
      </w:r>
      <w:r>
        <w:rPr>
          <w:noProof/>
        </w:rPr>
        <w:t>respectives avant le trilogue.</w:t>
      </w:r>
    </w:p>
    <w:p w:rsidR="00CF0114" w:rsidRDefault="00AB5682">
      <w:pPr>
        <w:pStyle w:val="NumPar1"/>
        <w:rPr>
          <w:noProof/>
        </w:rPr>
      </w:pPr>
      <w:r>
        <w:rPr>
          <w:noProof/>
        </w:rPr>
        <w:t>Si un compromis est dégagé au cours d'un trilogue, le Parlement européen et le Conseil s'engagent à tenir compte des résultats du trilogue lorsqu'ils statuent sur le budget rectificatif conformément au TFUE et à leur règlemen</w:t>
      </w:r>
      <w:r>
        <w:rPr>
          <w:noProof/>
        </w:rPr>
        <w:t>t intérieur.</w:t>
      </w:r>
    </w:p>
    <w:p w:rsidR="00CF0114" w:rsidRDefault="00AB5682">
      <w:pPr>
        <w:pStyle w:val="ManualHeading3"/>
        <w:rPr>
          <w:noProof/>
        </w:rPr>
      </w:pPr>
      <w:bookmarkStart w:id="66" w:name="_Toc290299551"/>
      <w:bookmarkStart w:id="67" w:name="_Toc293653761"/>
      <w:bookmarkStart w:id="68" w:name="_Toc293654101"/>
      <w:bookmarkStart w:id="69" w:name="_Toc294520494"/>
      <w:bookmarkStart w:id="70" w:name="_Toc294520600"/>
      <w:bookmarkStart w:id="71" w:name="_Toc295473820"/>
      <w:r>
        <w:rPr>
          <w:noProof/>
        </w:rPr>
        <w:t>Coopération après les lectures</w:t>
      </w:r>
      <w:bookmarkEnd w:id="66"/>
      <w:bookmarkEnd w:id="67"/>
      <w:bookmarkEnd w:id="68"/>
      <w:bookmarkEnd w:id="69"/>
      <w:bookmarkEnd w:id="70"/>
      <w:bookmarkEnd w:id="71"/>
    </w:p>
    <w:p w:rsidR="00CF0114" w:rsidRDefault="00AB5682">
      <w:pPr>
        <w:pStyle w:val="NumPar1"/>
        <w:rPr>
          <w:noProof/>
        </w:rPr>
      </w:pPr>
      <w:r>
        <w:rPr>
          <w:noProof/>
        </w:rPr>
        <w:t>Si le Parlement européen approuve la position du Conseil sans amendement, le budget rectificatif est adopté conformément au TFUE.</w:t>
      </w:r>
    </w:p>
    <w:p w:rsidR="00CF0114" w:rsidRDefault="00AB5682">
      <w:pPr>
        <w:pStyle w:val="NumPar1"/>
        <w:rPr>
          <w:noProof/>
        </w:rPr>
      </w:pPr>
      <w:r>
        <w:rPr>
          <w:noProof/>
        </w:rPr>
        <w:t xml:space="preserve">Si le Parlement européen adopte, à la majorité des membres qui le composent, des </w:t>
      </w:r>
      <w:r>
        <w:rPr>
          <w:noProof/>
        </w:rPr>
        <w:t>amendements, l'article 314, paragraphe 4, point c), du TFUE s'applique. Cependant, un trilogue est convoqué avant que le comité de conciliation ne se réunisse:</w:t>
      </w:r>
    </w:p>
    <w:p w:rsidR="00CF0114" w:rsidRDefault="00AB5682">
      <w:pPr>
        <w:pStyle w:val="Tiret1"/>
        <w:rPr>
          <w:noProof/>
        </w:rPr>
      </w:pPr>
      <w:r>
        <w:rPr>
          <w:noProof/>
        </w:rPr>
        <w:t xml:space="preserve">si un accord est dégagé au cours du trilogue et sous réserve de l'accord du Parlement européen </w:t>
      </w:r>
      <w:r>
        <w:rPr>
          <w:noProof/>
        </w:rPr>
        <w:t>et du Conseil sur les résultats du trilogue, la conciliation est close par un échange de lettres sans réunion du comité de conciliation;</w:t>
      </w:r>
    </w:p>
    <w:p w:rsidR="00CF0114" w:rsidRDefault="00AB5682">
      <w:pPr>
        <w:pStyle w:val="Tiret1"/>
        <w:rPr>
          <w:noProof/>
        </w:rPr>
      </w:pPr>
      <w:r>
        <w:rPr>
          <w:noProof/>
        </w:rPr>
        <w:t>si aucun accord n'est dégagé au cours du trilogue, le comité de conciliation se réunit et organise ses travaux en fonct</w:t>
      </w:r>
      <w:r>
        <w:rPr>
          <w:noProof/>
        </w:rPr>
        <w:t>ion des circonstances dans le but d'achever le processus de décision autant que possible avant l'expiration du délai de vingt et un jours prévu à l'article 314, paragraphe 5, du TFUE. Le comité de conciliation peut conclure ses travaux par un échange de le</w:t>
      </w:r>
      <w:r>
        <w:rPr>
          <w:noProof/>
        </w:rPr>
        <w:t>ttres.</w:t>
      </w:r>
    </w:p>
    <w:p w:rsidR="00CF0114" w:rsidRDefault="00AB5682">
      <w:pPr>
        <w:pStyle w:val="ManualHeading2"/>
        <w:rPr>
          <w:noProof/>
        </w:rPr>
      </w:pPr>
      <w:r>
        <w:rPr>
          <w:noProof/>
        </w:rPr>
        <w:t>Partie G. Reste à liquider (RAL)</w:t>
      </w:r>
    </w:p>
    <w:p w:rsidR="00CF0114" w:rsidRDefault="00AB5682">
      <w:pPr>
        <w:pStyle w:val="NumPar1"/>
        <w:rPr>
          <w:noProof/>
        </w:rPr>
      </w:pPr>
      <w:r>
        <w:rPr>
          <w:noProof/>
        </w:rPr>
        <w:t>Compte tenu de la nécessité d'assurer une évolution ordonnée du total des crédits pour paiements par rapport aux crédits pour engagements de manière à éviter tout report anormal du RAL d'une année sur l'autre, le Par</w:t>
      </w:r>
      <w:r>
        <w:rPr>
          <w:noProof/>
        </w:rPr>
        <w:t>lement européen, le Conseil et la Commission conviennent de suivre de près le niveau du RAL afin d'atténuer le risque d'entrave à la mise en œuvre des programmes de l'Union en raison d'un manque de crédits de paiement au terme du CFP.</w:t>
      </w:r>
    </w:p>
    <w:p w:rsidR="00CF0114" w:rsidRDefault="00AB5682">
      <w:pPr>
        <w:pStyle w:val="Text1"/>
        <w:rPr>
          <w:noProof/>
        </w:rPr>
      </w:pPr>
      <w:r>
        <w:rPr>
          <w:noProof/>
        </w:rPr>
        <w:t>Afin de garantir un n</w:t>
      </w:r>
      <w:r>
        <w:rPr>
          <w:noProof/>
        </w:rPr>
        <w:t>iveau et un profil gérables pour les paiements dans toutes les rubriques, les règles de dégagement sont appliquées de manière stricte dans toutes les rubriques, en particulier les règles de dégagement d'office.</w:t>
      </w:r>
    </w:p>
    <w:p w:rsidR="00CF0114" w:rsidRDefault="00AB5682">
      <w:pPr>
        <w:pStyle w:val="Text1"/>
        <w:rPr>
          <w:b/>
          <w:noProof/>
        </w:rPr>
      </w:pPr>
      <w:r>
        <w:rPr>
          <w:noProof/>
        </w:rPr>
        <w:t>Au cours de la procédure budgétaire, les inst</w:t>
      </w:r>
      <w:r>
        <w:rPr>
          <w:noProof/>
        </w:rPr>
        <w:t>itutions se réunissent régulièrement en vue d'évaluer conjointement l'état de la situation et les perspectives d'exécution du budget durant l'exercice en cours et les exercices à venir. Ces rencontres prennent la forme de réunions interinstitutionnelles sp</w:t>
      </w:r>
      <w:r>
        <w:rPr>
          <w:noProof/>
        </w:rPr>
        <w:t xml:space="preserve">écialement organisées au niveau approprié, avant lesquelles la Commission fournit des informations détaillées sur l'état de la situation, ventilées par Fonds et par État membre, concernant l'exécution des paiements, les demandes de remboursement reçues et </w:t>
      </w:r>
      <w:r>
        <w:rPr>
          <w:noProof/>
        </w:rPr>
        <w:t>les prévisions révisées. En particulier, afin d'assurer que l'Union est en mesure de remplir toutes ses obligations financières découlant d'engagements existants et futurs pendant la période 2021</w:t>
      </w:r>
      <w:r>
        <w:rPr>
          <w:noProof/>
        </w:rPr>
        <w:noBreakHyphen/>
        <w:t>2027, conformément à l'article 323 du TFUE, le Parlement eur</w:t>
      </w:r>
      <w:r>
        <w:rPr>
          <w:noProof/>
        </w:rPr>
        <w:t>opéen et le Conseil analysent et examinent les estimations de la Commission en ce qui concerne le niveau requis des crédits de paiement.</w:t>
      </w:r>
    </w:p>
    <w:p w:rsidR="00CF0114" w:rsidRDefault="00CF0114">
      <w:pPr>
        <w:rPr>
          <w:b/>
          <w:noProof/>
          <w:sz w:val="22"/>
          <w:szCs w:val="22"/>
        </w:rPr>
      </w:pPr>
    </w:p>
    <w:p w:rsidR="00CF0114" w:rsidRDefault="00CF0114">
      <w:pPr>
        <w:rPr>
          <w:noProof/>
        </w:rPr>
      </w:pPr>
    </w:p>
    <w:sectPr w:rsidR="00CF011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14" w:rsidRDefault="00AB5682">
      <w:r>
        <w:separator/>
      </w:r>
    </w:p>
  </w:endnote>
  <w:endnote w:type="continuationSeparator" w:id="0">
    <w:p w:rsidR="00CF0114" w:rsidRDefault="00AB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82" w:rsidRPr="00AB5682" w:rsidRDefault="00AB5682" w:rsidP="00AB5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82" w:rsidRPr="00AB5682" w:rsidRDefault="00AB5682" w:rsidP="00AB5682">
    <w:pPr>
      <w:pStyle w:val="FooterCoverPage"/>
      <w:rPr>
        <w:rFonts w:ascii="Arial" w:hAnsi="Arial" w:cs="Arial"/>
        <w:b/>
        <w:sz w:val="48"/>
      </w:rPr>
    </w:pPr>
    <w:r w:rsidRPr="00AB5682">
      <w:rPr>
        <w:rFonts w:ascii="Arial" w:hAnsi="Arial" w:cs="Arial"/>
        <w:b/>
        <w:sz w:val="48"/>
      </w:rPr>
      <w:t>FR</w:t>
    </w:r>
    <w:r w:rsidRPr="00AB5682">
      <w:rPr>
        <w:rFonts w:ascii="Arial" w:hAnsi="Arial" w:cs="Arial"/>
        <w:b/>
        <w:sz w:val="48"/>
      </w:rPr>
      <w:tab/>
    </w:r>
    <w:r w:rsidRPr="00AB5682">
      <w:rPr>
        <w:rFonts w:ascii="Arial" w:hAnsi="Arial" w:cs="Arial"/>
        <w:b/>
        <w:sz w:val="48"/>
      </w:rPr>
      <w:tab/>
    </w:r>
    <w:r w:rsidRPr="00AB5682">
      <w:tab/>
    </w:r>
    <w:r w:rsidRPr="00AB568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82" w:rsidRPr="00AB5682" w:rsidRDefault="00AB5682" w:rsidP="00AB568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14" w:rsidRDefault="00AB5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114" w:rsidRDefault="00CF011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97190"/>
      <w:docPartObj>
        <w:docPartGallery w:val="Page Numbers (Bottom of Page)"/>
        <w:docPartUnique/>
      </w:docPartObj>
    </w:sdtPr>
    <w:sdtEndPr>
      <w:rPr>
        <w:noProof/>
      </w:rPr>
    </w:sdtEndPr>
    <w:sdtContent>
      <w:p w:rsidR="00AB5682" w:rsidRDefault="00AB568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CF0114" w:rsidRDefault="00CF0114">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14" w:rsidRDefault="00CF0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14" w:rsidRDefault="00AB5682">
      <w:r>
        <w:separator/>
      </w:r>
    </w:p>
  </w:footnote>
  <w:footnote w:type="continuationSeparator" w:id="0">
    <w:p w:rsidR="00CF0114" w:rsidRDefault="00AB5682">
      <w:r>
        <w:continuationSeparator/>
      </w:r>
    </w:p>
  </w:footnote>
  <w:footnote w:id="1">
    <w:p w:rsidR="00CF0114" w:rsidRDefault="00AB5682">
      <w:pPr>
        <w:pStyle w:val="FootnoteText"/>
      </w:pPr>
      <w:r>
        <w:rPr>
          <w:rStyle w:val="FootnoteReference"/>
        </w:rPr>
        <w:footnoteRef/>
      </w:r>
      <w:r>
        <w:tab/>
        <w:t>Règlement (CEE, Euratom) n° 1182/71 du Conseil du 3 juin 1971 portant détermination d</w:t>
      </w:r>
      <w:r>
        <w:t>es règles applicables aux délais, aux dates et aux termes (JO L 124 du 8.6.1971, p. 1).</w:t>
      </w:r>
    </w:p>
  </w:footnote>
  <w:footnote w:id="2">
    <w:p w:rsidR="00CF0114" w:rsidRDefault="00AB5682">
      <w:pPr>
        <w:pStyle w:val="FootnoteText"/>
        <w:rPr>
          <w:noProof/>
        </w:rPr>
      </w:pPr>
      <w:r>
        <w:rPr>
          <w:rStyle w:val="FootnoteReference"/>
        </w:rPr>
        <w:footnoteRef/>
      </w:r>
      <w:r>
        <w:t xml:space="preserve"> </w:t>
      </w:r>
      <w:r>
        <w:tab/>
        <w:t>Les différentes étapes comprennent: le budget de l'exercice en cours (y compris les budgets rectificatifs adoptés); le projet de budget initial; la position du Conse</w:t>
      </w:r>
      <w:r>
        <w:t>il sur le projet de budget; les amendements du Parlement européen à la position du Conseil et les lettres rectificatives présentées par la Commission (si elles n'ont pas encore été pleinement approuvées par toutes les institutions).</w:t>
      </w:r>
    </w:p>
  </w:footnote>
  <w:footnote w:id="3">
    <w:p w:rsidR="00CF0114" w:rsidRDefault="00AB5682">
      <w:pPr>
        <w:pStyle w:val="FootnoteText"/>
        <w:rPr>
          <w:lang w:val="fr-BE"/>
        </w:rPr>
      </w:pPr>
      <w:r>
        <w:rPr>
          <w:noProof/>
        </w:rPr>
        <w:footnoteRef/>
      </w:r>
      <w:r>
        <w:t xml:space="preserve"> </w:t>
      </w:r>
      <w:r>
        <w:tab/>
        <w:t>On entend par «ligne</w:t>
      </w:r>
      <w:r>
        <w:t xml:space="preserve"> budgétaire réputée techniquement close» une ligne pour laquelle il n'existe aucun désaccord entre le Parlement européen et le Conseil et pour laquelle aucune lettre rectificative n'a été présentée.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82" w:rsidRPr="00AB5682" w:rsidRDefault="00AB5682" w:rsidP="00AB5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82" w:rsidRPr="00AB5682" w:rsidRDefault="00AB5682" w:rsidP="00AB568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82" w:rsidRPr="00AB5682" w:rsidRDefault="00AB5682" w:rsidP="00AB568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14" w:rsidRDefault="00CF01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14" w:rsidRDefault="00CF01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14" w:rsidRDefault="00CF0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74A6"/>
    <w:multiLevelType w:val="multilevel"/>
    <w:tmpl w:val="BB96EC00"/>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A761C23"/>
    <w:multiLevelType w:val="hybridMultilevel"/>
    <w:tmpl w:val="42EEF9F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95128B6"/>
    <w:multiLevelType w:val="singleLevel"/>
    <w:tmpl w:val="4F70CA0A"/>
    <w:name w:val="Tiret 2"/>
    <w:lvl w:ilvl="0">
      <w:start w:val="1"/>
      <w:numFmt w:val="bullet"/>
      <w:lvlRestart w:val="0"/>
      <w:pStyle w:val="Tiret2"/>
      <w:lvlText w:val="–"/>
      <w:lvlJc w:val="left"/>
      <w:pPr>
        <w:tabs>
          <w:tab w:val="num" w:pos="1984"/>
        </w:tabs>
        <w:ind w:left="1984" w:hanging="567"/>
      </w:pPr>
    </w:lvl>
  </w:abstractNum>
  <w:abstractNum w:abstractNumId="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5">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6">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7">
    <w:nsid w:val="709E3643"/>
    <w:multiLevelType w:val="hybridMultilevel"/>
    <w:tmpl w:val="B7CA5EE0"/>
    <w:lvl w:ilvl="0" w:tplc="445AB986">
      <w:start w:val="1"/>
      <w:numFmt w:val="bullet"/>
      <w:lvlText w:val=""/>
      <w:lvlJc w:val="left"/>
      <w:pPr>
        <w:tabs>
          <w:tab w:val="num" w:pos="1210"/>
        </w:tabs>
        <w:ind w:left="1210" w:hanging="360"/>
      </w:pPr>
      <w:rPr>
        <w:rFonts w:ascii="Symbol" w:hAnsi="Symbol" w:hint="default"/>
      </w:rPr>
    </w:lvl>
    <w:lvl w:ilvl="1" w:tplc="08090003" w:tentative="1">
      <w:start w:val="1"/>
      <w:numFmt w:val="bullet"/>
      <w:lvlText w:val="o"/>
      <w:lvlJc w:val="left"/>
      <w:pPr>
        <w:tabs>
          <w:tab w:val="num" w:pos="1570"/>
        </w:tabs>
        <w:ind w:left="1570" w:hanging="360"/>
      </w:pPr>
      <w:rPr>
        <w:rFonts w:ascii="Courier New" w:hAnsi="Courier New" w:cs="Courier New" w:hint="default"/>
      </w:rPr>
    </w:lvl>
    <w:lvl w:ilvl="2" w:tplc="08090005" w:tentative="1">
      <w:start w:val="1"/>
      <w:numFmt w:val="bullet"/>
      <w:lvlText w:val=""/>
      <w:lvlJc w:val="left"/>
      <w:pPr>
        <w:tabs>
          <w:tab w:val="num" w:pos="2290"/>
        </w:tabs>
        <w:ind w:left="2290" w:hanging="360"/>
      </w:pPr>
      <w:rPr>
        <w:rFonts w:ascii="Wingdings" w:hAnsi="Wingdings" w:hint="default"/>
      </w:rPr>
    </w:lvl>
    <w:lvl w:ilvl="3" w:tplc="08090001" w:tentative="1">
      <w:start w:val="1"/>
      <w:numFmt w:val="bullet"/>
      <w:lvlText w:val=""/>
      <w:lvlJc w:val="left"/>
      <w:pPr>
        <w:tabs>
          <w:tab w:val="num" w:pos="3010"/>
        </w:tabs>
        <w:ind w:left="3010" w:hanging="360"/>
      </w:pPr>
      <w:rPr>
        <w:rFonts w:ascii="Symbol" w:hAnsi="Symbol" w:hint="default"/>
      </w:rPr>
    </w:lvl>
    <w:lvl w:ilvl="4" w:tplc="08090003" w:tentative="1">
      <w:start w:val="1"/>
      <w:numFmt w:val="bullet"/>
      <w:lvlText w:val="o"/>
      <w:lvlJc w:val="left"/>
      <w:pPr>
        <w:tabs>
          <w:tab w:val="num" w:pos="3730"/>
        </w:tabs>
        <w:ind w:left="3730" w:hanging="360"/>
      </w:pPr>
      <w:rPr>
        <w:rFonts w:ascii="Courier New" w:hAnsi="Courier New" w:cs="Courier New" w:hint="default"/>
      </w:rPr>
    </w:lvl>
    <w:lvl w:ilvl="5" w:tplc="08090005" w:tentative="1">
      <w:start w:val="1"/>
      <w:numFmt w:val="bullet"/>
      <w:lvlText w:val=""/>
      <w:lvlJc w:val="left"/>
      <w:pPr>
        <w:tabs>
          <w:tab w:val="num" w:pos="4450"/>
        </w:tabs>
        <w:ind w:left="4450" w:hanging="360"/>
      </w:pPr>
      <w:rPr>
        <w:rFonts w:ascii="Wingdings" w:hAnsi="Wingdings" w:hint="default"/>
      </w:rPr>
    </w:lvl>
    <w:lvl w:ilvl="6" w:tplc="08090001" w:tentative="1">
      <w:start w:val="1"/>
      <w:numFmt w:val="bullet"/>
      <w:lvlText w:val=""/>
      <w:lvlJc w:val="left"/>
      <w:pPr>
        <w:tabs>
          <w:tab w:val="num" w:pos="5170"/>
        </w:tabs>
        <w:ind w:left="5170" w:hanging="360"/>
      </w:pPr>
      <w:rPr>
        <w:rFonts w:ascii="Symbol" w:hAnsi="Symbol" w:hint="default"/>
      </w:rPr>
    </w:lvl>
    <w:lvl w:ilvl="7" w:tplc="08090003" w:tentative="1">
      <w:start w:val="1"/>
      <w:numFmt w:val="bullet"/>
      <w:lvlText w:val="o"/>
      <w:lvlJc w:val="left"/>
      <w:pPr>
        <w:tabs>
          <w:tab w:val="num" w:pos="5890"/>
        </w:tabs>
        <w:ind w:left="5890" w:hanging="360"/>
      </w:pPr>
      <w:rPr>
        <w:rFonts w:ascii="Courier New" w:hAnsi="Courier New" w:cs="Courier New" w:hint="default"/>
      </w:rPr>
    </w:lvl>
    <w:lvl w:ilvl="8" w:tplc="08090005" w:tentative="1">
      <w:start w:val="1"/>
      <w:numFmt w:val="bullet"/>
      <w:lvlText w:val=""/>
      <w:lvlJc w:val="left"/>
      <w:pPr>
        <w:tabs>
          <w:tab w:val="num" w:pos="6610"/>
        </w:tabs>
        <w:ind w:left="661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1CE68BCE-3FB4-4451-9688-3613486824B9"/>
    <w:docVar w:name="LW_COVERPAGE_TYPE" w:val="1"/>
    <w:docVar w:name="LW_CROSSREFERENCE" w:val="&lt;UNUSED&gt;"/>
    <w:docVar w:name="LW_DocType" w:val="NORMAL"/>
    <w:docVar w:name="LW_EMISSION" w:val="2.5.2018"/>
    <w:docVar w:name="LW_EMISSION_ISODATE" w:val="2018-05-02"/>
    <w:docVar w:name="LW_EMISSION_LOCATION" w:val="BRX"/>
    <w:docVar w:name="LW_EMISSION_PREFIX" w:val="Bruxelles, le"/>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entre le Parlement européen, le Conseil et la Commission sur la discipline budgétaire, la coopération en matière budgétaire et la bonne gestion financière"/>
    <w:docVar w:name="LW_PART_NBR" w:val="1"/>
    <w:docVar w:name="LW_PART_NBR_TOTAL" w:val="1"/>
    <w:docVar w:name="LW_REF.INST.NEW" w:val="COM"/>
    <w:docVar w:name="LW_REF.INST.NEW_ADOPTED" w:val="final"/>
    <w:docVar w:name="LW_REF.INST.NEW_TEXT" w:val="(2018)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ITRE.OBJ.CP_PREVIOUS" w:val="&lt;UNUSED&gt;"/>
    <w:docVar w:name="LW_TYPE.DOC.CP" w:val="ANNEXE_x000b_"/>
    <w:docVar w:name="LW_TYPEACTEPRINCIPAL.CP" w:val="proposition d'accord interinstitutionnel "/>
  </w:docVars>
  <w:rsids>
    <w:rsidRoot w:val="00CF0114"/>
    <w:rsid w:val="00AB5682"/>
    <w:rsid w:val="00CF01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ind w:left="720" w:hanging="720"/>
      <w:jc w:val="both"/>
    </w:pPr>
    <w:rPr>
      <w:sz w:val="20"/>
      <w:szCs w:val="20"/>
    </w:rPr>
  </w:style>
  <w:style w:type="character" w:styleId="FootnoteReference">
    <w:name w:val="footnote reference"/>
    <w:aliases w:val="Footnote Reference Superscript"/>
    <w:basedOn w:val="DefaultParagraphFont"/>
    <w:rPr>
      <w:vertAlign w:val="superscript"/>
    </w:rPr>
  </w:style>
  <w:style w:type="paragraph" w:customStyle="1" w:styleId="Text1">
    <w:name w:val="Text 1"/>
    <w:basedOn w:val="Normal"/>
    <w:pPr>
      <w:spacing w:before="120" w:after="120"/>
      <w:ind w:left="850"/>
      <w:jc w:val="both"/>
    </w:pPr>
  </w:style>
  <w:style w:type="paragraph" w:customStyle="1" w:styleId="Point1">
    <w:name w:val="Point 1"/>
    <w:basedOn w:val="Normal"/>
    <w:pPr>
      <w:spacing w:before="120" w:after="120"/>
      <w:ind w:left="1417" w:hanging="567"/>
      <w:jc w:val="both"/>
    </w:pPr>
  </w:style>
  <w:style w:type="paragraph" w:customStyle="1" w:styleId="Tiret1">
    <w:name w:val="Tiret 1"/>
    <w:basedOn w:val="Point1"/>
    <w:pPr>
      <w:numPr>
        <w:numId w:val="1"/>
      </w:numPr>
    </w:pPr>
  </w:style>
  <w:style w:type="paragraph" w:customStyle="1" w:styleId="Tiret2">
    <w:name w:val="Tiret 2"/>
    <w:basedOn w:val="Normal"/>
    <w:pPr>
      <w:numPr>
        <w:numId w:val="2"/>
      </w:numPr>
      <w:spacing w:before="120" w:after="120"/>
      <w:jc w:val="both"/>
    </w:pPr>
  </w:style>
  <w:style w:type="paragraph" w:customStyle="1" w:styleId="NumPar1">
    <w:name w:val="NumPar 1"/>
    <w:basedOn w:val="Normal"/>
    <w:next w:val="Text1"/>
    <w:pPr>
      <w:numPr>
        <w:numId w:val="4"/>
      </w:numPr>
      <w:spacing w:before="120" w:after="120"/>
      <w:jc w:val="both"/>
    </w:pPr>
  </w:style>
  <w:style w:type="paragraph" w:customStyle="1" w:styleId="NumPar2">
    <w:name w:val="NumPar 2"/>
    <w:basedOn w:val="Normal"/>
    <w:next w:val="Normal"/>
    <w:pPr>
      <w:numPr>
        <w:ilvl w:val="1"/>
        <w:numId w:val="4"/>
      </w:numPr>
      <w:spacing w:before="120" w:after="120"/>
      <w:jc w:val="both"/>
    </w:pPr>
  </w:style>
  <w:style w:type="paragraph" w:customStyle="1" w:styleId="NumPar3">
    <w:name w:val="NumPar 3"/>
    <w:basedOn w:val="Normal"/>
    <w:next w:val="Normal"/>
    <w:pPr>
      <w:numPr>
        <w:ilvl w:val="2"/>
        <w:numId w:val="4"/>
      </w:numPr>
      <w:spacing w:before="120" w:after="120"/>
      <w:jc w:val="both"/>
    </w:pPr>
  </w:style>
  <w:style w:type="paragraph" w:customStyle="1" w:styleId="NumPar4">
    <w:name w:val="NumPar 4"/>
    <w:basedOn w:val="Normal"/>
    <w:next w:val="Normal"/>
    <w:pPr>
      <w:numPr>
        <w:ilvl w:val="3"/>
        <w:numId w:val="4"/>
      </w:numPr>
      <w:spacing w:before="120" w:after="120"/>
      <w:jc w:val="both"/>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rPr>
  </w:style>
  <w:style w:type="paragraph" w:customStyle="1" w:styleId="PartTitle">
    <w:name w:val="PartTitle"/>
    <w:basedOn w:val="Normal"/>
    <w:next w:val="Normal"/>
    <w:pPr>
      <w:keepNext/>
      <w:pageBreakBefore/>
      <w:spacing w:before="120" w:after="360"/>
      <w:jc w:val="center"/>
    </w:pPr>
    <w:rPr>
      <w:b/>
      <w:sz w:val="36"/>
    </w:r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ListDash1">
    <w:name w:val="List Dash 1"/>
    <w:basedOn w:val="Normal"/>
    <w:pPr>
      <w:numPr>
        <w:numId w:val="3"/>
      </w:numPr>
      <w:spacing w:before="120" w:after="120"/>
      <w:jc w:val="both"/>
    </w:pPr>
  </w:style>
  <w:style w:type="paragraph" w:customStyle="1" w:styleId="Fait">
    <w:name w:val="Fait à"/>
    <w:basedOn w:val="Normal"/>
    <w:next w:val="Institutionquisigne"/>
    <w:pPr>
      <w:keepNext/>
      <w:spacing w:before="120"/>
      <w:jc w:val="both"/>
    </w:pPr>
  </w:style>
  <w:style w:type="paragraph" w:customStyle="1" w:styleId="Formuledadoption">
    <w:name w:val="Formule d'adoption"/>
    <w:basedOn w:val="Normal"/>
    <w:next w:val="Normal"/>
    <w:pPr>
      <w:keepNext/>
      <w:spacing w:before="120" w:after="120"/>
      <w:jc w:val="both"/>
    </w:pPr>
  </w:style>
  <w:style w:type="paragraph" w:customStyle="1" w:styleId="Institutionquiagit">
    <w:name w:val="Institution qui agit"/>
    <w:basedOn w:val="Normal"/>
    <w:next w:val="Normal"/>
    <w:pPr>
      <w:keepNext/>
      <w:spacing w:before="600" w:after="120"/>
      <w:jc w:val="both"/>
    </w:pPr>
  </w:style>
  <w:style w:type="paragraph" w:customStyle="1" w:styleId="Institutionquisigne">
    <w:name w:val="Institution qui signe"/>
    <w:basedOn w:val="Normal"/>
    <w:next w:val="Personnequisigne"/>
    <w:pPr>
      <w:keepNext/>
      <w:tabs>
        <w:tab w:val="left" w:pos="4252"/>
      </w:tabs>
      <w:spacing w:before="720"/>
      <w:jc w:val="both"/>
    </w:pPr>
    <w:rPr>
      <w:i/>
    </w:rPr>
  </w:style>
  <w:style w:type="paragraph" w:customStyle="1" w:styleId="Personnequisigne">
    <w:name w:val="Personne qui signe"/>
    <w:basedOn w:val="Normal"/>
    <w:next w:val="Institutionquisigne"/>
    <w:pPr>
      <w:tabs>
        <w:tab w:val="left" w:pos="4252"/>
      </w:tabs>
    </w:pPr>
    <w:rPr>
      <w:i/>
    </w:rPr>
  </w:style>
  <w:style w:type="paragraph" w:customStyle="1" w:styleId="Statut">
    <w:name w:val="Statut"/>
    <w:basedOn w:val="Normal"/>
    <w:next w:val="Typedudocument"/>
    <w:pPr>
      <w:spacing w:before="36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jc w:val="center"/>
    </w:pPr>
    <w:rPr>
      <w:b/>
    </w:rPr>
  </w:style>
  <w:style w:type="character" w:customStyle="1" w:styleId="Added">
    <w:name w:val="Added"/>
    <w:basedOn w:val="DefaultParagraphFont"/>
    <w:rPr>
      <w:b/>
      <w:u w:val="single"/>
    </w:rPr>
  </w:style>
  <w:style w:type="character" w:customStyle="1" w:styleId="Deleted">
    <w:name w:val="Deleted"/>
    <w:basedOn w:val="DefaultParagraphFont"/>
    <w:rPr>
      <w:strike/>
    </w:rPr>
  </w:style>
  <w:style w:type="character" w:customStyle="1" w:styleId="FootnoteTextChar">
    <w:name w:val="Footnote Text Char"/>
    <w:basedOn w:val="DefaultParagraphFont"/>
    <w:link w:val="FootnoteText"/>
    <w:rPr>
      <w:lang w:val="fr-FR" w:eastAsia="fr-FR" w:bidi="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character" w:styleId="Hyperlink">
    <w:name w:val="Hyperlink"/>
    <w:basedOn w:val="DefaultParagraphFont"/>
    <w:rPr>
      <w:color w:val="0000FF"/>
      <w:u w:val="single"/>
    </w:rPr>
  </w:style>
  <w:style w:type="paragraph" w:styleId="TOC1">
    <w:name w:val="toc 1"/>
    <w:basedOn w:val="Normal"/>
    <w:next w:val="Normal"/>
    <w:autoRedefine/>
    <w:semiHidden/>
    <w:pPr>
      <w:spacing w:before="120" w:after="120"/>
    </w:pPr>
    <w:rPr>
      <w:b/>
      <w:bCs/>
      <w:cap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link w:val="Header"/>
    <w:uiPriority w:val="99"/>
    <w:rPr>
      <w:rFonts w:eastAsia="Calibr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link w:val="Footer"/>
    <w:uiPriority w:val="99"/>
    <w:rPr>
      <w:rFonts w:eastAsia="Calibri"/>
      <w:sz w:val="24"/>
      <w:szCs w:val="22"/>
      <w:lang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Annexetitre">
    <w:name w:val="Annexe titre"/>
    <w:basedOn w:val="Normal"/>
    <w:next w:val="Normal"/>
    <w:pPr>
      <w:spacing w:before="120" w:after="120"/>
      <w:jc w:val="center"/>
    </w:pPr>
    <w:rPr>
      <w:rFonts w:eastAsiaTheme="minorHAnsi"/>
      <w:b/>
      <w:szCs w:val="22"/>
      <w:u w:val="single"/>
    </w:rPr>
  </w:style>
  <w:style w:type="paragraph" w:customStyle="1" w:styleId="NormalCentered">
    <w:name w:val="Normal Centered"/>
    <w:basedOn w:val="Normal"/>
    <w:pPr>
      <w:spacing w:before="120" w:after="120"/>
      <w:jc w:val="center"/>
    </w:pPr>
    <w:rPr>
      <w:rFonts w:eastAsiaTheme="minorHAnsi"/>
      <w:szCs w:val="22"/>
    </w:rPr>
  </w:style>
  <w:style w:type="paragraph" w:customStyle="1" w:styleId="Point0number">
    <w:name w:val="Point 0 (number)"/>
    <w:basedOn w:val="Normal"/>
    <w:pPr>
      <w:numPr>
        <w:numId w:val="8"/>
      </w:numPr>
      <w:spacing w:before="120" w:after="120"/>
      <w:jc w:val="both"/>
    </w:pPr>
    <w:rPr>
      <w:rFonts w:eastAsiaTheme="minorHAnsi"/>
      <w:szCs w:val="22"/>
    </w:rPr>
  </w:style>
  <w:style w:type="paragraph" w:customStyle="1" w:styleId="Point1number">
    <w:name w:val="Point 1 (number)"/>
    <w:basedOn w:val="Normal"/>
    <w:pPr>
      <w:numPr>
        <w:ilvl w:val="2"/>
        <w:numId w:val="8"/>
      </w:numPr>
      <w:spacing w:before="120" w:after="120"/>
      <w:jc w:val="both"/>
    </w:pPr>
    <w:rPr>
      <w:rFonts w:eastAsiaTheme="minorHAnsi"/>
      <w:szCs w:val="22"/>
    </w:rPr>
  </w:style>
  <w:style w:type="paragraph" w:customStyle="1" w:styleId="Point2number">
    <w:name w:val="Point 2 (number)"/>
    <w:basedOn w:val="Normal"/>
    <w:pPr>
      <w:numPr>
        <w:ilvl w:val="4"/>
        <w:numId w:val="8"/>
      </w:numPr>
      <w:spacing w:before="120" w:after="120"/>
      <w:jc w:val="both"/>
    </w:pPr>
    <w:rPr>
      <w:rFonts w:eastAsiaTheme="minorHAnsi"/>
      <w:szCs w:val="22"/>
    </w:rPr>
  </w:style>
  <w:style w:type="paragraph" w:customStyle="1" w:styleId="Point3number">
    <w:name w:val="Point 3 (number)"/>
    <w:basedOn w:val="Normal"/>
    <w:pPr>
      <w:numPr>
        <w:ilvl w:val="6"/>
        <w:numId w:val="8"/>
      </w:numPr>
      <w:spacing w:before="120" w:after="120"/>
      <w:jc w:val="both"/>
    </w:pPr>
    <w:rPr>
      <w:rFonts w:eastAsiaTheme="minorHAnsi"/>
      <w:szCs w:val="22"/>
    </w:rPr>
  </w:style>
  <w:style w:type="paragraph" w:customStyle="1" w:styleId="Point0letter">
    <w:name w:val="Point 0 (letter)"/>
    <w:basedOn w:val="Normal"/>
    <w:pPr>
      <w:numPr>
        <w:ilvl w:val="1"/>
        <w:numId w:val="8"/>
      </w:numPr>
      <w:spacing w:before="120" w:after="120"/>
      <w:jc w:val="both"/>
    </w:pPr>
    <w:rPr>
      <w:rFonts w:eastAsiaTheme="minorHAnsi"/>
      <w:szCs w:val="22"/>
    </w:rPr>
  </w:style>
  <w:style w:type="paragraph" w:customStyle="1" w:styleId="Point1letter">
    <w:name w:val="Point 1 (letter)"/>
    <w:basedOn w:val="Normal"/>
    <w:pPr>
      <w:numPr>
        <w:ilvl w:val="3"/>
        <w:numId w:val="8"/>
      </w:numPr>
      <w:spacing w:before="120" w:after="120"/>
      <w:jc w:val="both"/>
    </w:pPr>
    <w:rPr>
      <w:rFonts w:eastAsiaTheme="minorHAnsi"/>
      <w:szCs w:val="22"/>
    </w:rPr>
  </w:style>
  <w:style w:type="paragraph" w:customStyle="1" w:styleId="Point2letter">
    <w:name w:val="Point 2 (letter)"/>
    <w:basedOn w:val="Normal"/>
    <w:pPr>
      <w:numPr>
        <w:ilvl w:val="5"/>
        <w:numId w:val="8"/>
      </w:numPr>
      <w:spacing w:before="120" w:after="120"/>
      <w:jc w:val="both"/>
    </w:pPr>
    <w:rPr>
      <w:rFonts w:eastAsiaTheme="minorHAnsi"/>
      <w:szCs w:val="22"/>
    </w:rPr>
  </w:style>
  <w:style w:type="paragraph" w:customStyle="1" w:styleId="Point3letter">
    <w:name w:val="Point 3 (letter)"/>
    <w:basedOn w:val="Normal"/>
    <w:pPr>
      <w:numPr>
        <w:ilvl w:val="7"/>
        <w:numId w:val="8"/>
      </w:numPr>
      <w:spacing w:before="120" w:after="120"/>
      <w:jc w:val="both"/>
    </w:pPr>
    <w:rPr>
      <w:rFonts w:eastAsiaTheme="minorHAnsi"/>
      <w:szCs w:val="22"/>
    </w:rPr>
  </w:style>
  <w:style w:type="paragraph" w:customStyle="1" w:styleId="Point4letter">
    <w:name w:val="Point 4 (letter)"/>
    <w:basedOn w:val="Normal"/>
    <w:pPr>
      <w:numPr>
        <w:ilvl w:val="8"/>
        <w:numId w:val="8"/>
      </w:numPr>
      <w:spacing w:before="120" w:after="120"/>
      <w:jc w:val="both"/>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ind w:left="720" w:hanging="720"/>
      <w:jc w:val="both"/>
    </w:pPr>
    <w:rPr>
      <w:sz w:val="20"/>
      <w:szCs w:val="20"/>
    </w:rPr>
  </w:style>
  <w:style w:type="character" w:styleId="FootnoteReference">
    <w:name w:val="footnote reference"/>
    <w:aliases w:val="Footnote Reference Superscript"/>
    <w:basedOn w:val="DefaultParagraphFont"/>
    <w:rPr>
      <w:vertAlign w:val="superscript"/>
    </w:rPr>
  </w:style>
  <w:style w:type="paragraph" w:customStyle="1" w:styleId="Text1">
    <w:name w:val="Text 1"/>
    <w:basedOn w:val="Normal"/>
    <w:pPr>
      <w:spacing w:before="120" w:after="120"/>
      <w:ind w:left="850"/>
      <w:jc w:val="both"/>
    </w:pPr>
  </w:style>
  <w:style w:type="paragraph" w:customStyle="1" w:styleId="Point1">
    <w:name w:val="Point 1"/>
    <w:basedOn w:val="Normal"/>
    <w:pPr>
      <w:spacing w:before="120" w:after="120"/>
      <w:ind w:left="1417" w:hanging="567"/>
      <w:jc w:val="both"/>
    </w:pPr>
  </w:style>
  <w:style w:type="paragraph" w:customStyle="1" w:styleId="Tiret1">
    <w:name w:val="Tiret 1"/>
    <w:basedOn w:val="Point1"/>
    <w:pPr>
      <w:numPr>
        <w:numId w:val="1"/>
      </w:numPr>
    </w:pPr>
  </w:style>
  <w:style w:type="paragraph" w:customStyle="1" w:styleId="Tiret2">
    <w:name w:val="Tiret 2"/>
    <w:basedOn w:val="Normal"/>
    <w:pPr>
      <w:numPr>
        <w:numId w:val="2"/>
      </w:numPr>
      <w:spacing w:before="120" w:after="120"/>
      <w:jc w:val="both"/>
    </w:pPr>
  </w:style>
  <w:style w:type="paragraph" w:customStyle="1" w:styleId="NumPar1">
    <w:name w:val="NumPar 1"/>
    <w:basedOn w:val="Normal"/>
    <w:next w:val="Text1"/>
    <w:pPr>
      <w:numPr>
        <w:numId w:val="4"/>
      </w:numPr>
      <w:spacing w:before="120" w:after="120"/>
      <w:jc w:val="both"/>
    </w:pPr>
  </w:style>
  <w:style w:type="paragraph" w:customStyle="1" w:styleId="NumPar2">
    <w:name w:val="NumPar 2"/>
    <w:basedOn w:val="Normal"/>
    <w:next w:val="Normal"/>
    <w:pPr>
      <w:numPr>
        <w:ilvl w:val="1"/>
        <w:numId w:val="4"/>
      </w:numPr>
      <w:spacing w:before="120" w:after="120"/>
      <w:jc w:val="both"/>
    </w:pPr>
  </w:style>
  <w:style w:type="paragraph" w:customStyle="1" w:styleId="NumPar3">
    <w:name w:val="NumPar 3"/>
    <w:basedOn w:val="Normal"/>
    <w:next w:val="Normal"/>
    <w:pPr>
      <w:numPr>
        <w:ilvl w:val="2"/>
        <w:numId w:val="4"/>
      </w:numPr>
      <w:spacing w:before="120" w:after="120"/>
      <w:jc w:val="both"/>
    </w:pPr>
  </w:style>
  <w:style w:type="paragraph" w:customStyle="1" w:styleId="NumPar4">
    <w:name w:val="NumPar 4"/>
    <w:basedOn w:val="Normal"/>
    <w:next w:val="Normal"/>
    <w:pPr>
      <w:numPr>
        <w:ilvl w:val="3"/>
        <w:numId w:val="4"/>
      </w:numPr>
      <w:spacing w:before="120" w:after="120"/>
      <w:jc w:val="both"/>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rPr>
  </w:style>
  <w:style w:type="paragraph" w:customStyle="1" w:styleId="PartTitle">
    <w:name w:val="PartTitle"/>
    <w:basedOn w:val="Normal"/>
    <w:next w:val="Normal"/>
    <w:pPr>
      <w:keepNext/>
      <w:pageBreakBefore/>
      <w:spacing w:before="120" w:after="360"/>
      <w:jc w:val="center"/>
    </w:pPr>
    <w:rPr>
      <w:b/>
      <w:sz w:val="36"/>
    </w:r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ListDash1">
    <w:name w:val="List Dash 1"/>
    <w:basedOn w:val="Normal"/>
    <w:pPr>
      <w:numPr>
        <w:numId w:val="3"/>
      </w:numPr>
      <w:spacing w:before="120" w:after="120"/>
      <w:jc w:val="both"/>
    </w:pPr>
  </w:style>
  <w:style w:type="paragraph" w:customStyle="1" w:styleId="Fait">
    <w:name w:val="Fait à"/>
    <w:basedOn w:val="Normal"/>
    <w:next w:val="Institutionquisigne"/>
    <w:pPr>
      <w:keepNext/>
      <w:spacing w:before="120"/>
      <w:jc w:val="both"/>
    </w:pPr>
  </w:style>
  <w:style w:type="paragraph" w:customStyle="1" w:styleId="Formuledadoption">
    <w:name w:val="Formule d'adoption"/>
    <w:basedOn w:val="Normal"/>
    <w:next w:val="Normal"/>
    <w:pPr>
      <w:keepNext/>
      <w:spacing w:before="120" w:after="120"/>
      <w:jc w:val="both"/>
    </w:pPr>
  </w:style>
  <w:style w:type="paragraph" w:customStyle="1" w:styleId="Institutionquiagit">
    <w:name w:val="Institution qui agit"/>
    <w:basedOn w:val="Normal"/>
    <w:next w:val="Normal"/>
    <w:pPr>
      <w:keepNext/>
      <w:spacing w:before="600" w:after="120"/>
      <w:jc w:val="both"/>
    </w:pPr>
  </w:style>
  <w:style w:type="paragraph" w:customStyle="1" w:styleId="Institutionquisigne">
    <w:name w:val="Institution qui signe"/>
    <w:basedOn w:val="Normal"/>
    <w:next w:val="Personnequisigne"/>
    <w:pPr>
      <w:keepNext/>
      <w:tabs>
        <w:tab w:val="left" w:pos="4252"/>
      </w:tabs>
      <w:spacing w:before="720"/>
      <w:jc w:val="both"/>
    </w:pPr>
    <w:rPr>
      <w:i/>
    </w:rPr>
  </w:style>
  <w:style w:type="paragraph" w:customStyle="1" w:styleId="Personnequisigne">
    <w:name w:val="Personne qui signe"/>
    <w:basedOn w:val="Normal"/>
    <w:next w:val="Institutionquisigne"/>
    <w:pPr>
      <w:tabs>
        <w:tab w:val="left" w:pos="4252"/>
      </w:tabs>
    </w:pPr>
    <w:rPr>
      <w:i/>
    </w:rPr>
  </w:style>
  <w:style w:type="paragraph" w:customStyle="1" w:styleId="Statut">
    <w:name w:val="Statut"/>
    <w:basedOn w:val="Normal"/>
    <w:next w:val="Typedudocument"/>
    <w:pPr>
      <w:spacing w:before="36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jc w:val="center"/>
    </w:pPr>
    <w:rPr>
      <w:b/>
    </w:rPr>
  </w:style>
  <w:style w:type="character" w:customStyle="1" w:styleId="Added">
    <w:name w:val="Added"/>
    <w:basedOn w:val="DefaultParagraphFont"/>
    <w:rPr>
      <w:b/>
      <w:u w:val="single"/>
    </w:rPr>
  </w:style>
  <w:style w:type="character" w:customStyle="1" w:styleId="Deleted">
    <w:name w:val="Deleted"/>
    <w:basedOn w:val="DefaultParagraphFont"/>
    <w:rPr>
      <w:strike/>
    </w:rPr>
  </w:style>
  <w:style w:type="character" w:customStyle="1" w:styleId="FootnoteTextChar">
    <w:name w:val="Footnote Text Char"/>
    <w:basedOn w:val="DefaultParagraphFont"/>
    <w:link w:val="FootnoteText"/>
    <w:rPr>
      <w:lang w:val="fr-FR" w:eastAsia="fr-FR" w:bidi="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character" w:styleId="Hyperlink">
    <w:name w:val="Hyperlink"/>
    <w:basedOn w:val="DefaultParagraphFont"/>
    <w:rPr>
      <w:color w:val="0000FF"/>
      <w:u w:val="single"/>
    </w:rPr>
  </w:style>
  <w:style w:type="paragraph" w:styleId="TOC1">
    <w:name w:val="toc 1"/>
    <w:basedOn w:val="Normal"/>
    <w:next w:val="Normal"/>
    <w:autoRedefine/>
    <w:semiHidden/>
    <w:pPr>
      <w:spacing w:before="120" w:after="120"/>
    </w:pPr>
    <w:rPr>
      <w:b/>
      <w:bCs/>
      <w:cap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link w:val="Header"/>
    <w:uiPriority w:val="99"/>
    <w:rPr>
      <w:rFonts w:eastAsia="Calibr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link w:val="Footer"/>
    <w:uiPriority w:val="99"/>
    <w:rPr>
      <w:rFonts w:eastAsia="Calibri"/>
      <w:sz w:val="24"/>
      <w:szCs w:val="22"/>
      <w:lang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Annexetitre">
    <w:name w:val="Annexe titre"/>
    <w:basedOn w:val="Normal"/>
    <w:next w:val="Normal"/>
    <w:pPr>
      <w:spacing w:before="120" w:after="120"/>
      <w:jc w:val="center"/>
    </w:pPr>
    <w:rPr>
      <w:rFonts w:eastAsiaTheme="minorHAnsi"/>
      <w:b/>
      <w:szCs w:val="22"/>
      <w:u w:val="single"/>
    </w:rPr>
  </w:style>
  <w:style w:type="paragraph" w:customStyle="1" w:styleId="NormalCentered">
    <w:name w:val="Normal Centered"/>
    <w:basedOn w:val="Normal"/>
    <w:pPr>
      <w:spacing w:before="120" w:after="120"/>
      <w:jc w:val="center"/>
    </w:pPr>
    <w:rPr>
      <w:rFonts w:eastAsiaTheme="minorHAnsi"/>
      <w:szCs w:val="22"/>
    </w:rPr>
  </w:style>
  <w:style w:type="paragraph" w:customStyle="1" w:styleId="Point0number">
    <w:name w:val="Point 0 (number)"/>
    <w:basedOn w:val="Normal"/>
    <w:pPr>
      <w:numPr>
        <w:numId w:val="8"/>
      </w:numPr>
      <w:spacing w:before="120" w:after="120"/>
      <w:jc w:val="both"/>
    </w:pPr>
    <w:rPr>
      <w:rFonts w:eastAsiaTheme="minorHAnsi"/>
      <w:szCs w:val="22"/>
    </w:rPr>
  </w:style>
  <w:style w:type="paragraph" w:customStyle="1" w:styleId="Point1number">
    <w:name w:val="Point 1 (number)"/>
    <w:basedOn w:val="Normal"/>
    <w:pPr>
      <w:numPr>
        <w:ilvl w:val="2"/>
        <w:numId w:val="8"/>
      </w:numPr>
      <w:spacing w:before="120" w:after="120"/>
      <w:jc w:val="both"/>
    </w:pPr>
    <w:rPr>
      <w:rFonts w:eastAsiaTheme="minorHAnsi"/>
      <w:szCs w:val="22"/>
    </w:rPr>
  </w:style>
  <w:style w:type="paragraph" w:customStyle="1" w:styleId="Point2number">
    <w:name w:val="Point 2 (number)"/>
    <w:basedOn w:val="Normal"/>
    <w:pPr>
      <w:numPr>
        <w:ilvl w:val="4"/>
        <w:numId w:val="8"/>
      </w:numPr>
      <w:spacing w:before="120" w:after="120"/>
      <w:jc w:val="both"/>
    </w:pPr>
    <w:rPr>
      <w:rFonts w:eastAsiaTheme="minorHAnsi"/>
      <w:szCs w:val="22"/>
    </w:rPr>
  </w:style>
  <w:style w:type="paragraph" w:customStyle="1" w:styleId="Point3number">
    <w:name w:val="Point 3 (number)"/>
    <w:basedOn w:val="Normal"/>
    <w:pPr>
      <w:numPr>
        <w:ilvl w:val="6"/>
        <w:numId w:val="8"/>
      </w:numPr>
      <w:spacing w:before="120" w:after="120"/>
      <w:jc w:val="both"/>
    </w:pPr>
    <w:rPr>
      <w:rFonts w:eastAsiaTheme="minorHAnsi"/>
      <w:szCs w:val="22"/>
    </w:rPr>
  </w:style>
  <w:style w:type="paragraph" w:customStyle="1" w:styleId="Point0letter">
    <w:name w:val="Point 0 (letter)"/>
    <w:basedOn w:val="Normal"/>
    <w:pPr>
      <w:numPr>
        <w:ilvl w:val="1"/>
        <w:numId w:val="8"/>
      </w:numPr>
      <w:spacing w:before="120" w:after="120"/>
      <w:jc w:val="both"/>
    </w:pPr>
    <w:rPr>
      <w:rFonts w:eastAsiaTheme="minorHAnsi"/>
      <w:szCs w:val="22"/>
    </w:rPr>
  </w:style>
  <w:style w:type="paragraph" w:customStyle="1" w:styleId="Point1letter">
    <w:name w:val="Point 1 (letter)"/>
    <w:basedOn w:val="Normal"/>
    <w:pPr>
      <w:numPr>
        <w:ilvl w:val="3"/>
        <w:numId w:val="8"/>
      </w:numPr>
      <w:spacing w:before="120" w:after="120"/>
      <w:jc w:val="both"/>
    </w:pPr>
    <w:rPr>
      <w:rFonts w:eastAsiaTheme="minorHAnsi"/>
      <w:szCs w:val="22"/>
    </w:rPr>
  </w:style>
  <w:style w:type="paragraph" w:customStyle="1" w:styleId="Point2letter">
    <w:name w:val="Point 2 (letter)"/>
    <w:basedOn w:val="Normal"/>
    <w:pPr>
      <w:numPr>
        <w:ilvl w:val="5"/>
        <w:numId w:val="8"/>
      </w:numPr>
      <w:spacing w:before="120" w:after="120"/>
      <w:jc w:val="both"/>
    </w:pPr>
    <w:rPr>
      <w:rFonts w:eastAsiaTheme="minorHAnsi"/>
      <w:szCs w:val="22"/>
    </w:rPr>
  </w:style>
  <w:style w:type="paragraph" w:customStyle="1" w:styleId="Point3letter">
    <w:name w:val="Point 3 (letter)"/>
    <w:basedOn w:val="Normal"/>
    <w:pPr>
      <w:numPr>
        <w:ilvl w:val="7"/>
        <w:numId w:val="8"/>
      </w:numPr>
      <w:spacing w:before="120" w:after="120"/>
      <w:jc w:val="both"/>
    </w:pPr>
    <w:rPr>
      <w:rFonts w:eastAsiaTheme="minorHAnsi"/>
      <w:szCs w:val="22"/>
    </w:rPr>
  </w:style>
  <w:style w:type="paragraph" w:customStyle="1" w:styleId="Point4letter">
    <w:name w:val="Point 4 (letter)"/>
    <w:basedOn w:val="Normal"/>
    <w:pPr>
      <w:numPr>
        <w:ilvl w:val="8"/>
        <w:numId w:val="8"/>
      </w:numPr>
      <w:spacing w:before="120" w:after="120"/>
      <w:jc w:val="both"/>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2610</Words>
  <Characters>14303</Characters>
  <Application>Microsoft Office Word</Application>
  <DocSecurity>0</DocSecurity>
  <Lines>238</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16829</CharactersWithSpaces>
  <SharedDoc>false</SharedDoc>
  <HLinks>
    <vt:vector size="156" baseType="variant">
      <vt:variant>
        <vt:i4>1638453</vt:i4>
      </vt:variant>
      <vt:variant>
        <vt:i4>152</vt:i4>
      </vt:variant>
      <vt:variant>
        <vt:i4>0</vt:i4>
      </vt:variant>
      <vt:variant>
        <vt:i4>5</vt:i4>
      </vt:variant>
      <vt:variant>
        <vt:lpwstr/>
      </vt:variant>
      <vt:variant>
        <vt:lpwstr>_Toc297024238</vt:lpwstr>
      </vt:variant>
      <vt:variant>
        <vt:i4>1638453</vt:i4>
      </vt:variant>
      <vt:variant>
        <vt:i4>146</vt:i4>
      </vt:variant>
      <vt:variant>
        <vt:i4>0</vt:i4>
      </vt:variant>
      <vt:variant>
        <vt:i4>5</vt:i4>
      </vt:variant>
      <vt:variant>
        <vt:lpwstr/>
      </vt:variant>
      <vt:variant>
        <vt:lpwstr>_Toc297024237</vt:lpwstr>
      </vt:variant>
      <vt:variant>
        <vt:i4>1638453</vt:i4>
      </vt:variant>
      <vt:variant>
        <vt:i4>140</vt:i4>
      </vt:variant>
      <vt:variant>
        <vt:i4>0</vt:i4>
      </vt:variant>
      <vt:variant>
        <vt:i4>5</vt:i4>
      </vt:variant>
      <vt:variant>
        <vt:lpwstr/>
      </vt:variant>
      <vt:variant>
        <vt:lpwstr>_Toc297024236</vt:lpwstr>
      </vt:variant>
      <vt:variant>
        <vt:i4>1638453</vt:i4>
      </vt:variant>
      <vt:variant>
        <vt:i4>134</vt:i4>
      </vt:variant>
      <vt:variant>
        <vt:i4>0</vt:i4>
      </vt:variant>
      <vt:variant>
        <vt:i4>5</vt:i4>
      </vt:variant>
      <vt:variant>
        <vt:lpwstr/>
      </vt:variant>
      <vt:variant>
        <vt:lpwstr>_Toc297024235</vt:lpwstr>
      </vt:variant>
      <vt:variant>
        <vt:i4>1638453</vt:i4>
      </vt:variant>
      <vt:variant>
        <vt:i4>128</vt:i4>
      </vt:variant>
      <vt:variant>
        <vt:i4>0</vt:i4>
      </vt:variant>
      <vt:variant>
        <vt:i4>5</vt:i4>
      </vt:variant>
      <vt:variant>
        <vt:lpwstr/>
      </vt:variant>
      <vt:variant>
        <vt:lpwstr>_Toc297024234</vt:lpwstr>
      </vt:variant>
      <vt:variant>
        <vt:i4>1638453</vt:i4>
      </vt:variant>
      <vt:variant>
        <vt:i4>122</vt:i4>
      </vt:variant>
      <vt:variant>
        <vt:i4>0</vt:i4>
      </vt:variant>
      <vt:variant>
        <vt:i4>5</vt:i4>
      </vt:variant>
      <vt:variant>
        <vt:lpwstr/>
      </vt:variant>
      <vt:variant>
        <vt:lpwstr>_Toc297024233</vt:lpwstr>
      </vt:variant>
      <vt:variant>
        <vt:i4>1638453</vt:i4>
      </vt:variant>
      <vt:variant>
        <vt:i4>116</vt:i4>
      </vt:variant>
      <vt:variant>
        <vt:i4>0</vt:i4>
      </vt:variant>
      <vt:variant>
        <vt:i4>5</vt:i4>
      </vt:variant>
      <vt:variant>
        <vt:lpwstr/>
      </vt:variant>
      <vt:variant>
        <vt:lpwstr>_Toc297024232</vt:lpwstr>
      </vt:variant>
      <vt:variant>
        <vt:i4>1638453</vt:i4>
      </vt:variant>
      <vt:variant>
        <vt:i4>110</vt:i4>
      </vt:variant>
      <vt:variant>
        <vt:i4>0</vt:i4>
      </vt:variant>
      <vt:variant>
        <vt:i4>5</vt:i4>
      </vt:variant>
      <vt:variant>
        <vt:lpwstr/>
      </vt:variant>
      <vt:variant>
        <vt:lpwstr>_Toc297024231</vt:lpwstr>
      </vt:variant>
      <vt:variant>
        <vt:i4>1638453</vt:i4>
      </vt:variant>
      <vt:variant>
        <vt:i4>104</vt:i4>
      </vt:variant>
      <vt:variant>
        <vt:i4>0</vt:i4>
      </vt:variant>
      <vt:variant>
        <vt:i4>5</vt:i4>
      </vt:variant>
      <vt:variant>
        <vt:lpwstr/>
      </vt:variant>
      <vt:variant>
        <vt:lpwstr>_Toc297024230</vt:lpwstr>
      </vt:variant>
      <vt:variant>
        <vt:i4>1572917</vt:i4>
      </vt:variant>
      <vt:variant>
        <vt:i4>98</vt:i4>
      </vt:variant>
      <vt:variant>
        <vt:i4>0</vt:i4>
      </vt:variant>
      <vt:variant>
        <vt:i4>5</vt:i4>
      </vt:variant>
      <vt:variant>
        <vt:lpwstr/>
      </vt:variant>
      <vt:variant>
        <vt:lpwstr>_Toc297024229</vt:lpwstr>
      </vt:variant>
      <vt:variant>
        <vt:i4>1572917</vt:i4>
      </vt:variant>
      <vt:variant>
        <vt:i4>92</vt:i4>
      </vt:variant>
      <vt:variant>
        <vt:i4>0</vt:i4>
      </vt:variant>
      <vt:variant>
        <vt:i4>5</vt:i4>
      </vt:variant>
      <vt:variant>
        <vt:lpwstr/>
      </vt:variant>
      <vt:variant>
        <vt:lpwstr>_Toc297024228</vt:lpwstr>
      </vt:variant>
      <vt:variant>
        <vt:i4>1572917</vt:i4>
      </vt:variant>
      <vt:variant>
        <vt:i4>86</vt:i4>
      </vt:variant>
      <vt:variant>
        <vt:i4>0</vt:i4>
      </vt:variant>
      <vt:variant>
        <vt:i4>5</vt:i4>
      </vt:variant>
      <vt:variant>
        <vt:lpwstr/>
      </vt:variant>
      <vt:variant>
        <vt:lpwstr>_Toc297024227</vt:lpwstr>
      </vt:variant>
      <vt:variant>
        <vt:i4>1572917</vt:i4>
      </vt:variant>
      <vt:variant>
        <vt:i4>80</vt:i4>
      </vt:variant>
      <vt:variant>
        <vt:i4>0</vt:i4>
      </vt:variant>
      <vt:variant>
        <vt:i4>5</vt:i4>
      </vt:variant>
      <vt:variant>
        <vt:lpwstr/>
      </vt:variant>
      <vt:variant>
        <vt:lpwstr>_Toc297024226</vt:lpwstr>
      </vt:variant>
      <vt:variant>
        <vt:i4>1572917</vt:i4>
      </vt:variant>
      <vt:variant>
        <vt:i4>74</vt:i4>
      </vt:variant>
      <vt:variant>
        <vt:i4>0</vt:i4>
      </vt:variant>
      <vt:variant>
        <vt:i4>5</vt:i4>
      </vt:variant>
      <vt:variant>
        <vt:lpwstr/>
      </vt:variant>
      <vt:variant>
        <vt:lpwstr>_Toc297024225</vt:lpwstr>
      </vt:variant>
      <vt:variant>
        <vt:i4>1572917</vt:i4>
      </vt:variant>
      <vt:variant>
        <vt:i4>68</vt:i4>
      </vt:variant>
      <vt:variant>
        <vt:i4>0</vt:i4>
      </vt:variant>
      <vt:variant>
        <vt:i4>5</vt:i4>
      </vt:variant>
      <vt:variant>
        <vt:lpwstr/>
      </vt:variant>
      <vt:variant>
        <vt:lpwstr>_Toc297024224</vt:lpwstr>
      </vt:variant>
      <vt:variant>
        <vt:i4>1572917</vt:i4>
      </vt:variant>
      <vt:variant>
        <vt:i4>62</vt:i4>
      </vt:variant>
      <vt:variant>
        <vt:i4>0</vt:i4>
      </vt:variant>
      <vt:variant>
        <vt:i4>5</vt:i4>
      </vt:variant>
      <vt:variant>
        <vt:lpwstr/>
      </vt:variant>
      <vt:variant>
        <vt:lpwstr>_Toc297024223</vt:lpwstr>
      </vt:variant>
      <vt:variant>
        <vt:i4>1572917</vt:i4>
      </vt:variant>
      <vt:variant>
        <vt:i4>56</vt:i4>
      </vt:variant>
      <vt:variant>
        <vt:i4>0</vt:i4>
      </vt:variant>
      <vt:variant>
        <vt:i4>5</vt:i4>
      </vt:variant>
      <vt:variant>
        <vt:lpwstr/>
      </vt:variant>
      <vt:variant>
        <vt:lpwstr>_Toc297024222</vt:lpwstr>
      </vt:variant>
      <vt:variant>
        <vt:i4>1572917</vt:i4>
      </vt:variant>
      <vt:variant>
        <vt:i4>50</vt:i4>
      </vt:variant>
      <vt:variant>
        <vt:i4>0</vt:i4>
      </vt:variant>
      <vt:variant>
        <vt:i4>5</vt:i4>
      </vt:variant>
      <vt:variant>
        <vt:lpwstr/>
      </vt:variant>
      <vt:variant>
        <vt:lpwstr>_Toc297024221</vt:lpwstr>
      </vt:variant>
      <vt:variant>
        <vt:i4>1572917</vt:i4>
      </vt:variant>
      <vt:variant>
        <vt:i4>44</vt:i4>
      </vt:variant>
      <vt:variant>
        <vt:i4>0</vt:i4>
      </vt:variant>
      <vt:variant>
        <vt:i4>5</vt:i4>
      </vt:variant>
      <vt:variant>
        <vt:lpwstr/>
      </vt:variant>
      <vt:variant>
        <vt:lpwstr>_Toc297024220</vt:lpwstr>
      </vt:variant>
      <vt:variant>
        <vt:i4>1769525</vt:i4>
      </vt:variant>
      <vt:variant>
        <vt:i4>38</vt:i4>
      </vt:variant>
      <vt:variant>
        <vt:i4>0</vt:i4>
      </vt:variant>
      <vt:variant>
        <vt:i4>5</vt:i4>
      </vt:variant>
      <vt:variant>
        <vt:lpwstr/>
      </vt:variant>
      <vt:variant>
        <vt:lpwstr>_Toc297024219</vt:lpwstr>
      </vt:variant>
      <vt:variant>
        <vt:i4>1769525</vt:i4>
      </vt:variant>
      <vt:variant>
        <vt:i4>32</vt:i4>
      </vt:variant>
      <vt:variant>
        <vt:i4>0</vt:i4>
      </vt:variant>
      <vt:variant>
        <vt:i4>5</vt:i4>
      </vt:variant>
      <vt:variant>
        <vt:lpwstr/>
      </vt:variant>
      <vt:variant>
        <vt:lpwstr>_Toc297024218</vt:lpwstr>
      </vt:variant>
      <vt:variant>
        <vt:i4>1769525</vt:i4>
      </vt:variant>
      <vt:variant>
        <vt:i4>26</vt:i4>
      </vt:variant>
      <vt:variant>
        <vt:i4>0</vt:i4>
      </vt:variant>
      <vt:variant>
        <vt:i4>5</vt:i4>
      </vt:variant>
      <vt:variant>
        <vt:lpwstr/>
      </vt:variant>
      <vt:variant>
        <vt:lpwstr>_Toc297024217</vt:lpwstr>
      </vt:variant>
      <vt:variant>
        <vt:i4>1769525</vt:i4>
      </vt:variant>
      <vt:variant>
        <vt:i4>20</vt:i4>
      </vt:variant>
      <vt:variant>
        <vt:i4>0</vt:i4>
      </vt:variant>
      <vt:variant>
        <vt:i4>5</vt:i4>
      </vt:variant>
      <vt:variant>
        <vt:lpwstr/>
      </vt:variant>
      <vt:variant>
        <vt:lpwstr>_Toc297024216</vt:lpwstr>
      </vt:variant>
      <vt:variant>
        <vt:i4>1769525</vt:i4>
      </vt:variant>
      <vt:variant>
        <vt:i4>14</vt:i4>
      </vt:variant>
      <vt:variant>
        <vt:i4>0</vt:i4>
      </vt:variant>
      <vt:variant>
        <vt:i4>5</vt:i4>
      </vt:variant>
      <vt:variant>
        <vt:lpwstr/>
      </vt:variant>
      <vt:variant>
        <vt:lpwstr>_Toc297024215</vt:lpwstr>
      </vt:variant>
      <vt:variant>
        <vt:i4>1769525</vt:i4>
      </vt:variant>
      <vt:variant>
        <vt:i4>8</vt:i4>
      </vt:variant>
      <vt:variant>
        <vt:i4>0</vt:i4>
      </vt:variant>
      <vt:variant>
        <vt:i4>5</vt:i4>
      </vt:variant>
      <vt:variant>
        <vt:lpwstr/>
      </vt:variant>
      <vt:variant>
        <vt:lpwstr>_Toc297024214</vt:lpwstr>
      </vt:variant>
      <vt:variant>
        <vt:i4>1769525</vt:i4>
      </vt:variant>
      <vt:variant>
        <vt:i4>2</vt:i4>
      </vt:variant>
      <vt:variant>
        <vt:i4>0</vt:i4>
      </vt:variant>
      <vt:variant>
        <vt:i4>5</vt:i4>
      </vt:variant>
      <vt:variant>
        <vt:lpwstr/>
      </vt:variant>
      <vt:variant>
        <vt:lpwstr>_Toc297024213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filiple</dc:creator>
  <cp:lastModifiedBy>PAREDES ECHAURI Cristina (CAB-ALMUNIA)</cp:lastModifiedBy>
  <cp:revision>9</cp:revision>
  <cp:lastPrinted>2018-03-19T14:45:00Z</cp:lastPrinted>
  <dcterms:created xsi:type="dcterms:W3CDTF">2018-04-30T16:37:00Z</dcterms:created>
  <dcterms:modified xsi:type="dcterms:W3CDTF">2018-05-02T07:40:00Z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ies>
</file>