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8495F6-FA5A-40C1-8524-467B9991A93E" style="width:449.7pt;height:366.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t>1.</w:t>
      </w:r>
      <w:r>
        <w:tab/>
      </w:r>
      <w:r>
        <w:rPr>
          <w:noProof/>
        </w:rPr>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lorsque la production dans l’Union européenne n’est pas suffisante au regard des besoins de l’industrie utilisatrice dans l’Union.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de l'Union européenne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afin de satisfaire les besoins de l’industrie de l’Union. La Commission, assistée par le groupe «Économie tarifaire», a procédé à l’examen de l’ensemble des demandes de contingents tarifaires autonomes qui lui ont été transmises par les États membres.</w:t>
      </w:r>
    </w:p>
    <w:p>
      <w:pPr>
        <w:pBdr>
          <w:top w:val="nil"/>
          <w:left w:val="nil"/>
          <w:bottom w:val="nil"/>
          <w:right w:val="nil"/>
          <w:between w:val="nil"/>
          <w:bar w:val="nil"/>
        </w:pBdr>
        <w:spacing w:before="0" w:after="240"/>
        <w:rPr>
          <w:noProof/>
        </w:rPr>
      </w:pPr>
      <w:r>
        <w:rPr>
          <w:noProof/>
        </w:rPr>
        <w:t>À la suite de cet examen, la Commission estime que l’ouverture de contingents tarifaires autonomes est justifiée pour certains nouveaux produits qui ne figurent pas actuellement à l’annexe du règlement (UE) nº 1388/2013 du Conseil. Pour certains autres produits, il est nécessaire de modifier la désignation du produit afin de tenir compte des dernières évolutions techniques ou d’adapter le volume contingentaire initial.</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ou accords de libre-échange).</w:t>
      </w:r>
    </w:p>
    <w:p>
      <w:pPr>
        <w:pStyle w:val="ManualHeading2"/>
        <w:rPr>
          <w:rFonts w:eastAsia="Arial Unicode MS"/>
          <w:noProof/>
          <w:u w:color="000000"/>
          <w:bdr w:val="nil"/>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de l’environnement et des relations extérieures.</w:t>
      </w:r>
    </w:p>
    <w:p>
      <w:pPr>
        <w:pStyle w:val="ManualHeading1"/>
        <w:rPr>
          <w:rFonts w:eastAsia="Calibri"/>
          <w:noProof/>
        </w:rPr>
      </w:pPr>
      <w:r>
        <w:t>2.</w:t>
      </w:r>
      <w:r>
        <w:tab/>
      </w:r>
      <w:r>
        <w:rPr>
          <w:noProof/>
        </w:rPr>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
          <w:noProof/>
        </w:rPr>
        <w:footnoteReference w:id="1"/>
      </w:r>
      <w:r>
        <w:rPr>
          <w:noProof/>
        </w:rPr>
        <w:t>. Le présent règlement ne va pas au-delà de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En vertu de l’article 31 du traité sur le fonctionnement de l’Union européenne (TFUE), «les droits du tarif douanier commun sont fixés par le Conseil, sur proposition de la Commission». Un règlement est dès lors l’instrument approprié. </w:t>
      </w:r>
    </w:p>
    <w:p>
      <w:pPr>
        <w:pStyle w:val="ManualHeading1"/>
        <w:rPr>
          <w:rFonts w:eastAsia="Calibri"/>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Le régime des contingents tarifaires autonomes a été inclus dans une étude d’évaluation sur les suspensions tarifaires autonomes réalisée en 2013</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Cette inclusion s'explique par le fait que les deux mesures sont analogues, la seule différence étant que les contingents prévoient un volume d’importation limité. L’évaluation a abouti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détails relatifs aux économies réalisables grâce au présent règlement figurent dans la fiche financière législative ci-jointe.</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noProof/>
        </w:rPr>
      </w:pPr>
      <w:r>
        <w:rPr>
          <w:noProof/>
        </w:rPr>
        <w:t>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industries, les associations, les chambres de commerce et les autres parties prenantes concernées.</w:t>
      </w:r>
    </w:p>
    <w:p>
      <w:pPr>
        <w:rPr>
          <w:noProof/>
        </w:rPr>
      </w:pPr>
      <w:r>
        <w:rPr>
          <w:noProof/>
        </w:rPr>
        <w:t>Tous les contingents figurant sur la liste ont fait l’objet d’accords ou de compromis au cours des discussions du groupe «Économie tarifaire». Aucun risque sérieux aux conséquences irréversibles n'a été signalé.</w:t>
      </w:r>
    </w:p>
    <w:p>
      <w:pPr>
        <w:pStyle w:val="ManualHeading2"/>
        <w:rPr>
          <w:rFonts w:eastAsia="Arial Unicode MS"/>
          <w:noProof/>
          <w:u w:color="000000"/>
          <w:bdr w:val="nil"/>
        </w:rPr>
      </w:pPr>
      <w:r>
        <w:rPr>
          <w:noProof/>
        </w:rPr>
        <w:lastRenderedPageBreak/>
        <w:t>•</w:t>
      </w:r>
      <w:r>
        <w:rPr>
          <w:noProof/>
        </w:rPr>
        <w:tab/>
        <w:t>Analyse d'impact</w:t>
      </w:r>
    </w:p>
    <w:p>
      <w:pPr>
        <w:rPr>
          <w:noProof/>
        </w:rPr>
      </w:pPr>
      <w:r>
        <w:rPr>
          <w:noProof/>
        </w:rPr>
        <w:t>La modification proposée est de nature purement technique et ne concerne que le champ d’application des contingents énumérés à l’annexe du règlement (UE) nº 1388/2013. Aucune analyse d’impact n’a donc été réalisée pour la présente proposition.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rFonts w:eastAsia="Calibri"/>
          <w:noProof/>
        </w:rPr>
      </w:pPr>
      <w:r>
        <w:t>4.</w:t>
      </w:r>
      <w:r>
        <w:tab/>
      </w:r>
      <w:r>
        <w:rPr>
          <w:noProof/>
        </w:rPr>
        <w:t>INCIDENCE BUDGÉTAIRE</w:t>
      </w:r>
    </w:p>
    <w:p>
      <w:pPr>
        <w:rPr>
          <w:noProof/>
        </w:rPr>
      </w:pPr>
      <w:r>
        <w:rPr>
          <w:noProof/>
        </w:rPr>
        <w:t>La proposition est sans incidence financière sur les dépenses, mais a une incidence financière sur les recettes. Les droits de douane non perçus s’élèvent à un montant total d’environ 0,8 million d’EUR par an. L’incidence négative sur les ressources propres traditionnelles du budget s'établit à 0,6 million d'EUR par an (soit 80 % de 0,8 million d'EUR par an).</w:t>
      </w:r>
    </w:p>
    <w:p>
      <w:pPr>
        <w:rPr>
          <w:noProof/>
          <w:szCs w:val="24"/>
        </w:rPr>
      </w:pPr>
      <w:r>
        <w:rPr>
          <w:noProof/>
        </w:rPr>
        <w:t>Cette perte de recettes pour les ressources propres traditionnelles sera compensée par les contributions des États membres à la ressource fondée sur le revenu national brut (RNB).</w:t>
      </w:r>
    </w:p>
    <w:p>
      <w:pPr>
        <w:pStyle w:val="ManualHeading1"/>
        <w:rPr>
          <w:rFonts w:eastAsia="Calibri"/>
          <w:noProof/>
        </w:rPr>
      </w:pPr>
      <w:r>
        <w:t>5.</w:t>
      </w:r>
      <w:r>
        <w:tab/>
      </w:r>
      <w:r>
        <w:rPr>
          <w:noProof/>
        </w:rPr>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t>2018/0125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Pour assurer un approvisionnement suffisant et continu de certains produits agricoles et industriels dont la production est insuffisante dans l'Union et éviter ainsi des perturbations du marché de ces produits, des contingents tarifaires autonomes ont été ouverts par le règlement (UE) nº 1388/2013 du Conseil</w:t>
      </w:r>
      <w:bookmarkStart w:id="1" w:name="_Ref384194496"/>
      <w:r>
        <w:rPr>
          <w:rStyle w:val="FootnoteReference"/>
          <w:noProof/>
        </w:rPr>
        <w:footnoteReference w:id="3"/>
      </w:r>
      <w:bookmarkEnd w:id="1"/>
      <w:r>
        <w:rPr>
          <w:noProof/>
        </w:rPr>
        <w:t>. Dans les limites de ces contingents tarifaires, les produits peuvent être importés dans l'Union à des taux de droit réduits ou nuls.</w:t>
      </w:r>
    </w:p>
    <w:p>
      <w:pPr>
        <w:pStyle w:val="ManualConsidrant"/>
        <w:rPr>
          <w:noProof/>
        </w:rPr>
      </w:pPr>
      <w:r>
        <w:t>(2)</w:t>
      </w:r>
      <w:r>
        <w:tab/>
      </w:r>
      <w:r>
        <w:rPr>
          <w:noProof/>
        </w:rPr>
        <w:t xml:space="preserve">Dans l’intérêt de l’Union et compte tenu du fait que des produits identiques, équivalents ou de substitution ne sont pas fabriqués en quantité suffisante dans l’Union, il est nécessaire d’ouvrir des contingents tarifaires à des taux de droits nuls pour des volumes appropriés en ce qui concerne sept nouveaux produits qui sont énumérés à l’annexe I du présent règlement. </w:t>
      </w:r>
    </w:p>
    <w:p>
      <w:pPr>
        <w:pStyle w:val="ManualConsidrant"/>
        <w:rPr>
          <w:noProof/>
        </w:rPr>
      </w:pPr>
      <w:r>
        <w:t>(3)</w:t>
      </w:r>
      <w:r>
        <w:tab/>
      </w:r>
      <w:r>
        <w:rPr>
          <w:noProof/>
        </w:rPr>
        <w:t>Pour huit produits supplémentaires, portant les numéros d’ordre 09.2700, 09.2624, 09.2647, 09.2648, 09.2682, 09.2696, 09.2697 et 09.2643, les volumes contingentaires devraient être revus à la hausse, dans l'intérêt des opérateurs économiques de l'Union. Pour trois produits, portant les numéros d’ordre 09.2676, 09.2876 et 09.2721, il convient de modifier la désignation.</w:t>
      </w:r>
    </w:p>
    <w:p>
      <w:pPr>
        <w:pStyle w:val="ManualConsidrant"/>
        <w:rPr>
          <w:noProof/>
        </w:rPr>
      </w:pPr>
      <w:r>
        <w:t>(4)</w:t>
      </w:r>
      <w:r>
        <w:tab/>
      </w:r>
      <w:r>
        <w:rPr>
          <w:noProof/>
        </w:rPr>
        <w:t>Il y a donc lieu de modifier le règlement (UE) nº 1388/2013 en conséquence. Afin d’éviter toute interruption de l’application du régime contingentaire, il convient que les modifications relatives aux contingents pour les produits concernés prévues au présent règlement s’appliquent à compter du 1</w:t>
      </w:r>
      <w:r>
        <w:rPr>
          <w:noProof/>
          <w:vertAlign w:val="superscript"/>
        </w:rPr>
        <w:t>er</w:t>
      </w:r>
      <w:r>
        <w:rPr>
          <w:noProof/>
        </w:rPr>
        <w:t xml:space="preserve"> juillet 2018. Le présent règlement devrait, par conséquent, entrer en vigueur de toute urgence, </w:t>
      </w:r>
    </w:p>
    <w:p>
      <w:pPr>
        <w:pStyle w:val="Formuledadoption"/>
        <w:rPr>
          <w:noProof/>
        </w:rPr>
      </w:pPr>
      <w:r>
        <w:rPr>
          <w:noProof/>
        </w:rPr>
        <w:t>A ADOPTÉ LE PRÉSENT RÈGLEMENT:</w:t>
      </w:r>
    </w:p>
    <w:p>
      <w:pPr>
        <w:pStyle w:val="Titrearticle"/>
        <w:rPr>
          <w:noProof/>
        </w:rPr>
      </w:pPr>
      <w:r>
        <w:rPr>
          <w:noProof/>
        </w:rPr>
        <w:t>Article premier</w:t>
      </w:r>
    </w:p>
    <w:p>
      <w:pPr>
        <w:rPr>
          <w:rFonts w:cs="EUAlbertina"/>
          <w:noProof/>
        </w:rPr>
      </w:pPr>
      <w:r>
        <w:rPr>
          <w:noProof/>
        </w:rPr>
        <w:t>Le tableau de l'annexe du règlement (CE) nº 1388/2013 est modifié comme suit:</w:t>
      </w:r>
    </w:p>
    <w:p>
      <w:pPr>
        <w:pStyle w:val="ManualNumPar1"/>
        <w:ind w:left="1440" w:hanging="720"/>
        <w:rPr>
          <w:noProof/>
        </w:rPr>
      </w:pPr>
      <w:r>
        <w:rPr>
          <w:noProof/>
        </w:rPr>
        <w:t>1)</w:t>
      </w:r>
      <w:r>
        <w:rPr>
          <w:noProof/>
        </w:rPr>
        <w:tab/>
        <w:t>dans la première colonne, tous les astérisques (*) sont supprimés;</w:t>
      </w:r>
    </w:p>
    <w:p>
      <w:pPr>
        <w:pStyle w:val="Text1"/>
        <w:ind w:left="1440" w:hanging="720"/>
        <w:rPr>
          <w:noProof/>
        </w:rPr>
      </w:pPr>
      <w:r>
        <w:rPr>
          <w:noProof/>
        </w:rPr>
        <w:t>2)</w:t>
      </w:r>
      <w:r>
        <w:rPr>
          <w:noProof/>
        </w:rPr>
        <w:tab/>
        <w:t>les lignes concernant les contingents tarifaires portant les numéros d’ordre 09.2726, 09.2728, 09.2684, 09.2730, 09.2732, 09.2734 et 09.2736 figurant à l’annexe I du présent règlement sont insérées selon l’ordre des codes de la nomenclature combinée (NC) mentionnés dans la deuxième colonne de ce tableau;</w:t>
      </w:r>
    </w:p>
    <w:p>
      <w:pPr>
        <w:pStyle w:val="Text1"/>
        <w:ind w:left="1440" w:hanging="720"/>
        <w:rPr>
          <w:noProof/>
        </w:rPr>
      </w:pPr>
      <w:r>
        <w:rPr>
          <w:noProof/>
        </w:rPr>
        <w:t>3)</w:t>
      </w:r>
      <w:r>
        <w:rPr>
          <w:noProof/>
        </w:rPr>
        <w:tab/>
        <w:t>les lignes concernant les contingents tarifaires portant les numéros d’ordre 09.2700, 09. 2624, 09.2647, 09.2648, 09.2682, 09.2696, 09.2697, 09.2676, 09.2876, 09.2721 et 09.2643 sont remplacées par les lignes correspondantes figurant à l’annexe II du présent règlement.</w:t>
      </w:r>
    </w:p>
    <w:p>
      <w:pPr>
        <w:pStyle w:val="Titrearticle"/>
        <w:rPr>
          <w:noProof/>
        </w:rPr>
      </w:pPr>
      <w:r>
        <w:rPr>
          <w:noProof/>
        </w:rPr>
        <w:t>Article 2</w:t>
      </w:r>
    </w:p>
    <w:p>
      <w:pPr>
        <w:rPr>
          <w:i/>
          <w:iCs/>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juillet 2018</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keepNext/>
        <w:spacing w:before="360"/>
        <w:outlineLvl w:val="0"/>
        <w:rPr>
          <w:b/>
          <w:smallCaps/>
          <w:noProof/>
        </w:rPr>
      </w:pPr>
      <w:r>
        <w:rPr>
          <w:b/>
          <w:smallCaps/>
          <w:noProof/>
        </w:rPr>
        <w:t>1.</w:t>
      </w:r>
      <w:r>
        <w:rPr>
          <w:noProof/>
        </w:rPr>
        <w:tab/>
      </w:r>
      <w:r>
        <w:rPr>
          <w:b/>
          <w:smallCaps/>
          <w:noProof/>
        </w:rPr>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noProof/>
        </w:rPr>
        <w:tab/>
      </w:r>
      <w:r>
        <w:rPr>
          <w:b/>
          <w:smallCaps/>
          <w:noProof/>
        </w:rPr>
        <w:t>LIGNES BUDGÉTAIRES</w:t>
      </w:r>
    </w:p>
    <w:p>
      <w:pPr>
        <w:spacing w:before="100" w:beforeAutospacing="1" w:after="100" w:afterAutospacing="1"/>
        <w:jc w:val="left"/>
        <w:rPr>
          <w:rFonts w:eastAsia="Times New Roman"/>
          <w:noProof/>
          <w:szCs w:val="24"/>
        </w:rPr>
      </w:pPr>
      <w:r>
        <w:rPr>
          <w:noProof/>
        </w:rPr>
        <w:t>Chapitre et article:</w:t>
      </w:r>
      <w:r>
        <w:rPr>
          <w:noProof/>
        </w:rPr>
        <w:br/>
        <w:t>Chapitre 1 2 et article 1 2 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2018 (22 844 000 000 EUR)</w:t>
      </w:r>
    </w:p>
    <w:p>
      <w:pPr>
        <w:keepNext/>
        <w:spacing w:before="360"/>
        <w:outlineLvl w:val="0"/>
        <w:rPr>
          <w:b/>
          <w:smallCaps/>
          <w:noProof/>
        </w:rPr>
      </w:pPr>
      <w:r>
        <w:rPr>
          <w:b/>
          <w:smallCaps/>
          <w:noProof/>
        </w:rPr>
        <w:t>3.</w:t>
      </w:r>
      <w:r>
        <w:rPr>
          <w:noProof/>
        </w:rPr>
        <w:tab/>
      </w:r>
      <w:r>
        <w:rPr>
          <w:b/>
          <w:smallCaps/>
          <w:noProof/>
        </w:rPr>
        <w:t>INCIDENCE FINANCIÈRE</w:t>
      </w:r>
    </w:p>
    <w:p>
      <w:pPr>
        <w:rPr>
          <w:noProof/>
        </w:rPr>
      </w:pPr>
      <w:r>
        <w:rPr>
          <w:noProof/>
        </w:rPr>
        <w:sym w:font="Wingdings" w:char="F0A8"/>
      </w:r>
      <w:r>
        <w:rPr>
          <w:noProof/>
        </w:rPr>
        <w:tab/>
        <w:t>Proposition sans incidence financière</w:t>
      </w:r>
    </w:p>
    <w:p>
      <w:pPr>
        <w:rPr>
          <w:noProof/>
        </w:rPr>
      </w:pPr>
      <w:r>
        <w:rPr>
          <w:noProof/>
        </w:rPr>
        <w:t>X</w:t>
      </w:r>
      <w:r>
        <w:rPr>
          <w:noProof/>
        </w:rPr>
        <w:tab/>
        <w:t>Proposition sans incidence financière sur les dépenses, mais avec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4"/>
            </w:r>
          </w:p>
        </w:tc>
        <w:tc>
          <w:tcPr>
            <w:tcW w:w="2040" w:type="dxa"/>
          </w:tcPr>
          <w:p>
            <w:pPr>
              <w:jc w:val="center"/>
              <w:rPr>
                <w:noProof/>
              </w:rPr>
            </w:pPr>
            <w:r>
              <w:rPr>
                <w:noProof/>
              </w:rPr>
              <w:t>Période de 6 mois à partir du jj/mm/aaaa</w:t>
            </w:r>
          </w:p>
        </w:tc>
        <w:tc>
          <w:tcPr>
            <w:tcW w:w="2160" w:type="dxa"/>
          </w:tcPr>
          <w:p>
            <w:pPr>
              <w:jc w:val="center"/>
              <w:rPr>
                <w:noProof/>
              </w:rPr>
            </w:pPr>
            <w:r>
              <w:rPr>
                <w:noProof/>
              </w:rPr>
              <w:t>[Année: second semestre 2018]</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01/07/2018</w:t>
            </w:r>
          </w:p>
        </w:tc>
        <w:tc>
          <w:tcPr>
            <w:tcW w:w="2160" w:type="dxa"/>
          </w:tcPr>
          <w:p>
            <w:pPr>
              <w:jc w:val="center"/>
              <w:rPr>
                <w:noProof/>
              </w:rPr>
            </w:pPr>
            <w:r>
              <w:rPr>
                <w:noProof/>
              </w:rPr>
              <w:t>- 0,6</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rPr>
        <w:t>L’annexe I comporte 7 nouveaux produits. Les droits non perçus correspondant à ces contingents, calculés en fonction des projections de l’État membre demandeur pour la période allant du 1</w:t>
      </w:r>
      <w:r>
        <w:rPr>
          <w:noProof/>
          <w:vertAlign w:val="superscript"/>
        </w:rPr>
        <w:t>er</w:t>
      </w:r>
      <w:r>
        <w:rPr>
          <w:noProof/>
        </w:rPr>
        <w:t xml:space="preserve"> juillet 2018 au 31 décembre 2018, s’élèvent à 0,6 million d’EUR par an. </w:t>
      </w:r>
    </w:p>
    <w:p>
      <w:pPr>
        <w:spacing w:before="100" w:beforeAutospacing="1" w:after="100" w:afterAutospacing="1"/>
        <w:rPr>
          <w:noProof/>
          <w:szCs w:val="24"/>
        </w:rPr>
      </w:pPr>
      <w:r>
        <w:rPr>
          <w:noProof/>
        </w:rPr>
        <w:t>Compte tenu de ce qui précède, l’effet de perte de recettes pour le budget de l’Union résultant de l’application du présent règlement est estimé à 700 820 EUR (montant brut, frais de perception inclus) x 0,8 = 560 656 EUR par semestre (montant net).</w:t>
      </w:r>
    </w:p>
    <w:p>
      <w:pPr>
        <w:rPr>
          <w:noProof/>
        </w:rPr>
      </w:pPr>
      <w:r>
        <w:rPr>
          <w:noProof/>
        </w:rPr>
        <w:t>4.</w:t>
      </w:r>
      <w:r>
        <w:rPr>
          <w:noProof/>
        </w:rPr>
        <w:tab/>
      </w:r>
      <w:r>
        <w:rPr>
          <w:b/>
          <w:noProof/>
        </w:rPr>
        <w:t>MESURES ANTIFRAUDE</w:t>
      </w:r>
    </w:p>
    <w:p>
      <w:pPr>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JO C 363 du 13.12.2011, p. 6.</w:t>
      </w:r>
    </w:p>
  </w:footnote>
  <w:footnote w:id="2">
    <w:p>
      <w:pPr>
        <w:pStyle w:val="FootnoteText"/>
        <w:rPr>
          <w:lang w:val="fr-BE"/>
        </w:rPr>
      </w:pPr>
      <w:r>
        <w:rPr>
          <w:rStyle w:val="FootnoteReference"/>
        </w:rPr>
        <w:footnoteRef/>
      </w:r>
      <w:r>
        <w:rPr>
          <w:lang w:val="fr-BE"/>
        </w:rPr>
        <w:tab/>
      </w:r>
      <w:hyperlink r:id="rId1">
        <w:r>
          <w:rPr>
            <w:rStyle w:val="Hyperlink"/>
            <w:lang w:val="fr-BE"/>
          </w:rPr>
          <w:t>http://ec.europa.eu/taxation_customs/common/publications/studies/index_fr.htm</w:t>
        </w:r>
      </w:hyperlink>
    </w:p>
  </w:footnote>
  <w:footnote w:id="3">
    <w:p>
      <w:pPr>
        <w:pStyle w:val="FootnoteText"/>
        <w:rPr>
          <w:lang w:val="fr-BE"/>
        </w:rPr>
      </w:pPr>
      <w:r>
        <w:rPr>
          <w:rStyle w:val="FootnoteReference"/>
        </w:rPr>
        <w:footnoteRef/>
      </w:r>
      <w:r>
        <w:rPr>
          <w:lang w:val="fr-BE"/>
        </w:rPr>
        <w:tab/>
        <w:t xml:space="preserve">Règlement (UE) nº 1388/2013 du Conseil du 17 décembre 2013 portant ouverture et mode de gestion de contingents tarifaires autonomes de l'Union pour certains produits agricoles et industriels, et abrogeant le règlement (UE) nº 7/2010 (JO L 354 du 28.12.2013, p. 319). </w:t>
      </w:r>
    </w:p>
  </w:footnote>
  <w:footnote w:id="4">
    <w:p>
      <w:pPr>
        <w:pStyle w:val="FootnoteText"/>
        <w:rPr>
          <w:lang w:val="fr-BE"/>
        </w:rPr>
      </w:pPr>
      <w:r>
        <w:rPr>
          <w:rStyle w:val="FootnoteReference"/>
        </w:rPr>
        <w:footnoteRef/>
      </w:r>
      <w:r>
        <w:rPr>
          <w:lang w:val="fr-BE"/>
        </w:rPr>
        <w:tab/>
        <w:t>En ce qui concerne les ressources propres traditionnelles (droits agricoles, cotisations sur le sucre, droits de douane),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1"/>
  </w:num>
  <w:num w:numId="16">
    <w:abstractNumId w:val="10"/>
  </w:num>
  <w:num w:numId="17">
    <w:abstractNumId w:val="12"/>
  </w:num>
  <w:num w:numId="18">
    <w:abstractNumId w:val="8"/>
  </w:num>
  <w:num w:numId="19">
    <w:abstractNumId w:val="20"/>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3"/>
  </w:num>
  <w:num w:numId="27">
    <w:abstractNumId w:val="19"/>
  </w:num>
  <w:num w:numId="28">
    <w:abstractNumId w:val="11"/>
  </w:num>
  <w:num w:numId="29">
    <w:abstractNumId w:val="21"/>
  </w:num>
  <w:num w:numId="30">
    <w:abstractNumId w:val="10"/>
  </w:num>
  <w:num w:numId="31">
    <w:abstractNumId w:val="12"/>
  </w:num>
  <w:num w:numId="32">
    <w:abstractNumId w:val="8"/>
  </w:num>
  <w:num w:numId="33">
    <w:abstractNumId w:val="20"/>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3:20: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508495F6-FA5A-40C1-8524-467B9991A93E"/>
    <w:docVar w:name="LW_COVERPAGE_TYPE" w:val="1"/>
    <w:docVar w:name="LW_CROSSREFERENCE" w:val="&lt;UNUSED&gt;"/>
    <w:docVar w:name="LW_DocType" w:val="COM"/>
    <w:docVar w:name="LW_EMISSION" w:val="7.5.2018"/>
    <w:docVar w:name="LW_EMISSION_ISODATE" w:val="2018-05-07"/>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5"/>
    <w:docVar w:name="LW_REF.II.NEW.CP_YEAR" w:val="2018"/>
    <w:docVar w:name="LW_REF.INST.NEW" w:val="COM"/>
    <w:docVar w:name="LW_REF.INST.NEW_ADOPTED" w:val="final"/>
    <w:docVar w:name="LW_REF.INST.NEW_TEXT" w:val="(2018) 2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8/2013 portant ouverture et mode de gestion de contingents tarifaires autonomes de l'Union pour certains produits agricoles et industriels"/>
    <w:docVar w:name="LW_TITRE.OBJ.CP_PREVIOUS" w:val="&lt;UNUSED&gt;"/>
    <w:docVar w:name="LW_TYPE.DOC.CP" w:val="RÈGLEMENT DU CONSEIL"/>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3333-3504-4092-90A1-CEAE3E86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1737</Words>
  <Characters>9851</Characters>
  <Application>Microsoft Office Word</Application>
  <DocSecurity>0</DocSecurity>
  <Lines>193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11489</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2018-04-06T12:37:00Z</cp:lastPrinted>
  <dcterms:created xsi:type="dcterms:W3CDTF">2018-04-23T07:15:00Z</dcterms:created>
  <dcterms:modified xsi:type="dcterms:W3CDTF">2018-05-02T11:20:00Z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 Build 20171009</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