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F28A944-AE02-440F-B6CB-C1780B794E29" style="width:451.65pt;height:365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Calibri"/>
          <w:noProof/>
        </w:rPr>
      </w:pPr>
      <w:r>
        <w:t>1.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Автономните тарифни квоти са необходими за някои продукти, когато производството в Съюза не е достатъчно, за да удовлетвори потребностите на промишлеността на Съюза, използваща тези продукти. Следва да бъдат открити тарифни квоти на Съюза с намалени или нулеви ставки на митата и с подходящи обеми, без това да причинява смущения на пазара на съответните продукти.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 17 декември 2013 г. Съветът на Европейския съюз прие Регламент (ЕС) № 1388/2013 за откриване и управление на автономни тарифни квоти на Съюза за някои селскостопански и промишлени продукти, така че търсенето на въпросните продукти в Съюза да бъде задоволено при най-благоприятни условия.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Регламентът се актуализира на всеки шест месеца, за да отговаря на нуждите на промишлеността на Съюза. Комисията, подпомагана от Групата по икономически и тарифни въпроси, разгледа всички искания на държавите членки за митата по автономни тарифни квоти.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Вследствие на разглеждането Комисията смята, че откриването на автономни тарифни квоти е обосновано за някои нови продукти, които сега не са посочени в приложението към Регламент (ЕС) № 1388/2013 на Съвета. По отношение на някои други продукти трябва да се измени описанието на продукта, за да се вземат предвид най-новите технически разработки, или да се коригира първоначалният обем на квотата.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Настоящото предложение не засяга държавите, които имат преференциално търговско споразумение със Съюза, държавите – кандидатки или потенциални кандидатки за преференциални споразумения със Съюза (напр. Общата система за преференции; режима на Споразумението за партньорство с държавите от Африка, Карибите и Тихоокеанския басейн; споразуменията за свободна търговия).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съобразено с политиките на Съюза в областта на селското стопанство, търговията, предприемачеството, развитието, околната среда и външните отношения.</w:t>
      </w:r>
    </w:p>
    <w:p>
      <w:pPr>
        <w:pStyle w:val="ManualHeading1"/>
        <w:rPr>
          <w:rFonts w:eastAsia="Calibri"/>
          <w:noProof/>
        </w:rPr>
      </w:pPr>
      <w:r>
        <w:t>2.</w:t>
      </w:r>
      <w:r>
        <w:tab/>
      </w:r>
      <w:r>
        <w:rPr>
          <w:noProof/>
        </w:rPr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на настоящото предложение е член 31 от Договора за функционирането на Европейския съюз (ДФЕС).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>
      <w:pPr>
        <w:rPr>
          <w:noProof/>
        </w:rPr>
      </w:pPr>
      <w:r>
        <w:rPr>
          <w:noProof/>
        </w:rPr>
        <w:t>Предложението е от изключителната компетентност на Съюза.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съобразено с принципа на пропорционалност. Предвидените мерки съответстват на принципите за опростяване на процедурите за икономическите оператори с предмет на дейност във външната търговия, определени в Съобщението на Комисията относно суспендирането на автономни мита и относно автономните тарифни квоти</w:t>
      </w:r>
      <w:r>
        <w:rPr>
          <w:rStyle w:val="FootnoteReference"/>
          <w:noProof/>
        </w:rPr>
        <w:footnoteReference w:id="1"/>
      </w:r>
      <w:r>
        <w:rPr>
          <w:noProof/>
        </w:rPr>
        <w:t>. С настоящия регламент не се надхвърля необходимото за постигането на поставените цели в съответствие с член 5, параграф 4 от Договора за Европейския съюз (ДЕС).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rPr>
          <w:noProof/>
        </w:rPr>
      </w:pPr>
      <w:r>
        <w:rPr>
          <w:noProof/>
        </w:rPr>
        <w:t xml:space="preserve">По силата на член 31 от ДФЕС „митата от Общата митническа тарифа се определят от Съвета, по предложение на Комисията“. Поради това подходящият инструмент е регламент. </w:t>
      </w:r>
    </w:p>
    <w:p>
      <w:pPr>
        <w:pStyle w:val="ManualHeading1"/>
        <w:rPr>
          <w:rFonts w:eastAsia="Calibri"/>
          <w:noProof/>
        </w:rPr>
      </w:pPr>
      <w:r>
        <w:t>3.</w:t>
      </w:r>
      <w:r>
        <w:tab/>
      </w:r>
      <w:r>
        <w:rPr>
          <w:noProof/>
        </w:rPr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Схемата на автономните тарифни квоти бе предмет на проучване за оценка, проведено през 2013 г. по отношение на суспендирането на автономните мита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Това се дължи на факта, че двете мерки са сходни, с тази разлика, че с квотите се ограничава обемът на вноса. Въз основа на оценката бе направено заключение, че главният мотив за съществуването на схемата е все още в сила. Предприятията от Съюза, внасящи стоки по схемата, могат да икономисат значителни разходи. На свой ред тези икономии на разходи могат да създадат – в зависимост от продукта, дружеството или отрасъла – по-широки ползи, например повишение на конкурентоспособността, увеличение на ефективността на производствените методи, създаване или запазване на работни места в Съюза. Подробна информация относно предвидените икономии вследствие на настоящия регламент може да бъде намерена в приложената законодателна финансова обосновка.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Групата по икономически и тарифни въпроси, която се състои от делегации от всички държави членки и от Турция, оказа съдействие на Комисията за оценяването на предложението. Групата се събра три пъти, преди да постигне съгласие по промените в настоящото предложение.</w:t>
      </w:r>
    </w:p>
    <w:p>
      <w:pPr>
        <w:rPr>
          <w:noProof/>
        </w:rPr>
      </w:pPr>
      <w:r>
        <w:rPr>
          <w:noProof/>
        </w:rPr>
        <w:t>Тя внимателно оцени всички искания (нови или за изменения). По-конкретно, тя проучи всеки един случай, за да се увери, че не се създават вреди за производителите от Съюза и че се повишава конкурентоспособността на производството на Съюза. Членовете на Групата по икономически и тарифни въпроси извършиха оценката чрез обсъждания, а държавите членки се консултираха със засегнатите промишлени предприятия, сдружения, търговски камари и други заинтересовани страни.</w:t>
      </w:r>
    </w:p>
    <w:p>
      <w:pPr>
        <w:rPr>
          <w:noProof/>
        </w:rPr>
      </w:pPr>
      <w:r>
        <w:rPr>
          <w:noProof/>
        </w:rPr>
        <w:lastRenderedPageBreak/>
        <w:t>По всички посочени квоти беше постигнато съгласие или компромиси по време на обсъжданията в Групата по икономически и тарифни въпроси. Не бяха посочени потенциално значими рискове с необратими последици.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rPr>
          <w:noProof/>
        </w:rPr>
      </w:pPr>
      <w:r>
        <w:rPr>
          <w:noProof/>
        </w:rPr>
        <w:t>Предложеното изменение е от чисто техническо естество и се отнася само до обхвата на квотите, посочени в приложението към Регламент (ЕС) № 1388/2013. Поради това не беше извършена оценка на въздействието за настоящото предложение.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няма отражение върху основните права.</w:t>
      </w:r>
    </w:p>
    <w:p>
      <w:pPr>
        <w:pStyle w:val="ManualHeading1"/>
        <w:rPr>
          <w:rFonts w:eastAsia="Calibri"/>
          <w:noProof/>
        </w:rPr>
      </w:pPr>
      <w:r>
        <w:t>4.</w:t>
      </w:r>
      <w:r>
        <w:tab/>
      </w:r>
      <w:r>
        <w:rPr>
          <w:noProof/>
        </w:rPr>
        <w:t>ОТРАЖЕНИЕ ВЪРХУ БЮДЖЕТА</w:t>
      </w:r>
    </w:p>
    <w:p>
      <w:pPr>
        <w:rPr>
          <w:noProof/>
        </w:rPr>
      </w:pPr>
      <w:r>
        <w:rPr>
          <w:noProof/>
        </w:rPr>
        <w:t>Предложението няма финансово отражение върху разходите, но има финансово отражение върху приходите, което се изразява в несъбрани мита с общ размер приблизително 0,8 милиона евро годишно. Отрицателното отражение върху традиционните собствени ресурси в бюджета възлиза на 0,6 милиона евро годишно (80 % от 0,8 милиона евро годишно).</w:t>
      </w:r>
    </w:p>
    <w:p>
      <w:pPr>
        <w:rPr>
          <w:noProof/>
          <w:szCs w:val="24"/>
        </w:rPr>
      </w:pPr>
      <w:r>
        <w:rPr>
          <w:noProof/>
        </w:rPr>
        <w:t>Загубата на приходи от традиционните собствени ресурси се компенсира от вноските на държавите членки въз основа на брутния национален доход (БНД).</w:t>
      </w:r>
    </w:p>
    <w:p>
      <w:pPr>
        <w:pStyle w:val="ManualHeading1"/>
        <w:rPr>
          <w:rFonts w:eastAsia="Calibri"/>
          <w:noProof/>
        </w:rPr>
      </w:pPr>
      <w:r>
        <w:t>5.</w:t>
      </w:r>
      <w:r>
        <w:tab/>
      </w:r>
      <w:r>
        <w:rPr>
          <w:noProof/>
        </w:rPr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Предложените мерки се управляват в рамките на Интегрираната тарифа на Европейския съюз (ТАРИК) и се прилагат от митническите администрации на държавите членки.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2018/0125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№ 1388/2013 за откриване и управление на автономни тарифни квоти на Съюза за някои селскостопански и промишлени продукти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31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цел да се осигури достатъчно и непрекъснато снабдяване с някои селскостопански и промишлени продукти, които се произвеждат в недостатъчни количества в Съюза, и по този начин да се избегнат смущенията на пазара на тези продукти, с Регламент (ЕС) № 1388/2013 на Съвета бяха открити автономни тарифни квоти</w:t>
      </w:r>
      <w:bookmarkStart w:id="1" w:name="_Ref384194496"/>
      <w:r>
        <w:rPr>
          <w:rStyle w:val="FootnoteReference"/>
          <w:noProof/>
        </w:rPr>
        <w:footnoteReference w:id="3"/>
      </w:r>
      <w:bookmarkEnd w:id="1"/>
      <w:r>
        <w:rPr>
          <w:noProof/>
        </w:rPr>
        <w:t>. Обхванатите от тези тарифни квоти продукти могат да се внасят в Съюза с намалени или нулеви ставки на митата.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Тъй като е в интерес на Съюза и като се има предвид фактът, че идентични, еквивалентни или заместващи продукти не се произвеждат в достатъчни количества в Съюза, е необходимо да се открият тарифни квоти с нулева ставка на митата за подходящи количества от седем нови продукта, изброени в приложение I към настоящия регламент.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За други осем продукта с поредни номера 09.2700, 09.2624, 09.2647, 09.2648, 09.2682, 09.2696, 09.2697 и 09.2643 следва да бъдат увеличени обемите на квотите, за да се отговори на интересите на икономическите оператори от Съюза. За три продукта с поредни номера 09.2676, 09.2876 и 09.2721 следва да бъде изменено описанието.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Поради това Регламент (ЕС) № 1388/2013 следва да бъде съответно изменен. С цел да се избегне евентуално прекъсване на прилагането на режима на квотите, предвидените в настоящия регламент промени по отношение на квотите за съответните продукти следва да се прилагат от 1 юли 2018 г. Поради това настоящият регламент следва да влезе в сила по спешност, 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cs="EUAlbertina"/>
          <w:noProof/>
        </w:rPr>
      </w:pPr>
      <w:r>
        <w:rPr>
          <w:noProof/>
        </w:rPr>
        <w:t>В приложението към Регламент (ЕС) № 1388/2013 таблицата се изменя, както следва:</w:t>
      </w:r>
    </w:p>
    <w:p>
      <w:pPr>
        <w:pStyle w:val="ManualNumPar1"/>
        <w:ind w:left="1440" w:hanging="720"/>
        <w:rPr>
          <w:noProof/>
        </w:rPr>
      </w:pPr>
      <w:r>
        <w:rPr>
          <w:noProof/>
        </w:rPr>
        <w:lastRenderedPageBreak/>
        <w:t>(1)</w:t>
      </w:r>
      <w:r>
        <w:rPr>
          <w:noProof/>
        </w:rPr>
        <w:tab/>
        <w:t>в първата колона се заличават всички звездички (*);</w:t>
      </w:r>
    </w:p>
    <w:p>
      <w:pPr>
        <w:pStyle w:val="Text1"/>
        <w:ind w:left="1440" w:hanging="720"/>
        <w:rPr>
          <w:noProof/>
        </w:rPr>
      </w:pPr>
      <w:r>
        <w:rPr>
          <w:noProof/>
        </w:rPr>
        <w:t>(2)</w:t>
      </w:r>
      <w:r>
        <w:rPr>
          <w:noProof/>
        </w:rPr>
        <w:tab/>
        <w:t>редовете за тарифните квоти с поредни номера 09.2726, 09.2728, 09.2684, 09.2730, 09.2732, 09.2734 и 09.2736, съдържащи се в приложение I към настоящия регламент, се вмъкват по реда на кодовете по КН, посочени във втората колона на таблицата;</w:t>
      </w:r>
    </w:p>
    <w:p>
      <w:pPr>
        <w:pStyle w:val="Text1"/>
        <w:ind w:left="1440" w:hanging="720"/>
        <w:rPr>
          <w:noProof/>
        </w:rPr>
      </w:pPr>
      <w:r>
        <w:rPr>
          <w:noProof/>
        </w:rPr>
        <w:t>(3)</w:t>
      </w:r>
      <w:r>
        <w:rPr>
          <w:noProof/>
        </w:rPr>
        <w:tab/>
        <w:t>редовете за тарифните квоти с поредни номера 09.2700, 09. 2624, 09.2647, 09.2648, 09.2682, 09.2696, 09.2697, 09.2676, 09.2876, 09.2721, и 09.2643</w:t>
      </w:r>
      <w:r>
        <w:rPr>
          <w:i/>
          <w:noProof/>
        </w:rPr>
        <w:t xml:space="preserve"> </w:t>
      </w:r>
      <w:r>
        <w:rPr>
          <w:noProof/>
        </w:rPr>
        <w:t>се заменят със съответните редове, съдържащи се в приложение II към настоящия регламент;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i/>
          <w:iCs/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Той се прилага от 1 юли 2018 г.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r>
        <w:rPr>
          <w:noProof/>
        </w:rPr>
        <w:lastRenderedPageBreak/>
        <w:t>ЗАКОНОДАТЕЛНА ФИНАНСОВА ОБОСНОВКА</w:t>
      </w:r>
    </w:p>
    <w:p>
      <w:pPr>
        <w:keepNext/>
        <w:spacing w:before="360"/>
        <w:outlineLvl w:val="0"/>
        <w:rPr>
          <w:b/>
          <w:smallCaps/>
          <w:noProof/>
        </w:rPr>
      </w:pPr>
      <w:r>
        <w:rPr>
          <w:b/>
          <w:smallCaps/>
          <w:noProof/>
        </w:rPr>
        <w:t>1.</w:t>
      </w:r>
      <w:r>
        <w:rPr>
          <w:noProof/>
        </w:rPr>
        <w:tab/>
      </w:r>
      <w:r>
        <w:rPr>
          <w:b/>
          <w:smallCaps/>
          <w:noProof/>
        </w:rPr>
        <w:t>НАИМЕНОВАНИЕ НА ПРЕДЛОЖЕНИЕТО</w:t>
      </w:r>
    </w:p>
    <w:p>
      <w:pPr>
        <w:rPr>
          <w:noProof/>
        </w:rPr>
      </w:pPr>
      <w:r>
        <w:rPr>
          <w:noProof/>
        </w:rPr>
        <w:t>Регламент на Съвета за изменение на Регламент (ЕС) № 1388/2013 за откриване и управление на автономни тарифни квоти на Съюза за някои селскостопански и промишлени продукти</w:t>
      </w:r>
    </w:p>
    <w:p>
      <w:pPr>
        <w:keepNext/>
        <w:spacing w:before="360"/>
        <w:outlineLvl w:val="0"/>
        <w:rPr>
          <w:b/>
          <w:smallCaps/>
          <w:noProof/>
        </w:rPr>
      </w:pPr>
      <w:r>
        <w:rPr>
          <w:b/>
          <w:smallCaps/>
          <w:noProof/>
        </w:rPr>
        <w:t>2.</w:t>
      </w:r>
      <w:r>
        <w:rPr>
          <w:noProof/>
        </w:rPr>
        <w:tab/>
      </w:r>
      <w:r>
        <w:rPr>
          <w:b/>
          <w:smallCaps/>
          <w:noProof/>
        </w:rPr>
        <w:t>БЮДЖЕТНИ РЕДОВЕ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Глава и статия:</w:t>
      </w:r>
      <w:r>
        <w:rPr>
          <w:noProof/>
        </w:rPr>
        <w:br/>
        <w:t>Глава 12 и статия 120 — Мита и други задължения, посочени в член 2, параграф 1, буква а) от Решение 2014/335/ЕС, Евратом;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Сума, предвидена в бюджета за 2018 г. (22 844 000 000 EUR)</w:t>
      </w:r>
    </w:p>
    <w:p>
      <w:pPr>
        <w:keepNext/>
        <w:spacing w:before="360"/>
        <w:outlineLvl w:val="0"/>
        <w:rPr>
          <w:b/>
          <w:smallCaps/>
          <w:noProof/>
        </w:rPr>
      </w:pPr>
      <w:r>
        <w:rPr>
          <w:b/>
          <w:smallCaps/>
          <w:noProof/>
        </w:rPr>
        <w:t>3.</w:t>
      </w:r>
      <w:r>
        <w:rPr>
          <w:noProof/>
        </w:rPr>
        <w:tab/>
      </w:r>
      <w:r>
        <w:rPr>
          <w:b/>
          <w:smallCaps/>
          <w:noProof/>
        </w:rPr>
        <w:t>ФИНАНСОВО ОТРАЖЕНИЕ</w:t>
      </w:r>
    </w:p>
    <w:p>
      <w:p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 няма финансово отражение</w:t>
      </w:r>
    </w:p>
    <w:p>
      <w:pPr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 няма финансово въздействие върху разходите, но има такова върху приходите. Отражението е следното:</w:t>
      </w:r>
    </w:p>
    <w:p>
      <w:pPr>
        <w:jc w:val="right"/>
        <w:rPr>
          <w:noProof/>
          <w:sz w:val="18"/>
        </w:rPr>
      </w:pPr>
      <w:r>
        <w:rPr>
          <w:noProof/>
        </w:rPr>
        <w:t>(в милиони евро до един знак след десетичната запетая)</w:t>
      </w:r>
    </w:p>
    <w:tbl>
      <w:tblPr>
        <w:tblW w:w="84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2879"/>
        <w:gridCol w:w="2040"/>
        <w:gridCol w:w="2160"/>
      </w:tblGrid>
      <w:tr>
        <w:tc>
          <w:tcPr>
            <w:tcW w:w="132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Бюджетен ред</w:t>
            </w:r>
          </w:p>
        </w:tc>
        <w:tc>
          <w:tcPr>
            <w:tcW w:w="287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Приходи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04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6-месечен срок, считано от дд/мм/гггг</w:t>
            </w:r>
          </w:p>
        </w:tc>
        <w:tc>
          <w:tcPr>
            <w:tcW w:w="216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[Година: втората половина на 2018 г.]</w:t>
            </w:r>
          </w:p>
        </w:tc>
      </w:tr>
      <w:tr>
        <w:tc>
          <w:tcPr>
            <w:tcW w:w="132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Статия 120</w:t>
            </w:r>
          </w:p>
        </w:tc>
        <w:tc>
          <w:tcPr>
            <w:tcW w:w="2879" w:type="dxa"/>
          </w:tcPr>
          <w:p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Отражение върху собствените ресурси</w:t>
            </w:r>
          </w:p>
        </w:tc>
        <w:tc>
          <w:tcPr>
            <w:tcW w:w="204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1/7/2018 г.</w:t>
            </w:r>
          </w:p>
        </w:tc>
        <w:tc>
          <w:tcPr>
            <w:tcW w:w="216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- 0,6</w:t>
            </w:r>
          </w:p>
        </w:tc>
      </w:tr>
    </w:tbl>
    <w:p>
      <w:pPr>
        <w:spacing w:before="100" w:beforeAutospacing="1" w:after="100" w:afterAutospacing="1"/>
        <w:jc w:val="left"/>
        <w:rPr>
          <w:noProof/>
          <w:szCs w:val="24"/>
        </w:rPr>
      </w:pPr>
    </w:p>
    <w:p>
      <w:pPr>
        <w:spacing w:before="100" w:beforeAutospacing="1" w:after="100" w:afterAutospacing="1"/>
        <w:rPr>
          <w:noProof/>
          <w:szCs w:val="24"/>
        </w:rPr>
      </w:pPr>
      <w:r>
        <w:rPr>
          <w:noProof/>
        </w:rPr>
        <w:t xml:space="preserve">Приложение I включва 7 нови продукта. Несъбраните мита, съответстващи на тези квоти, изчислени на база на прогнозите за периода 1.7.2018—31.12.2018 г. на подалите искания държави членки, възлизат на 0,6 милиона евро годишно. </w:t>
      </w:r>
    </w:p>
    <w:p>
      <w:pPr>
        <w:spacing w:before="100" w:beforeAutospacing="1" w:after="100" w:afterAutospacing="1"/>
        <w:rPr>
          <w:noProof/>
          <w:szCs w:val="24"/>
        </w:rPr>
      </w:pPr>
      <w:r>
        <w:rPr>
          <w:noProof/>
        </w:rPr>
        <w:t>Въз основа на изложеното по-горе се очаква настоящият регламент да доведе до загуба на приходи за бюджета на ЕС, която се оценява на 700 820 евро (брутна сума, включително разходите по събирането) x 0,8 = 560 656 евро годишно (нетна сума).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>
        <w:rPr>
          <w:b/>
          <w:noProof/>
        </w:rPr>
        <w:t>МЕРКИ ЗА БОРБА С ИЗМАМИТЕ</w:t>
      </w:r>
    </w:p>
    <w:p>
      <w:pPr>
        <w:rPr>
          <w:noProof/>
        </w:rPr>
      </w:pPr>
      <w:r>
        <w:rPr>
          <w:noProof/>
        </w:rPr>
        <w:t>В съответствие с член 254 от Регламент (ЕС) № 952/2013 на Европейския парламент и на Съвета от 9 октомври 2013 г. за създаване на Митнически кодекс на Съюза ще се извършват проверки на специфичната употреба на някои от продуктите, обхванати от настоящия регламент на Съвета.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C 363, 13.12.2011 г., стр. 6.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http://ec.europa.eu/taxation_customs/common/publications/studies/index_en.htm</w:t>
        </w:r>
      </w:hyperlink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 1388/2013 на Съвета от 17 декември 2013 г. за откриване и управление на автономни тарифни квоти на Съюза за някои селскостопански и промишлени продукти и за отмяна на Регламент (ЕС) № 7/2010 (ОВ L 354, 28.12.2013 г., стр. 319).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По отношение на традиционните собствени ресурси (селскостопански мита, налози върху захарта, мита) посочените суми трябва да бъдат нетни, т.е. брутни суми, от които са приспаднати 20 %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88836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7EAC0B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75F0DC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FB5448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7C4AB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3F6C8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2C6A95"/>
    <w:multiLevelType w:val="singleLevel"/>
    <w:tmpl w:val="02BAFA82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89D74ED"/>
    <w:multiLevelType w:val="singleLevel"/>
    <w:tmpl w:val="C2E2F936"/>
    <w:name w:val="Bullet 4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4D0C058A"/>
    <w:multiLevelType w:val="singleLevel"/>
    <w:tmpl w:val="BAE8D90E"/>
    <w:name w:val="List Dash 2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1F06166"/>
    <w:multiLevelType w:val="multilevel"/>
    <w:tmpl w:val="C08066D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23"/>
    <w:lvlOverride w:ilvl="0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21"/>
  </w:num>
  <w:num w:numId="16">
    <w:abstractNumId w:val="10"/>
  </w:num>
  <w:num w:numId="17">
    <w:abstractNumId w:val="12"/>
  </w:num>
  <w:num w:numId="18">
    <w:abstractNumId w:val="8"/>
  </w:num>
  <w:num w:numId="19">
    <w:abstractNumId w:val="20"/>
  </w:num>
  <w:num w:numId="20">
    <w:abstractNumId w:val="7"/>
  </w:num>
  <w:num w:numId="21">
    <w:abstractNumId w:val="13"/>
  </w:num>
  <w:num w:numId="22">
    <w:abstractNumId w:val="17"/>
  </w:num>
  <w:num w:numId="23">
    <w:abstractNumId w:val="18"/>
  </w:num>
  <w:num w:numId="24">
    <w:abstractNumId w:val="9"/>
  </w:num>
  <w:num w:numId="25">
    <w:abstractNumId w:val="16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13:23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F28A944-AE02-440F-B6CB-C1780B794E29"/>
    <w:docVar w:name="LW_COVERPAGE_TYPE" w:val="1"/>
    <w:docVar w:name="LW_CROSSREFERENCE" w:val="&lt;UNUSED&gt;"/>
    <w:docVar w:name="LW_DocType" w:val="COM"/>
    <w:docVar w:name="LW_EMISSION" w:val="7.5.2018"/>
    <w:docVar w:name="LW_EMISSION_ISODATE" w:val="2018-05-07"/>
    <w:docVar w:name="LW_EMISSION_LOCATION" w:val="BRX"/>
    <w:docVar w:name="LW_EMISSION_PREFIX" w:val="Брюксел, "/>
    <w:docVar w:name="LW_EMISSION_SUFFIX" w:val=" \u1075?."/>
    <w:docVar w:name="LW_ID_DOCMODEL" w:val="b01"/>
    <w:docVar w:name="LW_ID_DOCSIGNATURE" w:val="SJ-016"/>
    <w:docVar w:name="LW_ID_DOCSTRUCTURE" w:val="COM/PL/ORG"/>
    <w:docVar w:name="LW_ID_DOCTYPE" w:val="SJ-016"/>
    <w:docVar w:name="LW_ID_STATUT" w:val="PROPOSAL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5"/>
    <w:docVar w:name="LW_REF.II.NEW.CP_YEAR" w:val="2018"/>
    <w:docVar w:name="LW_REF.INST.NEW" w:val="COM"/>
    <w:docVar w:name="LW_REF.INST.NEW_ADOPTED" w:val="final"/>
    <w:docVar w:name="LW_REF.INST.NEW_TEXT" w:val="(2018) 2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TITRE.OBJ.CP_PREVIOUS" w:val="&lt;UNUSED&gt;"/>
    <w:docVar w:name="LW_TYPE.DOC.CP" w:val="\u1056?\u1045?\u1043?\u1051?\u1040?\u1052?\u1045?\u1053?\u1058? \u1053?\u1040? \u1057?\u1066?\u1042?\u1045?\u1058?\u1040?"/>
    <w:docVar w:name="Stamp" w:val="\\dossiers.dgt.cec.eu.int\dossiers\TAXUD\TAXUD-2017-00167\TAXUD-2017-00167-00-00-EN-REV-00.201703081637032294106.DO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istBullet1">
    <w:name w:val="List Bullet 1"/>
    <w:basedOn w:val="Normal"/>
    <w:pPr>
      <w:numPr>
        <w:numId w:val="1"/>
      </w:numPr>
    </w:pPr>
  </w:style>
  <w:style w:type="paragraph" w:customStyle="1" w:styleId="ListDash1">
    <w:name w:val="List Dash 1"/>
    <w:basedOn w:val="Normal"/>
    <w:pPr>
      <w:numPr>
        <w:numId w:val="2"/>
      </w:numPr>
    </w:pPr>
  </w:style>
  <w:style w:type="paragraph" w:customStyle="1" w:styleId="ListDash2">
    <w:name w:val="List Dash 2"/>
    <w:basedOn w:val="Normal"/>
    <w:pPr>
      <w:numPr>
        <w:numId w:val="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</w:style>
  <w:style w:type="table" w:styleId="TableGrid">
    <w:name w:val="Table Grid"/>
    <w:basedOn w:val="TableNormal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customStyle="1" w:styleId="Paragraph">
    <w:name w:val="Paragraph"/>
    <w:basedOn w:val="Normal"/>
    <w:pPr>
      <w:spacing w:before="0" w:after="0"/>
    </w:pPr>
    <w:rPr>
      <w:sz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</w:style>
  <w:style w:type="character" w:customStyle="1" w:styleId="FootnoteReference1">
    <w:name w:val="Footnote Reference1"/>
    <w:hidden/>
    <w:rPr>
      <w:sz w:val="16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</w:rPr>
  </w:style>
  <w:style w:type="character" w:styleId="Strong">
    <w:name w:val="Strong"/>
    <w:uiPriority w:val="22"/>
    <w:qFormat/>
    <w:rPr>
      <w:rFonts w:cs="Times New Roman"/>
      <w:b/>
      <w:bCs/>
      <w:shd w:val="clear" w:color="auto" w:fill="auto"/>
    </w:rPr>
  </w:style>
  <w:style w:type="table" w:customStyle="1" w:styleId="Listtable">
    <w:name w:val="List table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Bullet">
    <w:name w:val="List Bullet"/>
    <w:basedOn w:val="Normal"/>
    <w:pPr>
      <w:numPr>
        <w:numId w:val="8"/>
      </w:numPr>
    </w:pPr>
  </w:style>
  <w:style w:type="paragraph" w:styleId="ListBullet2">
    <w:name w:val="List Bullet 2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9"/>
      </w:numPr>
    </w:pPr>
  </w:style>
  <w:style w:type="paragraph" w:styleId="ListBullet4">
    <w:name w:val="List Bullet 4"/>
    <w:basedOn w:val="Normal"/>
    <w:pPr>
      <w:numPr>
        <w:numId w:val="10"/>
      </w:numPr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TableofFigures">
    <w:name w:val="table of figures"/>
    <w:basedOn w:val="Normal"/>
    <w:next w:val="Normal"/>
    <w:semiHidden/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testable">
    <w:name w:val="Notes table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Subtitle1">
    <w:name w:val="Subtitle1"/>
    <w:aliases w:val="CONTENT.TITLE.TI"/>
    <w:basedOn w:val="Normal"/>
    <w:pPr>
      <w:keepNext/>
      <w:jc w:val="center"/>
    </w:pPr>
  </w:style>
  <w:style w:type="character" w:customStyle="1" w:styleId="footnoteparenthesis">
    <w:name w:val="footnote_parenthesis"/>
    <w:rPr>
      <w:shd w:val="clear" w:color="auto" w:fill="auto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link w:val="EndnoteText"/>
    <w:rPr>
      <w:shd w:val="clear" w:color="auto" w:fill="auto"/>
      <w:lang w:eastAsia="bg-BG"/>
    </w:rPr>
  </w:style>
  <w:style w:type="character" w:styleId="EndnoteReference">
    <w:name w:val="endnote reference"/>
    <w:rPr>
      <w:shd w:val="clear" w:color="auto" w:fill="auto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pPr>
      <w:spacing w:before="0" w:after="0"/>
      <w:jc w:val="left"/>
    </w:pPr>
  </w:style>
  <w:style w:type="paragraph" w:customStyle="1" w:styleId="Titrefichefinancier">
    <w:name w:val="Titre fiche financier"/>
    <w:basedOn w:val="Normal"/>
    <w:pPr>
      <w:jc w:val="center"/>
    </w:pPr>
    <w:rPr>
      <w:b/>
      <w:noProof/>
      <w:u w:val="single"/>
    </w:rPr>
  </w:style>
  <w:style w:type="table" w:customStyle="1" w:styleId="Listtable1">
    <w:name w:val="List table1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rPr>
      <w:sz w:val="24"/>
    </w:rPr>
  </w:style>
  <w:style w:type="character" w:customStyle="1" w:styleId="tgc">
    <w:name w:val="_tgc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istBullet1">
    <w:name w:val="List Bullet 1"/>
    <w:basedOn w:val="Normal"/>
    <w:pPr>
      <w:numPr>
        <w:numId w:val="1"/>
      </w:numPr>
    </w:pPr>
  </w:style>
  <w:style w:type="paragraph" w:customStyle="1" w:styleId="ListDash1">
    <w:name w:val="List Dash 1"/>
    <w:basedOn w:val="Normal"/>
    <w:pPr>
      <w:numPr>
        <w:numId w:val="2"/>
      </w:numPr>
    </w:pPr>
  </w:style>
  <w:style w:type="paragraph" w:customStyle="1" w:styleId="ListDash2">
    <w:name w:val="List Dash 2"/>
    <w:basedOn w:val="Normal"/>
    <w:pPr>
      <w:numPr>
        <w:numId w:val="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</w:style>
  <w:style w:type="table" w:styleId="TableGrid">
    <w:name w:val="Table Grid"/>
    <w:basedOn w:val="TableNormal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customStyle="1" w:styleId="Paragraph">
    <w:name w:val="Paragraph"/>
    <w:basedOn w:val="Normal"/>
    <w:pPr>
      <w:spacing w:before="0" w:after="0"/>
    </w:pPr>
    <w:rPr>
      <w:sz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</w:style>
  <w:style w:type="character" w:customStyle="1" w:styleId="FootnoteReference1">
    <w:name w:val="Footnote Reference1"/>
    <w:hidden/>
    <w:rPr>
      <w:sz w:val="16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</w:rPr>
  </w:style>
  <w:style w:type="character" w:styleId="Strong">
    <w:name w:val="Strong"/>
    <w:uiPriority w:val="22"/>
    <w:qFormat/>
    <w:rPr>
      <w:rFonts w:cs="Times New Roman"/>
      <w:b/>
      <w:bCs/>
      <w:shd w:val="clear" w:color="auto" w:fill="auto"/>
    </w:rPr>
  </w:style>
  <w:style w:type="table" w:customStyle="1" w:styleId="Listtable">
    <w:name w:val="List table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Bullet">
    <w:name w:val="List Bullet"/>
    <w:basedOn w:val="Normal"/>
    <w:pPr>
      <w:numPr>
        <w:numId w:val="8"/>
      </w:numPr>
    </w:pPr>
  </w:style>
  <w:style w:type="paragraph" w:styleId="ListBullet2">
    <w:name w:val="List Bullet 2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9"/>
      </w:numPr>
    </w:pPr>
  </w:style>
  <w:style w:type="paragraph" w:styleId="ListBullet4">
    <w:name w:val="List Bullet 4"/>
    <w:basedOn w:val="Normal"/>
    <w:pPr>
      <w:numPr>
        <w:numId w:val="10"/>
      </w:numPr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TableofFigures">
    <w:name w:val="table of figures"/>
    <w:basedOn w:val="Normal"/>
    <w:next w:val="Normal"/>
    <w:semiHidden/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testable">
    <w:name w:val="Notes table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Subtitle1">
    <w:name w:val="Subtitle1"/>
    <w:aliases w:val="CONTENT.TITLE.TI"/>
    <w:basedOn w:val="Normal"/>
    <w:pPr>
      <w:keepNext/>
      <w:jc w:val="center"/>
    </w:pPr>
  </w:style>
  <w:style w:type="character" w:customStyle="1" w:styleId="footnoteparenthesis">
    <w:name w:val="footnote_parenthesis"/>
    <w:rPr>
      <w:shd w:val="clear" w:color="auto" w:fill="auto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link w:val="EndnoteText"/>
    <w:rPr>
      <w:shd w:val="clear" w:color="auto" w:fill="auto"/>
      <w:lang w:eastAsia="bg-BG"/>
    </w:rPr>
  </w:style>
  <w:style w:type="character" w:styleId="EndnoteReference">
    <w:name w:val="endnote reference"/>
    <w:rPr>
      <w:shd w:val="clear" w:color="auto" w:fill="auto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pPr>
      <w:spacing w:before="0" w:after="0"/>
      <w:jc w:val="left"/>
    </w:pPr>
  </w:style>
  <w:style w:type="paragraph" w:customStyle="1" w:styleId="Titrefichefinancier">
    <w:name w:val="Titre fiche financier"/>
    <w:basedOn w:val="Normal"/>
    <w:pPr>
      <w:jc w:val="center"/>
    </w:pPr>
    <w:rPr>
      <w:b/>
      <w:noProof/>
      <w:u w:val="single"/>
    </w:rPr>
  </w:style>
  <w:style w:type="table" w:customStyle="1" w:styleId="Listtable1">
    <w:name w:val="List table1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rPr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rPr>
      <w:sz w:val="24"/>
    </w:rPr>
  </w:style>
  <w:style w:type="character" w:customStyle="1" w:styleId="tgc">
    <w:name w:val="_tgc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taxation_customs/common/publications/studies/index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40C0-2B55-487B-B729-0DC50E02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1562</Words>
  <Characters>9092</Characters>
  <Application>Microsoft Office Word</Application>
  <DocSecurity>0</DocSecurity>
  <Lines>197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10555</CharactersWithSpaces>
  <SharedDoc>false</SharedDoc>
  <HLinks>
    <vt:vector size="6" baseType="variant"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http://ec.europa.eu/taxation_customs/common/publications/studies/index_en.htm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2018-04-06T12:37:00Z</cp:lastPrinted>
  <dcterms:created xsi:type="dcterms:W3CDTF">2018-04-27T10:31:00Z</dcterms:created>
  <dcterms:modified xsi:type="dcterms:W3CDTF">2018-05-02T11:23:00Z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5.8.22.0</vt:lpwstr>
  </property>
  <property fmtid="{D5CDD505-2E9C-101B-9397-08002B2CF9AE}" pid="4" name="Created using">
    <vt:lpwstr>LW 5.8, Build 20110311</vt:lpwstr>
  </property>
  <property fmtid="{D5CDD505-2E9C-101B-9397-08002B2CF9AE}" pid="5" name="Last edited using">
    <vt:lpwstr>LW 6.0, Build 20171009</vt:lpwstr>
  </property>
  <property fmtid="{D5CDD505-2E9C-101B-9397-08002B2CF9AE}" pid="6" name="_NewReviewCycle">
    <vt:lpwstr/>
  </property>
  <property fmtid="{D5CDD505-2E9C-101B-9397-08002B2CF9AE}" pid="7" name="LWTemplateID">
    <vt:lpwstr>SJ-016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evel of sensitivity">
    <vt:lpwstr>Standard treatment</vt:lpwstr>
  </property>
  <property fmtid="{D5CDD505-2E9C-101B-9397-08002B2CF9AE}" pid="11" name="DQCStatus">
    <vt:lpwstr>Green (DQC version 03)</vt:lpwstr>
  </property>
</Properties>
</file>