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603A995-624E-4DE4-85DD-2C7C8AD0EA82" style="width:449.85pt;height:384.2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 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In the table in the Annex to </w:t>
      </w:r>
      <w:r>
        <w:rPr>
          <w:rFonts w:cs="EUAlbertina"/>
          <w:noProof/>
        </w:rPr>
        <w:t xml:space="preserve">Regulation (EU) No 1388/2013, the following rows are inserted </w:t>
      </w:r>
      <w:r>
        <w:rPr>
          <w:noProof/>
        </w:rPr>
        <w:t>following the order of the CN codes indicated in the second column of that table:</w:t>
      </w:r>
    </w:p>
    <w:tbl>
      <w:tblPr>
        <w:tblW w:w="10706" w:type="dxa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1134"/>
        <w:gridCol w:w="709"/>
        <w:gridCol w:w="5102"/>
        <w:gridCol w:w="1135"/>
        <w:gridCol w:w="1180"/>
        <w:gridCol w:w="677"/>
      </w:tblGrid>
      <w:tr>
        <w:trPr>
          <w:cantSplit/>
          <w:tblHeader/>
          <w:tblCellSpacing w:w="0" w:type="dxa"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Order number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Quota period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Quota volume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Quota duty (%)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2906 11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Levomenthol (INN) (CAS RN 2216-51-5)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185 tonnes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'09.2728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2915 90 70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85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Ethyl trifluoroacetate (CAS RN 383-63-1)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200 tonnes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'09.2684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2916 39 90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2,5-dimethylphenylacetyl chloride (CAS RN 55312-97-5)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125 tonnes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'09.2730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59 90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4,4'-Methanediyldianiline (CAS RN 101-77-9) in form of granules, for use in the manufacture of prepolymers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  <w:vertAlign w:val="baseline"/>
              </w:rPr>
              <w:t>(</w:t>
            </w:r>
            <w:r>
              <w:rPr>
                <w:noProof/>
              </w:rPr>
              <w:t>2)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'09.2732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2933 39 99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66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Fluazinam (ISO) (CAS RN 79622-59-6), with a purity by weight of 98,5 % or more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100 tonnes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'09.2734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7409 19 00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Plates or sheets consisting of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235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layer of a silicon nitride ceramic with a thickness of 0,32 mm (± 0,1 mm) or more but not more than 1,0 mm (± 0,1 mm),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covered on both sides with a foil of refined copper with a thickness of 0,8 mm (± 0,1 mm)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on one side partially covered with a coating of silver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3 500 000 pieces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blPrEx>
          <w:tblCellSpacing w:w="0" w:type="nil"/>
          <w:tblBorders>
            <w:top w:val="none" w:sz="0" w:space="0" w:color="auto"/>
            <w:bottom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'09.2736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7607 11 90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83</w:t>
            </w:r>
          </w:p>
        </w:tc>
        <w:tc>
          <w:tcPr>
            <w:tcW w:w="5102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Aluminium and magnesium alloy strip or foil: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4235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of an alloy conforming to standards 5182-H19 or 5052-H19,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in rolls with an outside diameter of not more than 1 350 mm , 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of a thickness  (tolerance - 0,006 mm) of 0,15 mm, 0,16 mm, 0,18 mm or 0,20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width (tolerance ± 0,3 mm) of 12,5 mm, 15,0 mm, 16,0 mm, 25,0 mm, 35,0 mm, 50,0 mm or 356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camber tolerance of not more than 0,5 mm/750 mm,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flatness measurement of I-unit ±5,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tensile strength of more than (5182-H19) 365MPa or (5052-H19) 320MPa,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4235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an elongation at break of more than (5182-H19) 3 % or (5052-H19) 2,5 %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for use in the manufacture of slats for blinds  (2</w:t>
            </w:r>
            <w:r>
              <w:rPr>
                <w:rStyle w:val="FootnoteReference"/>
                <w:noProof/>
                <w:vertAlign w:val="baseline"/>
              </w:rPr>
              <w:t>)</w:t>
            </w:r>
          </w:p>
        </w:tc>
        <w:tc>
          <w:tcPr>
            <w:tcW w:w="1135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1.7. - 31.12. 2018</w:t>
            </w:r>
          </w:p>
        </w:tc>
        <w:tc>
          <w:tcPr>
            <w:tcW w:w="118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300 tonnes</w:t>
            </w:r>
          </w:p>
        </w:tc>
        <w:tc>
          <w:tcPr>
            <w:tcW w:w="677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</w:tbl>
    <w:p>
      <w:pPr>
        <w:pStyle w:val="Paragraph"/>
        <w:rPr>
          <w:noProof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8821"/>
      </w:tblGrid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pStyle w:val="Paragraph"/>
              <w:spacing w:line="276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  <w:shd w:val="clear" w:color="auto" w:fill="auto"/>
          </w:tcPr>
          <w:p>
            <w:pPr>
              <w:pStyle w:val="Paragraph"/>
              <w:spacing w:line="276" w:lineRule="auto"/>
              <w:rPr>
                <w:noProof/>
              </w:rPr>
            </w:pPr>
            <w:r>
              <w:rPr>
                <w:noProof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1).</w:t>
            </w:r>
          </w:p>
        </w:tc>
      </w:tr>
    </w:tbl>
    <w:p>
      <w:pPr>
        <w:pStyle w:val="Annexetitre"/>
        <w:rPr>
          <w:noProof/>
        </w:rPr>
      </w:pPr>
      <w:r>
        <w:rPr>
          <w:noProof/>
          <w:lang w:val="en-US"/>
        </w:rPr>
        <w:br w:type="page"/>
      </w:r>
      <w:r>
        <w:rPr>
          <w:noProof/>
        </w:rPr>
        <w:t>ANNEX II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 xml:space="preserve">In the table in the Annex to </w:t>
      </w:r>
      <w:r>
        <w:rPr>
          <w:rFonts w:cs="EUAlbertina"/>
          <w:noProof/>
        </w:rPr>
        <w:t xml:space="preserve">Regulation (EU) No 1388/2013, the </w:t>
      </w:r>
      <w:r>
        <w:rPr>
          <w:noProof/>
        </w:rPr>
        <w:t>rows for the tariff quotas with order numbers 09.2700, 09.2624, 09.2647, 09.2648, 09.2682, 09.2696, 09.2697, 09.2676, 09.2876, 09.2721, and 09.2643 are replaced by the following:</w:t>
      </w:r>
    </w:p>
    <w:tbl>
      <w:tblPr>
        <w:tblStyle w:val="Listtable"/>
        <w:tblW w:w="9806" w:type="dxa"/>
        <w:tblLayout w:type="fixed"/>
        <w:tblLook w:val="0000" w:firstRow="0" w:lastRow="0" w:firstColumn="0" w:lastColumn="0" w:noHBand="0" w:noVBand="0"/>
      </w:tblPr>
      <w:tblGrid>
        <w:gridCol w:w="720"/>
        <w:gridCol w:w="1183"/>
        <w:gridCol w:w="709"/>
        <w:gridCol w:w="4513"/>
        <w:gridCol w:w="1040"/>
        <w:gridCol w:w="997"/>
        <w:gridCol w:w="644"/>
      </w:tblGrid>
      <w:tr>
        <w:trPr>
          <w:cantSplit/>
          <w:tblHeader/>
        </w:trPr>
        <w:tc>
          <w:tcPr>
            <w:tcW w:w="720" w:type="dxa"/>
            <w:tcBorders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Order number</w:t>
            </w:r>
          </w:p>
        </w:tc>
        <w:tc>
          <w:tcPr>
            <w:tcW w:w="11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CN code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TARIC</w:t>
            </w:r>
          </w:p>
        </w:tc>
        <w:tc>
          <w:tcPr>
            <w:tcW w:w="451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Description</w:t>
            </w:r>
          </w:p>
        </w:tc>
        <w:tc>
          <w:tcPr>
            <w:tcW w:w="104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Quota period</w:t>
            </w:r>
          </w:p>
        </w:tc>
        <w:tc>
          <w:tcPr>
            <w:tcW w:w="99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Quota volume</w:t>
            </w:r>
          </w:p>
        </w:tc>
        <w:tc>
          <w:tcPr>
            <w:tcW w:w="64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Quota duty (%)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'09.2700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2905 12 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Propan-1-ol (propyl alcohol) (CAS RN 71-23-8)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'09.2624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2912 42 00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Ethylvanillin (3-ethoxy-4-hydroxybenzaldehyde) (CAS RN 121-32-4)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1 950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'09.2647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2918 29 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80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Pentaerythritol tetrakis(3-(3,5-di-tert-butyl-4-hydroxyphenyl)propionate)  (CAS RN 6683-19-8)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24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with a sieve passing fraction at a mesh width of 250 μm of more than 75 % by weight and at a mesh width of 500 μm of more than 99 % by weight,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a melting point of 110 °C or more, but not more than 125 °C,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for use in the manufacture of PVC processing stabilizer-one packs based on powder mixtures (powders or press granulates)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</w:t>
            </w:r>
            <w:r>
              <w:rPr>
                <w:noProof/>
              </w:rPr>
              <w:t>2</w:t>
            </w:r>
            <w:r>
              <w:rPr>
                <w:rStyle w:val="FootnoteReference"/>
                <w:noProof/>
              </w:rPr>
              <w:t>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140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'09.2648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2920 90 10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70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Dimethyl Sulphate (CAS RN 77-78-1)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18 000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'09.2682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2921 41 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Aniline with a purity by weight of 99 % or more (CAS RN 62-53-3)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150 000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'09.2696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Decan-5-olide (CAS RN 705-86-2)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kilograms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'09.2697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2932 20 90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Dodecan-5-olide (CAS RN 713-95-1)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6 000 kilograms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'09.2676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3204 17 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Preparations based on Colourant C.I. Pigment Red 48:2 (CAS RN 7023-61-2)  with a content thereof of 60 % or more but less than 85 % by weight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50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'09.2876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3811 29 00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55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Additives consisting of reaction products of diphenylamine and branched nonenes containing by weight: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24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28 % or more, but not more than 55 % of 4-monononyldiphenylamine,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45 % or more but not more than 65 % of 4,4’-dinonyldiphenylamine, and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not more than 5 % of 2, 4-dinonyldiphenylamine and 2, 4’-dinonyldiphenylamine,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used for the manufacture of lubricating oils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</w:t>
            </w:r>
            <w:r>
              <w:rPr>
                <w:noProof/>
              </w:rPr>
              <w:t>2</w:t>
            </w:r>
            <w:r>
              <w:rPr>
                <w:rStyle w:val="FootnoteReference"/>
                <w:noProof/>
              </w:rPr>
              <w:t>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900 tonnes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'09.2721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5906 99 90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Woven and laminated rubberised textile fabric with the following characteristics:</w:t>
            </w:r>
          </w:p>
          <w:tbl>
            <w:tblPr>
              <w:tblStyle w:val="Listdash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20"/>
              <w:gridCol w:w="3624"/>
            </w:tblGrid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with three layers,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one outer layer consists of acrylic fabric,  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the other outer layer consists of polyester fabric,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the middle layer consists of chlorobutyl rubber,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the middle layer has a weight of 452 g/m</w:t>
                  </w:r>
                  <w:r>
                    <w:rPr>
                      <w:noProof/>
                      <w:vertAlign w:val="superscript"/>
                    </w:rPr>
                    <w:t xml:space="preserve">2 </w:t>
                  </w:r>
                  <w:r>
                    <w:rPr>
                      <w:noProof/>
                    </w:rPr>
                    <w:t>or more but not more than 569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the textile fabric has a total weight of 952 g/m</w:t>
                  </w:r>
                  <w:r>
                    <w:rPr>
                      <w:noProof/>
                      <w:vertAlign w:val="superscript"/>
                    </w:rPr>
                    <w:t xml:space="preserve">2 </w:t>
                  </w:r>
                  <w:r>
                    <w:rPr>
                      <w:noProof/>
                    </w:rPr>
                    <w:t> or more but not more than 1159 g/m</w:t>
                  </w:r>
                  <w:r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</w:rPr>
                    <w:t>,</w:t>
                  </w:r>
                </w:p>
              </w:tc>
            </w:tr>
            <w:tr>
              <w:tc>
                <w:tcPr>
                  <w:tcW w:w="220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—</w:t>
                  </w:r>
                </w:p>
              </w:tc>
              <w:tc>
                <w:tcPr>
                  <w:tcW w:w="3624" w:type="dxa"/>
                </w:tcPr>
                <w:p>
                  <w:pPr>
                    <w:pStyle w:val="Paragraph"/>
                    <w:rPr>
                      <w:noProof/>
                    </w:rPr>
                  </w:pPr>
                  <w:r>
                    <w:rPr>
                      <w:noProof/>
                    </w:rPr>
                    <w:t>the textile fabric has a total thickness of 0,8 mm or more but not more than 4 mm,</w:t>
                  </w:r>
                </w:p>
              </w:tc>
            </w:tr>
          </w:tbl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used for the manufacture of the retractable roof of motor vehicles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</w:t>
            </w:r>
            <w:r>
              <w:rPr>
                <w:noProof/>
              </w:rPr>
              <w:t>2</w:t>
            </w:r>
            <w:r>
              <w:rPr>
                <w:rStyle w:val="FootnoteReference"/>
                <w:noProof/>
              </w:rPr>
              <w:t>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375 000 square meters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  <w:tr>
        <w:tc>
          <w:tcPr>
            <w:tcW w:w="720" w:type="dxa"/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'09.2643</w:t>
            </w:r>
          </w:p>
        </w:tc>
        <w:tc>
          <w:tcPr>
            <w:tcW w:w="1183" w:type="dxa"/>
            <w:tcBorders>
              <w:left w:val="single" w:sz="2" w:space="0" w:color="auto"/>
            </w:tcBorders>
          </w:tcPr>
          <w:p>
            <w:pPr>
              <w:pStyle w:val="Paragraph"/>
              <w:jc w:val="right"/>
              <w:rPr>
                <w:noProof/>
              </w:rPr>
            </w:pPr>
            <w:r>
              <w:rPr>
                <w:noProof/>
              </w:rPr>
              <w:t>ex 8504 40 82</w:t>
            </w:r>
          </w:p>
        </w:tc>
        <w:tc>
          <w:tcPr>
            <w:tcW w:w="709" w:type="dxa"/>
            <w:tcBorders>
              <w:left w:val="single" w:sz="2" w:space="0" w:color="auto"/>
            </w:tcBorders>
          </w:tcPr>
          <w:p>
            <w:pPr>
              <w:pStyle w:val="Paragraph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4513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Power supply boards for use in the manufacture of goods falling under heading 8521 and 8528</w:t>
            </w:r>
          </w:p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 </w:t>
            </w:r>
            <w:r>
              <w:rPr>
                <w:rStyle w:val="FootnoteReference"/>
                <w:noProof/>
              </w:rPr>
              <w:t>(</w:t>
            </w:r>
            <w:r>
              <w:rPr>
                <w:noProof/>
              </w:rPr>
              <w:t>2</w:t>
            </w:r>
            <w:r>
              <w:rPr>
                <w:rStyle w:val="FootnoteReference"/>
                <w:noProof/>
              </w:rPr>
              <w:t>)</w:t>
            </w:r>
          </w:p>
        </w:tc>
        <w:tc>
          <w:tcPr>
            <w:tcW w:w="1040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1.1. - 31.12.</w:t>
            </w:r>
          </w:p>
        </w:tc>
        <w:tc>
          <w:tcPr>
            <w:tcW w:w="997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15 000 000 pieces</w:t>
            </w:r>
          </w:p>
        </w:tc>
        <w:tc>
          <w:tcPr>
            <w:tcW w:w="644" w:type="dxa"/>
            <w:tcBorders>
              <w:left w:val="single" w:sz="2" w:space="0" w:color="auto"/>
            </w:tcBorders>
          </w:tcPr>
          <w:p>
            <w:pPr>
              <w:pStyle w:val="Paragraph"/>
              <w:rPr>
                <w:noProof/>
              </w:rPr>
            </w:pPr>
            <w:r>
              <w:rPr>
                <w:noProof/>
              </w:rPr>
              <w:t>0 %'</w:t>
            </w:r>
          </w:p>
        </w:tc>
      </w:tr>
    </w:tbl>
    <w:p>
      <w:pPr>
        <w:pStyle w:val="Paragraph"/>
        <w:rPr>
          <w:noProof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5"/>
        <w:gridCol w:w="8821"/>
      </w:tblGrid>
      <w:tr>
        <w:trPr>
          <w:tblCellSpacing w:w="0" w:type="dxa"/>
        </w:trPr>
        <w:tc>
          <w:tcPr>
            <w:tcW w:w="425" w:type="dxa"/>
            <w:shd w:val="clear" w:color="auto" w:fill="auto"/>
          </w:tcPr>
          <w:p>
            <w:pPr>
              <w:pStyle w:val="Paragraph"/>
              <w:spacing w:line="276" w:lineRule="auto"/>
              <w:rPr>
                <w:noProof/>
              </w:rPr>
            </w:pPr>
            <w:r>
              <w:rPr>
                <w:rStyle w:val="FootnoteReference"/>
                <w:noProof/>
              </w:rPr>
              <w:t>(2)</w:t>
            </w:r>
          </w:p>
        </w:tc>
        <w:tc>
          <w:tcPr>
            <w:tcW w:w="8821" w:type="dxa"/>
            <w:shd w:val="clear" w:color="auto" w:fill="auto"/>
          </w:tcPr>
          <w:p>
            <w:pPr>
              <w:pStyle w:val="Paragraph"/>
              <w:spacing w:line="276" w:lineRule="auto"/>
              <w:rPr>
                <w:noProof/>
              </w:rPr>
            </w:pPr>
            <w:r>
              <w:rPr>
                <w:noProof/>
              </w:rPr>
              <w:t>Suspension of duties is subject to end-use customs supervision in accordance with Article 254 of Regulation (EU) No 952/2013 of the European Parliament and of the Council of 9 October 2013 laying down the Union Customs Code (OJ L 269, 10.10.2013, p. 1).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2240" w:h="15840"/>
      <w:pgMar w:top="1134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92ADF0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73EA56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0A84C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102D8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37846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A2C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BF426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A145A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8C40F2"/>
    <w:multiLevelType w:val="hybridMultilevel"/>
    <w:tmpl w:val="9FD075E2"/>
    <w:lvl w:ilvl="0" w:tplc="999C8A96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</w:num>
  <w:num w:numId="10">
    <w:abstractNumId w:val="13"/>
  </w:num>
  <w:num w:numId="11">
    <w:abstractNumId w:val="21"/>
  </w:num>
  <w:num w:numId="12">
    <w:abstractNumId w:val="12"/>
  </w:num>
  <w:num w:numId="13">
    <w:abstractNumId w:val="14"/>
  </w:num>
  <w:num w:numId="14">
    <w:abstractNumId w:val="10"/>
  </w:num>
  <w:num w:numId="15">
    <w:abstractNumId w:val="20"/>
  </w:num>
  <w:num w:numId="16">
    <w:abstractNumId w:val="9"/>
  </w:num>
  <w:num w:numId="17">
    <w:abstractNumId w:val="15"/>
  </w:num>
  <w:num w:numId="18">
    <w:abstractNumId w:val="17"/>
  </w:num>
  <w:num w:numId="19">
    <w:abstractNumId w:val="18"/>
  </w:num>
  <w:num w:numId="20">
    <w:abstractNumId w:val="11"/>
  </w:num>
  <w:num w:numId="21">
    <w:abstractNumId w:val="16"/>
  </w:num>
  <w:num w:numId="22">
    <w:abstractNumId w:val="22"/>
  </w:num>
  <w:num w:numId="23">
    <w:abstractNumId w:val="8"/>
  </w:num>
  <w:num w:numId="24">
    <w:abstractNumId w:val="19"/>
  </w:num>
  <w:num w:numId="25">
    <w:abstractNumId w:val="13"/>
  </w:num>
  <w:num w:numId="26">
    <w:abstractNumId w:val="21"/>
  </w:num>
  <w:num w:numId="27">
    <w:abstractNumId w:val="12"/>
  </w:num>
  <w:num w:numId="28">
    <w:abstractNumId w:val="14"/>
  </w:num>
  <w:num w:numId="29">
    <w:abstractNumId w:val="10"/>
  </w:num>
  <w:num w:numId="30">
    <w:abstractNumId w:val="20"/>
  </w:num>
  <w:num w:numId="31">
    <w:abstractNumId w:val="9"/>
  </w:num>
  <w:num w:numId="32">
    <w:abstractNumId w:val="15"/>
  </w:num>
  <w:num w:numId="33">
    <w:abstractNumId w:val="17"/>
  </w:num>
  <w:num w:numId="34">
    <w:abstractNumId w:val="18"/>
  </w:num>
  <w:num w:numId="35">
    <w:abstractNumId w:val="11"/>
  </w:num>
  <w:num w:numId="36">
    <w:abstractNumId w:val="16"/>
  </w:num>
  <w:num w:numId="37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2 13:22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1"/>
    <w:docVar w:name="DQCResult_StructureCheck" w:val="0;0"/>
    <w:docVar w:name="DQCResult_SuperfluousWhitespace" w:val="0;13"/>
    <w:docVar w:name="DQCResult_UnknownFonts" w:val="0;0"/>
    <w:docVar w:name="DQCResult_UnknownStyles" w:val="0;2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2"/>
    <w:docVar w:name="LW_ANNEX_UNIQUE" w:val="0"/>
    <w:docVar w:name="LW_CONST_RESTREINT_UE" w:val="RESTREINT UE/EU RESTRICTED"/>
    <w:docVar w:name="LW_CORRIGENDUM" w:val="&lt;UNUSED&gt;"/>
    <w:docVar w:name="LW_COVERPAGE_EXISTS" w:val="True"/>
    <w:docVar w:name="LW_COVERPAGE_GUID" w:val="7603A995-624E-4DE4-85DD-2C7C8AD0EA82"/>
    <w:docVar w:name="LW_COVERPAGE_TYPE" w:val="1"/>
    <w:docVar w:name="LW_CROSSREFERENCE" w:val="&lt;UNUSED&gt;"/>
    <w:docVar w:name="LW_DocType" w:val="ANNEX"/>
    <w:docVar w:name="LW_EMISSION" w:val="7.5.2018"/>
    <w:docVar w:name="LW_EMISSION_ISODATE" w:val="2018-05-07"/>
    <w:docVar w:name="LW_EMISSION_LOCATION" w:val="BRX"/>
    <w:docVar w:name="LW_EMISSION_PREFIX" w:val="Brussels,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mending Regulation (EU) No 1388/2013 opening and providing for the management of autonomous tariff quotas of the Union for certain agricultural and industrial products"/>
    <w:docVar w:name="LW_OBJETACTEPRINCIPAL.CP" w:val="amending Regulation (EU) No 1388/2013 opening and providing for the management of autonomous tariff quotas of the Union for certain agricultural and industrial product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S"/>
    <w:docVar w:name="LW_TYPE.DOC.CP" w:val="ANNEXES"/>
    <w:docVar w:name="LW_TYPEACTEPRINCIPAL" w:val="Proposal for a Council Regulation"/>
    <w:docVar w:name="LW_TYPEACTEPRINCIPAL.CP" w:val="Proposal for a Council Regulat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numbering" w:customStyle="1" w:styleId="NoList1">
    <w:name w:val="No List1"/>
    <w:next w:val="No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</w:rPr>
  </w:style>
  <w:style w:type="paragraph" w:styleId="Title">
    <w:name w:val="Title"/>
    <w:aliases w:val="TITLE.TI"/>
    <w:basedOn w:val="Normal"/>
    <w:link w:val="TitleChar"/>
    <w:qFormat/>
    <w:pPr>
      <w:keepNext/>
      <w:jc w:val="center"/>
    </w:pPr>
    <w:rPr>
      <w:rFonts w:eastAsia="Times New Roman"/>
      <w:szCs w:val="20"/>
    </w:rPr>
  </w:style>
  <w:style w:type="character" w:customStyle="1" w:styleId="TitleChar">
    <w:name w:val="Title Char"/>
    <w:aliases w:val="TITLE.TI Char"/>
    <w:link w:val="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Subtitle">
    <w:name w:val="Subtitle"/>
    <w:aliases w:val="CONTENT.TITLE.TI"/>
    <w:basedOn w:val="Normal"/>
    <w:link w:val="SubtitleChar"/>
    <w:qFormat/>
    <w:pPr>
      <w:keepNext/>
      <w:jc w:val="center"/>
    </w:pPr>
    <w:rPr>
      <w:rFonts w:eastAsia="Times New Roman"/>
      <w:szCs w:val="20"/>
    </w:rPr>
  </w:style>
  <w:style w:type="character" w:customStyle="1" w:styleId="SubtitleChar">
    <w:name w:val="Subtitle Char"/>
    <w:aliases w:val="CONTENT.TITLE.TI Char"/>
    <w:link w:val="Subtitle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customStyle="1" w:styleId="Text">
    <w:name w:val="Text"/>
    <w:hidden/>
    <w:rPr>
      <w:rFonts w:ascii="Times New Roman" w:eastAsia="Times New Roman" w:hAnsi="Times New Roman"/>
      <w:sz w:val="16"/>
    </w:rPr>
  </w:style>
  <w:style w:type="paragraph" w:customStyle="1" w:styleId="SUSPparagraph">
    <w:name w:val="SUSP paragraph"/>
    <w:basedOn w:val="Paragraph"/>
    <w:pPr>
      <w:spacing w:before="60" w:after="60"/>
    </w:p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table" w:customStyle="1" w:styleId="Notestablewithoutborder">
    <w:name w:val="Notes table without border"/>
    <w:rPr>
      <w:rFonts w:ascii="Times New Roman" w:eastAsia="Times New Roman" w:hAnsi="Times New Roman"/>
      <w:sz w:val="16"/>
      <w:szCs w:val="16"/>
    </w:rPr>
    <w:tblPr>
      <w:tblCellSpacing w:w="0" w:type="dxa"/>
      <w:tblInd w:w="0" w:type="dxa"/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customStyle="1" w:styleId="Note">
    <w:name w:val="Note"/>
    <w:aliases w:val="NOTE"/>
    <w:basedOn w:val="SUSPparagraph"/>
    <w:rPr>
      <w:szCs w:val="16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Bullet1">
    <w:name w:val="List Bullet1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table" w:customStyle="1" w:styleId="Listnumbered">
    <w:name w:val="List numbered"/>
    <w:basedOn w:val="Listtable"/>
    <w:rPr>
      <w:sz w:val="20"/>
      <w:szCs w:val="20"/>
    </w:rPr>
    <w:tblPr>
      <w:tblCellSpacing w:w="0" w:type="dxa"/>
      <w:tblInd w:w="0" w:type="dxa"/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78BB-E0FB-48AD-8430-44556C5D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4</Pages>
  <Words>989</Words>
  <Characters>4406</Characters>
  <Application>Microsoft Office Word</Application>
  <DocSecurity>0</DocSecurity>
  <Lines>275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JUSKO Outi Katriina (TAXUD)</dc:creator>
  <cp:lastModifiedBy>DIGIT/A3</cp:lastModifiedBy>
  <cp:revision>7</cp:revision>
  <cp:lastPrinted>2018-04-09T14:36:00Z</cp:lastPrinted>
  <dcterms:created xsi:type="dcterms:W3CDTF">2018-04-10T08:43:00Z</dcterms:created>
  <dcterms:modified xsi:type="dcterms:W3CDTF">2018-05-02T11:22:00Z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0</vt:lpwstr>
  </property>
  <property fmtid="{D5CDD505-2E9C-101B-9397-08002B2CF9AE}" pid="13" name="DQCStatus">
    <vt:lpwstr>Green (DQC version 03)</vt:lpwstr>
  </property>
</Properties>
</file>