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9BFC614-5AC7-4F54-A6DF-4E299B29BCC2" style="width:450.6pt;height:397.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ind w:left="1440" w:hanging="1440"/>
        <w:jc w:val="center"/>
        <w:rPr>
          <w:b/>
          <w:noProof/>
          <w:szCs w:val="24"/>
        </w:rPr>
      </w:pPr>
      <w:r>
        <w:rPr>
          <w:b/>
          <w:noProof/>
        </w:rPr>
        <w:t>Partie I</w:t>
      </w:r>
    </w:p>
    <w:p>
      <w:pPr>
        <w:pStyle w:val="Point0"/>
        <w:rPr>
          <w:noProof/>
        </w:rPr>
      </w:pPr>
      <w:r>
        <w:rPr>
          <w:b/>
          <w:noProof/>
        </w:rPr>
        <w:t>A.</w:t>
      </w:r>
      <w:r>
        <w:rPr>
          <w:noProof/>
        </w:rPr>
        <w:tab/>
      </w:r>
      <w:r>
        <w:rPr>
          <w:b/>
          <w:noProof/>
        </w:rPr>
        <w:t>Article premier, point a), i) - marchés publics:</w:t>
      </w:r>
    </w:p>
    <w:p>
      <w:pPr>
        <w:pStyle w:val="NumPar1"/>
        <w:numPr>
          <w:ilvl w:val="0"/>
          <w:numId w:val="14"/>
        </w:numPr>
        <w:rPr>
          <w:noProof/>
        </w:rPr>
      </w:pPr>
      <w:r>
        <w:rPr>
          <w:noProof/>
        </w:rPr>
        <w:t>Procédures de passation de marchés relatifs aux contrats de fourniture pour les produits de défense et aux contrats de fourniture et de services pour l’eau, l’énergie, les transports et les services postaux, ainsi qu’à tout autre contrat ou service réglementées par la législation de l’Union:</w:t>
      </w:r>
    </w:p>
    <w:p>
      <w:pPr>
        <w:pStyle w:val="Point0"/>
        <w:rPr>
          <w:noProof/>
        </w:rPr>
      </w:pPr>
      <w:r>
        <w:rPr>
          <w:noProof/>
        </w:rPr>
        <w:t>i)</w:t>
      </w:r>
      <w:r>
        <w:rPr>
          <w:noProof/>
        </w:rPr>
        <w:tab/>
        <w:t>directive 2014/23/UE du Parlement européen et du Conseil du 26 février 2014 sur l’attribution de contrats de concession (JO L 94 du 28.3.2014, p. 1);</w:t>
      </w:r>
    </w:p>
    <w:p>
      <w:pPr>
        <w:pStyle w:val="Point0"/>
        <w:rPr>
          <w:noProof/>
        </w:rPr>
      </w:pPr>
      <w:r>
        <w:rPr>
          <w:noProof/>
        </w:rPr>
        <w:t>ii)</w:t>
      </w:r>
      <w:r>
        <w:rPr>
          <w:noProof/>
        </w:rPr>
        <w:tab/>
        <w:t>directive 2014/24/UE du Parlement européen et du Conseil du 26 février 2014 sur la passation des marchés publics et abrogeant la directive 2004/18/CE (JO L 94 du 28.3.2014, p. 65);</w:t>
      </w:r>
    </w:p>
    <w:p>
      <w:pPr>
        <w:pStyle w:val="Point0"/>
        <w:rPr>
          <w:noProof/>
        </w:rPr>
      </w:pPr>
      <w:r>
        <w:rPr>
          <w:noProof/>
        </w:rPr>
        <w:t>iii)</w:t>
      </w:r>
      <w:r>
        <w:rPr>
          <w:noProof/>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p>
      <w:pPr>
        <w:pStyle w:val="Point0"/>
        <w:rPr>
          <w:noProof/>
        </w:rPr>
      </w:pPr>
      <w:r>
        <w:rPr>
          <w:noProof/>
        </w:rPr>
        <w:t>iv)</w:t>
      </w:r>
      <w:r>
        <w:rPr>
          <w:noProof/>
        </w:rPr>
        <w:tab/>
        <w:t xml:space="preserve">directive 2009/81/CE du Parlement européen et du Conseil </w:t>
      </w:r>
      <w:r>
        <w:rPr>
          <w:rStyle w:val="st"/>
          <w:noProof/>
        </w:rPr>
        <w:t>du 13 juillet 2009</w:t>
      </w:r>
      <w:r>
        <w:rPr>
          <w:noProof/>
        </w:rPr>
        <w:t xml:space="preserve">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w:t>
      </w:r>
    </w:p>
    <w:p>
      <w:pPr>
        <w:pStyle w:val="NumPar1"/>
        <w:rPr>
          <w:noProof/>
        </w:rPr>
      </w:pPr>
      <w:r>
        <w:rPr>
          <w:noProof/>
        </w:rPr>
        <w:t>Procédures d’examen réglementées par:</w:t>
      </w:r>
    </w:p>
    <w:p>
      <w:pPr>
        <w:pStyle w:val="Point0"/>
        <w:rPr>
          <w:noProof/>
        </w:rPr>
      </w:pPr>
      <w:r>
        <w:rPr>
          <w:noProof/>
        </w:rPr>
        <w:t>i)</w:t>
      </w:r>
      <w:r>
        <w:rPr>
          <w:noProof/>
        </w:rPr>
        <w:tab/>
        <w:t>la directive 92/13/CEE du Conseil 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(JO L 76 du 23.3.1992, p. 14);</w:t>
      </w:r>
    </w:p>
    <w:p>
      <w:pPr>
        <w:pStyle w:val="Point0"/>
        <w:rPr>
          <w:noProof/>
        </w:rPr>
      </w:pPr>
      <w:r>
        <w:rPr>
          <w:noProof/>
        </w:rPr>
        <w:t>ii)</w:t>
      </w:r>
      <w:r>
        <w:rPr>
          <w:noProof/>
        </w:rPr>
        <w:tab/>
        <w:t>la directive 89/665/CEE du Conseil du 21 décembre 1989 portant coordination des dispositions législatives, réglementaires et administratives relatives à l’application des procédures de recours en matière de passation des marchés publics de fournitures et de travaux (JO L 395 du 30.12.1989, p. 33).</w:t>
      </w:r>
    </w:p>
    <w:p>
      <w:pPr>
        <w:pStyle w:val="Point0"/>
        <w:rPr>
          <w:b/>
          <w:noProof/>
        </w:rPr>
      </w:pPr>
      <w:r>
        <w:rPr>
          <w:b/>
          <w:noProof/>
        </w:rPr>
        <w:t>B.</w:t>
      </w:r>
      <w:r>
        <w:rPr>
          <w:noProof/>
        </w:rPr>
        <w:tab/>
      </w:r>
      <w:r>
        <w:rPr>
          <w:b/>
          <w:noProof/>
        </w:rPr>
        <w:t xml:space="preserve">Article premier, point a), ii) - services financiers, prévention du blanchiment de capitaux et du financement du terrorisme: </w:t>
      </w:r>
    </w:p>
    <w:p>
      <w:pPr>
        <w:rPr>
          <w:noProof/>
        </w:rPr>
      </w:pPr>
      <w:r>
        <w:rPr>
          <w:noProof/>
        </w:rPr>
        <w:t>Règles établissant un cadre réglementaire de surveillance et de protection des consommateurs et des investisseurs dans les services financiers et les marchés de capitaux, les banques, les établissements de crédit, l’assurance et la réassurance, les pensions professionnelles ou personnelles, les titres, les fonds d’investissement, les conseils en matière de paiement et d’investissement de l’Union énumérés à l’annexe I de la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 telles que réglementées par:</w:t>
      </w:r>
    </w:p>
    <w:p>
      <w:pPr>
        <w:pStyle w:val="Point0"/>
        <w:rPr>
          <w:noProof/>
        </w:rPr>
      </w:pPr>
      <w:r>
        <w:rPr>
          <w:noProof/>
        </w:rPr>
        <w:t>i)</w:t>
      </w:r>
      <w:r>
        <w:rPr>
          <w:noProof/>
        </w:rPr>
        <w:tab/>
        <w:t xml:space="preserve">la directive 2009/110/CE du Parlement européen et du Conseil du 16 septembre 2009 concernant l’accès à l’activité des établissements de monnaie électronique et son exercice ainsi que la surveillance prudentielle de ces établissements, modifiant les </w:t>
      </w:r>
      <w:r>
        <w:rPr>
          <w:noProof/>
        </w:rPr>
        <w:lastRenderedPageBreak/>
        <w:t>directives 2005/60/CE et 2006/48/CE et abrogeant la directive 2000/46/CE (JO L 267 du 10.10.2009, p. 7);</w:t>
      </w:r>
    </w:p>
    <w:p>
      <w:pPr>
        <w:pStyle w:val="Point0"/>
        <w:rPr>
          <w:noProof/>
        </w:rPr>
      </w:pPr>
      <w:r>
        <w:rPr>
          <w:noProof/>
        </w:rPr>
        <w:t>ii)</w:t>
      </w:r>
      <w:r>
        <w:rPr>
          <w:noProof/>
        </w:rPr>
        <w:tab/>
        <w:t>la directive 2011/61/UE du Parlement européen et du Conseil du 8 juin 2011 sur les gestionnaires de fonds d’investissement alternatifs et modifiant les directives 2003/41/CE et 2009/65/CE ainsi que les règlements (CE) nº 1060/2009 et (UE) nº 1095/2010 (JO L 174 du 1.7.2011, p. 1);</w:t>
      </w:r>
    </w:p>
    <w:p>
      <w:pPr>
        <w:pStyle w:val="Point0"/>
        <w:rPr>
          <w:noProof/>
        </w:rPr>
      </w:pPr>
      <w:r>
        <w:rPr>
          <w:noProof/>
        </w:rPr>
        <w:t>iii)</w:t>
      </w:r>
      <w:r>
        <w:rPr>
          <w:noProof/>
        </w:rPr>
        <w:tab/>
        <w:t>le règlement (UE) nº 236/2012 du Parlement européen et du Conseil du 14 mars 2012 sur la vente à découvert et certains aspects des contrats d’échange sur risque de crédit (JO L 86 du 24.3.2012, p. 1);</w:t>
      </w:r>
    </w:p>
    <w:p>
      <w:pPr>
        <w:pStyle w:val="Point0"/>
        <w:rPr>
          <w:noProof/>
        </w:rPr>
      </w:pPr>
      <w:r>
        <w:rPr>
          <w:noProof/>
        </w:rPr>
        <w:t>iv)</w:t>
      </w:r>
      <w:r>
        <w:rPr>
          <w:noProof/>
        </w:rPr>
        <w:tab/>
        <w:t>le règlement (UE) nº 345/2013 du Parlement européen et du Conseil du 17 avril 2013 relatif aux fonds de capital-risque européens (JO L 115 du 25.4.2013, p. 1);</w:t>
      </w:r>
    </w:p>
    <w:p>
      <w:pPr>
        <w:pStyle w:val="Point0"/>
        <w:rPr>
          <w:noProof/>
        </w:rPr>
      </w:pPr>
      <w:r>
        <w:rPr>
          <w:noProof/>
        </w:rPr>
        <w:t>v)</w:t>
      </w:r>
      <w:r>
        <w:rPr>
          <w:noProof/>
        </w:rPr>
        <w:tab/>
        <w:t>le règlement (UE) nº 346/2013 du Parlement européen et du Conseil du 17 avril 2013 relatif aux fonds d’entrepreneuriat social européens (JO L 115 du 25.4.2013, p. 18);</w:t>
      </w:r>
    </w:p>
    <w:p>
      <w:pPr>
        <w:pStyle w:val="Point0"/>
        <w:rPr>
          <w:noProof/>
        </w:rPr>
      </w:pPr>
      <w:r>
        <w:rPr>
          <w:noProof/>
        </w:rPr>
        <w:t>vi)</w:t>
      </w:r>
      <w:r>
        <w:rPr>
          <w:noProof/>
        </w:rPr>
        <w:tab/>
        <w:t>la directive 2014/17/UE du Parlement européen et du Conseil du 4 février 2014 sur les contrats de crédit aux consommateurs relatifs aux biens immobiliers à usage résidentiel et modifiant les directives 2008/48/CE et 2013/36/UE et le règlement (UE) nº 1093/2010 (JO L 60 du 28.2.2014, p. 34);</w:t>
      </w:r>
    </w:p>
    <w:p>
      <w:pPr>
        <w:pStyle w:val="Point0"/>
        <w:rPr>
          <w:noProof/>
        </w:rPr>
      </w:pPr>
      <w:r>
        <w:rPr>
          <w:noProof/>
        </w:rPr>
        <w:t>vii)</w:t>
      </w:r>
      <w:r>
        <w:rPr>
          <w:noProof/>
        </w:rPr>
        <w:tab/>
        <w:t>le règlement (UE) nº 537/2014 du Parlement européen et du Conseil du 16 avril 2014 concernant les exigences spécifiques concernant le contrôle légal des comptes des entités d’intérêt public et abrogeant la décision 2005/909/CE de la Commission (JO L 158 du 27.5.2014, p. 77);</w:t>
      </w:r>
    </w:p>
    <w:p>
      <w:pPr>
        <w:pStyle w:val="Point0"/>
        <w:rPr>
          <w:noProof/>
        </w:rPr>
      </w:pPr>
      <w:r>
        <w:rPr>
          <w:noProof/>
        </w:rPr>
        <w:t>viii)</w:t>
      </w:r>
      <w:r>
        <w:rPr>
          <w:noProof/>
        </w:rPr>
        <w:tab/>
        <w:t>le règlement (UE) nº 600/2014 du Parlement européen et du Conseil du 15 mai 2014 concernant les marchés d’instruments financiers et modifiant le règlement (UE) nº 648/2012 (JO L 173 du 12.6.2014, p. 84);</w:t>
      </w:r>
    </w:p>
    <w:p>
      <w:pPr>
        <w:pStyle w:val="Point0"/>
        <w:rPr>
          <w:noProof/>
        </w:rPr>
      </w:pPr>
      <w:r>
        <w:rPr>
          <w:noProof/>
        </w:rPr>
        <w:t>ix)</w:t>
      </w:r>
      <w:r>
        <w:rPr>
          <w:noProof/>
        </w:rPr>
        <w:tab/>
        <w:t>la directive (UE) 2015/2366 du Parlement européen et du Conseil du 25 novembre 2015 concernant les services de paiement dans le marché intérieur, modifiant les directives 2002/65/CE, 2009/110/CE et 2013/36/UE et le règlement (UE) nº 1093/2010, et abrogeant la directive 2007/64/CE (JO L 337 du 23.12.2015, p. 35);</w:t>
      </w:r>
    </w:p>
    <w:p>
      <w:pPr>
        <w:pStyle w:val="Point0"/>
        <w:rPr>
          <w:noProof/>
        </w:rPr>
      </w:pPr>
      <w:r>
        <w:rPr>
          <w:noProof/>
        </w:rPr>
        <w:t>x)</w:t>
      </w:r>
      <w:r>
        <w:rPr>
          <w:noProof/>
        </w:rPr>
        <w:tab/>
        <w:t>la directive 2004/25/CE du Parlement européen et du Conseil du 21 avril 2004 concernant les offres publiques d’acquisition (JO L 142 du 30.4.2004, p. 12);</w:t>
      </w:r>
    </w:p>
    <w:p>
      <w:pPr>
        <w:pStyle w:val="Point0"/>
        <w:rPr>
          <w:noProof/>
        </w:rPr>
      </w:pPr>
      <w:r>
        <w:rPr>
          <w:noProof/>
        </w:rPr>
        <w:t>xi)</w:t>
      </w:r>
      <w:r>
        <w:rPr>
          <w:noProof/>
        </w:rPr>
        <w:tab/>
        <w:t>la directive 2007/36/CE du Parlement européen et du Conseil du 11 juillet 2007 concernant l’exercice de certains droits des actionnaires de sociétés cotées (JO L 184 du 14.7.2007, p. 17).</w:t>
      </w:r>
    </w:p>
    <w:p>
      <w:pPr>
        <w:pStyle w:val="Point0"/>
        <w:rPr>
          <w:b/>
          <w:noProof/>
        </w:rPr>
      </w:pPr>
      <w:r>
        <w:rPr>
          <w:b/>
          <w:noProof/>
        </w:rPr>
        <w:t>C.</w:t>
      </w:r>
      <w:r>
        <w:rPr>
          <w:noProof/>
        </w:rPr>
        <w:tab/>
      </w:r>
      <w:r>
        <w:rPr>
          <w:b/>
          <w:noProof/>
        </w:rPr>
        <w:t xml:space="preserve">Article premier, point a), iii) - sécurité des produits: </w:t>
      </w:r>
    </w:p>
    <w:p>
      <w:pPr>
        <w:pStyle w:val="NumPar1"/>
        <w:numPr>
          <w:ilvl w:val="0"/>
          <w:numId w:val="9"/>
        </w:numPr>
        <w:rPr>
          <w:noProof/>
        </w:rPr>
      </w:pPr>
      <w:r>
        <w:rPr>
          <w:noProof/>
        </w:rPr>
        <w:t>Exigences générales de sécurité des produits mis sur le marché de l’Union telles que définies et réglementées par:</w:t>
      </w:r>
    </w:p>
    <w:p>
      <w:pPr>
        <w:pStyle w:val="Point0"/>
        <w:rPr>
          <w:noProof/>
        </w:rPr>
      </w:pPr>
      <w:r>
        <w:rPr>
          <w:noProof/>
        </w:rPr>
        <w:t>i)</w:t>
      </w:r>
      <w:r>
        <w:rPr>
          <w:noProof/>
        </w:rPr>
        <w:tab/>
        <w:t>la directive 2001/95/CE du Parlement européen et du Conseil du 3 décembre 2001 relative à la sécurité générale des produits (JO L 11 du 15.1.2002, p. 4);</w:t>
      </w:r>
    </w:p>
    <w:p>
      <w:pPr>
        <w:pStyle w:val="Point0"/>
        <w:rPr>
          <w:noProof/>
        </w:rPr>
      </w:pPr>
      <w:r>
        <w:rPr>
          <w:noProof/>
        </w:rPr>
        <w:t>ii)</w:t>
      </w:r>
      <w:r>
        <w:rPr>
          <w:noProof/>
        </w:rPr>
        <w:tab/>
        <w:t xml:space="preserve">la législation d’harmonisation de l’Union concernant les produits manufacturés autres que les denrées alimentaires, les aliments pour animaux, les médicaments à usage humain et vétérinaire, les végétaux et animaux vivants, les produits d’origine humaine et les végétaux et animaux directement liés à leur reproduction future tels </w:t>
      </w:r>
      <w:r>
        <w:rPr>
          <w:noProof/>
        </w:rPr>
        <w:lastRenderedPageBreak/>
        <w:t>qu’énumérés dans le règlement XX établissant les règles et procédures de conformité et d’application de la législation d’harmonisation de l’Union</w:t>
      </w:r>
      <w:r>
        <w:rPr>
          <w:rStyle w:val="FootnoteReference"/>
          <w:noProof/>
        </w:rPr>
        <w:footnoteReference w:id="2"/>
      </w:r>
      <w:r>
        <w:rPr>
          <w:noProof/>
        </w:rPr>
        <w:t xml:space="preserve">; </w:t>
      </w:r>
    </w:p>
    <w:p>
      <w:pPr>
        <w:pStyle w:val="Point0"/>
        <w:rPr>
          <w:noProof/>
        </w:rPr>
      </w:pPr>
      <w:r>
        <w:rPr>
          <w:noProof/>
        </w:rPr>
        <w:t>iii)</w:t>
      </w:r>
      <w:r>
        <w:rPr>
          <w:noProof/>
        </w:rPr>
        <w:tab/>
        <w:t>la 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p>
      <w:pPr>
        <w:pStyle w:val="NumPar1"/>
        <w:rPr>
          <w:noProof/>
        </w:rPr>
      </w:pPr>
      <w:r>
        <w:rPr>
          <w:noProof/>
        </w:rPr>
        <w:t>Commercialisation et utilisation de produits sensibles et dangereux réglementées par:</w:t>
      </w:r>
    </w:p>
    <w:p>
      <w:pPr>
        <w:pStyle w:val="Point0"/>
        <w:rPr>
          <w:noProof/>
        </w:rPr>
      </w:pPr>
      <w:r>
        <w:rPr>
          <w:noProof/>
        </w:rPr>
        <w:t>i)</w:t>
      </w:r>
      <w:r>
        <w:rPr>
          <w:noProof/>
        </w:rPr>
        <w:tab/>
        <w:t>la directive 2009/43/CE du Parlement européen et du Conseil du 6 mai 2009 simplifiant les conditions des transferts de produits liés à la défense dans la Communauté (JO L 146 du 10.6.2009, p. 1);</w:t>
      </w:r>
    </w:p>
    <w:p>
      <w:pPr>
        <w:pStyle w:val="Point0"/>
        <w:rPr>
          <w:noProof/>
        </w:rPr>
      </w:pPr>
      <w:r>
        <w:rPr>
          <w:noProof/>
        </w:rPr>
        <w:t>ii)</w:t>
      </w:r>
      <w:r>
        <w:rPr>
          <w:noProof/>
        </w:rPr>
        <w:tab/>
        <w:t>la directive 91/477/CEE du Conseil du 18 juin 1991 relative au contrôle de l’acquisition et de la détention d’armes (JO L 256 du 13.9.1991, p. 51);</w:t>
      </w:r>
    </w:p>
    <w:p>
      <w:pPr>
        <w:pStyle w:val="Point0"/>
        <w:rPr>
          <w:noProof/>
        </w:rPr>
      </w:pPr>
      <w:r>
        <w:rPr>
          <w:noProof/>
        </w:rPr>
        <w:t>iii)</w:t>
      </w:r>
      <w:r>
        <w:rPr>
          <w:noProof/>
        </w:rPr>
        <w:tab/>
        <w:t>le 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relatifs aux armes à feu), et instaurant des autorisations d’exportation, ainsi que des mesures concernant l’importation et le transit d’armes à feu, de leurs pièces, éléments et munitions (JO L 94 du 30.3.2012, p. 1);</w:t>
      </w:r>
    </w:p>
    <w:p>
      <w:pPr>
        <w:pStyle w:val="Point0"/>
        <w:rPr>
          <w:noProof/>
        </w:rPr>
      </w:pPr>
      <w:r>
        <w:rPr>
          <w:noProof/>
        </w:rPr>
        <w:t>iv)</w:t>
      </w:r>
      <w:r>
        <w:rPr>
          <w:noProof/>
        </w:rPr>
        <w:tab/>
        <w:t>le règlement (UE) nº 98/2013 du Parlement européen et du Conseil du 15 janvier 2013 sur la commercialisation et l’utilisation de précurseurs d’explosifs (JO L 39 du 9.2.2013, p. 1).</w:t>
      </w:r>
    </w:p>
    <w:p>
      <w:pPr>
        <w:pStyle w:val="Point0"/>
        <w:rPr>
          <w:b/>
          <w:noProof/>
        </w:rPr>
      </w:pPr>
      <w:r>
        <w:rPr>
          <w:b/>
          <w:noProof/>
        </w:rPr>
        <w:t>D.</w:t>
      </w:r>
      <w:r>
        <w:rPr>
          <w:noProof/>
        </w:rPr>
        <w:tab/>
      </w:r>
      <w:r>
        <w:rPr>
          <w:b/>
          <w:noProof/>
        </w:rPr>
        <w:t xml:space="preserve">Article premier, point a), iv) - sécurité des transports: </w:t>
      </w:r>
    </w:p>
    <w:p>
      <w:pPr>
        <w:pStyle w:val="NumPar1"/>
        <w:numPr>
          <w:ilvl w:val="0"/>
          <w:numId w:val="10"/>
        </w:numPr>
        <w:rPr>
          <w:noProof/>
        </w:rPr>
      </w:pPr>
      <w:r>
        <w:rPr>
          <w:noProof/>
        </w:rPr>
        <w:t>Exigences de sécurité dans le secteur ferroviaire réglementées par la directive (UE) 2016/798 du Parlement européen et du Conseil du 11 mai 2016 relative à la sécurité ferroviaire (JO L 138 du 26.5.2016, p. 102).</w:t>
      </w:r>
    </w:p>
    <w:p>
      <w:pPr>
        <w:pStyle w:val="NumPar1"/>
        <w:rPr>
          <w:noProof/>
        </w:rPr>
      </w:pPr>
      <w:r>
        <w:rPr>
          <w:noProof/>
        </w:rPr>
        <w:t>Exigences de sécurité dans le secteur de l’aviation civile réglementées par le règlement (UE) nº 996/2010 du Parlement européen et du Conseil du 20 octobre 2010 sur les enquêtes et la prévention des accidents et des incidents dans l’aviation civile et abrogeant la directive 94/56/CE (JO L 295 du 12.11.2010, p. 35).</w:t>
      </w:r>
    </w:p>
    <w:p>
      <w:pPr>
        <w:pStyle w:val="NumPar1"/>
        <w:rPr>
          <w:noProof/>
        </w:rPr>
      </w:pPr>
      <w:r>
        <w:rPr>
          <w:noProof/>
        </w:rPr>
        <w:t>Exigences de sécurité dans le secteur routier réglementées par:</w:t>
      </w:r>
    </w:p>
    <w:p>
      <w:pPr>
        <w:pStyle w:val="Point0"/>
        <w:rPr>
          <w:noProof/>
        </w:rPr>
      </w:pPr>
      <w:r>
        <w:rPr>
          <w:noProof/>
        </w:rPr>
        <w:t>i)</w:t>
      </w:r>
      <w:r>
        <w:rPr>
          <w:noProof/>
        </w:rPr>
        <w:tab/>
        <w:t>la directive 2008/96/CE du Parlement européen et du Conseil du 19 novembre 2008 concernant la gestion de la sécurité des infrastructures routières (JO L 319 du 29.11.2008, p. 59);</w:t>
      </w:r>
    </w:p>
    <w:p>
      <w:pPr>
        <w:pStyle w:val="Point0"/>
        <w:rPr>
          <w:noProof/>
        </w:rPr>
      </w:pPr>
      <w:r>
        <w:rPr>
          <w:noProof/>
        </w:rPr>
        <w:t>ii)</w:t>
      </w:r>
      <w:r>
        <w:rPr>
          <w:noProof/>
        </w:rPr>
        <w:tab/>
        <w:t>la directive 2004/54/CE du Parlement européen et du Conseil du 29 avril 2004 concernant les exigences de sécurité minimales applicables aux tunnels du réseau routier transeuropéen (JO L 167 du 30.42004, p. 39).</w:t>
      </w:r>
    </w:p>
    <w:p>
      <w:pPr>
        <w:pStyle w:val="NumPar1"/>
        <w:rPr>
          <w:noProof/>
        </w:rPr>
      </w:pPr>
      <w:r>
        <w:rPr>
          <w:noProof/>
        </w:rPr>
        <w:lastRenderedPageBreak/>
        <w:t>Exigences de sécurité dans le secteur maritime réglementées par:</w:t>
      </w:r>
    </w:p>
    <w:p>
      <w:pPr>
        <w:pStyle w:val="Point0"/>
        <w:rPr>
          <w:noProof/>
        </w:rPr>
      </w:pPr>
      <w:r>
        <w:rPr>
          <w:noProof/>
        </w:rPr>
        <w:t>i)</w:t>
      </w:r>
      <w:r>
        <w:rPr>
          <w:noProof/>
        </w:rPr>
        <w:tab/>
        <w:t>le règlement (CE) nº 391/2009 du Parlement européen et du Conseil du 23 avril 2009 établissant des règles et normes communes concernant les organismes habilités à effectuer l’inspection et la visite des navires (JO L 131 du 28.5.2009, p. 11);</w:t>
      </w:r>
    </w:p>
    <w:p>
      <w:pPr>
        <w:pStyle w:val="Point0"/>
        <w:rPr>
          <w:noProof/>
        </w:rPr>
      </w:pPr>
      <w:r>
        <w:rPr>
          <w:noProof/>
        </w:rPr>
        <w:t>ii)</w:t>
      </w:r>
      <w:r>
        <w:rPr>
          <w:noProof/>
        </w:rPr>
        <w:tab/>
        <w:t>le règlement (CE) nº 392/2009 du Parlement européen et du Conseil du 23 avril 2009 relatif à la responsabilité des transporteurs de passagers par mer en cas d’accident (JO L 131 du 28.5.2009, p. 24);</w:t>
      </w:r>
    </w:p>
    <w:p>
      <w:pPr>
        <w:pStyle w:val="Point0"/>
        <w:rPr>
          <w:noProof/>
        </w:rPr>
      </w:pPr>
      <w:r>
        <w:rPr>
          <w:noProof/>
        </w:rPr>
        <w:t>iii)</w:t>
      </w:r>
      <w:r>
        <w:rPr>
          <w:noProof/>
        </w:rPr>
        <w:tab/>
        <w:t>la directive 2014/90/UE du Parlement européen et du Conseil du 23 juillet 2014 relative aux équipements marins et abrogeant la directive 96/98/CE (JO L 257 du 28.8.2014, p. 146);</w:t>
      </w:r>
    </w:p>
    <w:p>
      <w:pPr>
        <w:pStyle w:val="Point0"/>
        <w:rPr>
          <w:noProof/>
        </w:rPr>
      </w:pPr>
      <w:r>
        <w:rPr>
          <w:noProof/>
        </w:rPr>
        <w:t>iv)</w:t>
      </w:r>
      <w:r>
        <w:rPr>
          <w:noProof/>
        </w:rPr>
        <w:tab/>
        <w:t>la directive 2009/18/CE du Parlement européen et du Conseil du 23 avril 2009 établissant les principes fondamentaux régissant les enquêtes sur les accidents dans le secteur des transports maritimes et modifiant la directive 1999/35/CE du Conseil et la directive 2002/59/CE (JO L 131 du 28.5.2009, p. 114);</w:t>
      </w:r>
    </w:p>
    <w:p>
      <w:pPr>
        <w:pStyle w:val="Point0"/>
        <w:rPr>
          <w:noProof/>
        </w:rPr>
      </w:pPr>
      <w:r>
        <w:rPr>
          <w:noProof/>
        </w:rPr>
        <w:t>v)</w:t>
      </w:r>
      <w:r>
        <w:rPr>
          <w:noProof/>
        </w:rPr>
        <w:tab/>
        <w:t>la directive 2008/106/CE du Parlement européen et du Conseil du 19 novembre 2008 concernant le niveau minimal de formation des gens de mer (JO L 323 du 3.12.2008, p. 33);</w:t>
      </w:r>
    </w:p>
    <w:p>
      <w:pPr>
        <w:pStyle w:val="Point0"/>
        <w:rPr>
          <w:noProof/>
        </w:rPr>
      </w:pPr>
      <w:r>
        <w:rPr>
          <w:noProof/>
        </w:rPr>
        <w:t>vi)</w:t>
      </w:r>
      <w:r>
        <w:rPr>
          <w:noProof/>
        </w:rPr>
        <w:tab/>
        <w:t>la directive 98/41/CE du Conseil du 18 juin 1998 relative à l’enregistrement des personnes voyageant à bord de navires à passagers opérant à destination ou au départ des ports d’États membres de la Communauté (JO L 188 du 2.7.1998, p. 35);</w:t>
      </w:r>
    </w:p>
    <w:p>
      <w:pPr>
        <w:pStyle w:val="Point0"/>
        <w:rPr>
          <w:noProof/>
        </w:rPr>
      </w:pPr>
      <w:r>
        <w:rPr>
          <w:noProof/>
        </w:rPr>
        <w:t>vii)</w:t>
      </w:r>
      <w:r>
        <w:rPr>
          <w:noProof/>
        </w:rPr>
        <w:tab/>
        <w:t>la directive 2001/96/CE du Parlement européen et du Conseil du 4 décembre 2001 établissant des exigences et des procédures harmonisées pour le chargement et le déchargement en toute sécurité des vraquiers (JO L 13 du 16.1.2002, p. 9).</w:t>
      </w:r>
    </w:p>
    <w:p>
      <w:pPr>
        <w:pStyle w:val="Point0"/>
        <w:rPr>
          <w:b/>
          <w:noProof/>
        </w:rPr>
      </w:pPr>
      <w:r>
        <w:rPr>
          <w:b/>
          <w:noProof/>
        </w:rPr>
        <w:t>E.</w:t>
      </w:r>
      <w:r>
        <w:rPr>
          <w:noProof/>
        </w:rPr>
        <w:tab/>
      </w:r>
      <w:r>
        <w:rPr>
          <w:b/>
          <w:noProof/>
        </w:rPr>
        <w:t xml:space="preserve">Article premier, point a), v) - protection de l’environnement: </w:t>
      </w:r>
    </w:p>
    <w:p>
      <w:pPr>
        <w:pStyle w:val="Point0"/>
        <w:rPr>
          <w:noProof/>
        </w:rPr>
      </w:pPr>
      <w:r>
        <w:rPr>
          <w:noProof/>
        </w:rPr>
        <w:t>i)</w:t>
      </w:r>
      <w:r>
        <w:rPr>
          <w:noProof/>
        </w:rPr>
        <w:tab/>
        <w:t>Toute infraction pénale relevant de la protection de l’environnement réglementée par la directive 2008/99/CE du Parlement européen et du Conseil du 19 novembre 2008 relative à la protection de l’environnement par le droit pénal (JO L 328 du 6.12.2008, p. 28) ou tout comportement illicite enfreignant la législation figurant dans les annexes de la directive 2008/99/CE;</w:t>
      </w:r>
    </w:p>
    <w:p>
      <w:pPr>
        <w:pStyle w:val="Point0"/>
        <w:rPr>
          <w:noProof/>
        </w:rPr>
      </w:pPr>
      <w:r>
        <w:rPr>
          <w:noProof/>
        </w:rPr>
        <w:t>ii)</w:t>
      </w:r>
      <w:r>
        <w:rPr>
          <w:noProof/>
        </w:rPr>
        <w:tab/>
        <w:t>directive 2004/35/CE du Parlement européen et du Conseil du 21 avril 2004 sur la responsabilité environnementale en ce qui concerne la prévention et la réparation des dommages environnementaux (JO L 143 du 30.4.2004, p. 56);</w:t>
      </w:r>
    </w:p>
    <w:p>
      <w:pPr>
        <w:pStyle w:val="Point0"/>
        <w:rPr>
          <w:noProof/>
        </w:rPr>
      </w:pPr>
      <w:r>
        <w:rPr>
          <w:noProof/>
        </w:rPr>
        <w:t>iii)</w:t>
      </w:r>
      <w:r>
        <w:rPr>
          <w:noProof/>
        </w:rPr>
        <w:tab/>
        <w:t>règlement (UE) nº 995/2010 du Parlement européen et du Conseil du 20 octobre 2010 établissant les obligations des opérateurs qui mettent du bois et des produits dérivés sur le marché (JO L 295 du 12.11.2010, p. 23);</w:t>
      </w:r>
    </w:p>
    <w:p>
      <w:pPr>
        <w:pStyle w:val="Point0"/>
        <w:rPr>
          <w:noProof/>
        </w:rPr>
      </w:pPr>
      <w:r>
        <w:rPr>
          <w:noProof/>
        </w:rPr>
        <w:t>iv)</w:t>
      </w:r>
      <w:r>
        <w:rPr>
          <w:noProof/>
        </w:rPr>
        <w:tab/>
        <w:t>directive 2009/123/CE du Parlement européen et du Conseil du 21 octobre 2009 modifiant la directive 2005/35/CE relative à la pollution causée par les navires et à l’introduction de sanctions en cas d’infraction (JO L 280 du 27.10.2009, p. 52);</w:t>
      </w:r>
    </w:p>
    <w:p>
      <w:pPr>
        <w:pStyle w:val="Point0"/>
        <w:rPr>
          <w:noProof/>
        </w:rPr>
      </w:pPr>
      <w:r>
        <w:rPr>
          <w:noProof/>
        </w:rPr>
        <w:t>v)</w:t>
      </w:r>
      <w:r>
        <w:rPr>
          <w:noProof/>
        </w:rPr>
        <w:tab/>
        <w:t>règlement (UE) 2015/757 du Parlement européen et du Conseil du 29 avril 2015 relatif à la surveillance, la déclaration et la vérification des émissions de dioxyde de carbone du transport maritime et modifiant la directive 2009/16/CE (JO L 123 du 19.5.2015, p. 55);</w:t>
      </w:r>
    </w:p>
    <w:p>
      <w:pPr>
        <w:pStyle w:val="Point0"/>
        <w:rPr>
          <w:noProof/>
        </w:rPr>
      </w:pPr>
      <w:r>
        <w:rPr>
          <w:noProof/>
        </w:rPr>
        <w:t>vi)</w:t>
      </w:r>
      <w:r>
        <w:rPr>
          <w:noProof/>
        </w:rPr>
        <w:tab/>
        <w:t>règlement (UE) nº 1257/2013 du Parlement européen et du Conseil du 20 novembre 2013 relatif au recyclage des navires et modifiant le règlement (CE) nº 1013/2006 et la directive 2009/16/CE (JO L 330 du 10.12.2013, p. 1);</w:t>
      </w:r>
    </w:p>
    <w:p>
      <w:pPr>
        <w:pStyle w:val="Point0"/>
        <w:rPr>
          <w:noProof/>
        </w:rPr>
      </w:pPr>
      <w:r>
        <w:rPr>
          <w:noProof/>
        </w:rPr>
        <w:t>vii)</w:t>
      </w:r>
      <w:r>
        <w:rPr>
          <w:noProof/>
        </w:rPr>
        <w:tab/>
        <w:t>règlement (UE) nº 649/2012 du Parlement européen et du Conseil du 4 juillet 2012 concernant les exportations et importations de produits chimiques dangereux (JO L 201 du 27.7.2012, p. 60);</w:t>
      </w:r>
    </w:p>
    <w:p>
      <w:pPr>
        <w:pStyle w:val="Point0"/>
        <w:rPr>
          <w:noProof/>
        </w:rPr>
      </w:pPr>
      <w:r>
        <w:rPr>
          <w:noProof/>
        </w:rPr>
        <w:t>viii)</w:t>
      </w:r>
      <w:r>
        <w:rPr>
          <w:noProof/>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p>
      <w:pPr>
        <w:pStyle w:val="Point0"/>
        <w:rPr>
          <w:noProof/>
        </w:rPr>
      </w:pPr>
      <w:r>
        <w:rPr>
          <w:noProof/>
        </w:rPr>
        <w:t>ix)</w:t>
      </w:r>
      <w:r>
        <w:rPr>
          <w:noProof/>
        </w:rPr>
        <w:tab/>
        <w:t>directive (UE) 2015/2193 du Parlement européen et du Conseil du 25 novembre 2015 relative à la limitation des émissions de certains polluants dans l’atmosphère en provenance des installations de combustion moyennes (JO L 313 du 28.11.2015, p. 1).</w:t>
      </w:r>
    </w:p>
    <w:p>
      <w:pPr>
        <w:pStyle w:val="Point0"/>
        <w:rPr>
          <w:b/>
          <w:noProof/>
        </w:rPr>
      </w:pPr>
      <w:r>
        <w:rPr>
          <w:b/>
          <w:noProof/>
        </w:rPr>
        <w:t>F.</w:t>
      </w:r>
      <w:r>
        <w:rPr>
          <w:noProof/>
        </w:rPr>
        <w:tab/>
      </w:r>
      <w:r>
        <w:rPr>
          <w:b/>
          <w:noProof/>
        </w:rPr>
        <w:t>Article 1, point a), vi) - sûreté nucléaire</w:t>
      </w:r>
    </w:p>
    <w:p>
      <w:pPr>
        <w:rPr>
          <w:noProof/>
        </w:rPr>
      </w:pPr>
      <w:r>
        <w:rPr>
          <w:noProof/>
        </w:rPr>
        <w:t>Règles sur la sécurité nucléaire telles que réglementées par:</w:t>
      </w:r>
    </w:p>
    <w:p>
      <w:pPr>
        <w:pStyle w:val="Point0"/>
        <w:rPr>
          <w:noProof/>
        </w:rPr>
      </w:pPr>
      <w:r>
        <w:rPr>
          <w:noProof/>
        </w:rPr>
        <w:t>i)</w:t>
      </w:r>
      <w:r>
        <w:rPr>
          <w:noProof/>
        </w:rPr>
        <w:tab/>
        <w:t>la directive 2009/71/Euratom du Conseil du 25 juin 2009 établissant un cadre communautaire pour la sûreté nucléaire des installations nucléaires (JO L 172 du 2.7.2009, p. 18);</w:t>
      </w:r>
    </w:p>
    <w:p>
      <w:pPr>
        <w:pStyle w:val="Point0"/>
        <w:rPr>
          <w:noProof/>
        </w:rPr>
      </w:pPr>
      <w:r>
        <w:rPr>
          <w:noProof/>
        </w:rPr>
        <w:t>ii)</w:t>
      </w:r>
      <w:r>
        <w:rPr>
          <w:noProof/>
        </w:rPr>
        <w:tab/>
        <w:t>la directive 2013/51/Euratom du Conseil du 22 octobre 2013 établissant les exigences relatives à la protection de la santé de la population en ce qui concerne les substances radioactives dans les eaux destinées à la consommation humaine (JO L 296 du 7.11.2013, p. 12);</w:t>
      </w:r>
    </w:p>
    <w:p>
      <w:pPr>
        <w:pStyle w:val="Point0"/>
        <w:rPr>
          <w:noProof/>
        </w:rPr>
      </w:pPr>
      <w:r>
        <w:rPr>
          <w:noProof/>
        </w:rPr>
        <w:t>iii)</w:t>
      </w:r>
      <w:r>
        <w:rPr>
          <w:noProof/>
        </w:rPr>
        <w:tab/>
        <w:t>la directive 2013/59/Euratom du Conseil du 5 décembre 2013 fixant les normes de base relatives à la protection contre les dangers résultant de l’exposition aux rayonnements ionisants et abrogeant les directives 89/618/Euratom, 90/641/Euratom, 96/29/Euratom, 97/43/Euratom et 2003/122/Euratom (JO L 13 du 17.1.2014, p. 1);</w:t>
      </w:r>
    </w:p>
    <w:p>
      <w:pPr>
        <w:pStyle w:val="Point0"/>
        <w:rPr>
          <w:noProof/>
        </w:rPr>
      </w:pPr>
      <w:r>
        <w:rPr>
          <w:noProof/>
        </w:rPr>
        <w:t>iv)</w:t>
      </w:r>
      <w:r>
        <w:rPr>
          <w:noProof/>
        </w:rPr>
        <w:tab/>
        <w:t>la directive 2011/70/Euratom du Conseil du 19 juillet 2011 établissant un cadre communautaire pour la gestion responsable et sûre du combustible usé et des déchets radioactifs (JO L 199 du 2.8.2011, p. 48);</w:t>
      </w:r>
    </w:p>
    <w:p>
      <w:pPr>
        <w:pStyle w:val="Point0"/>
        <w:rPr>
          <w:noProof/>
        </w:rPr>
      </w:pPr>
      <w:r>
        <w:rPr>
          <w:noProof/>
        </w:rPr>
        <w:t>v)</w:t>
      </w:r>
      <w:r>
        <w:rPr>
          <w:noProof/>
        </w:rPr>
        <w:tab/>
        <w:t>la directive 2006/117/Euratom du Conseil du 20 novembre 2006 relative à la surveillance et au contrôle des transferts de déchets radioactifs et de combustible nucléaire usé (JO L 337 du 5.12.2006, p. 21).</w:t>
      </w:r>
    </w:p>
    <w:p>
      <w:pPr>
        <w:pStyle w:val="Point0"/>
        <w:rPr>
          <w:b/>
          <w:noProof/>
        </w:rPr>
      </w:pPr>
      <w:r>
        <w:rPr>
          <w:b/>
          <w:noProof/>
        </w:rPr>
        <w:t>G.</w:t>
      </w:r>
      <w:r>
        <w:rPr>
          <w:noProof/>
        </w:rPr>
        <w:tab/>
      </w:r>
      <w:r>
        <w:rPr>
          <w:b/>
          <w:noProof/>
        </w:rPr>
        <w:t xml:space="preserve">Article premier, point a), vii) - sécurité des denrées alimentaires et des aliments pour animaux, santé des animaux et bien-être des animaux: </w:t>
      </w:r>
    </w:p>
    <w:p>
      <w:pPr>
        <w:pStyle w:val="NumPar1"/>
        <w:numPr>
          <w:ilvl w:val="0"/>
          <w:numId w:val="11"/>
        </w:numPr>
        <w:rPr>
          <w:noProof/>
        </w:rPr>
      </w:pPr>
      <w:r>
        <w:rPr>
          <w:noProof/>
        </w:rPr>
        <w:t xml:space="preserve">Législation de l’Union sur les denrées alimentaires et les aliments pour animaux régie par les principes généraux et les prescriptions générales définis par </w:t>
      </w:r>
      <w:r>
        <w:rPr>
          <w:rStyle w:val="st"/>
          <w:noProof/>
        </w:rPr>
        <w:t xml:space="preserve">le règlement (CE) nº 178/2002 du Parlement européen et du Conseil du </w:t>
      </w:r>
      <w:r>
        <w:rPr>
          <w:noProof/>
        </w:rPr>
        <w:t>28 janvier 2002 établissant les principes généraux et les prescriptions de la législation alimentaire, instituant l’Autorité européenne de sécurité des aliments et fixant les procédures à suivre en matière de sécurité alimentaire (JO L 31 du 1.2.2002, p. 1).</w:t>
      </w:r>
    </w:p>
    <w:p>
      <w:pPr>
        <w:pStyle w:val="NumPar1"/>
        <w:rPr>
          <w:noProof/>
        </w:rPr>
      </w:pPr>
      <w:r>
        <w:rPr>
          <w:noProof/>
        </w:rPr>
        <w:t>Législation sur la santé animale régie par le règlement (UE) 2016/429 du Parlement européen et du Conseil du 9 mars 2016 relatif aux maladies animales transmissibles et modifiant et abrogeant certains actes dans le domaine de la santé animale («législation sur la santé animale») (JO L 84 du 31.3.2016, p 1).</w:t>
      </w:r>
    </w:p>
    <w:p>
      <w:pPr>
        <w:pStyle w:val="NumPar1"/>
        <w:rPr>
          <w:noProof/>
        </w:rPr>
      </w:pPr>
      <w:r>
        <w:rPr>
          <w:noProof/>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p>
      <w:pPr>
        <w:pStyle w:val="NumPar1"/>
        <w:rPr>
          <w:noProof/>
        </w:rPr>
      </w:pPr>
      <w:r>
        <w:rPr>
          <w:noProof/>
        </w:rPr>
        <w:t>Protection du bien-être des animaux réglementée par:</w:t>
      </w:r>
    </w:p>
    <w:p>
      <w:pPr>
        <w:pStyle w:val="Point0"/>
        <w:rPr>
          <w:noProof/>
        </w:rPr>
      </w:pPr>
      <w:r>
        <w:rPr>
          <w:noProof/>
        </w:rPr>
        <w:t>i)</w:t>
      </w:r>
      <w:r>
        <w:rPr>
          <w:noProof/>
        </w:rPr>
        <w:tab/>
        <w:t>la directive 98/58/CE du Conseil du 20 juillet 1998 concernant la protection des animaux dans les élevages (JO L 221 du 8.8.1998, p. 23);</w:t>
      </w:r>
    </w:p>
    <w:p>
      <w:pPr>
        <w:pStyle w:val="Point0"/>
        <w:rPr>
          <w:noProof/>
        </w:rPr>
      </w:pPr>
      <w:r>
        <w:rPr>
          <w:noProof/>
        </w:rPr>
        <w:t>ii)</w:t>
      </w:r>
      <w:r>
        <w:rPr>
          <w:noProof/>
        </w:rPr>
        <w:tab/>
        <w:t>le règlement (CE) nº 1/2005 du Conseil du 22 décembre 2004 relatif à la protection des animaux pendant le transport et les opérations annexes, et modifiant les directives 64/432/CEE et 93/119/CE et le règlement (CE) nº 1255/97 (JO L 3 du 5.1.2005, p. 1);</w:t>
      </w:r>
    </w:p>
    <w:p>
      <w:pPr>
        <w:pStyle w:val="Point0"/>
        <w:rPr>
          <w:noProof/>
        </w:rPr>
      </w:pPr>
      <w:r>
        <w:rPr>
          <w:noProof/>
        </w:rPr>
        <w:t>iii)</w:t>
      </w:r>
      <w:r>
        <w:rPr>
          <w:noProof/>
        </w:rPr>
        <w:tab/>
        <w:t>le règlement (CE) nº 1099/2009 du Conseil du 24 septembre 2009 sur la protection des animaux au moment de leur mise à mort (JO L 303 du 18.11.2009, p. 1).</w:t>
      </w:r>
    </w:p>
    <w:p>
      <w:pPr>
        <w:pStyle w:val="Point0"/>
        <w:rPr>
          <w:b/>
          <w:noProof/>
        </w:rPr>
      </w:pPr>
      <w:r>
        <w:rPr>
          <w:b/>
          <w:noProof/>
        </w:rPr>
        <w:t>H.</w:t>
      </w:r>
      <w:r>
        <w:rPr>
          <w:noProof/>
        </w:rPr>
        <w:tab/>
      </w:r>
      <w:r>
        <w:rPr>
          <w:b/>
          <w:noProof/>
        </w:rPr>
        <w:t xml:space="preserve">Article premier, point a), viii) - santé publique: </w:t>
      </w:r>
    </w:p>
    <w:p>
      <w:pPr>
        <w:pStyle w:val="NumPar1"/>
        <w:numPr>
          <w:ilvl w:val="0"/>
          <w:numId w:val="12"/>
        </w:numPr>
        <w:rPr>
          <w:noProof/>
        </w:rPr>
      </w:pPr>
      <w:r>
        <w:rPr>
          <w:noProof/>
        </w:rPr>
        <w:t>Mesures établissant des normes élevées de qualité et de sécurité des organes et des substances d’origine humaine, telles que réglementées par:</w:t>
      </w:r>
    </w:p>
    <w:p>
      <w:pPr>
        <w:pStyle w:val="Point0"/>
        <w:rPr>
          <w:noProof/>
        </w:rPr>
      </w:pPr>
      <w:r>
        <w:rPr>
          <w:noProof/>
        </w:rPr>
        <w:t>i)</w:t>
      </w:r>
      <w:r>
        <w:rPr>
          <w:noProof/>
        </w:rPr>
        <w:tab/>
        <w:t>la 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 (JO L 33 du 8.2.2003, p. 30);</w:t>
      </w:r>
    </w:p>
    <w:p>
      <w:pPr>
        <w:pStyle w:val="Point0"/>
        <w:rPr>
          <w:noProof/>
        </w:rPr>
      </w:pPr>
      <w:r>
        <w:rPr>
          <w:noProof/>
        </w:rPr>
        <w:t>ii)</w:t>
      </w:r>
      <w:r>
        <w:rPr>
          <w:noProof/>
        </w:rPr>
        <w:tab/>
        <w:t>la directive 2004/23/CE du Parlement européen et du Conseil du 31 mars 2004 relative à l’établissement de normes de qualité et de sécurité pour le don, l’obtention, le contrôle, la transformation, la conservation, le stockage et la distribution des tissus et des cellules humains (JO L 102 du 7.4.2004, p. 48);</w:t>
      </w:r>
    </w:p>
    <w:p>
      <w:pPr>
        <w:pStyle w:val="Point0"/>
        <w:rPr>
          <w:noProof/>
        </w:rPr>
      </w:pPr>
      <w:r>
        <w:rPr>
          <w:noProof/>
        </w:rPr>
        <w:t>iii)</w:t>
      </w:r>
      <w:r>
        <w:rPr>
          <w:noProof/>
        </w:rPr>
        <w:tab/>
        <w:t>la directive 2010/45/UE du Parlement européen et du Conseil du 7 juillet 2010 relative aux normes de qualité et de sécurité des organes humains destinés à la transplantation (JO L 207 du 6.8.2010, p. 14).</w:t>
      </w:r>
    </w:p>
    <w:p>
      <w:pPr>
        <w:pStyle w:val="NumPar1"/>
        <w:rPr>
          <w:noProof/>
        </w:rPr>
      </w:pPr>
      <w:r>
        <w:rPr>
          <w:noProof/>
        </w:rPr>
        <w:t>Mesures fixant des normes élevées de qualité et de sécurité des médicaments et des dispositifs à usage médical, régies par:</w:t>
      </w:r>
    </w:p>
    <w:p>
      <w:pPr>
        <w:pStyle w:val="Point0"/>
        <w:rPr>
          <w:noProof/>
        </w:rPr>
      </w:pPr>
      <w:r>
        <w:rPr>
          <w:noProof/>
        </w:rPr>
        <w:t>i)</w:t>
      </w:r>
      <w:r>
        <w:rPr>
          <w:noProof/>
        </w:rPr>
        <w:tab/>
        <w:t>le règlement (CE) nº 141/2000 du Parlement européen et du Conseil du 16 décembre 1999 concernant les médicaments orphelins (JO L 18 du 22.1.2000, p. 1);</w:t>
      </w:r>
    </w:p>
    <w:p>
      <w:pPr>
        <w:pStyle w:val="Point0"/>
        <w:rPr>
          <w:noProof/>
        </w:rPr>
      </w:pPr>
      <w:r>
        <w:rPr>
          <w:noProof/>
        </w:rPr>
        <w:t>ii)</w:t>
      </w:r>
      <w:r>
        <w:rPr>
          <w:noProof/>
        </w:rPr>
        <w:tab/>
        <w:t>la directive 2001/83/CE du 6 novembre 2001 instituant un code communautaire relatif aux médicaments à usage humain (JO L 311 du 28.11.2001, p. 67);</w:t>
      </w:r>
    </w:p>
    <w:p>
      <w:pPr>
        <w:pStyle w:val="Point0"/>
        <w:rPr>
          <w:noProof/>
        </w:rPr>
      </w:pPr>
      <w:r>
        <w:rPr>
          <w:noProof/>
        </w:rPr>
        <w:t>iii)</w:t>
      </w:r>
      <w:r>
        <w:rPr>
          <w:noProof/>
        </w:rPr>
        <w:tab/>
        <w:t>la directive 2001/82/CE du Parlement européen et du Conseil du 6 novembre 2001 instituant un code communautaire relatif aux médicaments vétérinaires (JO L 311 du 28.11.2001, p. 1);</w:t>
      </w:r>
    </w:p>
    <w:p>
      <w:pPr>
        <w:pStyle w:val="Point0"/>
        <w:rPr>
          <w:noProof/>
        </w:rPr>
      </w:pPr>
      <w:r>
        <w:rPr>
          <w:noProof/>
        </w:rPr>
        <w:t>iv)</w:t>
      </w:r>
      <w:r>
        <w:rPr>
          <w:noProof/>
        </w:rPr>
        <w:tab/>
        <w:t xml:space="preserve">le règlement (CE) nº 726/2004 </w:t>
      </w:r>
      <w:r>
        <w:rPr>
          <w:rStyle w:val="st"/>
          <w:noProof/>
        </w:rPr>
        <w:t>du Parlement européen et du Conseil du</w:t>
      </w:r>
      <w:r>
        <w:rPr>
          <w:noProof/>
        </w:rPr>
        <w:t>31 mars 2004 établissant des procédures communautaires pour l’autorisation et la surveillance en ce qui concerne les médicaments à usage humain et à usage vétérinaire, et instituant une Agence européenne des médicaments (JO L 136 du 30.4.2004, p. 1);</w:t>
      </w:r>
    </w:p>
    <w:p>
      <w:pPr>
        <w:pStyle w:val="Point0"/>
        <w:rPr>
          <w:noProof/>
        </w:rPr>
      </w:pPr>
      <w:r>
        <w:rPr>
          <w:noProof/>
        </w:rPr>
        <w:t>v)</w:t>
      </w:r>
      <w:r>
        <w:rPr>
          <w:noProof/>
        </w:rPr>
        <w:tab/>
        <w:t>le règlement (CE) nº 1901/2006 du Parlement européen et du Conseil du 12 décembre 2006 relatif aux médicaments à usage pédiatrique, modifiant le règlement (CEE) nº 1768/92, les directives 2001/20/CE et 2001/83/CE ainsi que le règlement (CE) nº 726/2004 (JO L 378 du 27.12.2006, p. 1);</w:t>
      </w:r>
    </w:p>
    <w:p>
      <w:pPr>
        <w:pStyle w:val="Point0"/>
        <w:rPr>
          <w:noProof/>
        </w:rPr>
      </w:pPr>
      <w:r>
        <w:rPr>
          <w:noProof/>
        </w:rPr>
        <w:t>vi)</w:t>
      </w:r>
      <w:r>
        <w:rPr>
          <w:noProof/>
        </w:rPr>
        <w:tab/>
        <w:t xml:space="preserve">le règlement (CE) nº 1394/2007 </w:t>
      </w:r>
      <w:r>
        <w:rPr>
          <w:rStyle w:val="st"/>
          <w:noProof/>
        </w:rPr>
        <w:t xml:space="preserve">du Parlement européen et du Conseil du </w:t>
      </w:r>
      <w:r>
        <w:rPr>
          <w:noProof/>
        </w:rPr>
        <w:t>13 novembre 2007 concernant les médicaments de thérapie innovante et modifiant la directive 2001/83/CE ainsi que le règlement (CE) nº 726/2004 (JO L 324 du 10.12.2007, p. 121);</w:t>
      </w:r>
    </w:p>
    <w:p>
      <w:pPr>
        <w:pStyle w:val="Point0"/>
        <w:rPr>
          <w:noProof/>
        </w:rPr>
      </w:pPr>
      <w:r>
        <w:rPr>
          <w:noProof/>
        </w:rPr>
        <w:t>vii)</w:t>
      </w:r>
      <w:r>
        <w:rPr>
          <w:noProof/>
        </w:rPr>
        <w:tab/>
        <w:t>le règlement (UE) nº 536/2014 du Parlement européen et du Conseil du 16 avril 2014 relatif aux essais cliniques de médicaments à usage humain et abrogeant la directive 2001/20/CE (JO L 158 du 27.5.2014, p. 1).</w:t>
      </w:r>
    </w:p>
    <w:p>
      <w:pPr>
        <w:pStyle w:val="NumPar1"/>
        <w:rPr>
          <w:noProof/>
        </w:rPr>
      </w:pPr>
      <w:r>
        <w:rPr>
          <w:noProof/>
        </w:rPr>
        <w:t>Menaces transfrontières graves pour la santé régies par la décision nº 1082/2013/UE du Parlement européen et du Conseil du 22 octobre 2013 relative aux menaces transfrontières graves sur la santé et abrogeant la décision nº 2119/98/CE (JO L 293 du 5.11.2013, p. 1).</w:t>
      </w:r>
    </w:p>
    <w:p>
      <w:pPr>
        <w:pStyle w:val="NumPar1"/>
        <w:rPr>
          <w:noProof/>
        </w:rPr>
      </w:pPr>
      <w:r>
        <w:rPr>
          <w:noProof/>
        </w:rPr>
        <w:t>Droits des patients, tels que régis par la directive 2011/24/UE du Parlement européen et du Conseil du 9 mars 2011 relative à l’application des droits des patients en matière de soins de santé transfrontaliers (JO L 88 du 4.4.2011, p. 45).</w:t>
      </w:r>
    </w:p>
    <w:p>
      <w:pPr>
        <w:pStyle w:val="NumPar1"/>
        <w:rPr>
          <w:noProof/>
        </w:rPr>
      </w:pPr>
      <w:r>
        <w:rPr>
          <w:noProof/>
        </w:rPr>
        <w:t>Fabrication, présentation et vente de tabac et produits connexes réglementées par la directive 2014/40/UE du Parlement européen et du Conseil du 3 avril 2014 relative au rapprochement des dispositions législatives, réglementaires et administratives des États membres en matière de fabrication, de présentation et de vente de tabac et de produits connexes, et abrogeant la directive 2001/37/CE (JO L 127 du 29.4.2014, p. 1).</w:t>
      </w:r>
    </w:p>
    <w:p>
      <w:pPr>
        <w:pStyle w:val="Point0"/>
        <w:rPr>
          <w:b/>
          <w:noProof/>
        </w:rPr>
      </w:pPr>
      <w:r>
        <w:rPr>
          <w:b/>
          <w:noProof/>
        </w:rPr>
        <w:t>I.</w:t>
      </w:r>
      <w:r>
        <w:rPr>
          <w:noProof/>
        </w:rPr>
        <w:tab/>
      </w:r>
      <w:r>
        <w:rPr>
          <w:b/>
          <w:noProof/>
        </w:rPr>
        <w:t xml:space="preserve">Article premier, point a), ix) - protection des consommateurs: </w:t>
      </w:r>
    </w:p>
    <w:p>
      <w:pPr>
        <w:rPr>
          <w:noProof/>
          <w:szCs w:val="24"/>
        </w:rPr>
      </w:pPr>
      <w:r>
        <w:rPr>
          <w:noProof/>
        </w:rPr>
        <w:t>Droits des consommateurs et protection des consommateurs tels que réglementés par:</w:t>
      </w:r>
    </w:p>
    <w:p>
      <w:pPr>
        <w:pStyle w:val="Point0"/>
        <w:rPr>
          <w:noProof/>
        </w:rPr>
      </w:pPr>
      <w:r>
        <w:rPr>
          <w:noProof/>
        </w:rPr>
        <w:t>i)</w:t>
      </w:r>
      <w:r>
        <w:rPr>
          <w:noProof/>
        </w:rPr>
        <w:tab/>
        <w:t>la directive 98/6/CE du Parlement européen et du Conseil du 16 février 1998 relative à la protection des consommateurs en matière d’indication des prix des produits offerts aux consommateurs (JO L 80 du 18.3.1998, p. 27);</w:t>
      </w:r>
    </w:p>
    <w:p>
      <w:pPr>
        <w:pStyle w:val="Point0"/>
        <w:rPr>
          <w:noProof/>
        </w:rPr>
      </w:pPr>
      <w:r>
        <w:rPr>
          <w:noProof/>
        </w:rPr>
        <w:t>ii)</w:t>
      </w:r>
      <w:r>
        <w:rPr>
          <w:noProof/>
        </w:rPr>
        <w:tab/>
        <w:t>la directive 1999/44/CE du Parlement européen et du Conseil du 25 mai 1999 sur certains aspects de la vente et des garanties des biens de consommation (JO L 171 du 7.7.1999, p. 12);</w:t>
      </w:r>
    </w:p>
    <w:p>
      <w:pPr>
        <w:pStyle w:val="Point0"/>
        <w:rPr>
          <w:noProof/>
        </w:rPr>
      </w:pPr>
      <w:r>
        <w:rPr>
          <w:noProof/>
        </w:rPr>
        <w:t>iii)</w:t>
      </w:r>
      <w:r>
        <w:rPr>
          <w:noProof/>
        </w:rPr>
        <w:tab/>
        <w:t>la directive 2002/65/CE du Parlement européen et du Conseil du 23 septembre 2002 concernant la commercialisation à distance de services financiers auprès des consommateurs, modifiant la directive 90/619/CEE du Conseil et les directives 97/7/CE et 98/27/CE (JO L 271 du 9.10.2002, p. 16);</w:t>
      </w:r>
    </w:p>
    <w:p>
      <w:pPr>
        <w:pStyle w:val="Point0"/>
        <w:rPr>
          <w:noProof/>
        </w:rPr>
      </w:pPr>
      <w:r>
        <w:rPr>
          <w:noProof/>
        </w:rPr>
        <w:t>iv)</w:t>
      </w:r>
      <w:r>
        <w:rPr>
          <w:noProof/>
        </w:rPr>
        <w:tab/>
        <w:t>la 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(«directive sur les pratiques commerciales déloyales» - JO L 149 du 11.6.2005, p. 22);</w:t>
      </w:r>
    </w:p>
    <w:p>
      <w:pPr>
        <w:pStyle w:val="Point0"/>
        <w:rPr>
          <w:noProof/>
        </w:rPr>
      </w:pPr>
      <w:r>
        <w:rPr>
          <w:noProof/>
        </w:rPr>
        <w:t>v)</w:t>
      </w:r>
      <w:r>
        <w:rPr>
          <w:noProof/>
        </w:rPr>
        <w:tab/>
        <w:t>la directive 2008/48/CE du Parlement européen et du Conseil du 23 avril 2008 concernant les contrats de crédit aux consommateurs et abrogeant la directive 87/102/CEE du Conseil (JO L 133 du 22.5.2008, p. 66);</w:t>
      </w:r>
    </w:p>
    <w:p>
      <w:pPr>
        <w:pStyle w:val="Point0"/>
        <w:rPr>
          <w:noProof/>
        </w:rPr>
      </w:pPr>
      <w:r>
        <w:rPr>
          <w:noProof/>
        </w:rPr>
        <w:t>vi)</w:t>
      </w:r>
      <w:r>
        <w:rPr>
          <w:noProof/>
        </w:rPr>
        <w:tab/>
        <w:t>la 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w:t>
      </w:r>
    </w:p>
    <w:p>
      <w:pPr>
        <w:pStyle w:val="Point0"/>
        <w:rPr>
          <w:noProof/>
        </w:rPr>
      </w:pPr>
      <w:r>
        <w:rPr>
          <w:noProof/>
        </w:rPr>
        <w:t>vii)</w:t>
      </w:r>
      <w:r>
        <w:rPr>
          <w:noProof/>
        </w:rPr>
        <w:tab/>
        <w:t>la directive 2014/92/UE du Parlement européen et du Conseil du 23 juillet 2014 sur la comparabilité des frais liés aux comptes de paiement, le changement de compte de paiement et l’accès à un compte de paiement assorti de prestations de base (JO L 257 du 28.8.2014, p. 214).</w:t>
      </w:r>
    </w:p>
    <w:p>
      <w:pPr>
        <w:pStyle w:val="Point0"/>
        <w:rPr>
          <w:b/>
          <w:noProof/>
        </w:rPr>
      </w:pPr>
      <w:r>
        <w:rPr>
          <w:b/>
          <w:noProof/>
        </w:rPr>
        <w:t>J.</w:t>
      </w:r>
      <w:r>
        <w:rPr>
          <w:noProof/>
        </w:rPr>
        <w:tab/>
      </w:r>
      <w:r>
        <w:rPr>
          <w:b/>
          <w:noProof/>
        </w:rPr>
        <w:t xml:space="preserve">Article premier, point a), x) - protection de la vie privée et des données personnelles, et sécurité des réseaux et des systèmes d’information: </w:t>
      </w:r>
    </w:p>
    <w:p>
      <w:pPr>
        <w:pStyle w:val="Point0"/>
        <w:rPr>
          <w:noProof/>
        </w:rPr>
      </w:pPr>
      <w:r>
        <w:rPr>
          <w:noProof/>
        </w:rPr>
        <w:t>i)</w:t>
      </w:r>
      <w:r>
        <w:rPr>
          <w:noProof/>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p>
      <w:pPr>
        <w:pStyle w:val="Point0"/>
        <w:rPr>
          <w:noProof/>
        </w:rPr>
      </w:pPr>
      <w:r>
        <w:rPr>
          <w:noProof/>
        </w:rPr>
        <w:t>ii)</w:t>
      </w:r>
      <w:r>
        <w:rPr>
          <w:noProof/>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p>
      <w:pPr>
        <w:pStyle w:val="Point0"/>
        <w:rPr>
          <w:noProof/>
        </w:rPr>
      </w:pPr>
      <w:r>
        <w:rPr>
          <w:noProof/>
        </w:rPr>
        <w:t>iii)</w:t>
      </w:r>
      <w:r>
        <w:rPr>
          <w:noProof/>
        </w:rPr>
        <w:tab/>
        <w:t>directive (UE) 2016/1148 du Parlement européen et du Conseil du 6 juillet 2016 concernant des mesures destinées à assurer un niveau élevé commun de sécurité des réseaux et des systèmes d’information dans l’Union (JO L 194 du 19.7.2016, p. 1).</w:t>
      </w:r>
    </w:p>
    <w:p>
      <w:pPr>
        <w:rPr>
          <w:noProof/>
        </w:rPr>
      </w:pPr>
    </w:p>
    <w:p>
      <w:pPr>
        <w:jc w:val="center"/>
        <w:rPr>
          <w:b/>
          <w:noProof/>
          <w:szCs w:val="24"/>
        </w:rPr>
      </w:pPr>
      <w:r>
        <w:rPr>
          <w:b/>
          <w:noProof/>
        </w:rPr>
        <w:t>Partie II</w:t>
      </w:r>
    </w:p>
    <w:p>
      <w:pPr>
        <w:rPr>
          <w:rFonts w:eastAsia="Calibri"/>
          <w:b/>
          <w:noProof/>
          <w:szCs w:val="24"/>
        </w:rPr>
      </w:pPr>
      <w:r>
        <w:rPr>
          <w:noProof/>
        </w:rPr>
        <w:t>L’article premier, paragraphe 2, de la directive, se réfère à la législation de l’Union ci-après</w:t>
      </w:r>
      <w:r>
        <w:rPr>
          <w:b/>
          <w:noProof/>
        </w:rPr>
        <w:t>:</w:t>
      </w:r>
    </w:p>
    <w:p>
      <w:pPr>
        <w:pStyle w:val="Point0"/>
        <w:rPr>
          <w:b/>
          <w:noProof/>
        </w:rPr>
      </w:pPr>
      <w:r>
        <w:rPr>
          <w:b/>
          <w:noProof/>
        </w:rPr>
        <w:t>A.</w:t>
      </w:r>
      <w:r>
        <w:rPr>
          <w:noProof/>
        </w:rPr>
        <w:tab/>
      </w:r>
      <w:r>
        <w:rPr>
          <w:b/>
          <w:noProof/>
        </w:rPr>
        <w:t xml:space="preserve">Article premier, point a), ii) - services financiers, prévention du blanchiment de capitaux et du financement du terrorisme: </w:t>
      </w:r>
    </w:p>
    <w:p>
      <w:pPr>
        <w:pStyle w:val="NumPar1"/>
        <w:numPr>
          <w:ilvl w:val="0"/>
          <w:numId w:val="13"/>
        </w:numPr>
        <w:rPr>
          <w:b/>
          <w:noProof/>
        </w:rPr>
      </w:pPr>
      <w:r>
        <w:rPr>
          <w:b/>
          <w:noProof/>
        </w:rPr>
        <w:t>Services financiers:</w:t>
      </w:r>
    </w:p>
    <w:p>
      <w:pPr>
        <w:pStyle w:val="Point0"/>
        <w:rPr>
          <w:noProof/>
        </w:rPr>
      </w:pPr>
      <w:r>
        <w:rPr>
          <w:noProof/>
        </w:rPr>
        <w:t>i)</w:t>
      </w:r>
      <w:r>
        <w:rPr>
          <w:noProof/>
        </w:rPr>
        <w:tab/>
        <w:t>directive 2009/65/CE du Parlement européen et du Conseil du 13 juillet 2009 relative à la coordination des dispositions législatives, réglementaires et administratives concernant certains organismes de placement collectif en valeurs mobilières (OPCVM) (JO L 302 du 17.11.2009, p. 32);</w:t>
      </w:r>
    </w:p>
    <w:p>
      <w:pPr>
        <w:pStyle w:val="Point0"/>
        <w:rPr>
          <w:noProof/>
        </w:rPr>
      </w:pPr>
      <w:r>
        <w:rPr>
          <w:noProof/>
        </w:rPr>
        <w:t>ii)</w:t>
      </w:r>
      <w:r>
        <w:rPr>
          <w:noProof/>
        </w:rPr>
        <w:tab/>
        <w:t>directive (UE) 2016/2341 du Parlement européen et du Conseil du 14 décembre 2016 concernant les activités et la surveillance des institutions de retraite professionnelle (IRP) (JO L 354 du 23.12.2016, p. 37);</w:t>
      </w:r>
    </w:p>
    <w:p>
      <w:pPr>
        <w:pStyle w:val="Point0"/>
        <w:rPr>
          <w:noProof/>
        </w:rPr>
      </w:pPr>
      <w:r>
        <w:rPr>
          <w:noProof/>
        </w:rPr>
        <w:t>iii)</w:t>
      </w:r>
      <w:r>
        <w:rPr>
          <w:noProof/>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p>
      <w:pPr>
        <w:pStyle w:val="Point0"/>
        <w:rPr>
          <w:noProof/>
        </w:rPr>
      </w:pPr>
      <w:r>
        <w:rPr>
          <w:noProof/>
        </w:rPr>
        <w:t>iv)</w:t>
      </w:r>
      <w:r>
        <w:rPr>
          <w:noProof/>
        </w:rPr>
        <w:tab/>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p>
      <w:pPr>
        <w:pStyle w:val="Point0"/>
        <w:rPr>
          <w:noProof/>
        </w:rPr>
      </w:pPr>
      <w:r>
        <w:rPr>
          <w:noProof/>
        </w:rPr>
        <w:t>v)</w:t>
      </w:r>
      <w:r>
        <w:rPr>
          <w:noProof/>
        </w:rP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p>
      <w:pPr>
        <w:pStyle w:val="Point0"/>
        <w:rPr>
          <w:noProof/>
        </w:rPr>
      </w:pPr>
      <w:r>
        <w:rPr>
          <w:noProof/>
        </w:rPr>
        <w:t>vi)</w:t>
      </w:r>
      <w:r>
        <w:rPr>
          <w:noProof/>
        </w:rPr>
        <w:tab/>
        <w:t>directive 2014/65/UE du Parlement européen et du Conseil du 15 mai 2014 concernant les marchés d’instruments financiers et modifiant la directive 2002/92/CE et la directive 2011/61/UE (JO L 173 du 12.6.2014, p. 349);</w:t>
      </w:r>
    </w:p>
    <w:p>
      <w:pPr>
        <w:pStyle w:val="Point0"/>
        <w:rPr>
          <w:noProof/>
        </w:rPr>
      </w:pPr>
      <w:r>
        <w:rPr>
          <w:noProof/>
        </w:rPr>
        <w:t>vii)</w:t>
      </w:r>
      <w:r>
        <w:rPr>
          <w:noProof/>
        </w:rPr>
        <w:tab/>
        <w:t>règlement (UE) nº 909/2014 du Parlement européen et du Conseil du 23 juillet 2014 concernant l’amélioration du règlement de titres dans l’Union européenne et les dépositaires centraux de titres, et modifiant les directives 98/26/CE et 2014/65/UE et le règlement (UE) nº 236/2012 (JO L 257 du 28.8.2014, p. 1);</w:t>
      </w:r>
    </w:p>
    <w:p>
      <w:pPr>
        <w:pStyle w:val="Point0"/>
        <w:rPr>
          <w:noProof/>
        </w:rPr>
      </w:pPr>
      <w:r>
        <w:rPr>
          <w:noProof/>
        </w:rPr>
        <w:t>viii) règlement (UE) nº 1286/2014 du Parlement européen et du Conseil du 26 novembre 2014 sur les documents d’informations clés relatifs aux produits d’investissement emballés de détail et fondés sur l’assurance (JO L 352 du 9.12.2014, p. 1);</w:t>
      </w:r>
    </w:p>
    <w:p>
      <w:pPr>
        <w:pStyle w:val="Point0"/>
        <w:rPr>
          <w:noProof/>
        </w:rPr>
      </w:pPr>
      <w:r>
        <w:rPr>
          <w:noProof/>
        </w:rPr>
        <w:t>ix)</w:t>
      </w:r>
      <w:r>
        <w:rPr>
          <w:noProof/>
        </w:rPr>
        <w:tab/>
        <w:t>règlement (UE) 2015/2365 du Parlement européen et du Conseil du 25 novembre 2015 relatif à la transparence des opérations de financement de titres et de la réutilisation, et modifiant le règlement (UE) nº 648/2012 (JO L 337 du 23.12.2015, p. 1);</w:t>
      </w:r>
    </w:p>
    <w:p>
      <w:pPr>
        <w:pStyle w:val="Point0"/>
        <w:rPr>
          <w:noProof/>
        </w:rPr>
      </w:pPr>
      <w:r>
        <w:rPr>
          <w:noProof/>
        </w:rPr>
        <w:t>x)</w:t>
      </w:r>
      <w:r>
        <w:rPr>
          <w:noProof/>
        </w:rPr>
        <w:tab/>
        <w:t>directive (UE) 2016/97 du Parlement européen et du Conseil du 20 janvier 2016 sur la distribution d’assurances (refonte) (JO L 26 du 2.2.2016, p. 19);</w:t>
      </w:r>
    </w:p>
    <w:p>
      <w:pPr>
        <w:pStyle w:val="Point0"/>
        <w:rPr>
          <w:noProof/>
        </w:rPr>
      </w:pPr>
      <w:r>
        <w:rPr>
          <w:noProof/>
        </w:rPr>
        <w:t>xi)</w:t>
      </w:r>
      <w:r>
        <w:rPr>
          <w:noProof/>
        </w:rPr>
        <w:tab/>
        <w:t>règlement (UE) nº 2017/1129 du Parlement européen et du Conseil du 14 juin 2017 concernant le prospectus à publier en cas d’offre au public de valeurs mobilières ou en vue de l’admission de valeurs mobilières à la négociation sur un marché réglementé (JO L 168 du 30.6.2017, p. 12).</w:t>
      </w:r>
    </w:p>
    <w:p>
      <w:pPr>
        <w:pStyle w:val="NumPar1"/>
        <w:rPr>
          <w:b/>
          <w:noProof/>
        </w:rPr>
      </w:pPr>
      <w:r>
        <w:rPr>
          <w:b/>
          <w:noProof/>
        </w:rPr>
        <w:t>Prévention du blanchiment de capitaux et du financement du terrorisme:</w:t>
      </w:r>
    </w:p>
    <w:p>
      <w:pPr>
        <w:pStyle w:val="Point0"/>
        <w:rPr>
          <w:noProof/>
        </w:rPr>
      </w:pPr>
      <w:r>
        <w:rPr>
          <w:noProof/>
        </w:rPr>
        <w:t>i)</w:t>
      </w:r>
      <w:r>
        <w:rPr>
          <w:noProof/>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p>
      <w:pPr>
        <w:pStyle w:val="Point0"/>
        <w:rPr>
          <w:noProof/>
        </w:rPr>
      </w:pPr>
      <w:r>
        <w:rPr>
          <w:noProof/>
        </w:rPr>
        <w:t>ii)</w:t>
      </w:r>
      <w:r>
        <w:rPr>
          <w:noProof/>
        </w:rPr>
        <w:tab/>
        <w:t>règlement (UE) 2015/847 du Parlement européen et du Conseil du 20 mai 2015 sur les informations accompagnant les transferts de fonds et abrogeant le règlement (CE) nº 1781/2006 (JO L 141 du 5.6.2015, p. 1).</w:t>
      </w:r>
    </w:p>
    <w:p>
      <w:pPr>
        <w:pStyle w:val="Point0"/>
        <w:rPr>
          <w:b/>
          <w:noProof/>
        </w:rPr>
      </w:pPr>
      <w:r>
        <w:rPr>
          <w:b/>
          <w:noProof/>
        </w:rPr>
        <w:t>B.</w:t>
      </w:r>
      <w:r>
        <w:rPr>
          <w:noProof/>
        </w:rPr>
        <w:tab/>
      </w:r>
      <w:r>
        <w:rPr>
          <w:b/>
          <w:noProof/>
        </w:rPr>
        <w:t xml:space="preserve">Article premier, point a), iv) - sécurité des transports: </w:t>
      </w:r>
    </w:p>
    <w:p>
      <w:pPr>
        <w:pStyle w:val="Point0"/>
        <w:rPr>
          <w:noProof/>
        </w:rPr>
      </w:pPr>
      <w:r>
        <w:rPr>
          <w:noProof/>
        </w:rPr>
        <w:t>i)</w:t>
      </w:r>
      <w:r>
        <w:rPr>
          <w:noProof/>
        </w:rPr>
        <w:tab/>
        <w:t>règlement (UE) nº 376/2014 du Parlement européen et du Conseil du 3 avril 2014 sur les comptes rendus, l’analyse et le suivi des événements dans l’aviation civile, modifiant le règlement (UE) nº 996/2010 du Parlement européen et du Conseil, et abrogeant la directive 2003/42/CE du Parlement européen et du Conseil et les règlements (CE) nº 1321/2007 et (CE) nº 1330/2007 de la Commission (JO L 122 du 24.4.2014, p. 18);</w:t>
      </w:r>
    </w:p>
    <w:p>
      <w:pPr>
        <w:pStyle w:val="Point0"/>
        <w:rPr>
          <w:noProof/>
        </w:rPr>
      </w:pPr>
      <w:r>
        <w:rPr>
          <w:noProof/>
        </w:rPr>
        <w:t>ii)</w:t>
      </w:r>
      <w:r>
        <w:rPr>
          <w:noProof/>
        </w:rPr>
        <w:tab/>
        <w:t>directive 2013/54/UE du Parlement européen et du Conseil du 20 novembre 2013 relative à certaines responsabilités de l’État du pavillon en ce qui concerne le respect et la mise en application de la convention du travail maritime, 2006 (JO L 329 du 10.12.2013, p. 1);</w:t>
      </w:r>
    </w:p>
    <w:p>
      <w:pPr>
        <w:pStyle w:val="Point0"/>
        <w:rPr>
          <w:noProof/>
        </w:rPr>
      </w:pPr>
      <w:r>
        <w:rPr>
          <w:noProof/>
        </w:rPr>
        <w:t>iii)</w:t>
      </w:r>
      <w:r>
        <w:rPr>
          <w:noProof/>
        </w:rPr>
        <w:tab/>
        <w:t>directive 2009/16/CE du Parlement européen et du Conseil du 23 avril 2009 relative au contrôle par l’État du port (JO L 131 du 28.5.2009, p. 57).</w:t>
      </w:r>
    </w:p>
    <w:p>
      <w:pPr>
        <w:pStyle w:val="Point0"/>
        <w:rPr>
          <w:b/>
          <w:noProof/>
        </w:rPr>
      </w:pPr>
      <w:r>
        <w:rPr>
          <w:b/>
          <w:noProof/>
        </w:rPr>
        <w:t>C.</w:t>
      </w:r>
      <w:r>
        <w:rPr>
          <w:noProof/>
        </w:rPr>
        <w:tab/>
      </w:r>
      <w:r>
        <w:rPr>
          <w:b/>
          <w:noProof/>
        </w:rPr>
        <w:t xml:space="preserve">Article premier, point a), v) - protection de l’environnement: </w:t>
      </w:r>
    </w:p>
    <w:p>
      <w:pPr>
        <w:pStyle w:val="Point0"/>
        <w:rPr>
          <w:noProof/>
        </w:rPr>
      </w:pPr>
      <w:r>
        <w:rPr>
          <w:noProof/>
        </w:rPr>
        <w:t>i)</w:t>
      </w:r>
      <w:r>
        <w:rPr>
          <w:noProof/>
        </w:rPr>
        <w:tab/>
        <w:t>directive 2013/30/UE du Parlement européen et du Conseil du 12 juin 2013 sur la sécurité des opérations pétrolières et modifiant la directive 2004/35/CE (JO L 178 du 28.6.2013, p. 66).</w:t>
      </w:r>
    </w:p>
    <w:sectPr>
      <w:footerReference w:type="defaul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 xml:space="preserve">2017/0353 (COD) - Proposition de règlement établissant des règles et des procédures concernant le respect et d’application effective de la législation d’harmonisation de l’Union relative aux produits et modifiant les règlements (UE) nº 305/2011, (UE) nº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 qui contient une définition de «législation harmonisée de l’UE», énumère dans son annexe l’ensemble de la législation harmonisée et se réfère aux «produits harmonisés» en termes généraux.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41F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987F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6A86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EED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486B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76F4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646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3B2FF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07:19: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0"/>
    <w:docVar w:name="LW_CORRIGENDUM" w:val="&lt;UNUSED&gt;"/>
    <w:docVar w:name="LW_COVERPAGE_EXISTS" w:val="True"/>
    <w:docVar w:name="LW_COVERPAGE_GUID" w:val="19BFC614-5AC7-4F54-A6DF-4E299B29BCC2"/>
    <w:docVar w:name="LW_COVERPAGE_TYPE" w:val="1"/>
    <w:docVar w:name="LW_CROSSREFERENCE" w:val="{SEC(2018) 198 final}_x000b_{SWD(2018) 116 final}_x000b_{SWD(2018) 117 final}"/>
    <w:docVar w:name="LW_DocType" w:val="ANNEX"/>
    <w:docVar w:name="LW_EMISSION" w:val="23.4.2018"/>
    <w:docVar w:name="LW_EMISSION_ISODATE" w:val="2018-04-23"/>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rotection des personnes dénonçant les infractions au droit de l\u8217?Union"/>
    <w:docVar w:name="LW_OBJETACTEPRINCIPAL.CP" w:val="sur la protection des personnes dénonçant les infractions au droit de l\u8217?Union"/>
    <w:docVar w:name="LW_PART_NBR" w:val="1"/>
    <w:docVar w:name="LW_PART_NBR_TOTAL" w:val="1"/>
    <w:docVar w:name="LW_REF.INST.NEW" w:val="COM"/>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IRECTIVE DU PARLEMENT EUROPÉEN ET DU CONSEIL_x000b_"/>
    <w:docVar w:name="LW_TYPEACTEPRINCIPAL.CP" w:val="DIRECTIVE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color w:val="0000FF"/>
      <w:u w:val="single"/>
      <w:shd w:val="clear" w:color="auto" w:fill="auto"/>
    </w:rPr>
  </w:style>
  <w:style w:type="paragraph" w:styleId="ListBullet4">
    <w:name w:val="List Bullet 4"/>
    <w:basedOn w:val="Normal"/>
    <w:unhideWhenUsed/>
    <w:pPr>
      <w:numPr>
        <w:numId w:val="1"/>
      </w:numPr>
      <w:contextualSpacing/>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Calibri" w:hAnsi="Calibri"/>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0"/>
      <w:ind w:left="720"/>
      <w:jc w:val="left"/>
    </w:pPr>
    <w:rPr>
      <w:rFonts w:ascii="Calibri" w:hAnsi="Calibri" w:cstheme="minorBidi"/>
      <w:sz w:val="22"/>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color w:val="0000FF"/>
      <w:u w:val="single"/>
      <w:shd w:val="clear" w:color="auto" w:fill="auto"/>
    </w:rPr>
  </w:style>
  <w:style w:type="paragraph" w:styleId="ListBullet4">
    <w:name w:val="List Bullet 4"/>
    <w:basedOn w:val="Normal"/>
    <w:unhideWhenUsed/>
    <w:pPr>
      <w:numPr>
        <w:numId w:val="1"/>
      </w:numPr>
      <w:contextualSpacing/>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Calibri" w:hAnsi="Calibri"/>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0"/>
      <w:ind w:left="720"/>
      <w:jc w:val="left"/>
    </w:pPr>
    <w:rPr>
      <w:rFonts w:ascii="Calibri" w:hAnsi="Calibri" w:cstheme="minorBidi"/>
      <w:sz w:val="22"/>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D515-AB15-464A-82D5-784039DFAA9B}">
  <ds:schemaRefs>
    <ds:schemaRef ds:uri="http://schemas.microsoft.com/sharepoint/v3/contenttype/forms"/>
  </ds:schemaRefs>
</ds:datastoreItem>
</file>

<file path=customXml/itemProps2.xml><?xml version="1.0" encoding="utf-8"?>
<ds:datastoreItem xmlns:ds="http://schemas.openxmlformats.org/officeDocument/2006/customXml" ds:itemID="{867366A5-7B22-4A3F-90FC-86B3D433DC53}">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CCE274-FCDA-4363-9CDD-6FA24398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6E8AAB-C0BC-4870-9CAB-2F76FCBC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11</Pages>
  <Words>4692</Words>
  <Characters>24635</Characters>
  <Application>Microsoft Office Word</Application>
  <DocSecurity>0</DocSecurity>
  <Lines>417</Lines>
  <Paragraphs>149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Krisztina (JUST-EXT)</dc:creator>
  <cp:lastModifiedBy>DIGIT/A3</cp:lastModifiedBy>
  <cp:revision>8</cp:revision>
  <cp:lastPrinted>2018-04-09T08:24:00Z</cp:lastPrinted>
  <dcterms:created xsi:type="dcterms:W3CDTF">2018-05-07T11:56:00Z</dcterms:created>
  <dcterms:modified xsi:type="dcterms:W3CDTF">2018-05-08T05:19:00Z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Classification">
    <vt:lpwstr> </vt:lpwstr>
  </property>
  <property fmtid="{D5CDD505-2E9C-101B-9397-08002B2CF9AE}" pid="15" name="Unique annex">
    <vt:lpwstr>0</vt:lpwstr>
  </property>
  <property fmtid="{D5CDD505-2E9C-101B-9397-08002B2CF9AE}" pid="16" name="ContentTypeId">
    <vt:lpwstr>0x0101007D3E6770F3F42B428D9987B4F35AF361</vt:lpwstr>
  </property>
  <property fmtid="{D5CDD505-2E9C-101B-9397-08002B2CF9AE}" pid="17" name="DQCStatus">
    <vt:lpwstr>Green (DQC version 03)</vt:lpwstr>
  </property>
</Properties>
</file>