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A76815D-FA57-4759-8BE1-89010019A261" style="width:451.25pt;height:379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По искане на Италия италианската община Кампионе д’Италия и италианските води на езерото Лугано следва да бъдат включени в митническата територия на ЕС и в територията на Съюза, по отношение на която се прилага Директива 2008/118/ЕО относно общия режим на облагане с акциз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(наричана по-нататък „Директивата за акцизите“). В миналото изключването на двете територии от митническата територия на ЕС се е обосновавало от тяхното географско местоположение като италианска територия извън италианските държавни граници, разположена на територията на Швейцария, но според Италия това вече не е нужно, най-вече защото в противен случай Швейцария би желала да ги включи в своята митническа територия. Това е причината за искането на Италия тези две територии да бъдат включени в митническата територия на ЕС и в територията на Съюза, по отношение на която се прилага Директивата за акцизите. Предлага се това изменение да започне да се прилага от 1 януари 2019 г.</w:t>
      </w:r>
    </w:p>
    <w:p>
      <w:pPr>
        <w:rPr>
          <w:noProof/>
        </w:rPr>
      </w:pPr>
      <w:r>
        <w:rPr>
          <w:noProof/>
        </w:rPr>
        <w:t>Италия счита, че включването на италианската община Кампионе д’Италия и на италианските води на езерото Лугано в митническата територия на ЕС и в обхвата на Директивата за акцизите не е несъвместимо с продължаването на прилагането на специален данъчен режим за данъка върху добавената стойност, и по-конкретно с това тези територии да продължат да бъдат изключени от териториалния обхват на Директива 2006/112/ЕО относно общата система на данък върху добавената стойност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(„Директивата за ДДС“) Това е важно, за да се осигурят еднакви условия на конкуренция със заобикалящата швейцарска икономическа среда, чрез прилагане на местни правила за косвено данъчно облагане, съобразени с швейцарския данък върху добавената стойност. Включването на тези територии в митническата територия на ЕС и в територията на Съюза, по отношение на която се прилага Директивата за акцизите, изисква само формална промяна на Директивата за ДДС, а именно те да бъдат преместени от член 6, параграф 2 (територии, които не съставляват част от митническата територия на ЕС и изключени от териториалния обхват на Директивата за ДДС) в член 6, параграф 1 (територии, съставляващи част от митническата територия на ЕС и изключени от териториалния обхват на Директивата за ДДС).</w:t>
      </w:r>
    </w:p>
    <w:p>
      <w:pPr>
        <w:rPr>
          <w:noProof/>
        </w:rPr>
      </w:pPr>
      <w:r>
        <w:rPr>
          <w:noProof/>
        </w:rPr>
        <w:t>Предложението за изменение на Директивата за акцизите и Директивата за ДДС е тясно свързано с изменението на Митническия кодекс на Съюза. Поради това тези изменения следва да се прилагат от една и съща дата. С цел да се осигури по-добро управление и административна организация, Италия посочи, че тези изменения трябва да влязат в сила на 1 януари след тяхното приемане и във всеки случай не преди 1 януари 2019 г.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политиката на Съюза в други области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Промените на Директивата за акцизите и на Директивата за ДДС са резултат от промените на Регламент (ЕС) № 952/2013 за създаване на Митнически кодекс на Съюза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Член 113 от Договора за функционирането на Европейския съюз. В този член се предвижда Съветът, като действа с единодушие, в съответствие със специална законодателна процедура и след консултация с Европейския парламент и Икономическия и социален комитет, да приема разпоредби за хармонизиране на разпоредбите на държавите членки в областта на косвеното данъчно облагане.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(за неизключителната компетентност)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Хармонизира се географският обхват на прилагане на Директивата за акцизите и Директивата за ДДС. Държавите членки не могат да прилагат различен географски обхват.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Предложеното изменение не надхвърля действията, необходими за преодоляването на разглежданите проблеми, и така допринася за постигането на целите на Договора по отношение на гладкото и ефективно функциониране на вътрешния пазар.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е съобразено с принципа на пропорционалност, определен в член 5, параграф 4 от Договора за Европейския съюз.Настоящото изменение се основава на политическо решение на италианското правителство. То не оказва въздействие върху държавите членки.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Директива на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rPr>
          <w:noProof/>
        </w:rPr>
      </w:pPr>
      <w:r>
        <w:rPr>
          <w:noProof/>
        </w:rPr>
        <w:t>Уведомлението за мерките за транспониране на държавите членки не следва да се придружава от документ, в които се разяснява връзката между частите на директивата и съответните части от националните актове за транспониране, тъй като промените са свързани само с по една разпоредба от Директивата за акцизите и от Директивата за ДДС.</w:t>
      </w:r>
    </w:p>
    <w:p>
      <w:pPr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2018/0124 (CNS)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ДИРЕКТИВА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директиви 2006/112/ЕО и 2008/118/ЕО, що се отнася до включването на община Кампионе д’Италия и на италианските води на езерото Лугано в митническата територия на Съюза и в териториалния обхват на Директива 2008/118/ЕО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113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 предвид становището на Европейския парламент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взе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5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в съответствие със специална законодателна процедура,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писмо от 18 юли 2017 г. Италия поиска италианската община Кампионе д’Италия и италианските води на езерото Лугано да бъдат включени в митническата територия на Съюза, както е определена в Регламент (ЕС) № 952/2013 на Европейския парламент и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>, както и в териториалния обхват на Директива 2008/118/ЕО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за целите на акциза, като същевременно тези територии останат извън териториалния обхват на Директива 2006/112/ЕО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за целите на данъка върху добавената стойност.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Италианската община Кампионе д’Италия, която е територия извън италианските държавни граници, разположена на територията на Швейцария, и италианските води на езерото Лугано следва да бъдат включени в митническата територия на Съюза, тъй като историческите причини, обосновали изключването им — като например тяхната изолация и икономически затруднения, вече не са приложими. Поради същите причини посочените територии следва да бъдат включени в териториалния обхват на Директива 2008/118/ЕО.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Италия обаче иска тези територии да продължат да бъдат изключени от териториалния обхват на Директива 2006/112/ЕО относно общата система на данъка върху добавената стойност, тъй като това е от основно значение за поддържането на еднакви условия на конкуренция между установените в Швейцария и в италианската община Кампионе д’Италия икономически оператори, като за целта ще бъде прилаган местен режим за косвено данъчно облагане, съобразен с швейцарската система за данък върху добавената стойност.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Измененията на директиви 2006/112/ЕО и 2008/118/ЕО са тясно свързани с изменението на Регламент (ЕС) № 952/2013</w:t>
      </w:r>
      <w:r>
        <w:rPr>
          <w:rStyle w:val="FootnoteReference"/>
          <w:noProof/>
        </w:rPr>
        <w:footnoteReference w:id="9"/>
      </w:r>
      <w:r>
        <w:rPr>
          <w:noProof/>
        </w:rPr>
        <w:t>, що се отнася до териториалния обхват на митническата територия на Съюза. Поради това националните мерки за транспониране, свързани с тези изменения, следва да се прилагат от същата дата като изменението на Регламент (ЕС) № 952/2013.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Следователно директиви 2006/112/ЕО и 2008/118/ЕО следва да бъдат съответно изменени,</w:t>
      </w:r>
    </w:p>
    <w:p>
      <w:pPr>
        <w:pStyle w:val="Formuledadoption"/>
        <w:rPr>
          <w:noProof/>
        </w:rPr>
      </w:pPr>
      <w:r>
        <w:rPr>
          <w:noProof/>
        </w:rPr>
        <w:t>ПРИЕ НАСТОЯЩАТА ДИРЕКТИВА: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Директива 2006/112/ЕО се изменя, както следва:</w:t>
      </w:r>
    </w:p>
    <w:p>
      <w:pPr>
        <w:rPr>
          <w:noProof/>
        </w:rPr>
      </w:pPr>
      <w:r>
        <w:rPr>
          <w:noProof/>
        </w:rPr>
        <w:t>1)</w:t>
      </w:r>
      <w:r>
        <w:rPr>
          <w:noProof/>
        </w:rPr>
        <w:tab/>
        <w:t>В член 6, параграф 1 се добавят следните букви е) и ж):</w:t>
      </w:r>
    </w:p>
    <w:p>
      <w:pPr>
        <w:rPr>
          <w:noProof/>
        </w:rPr>
      </w:pPr>
      <w:r>
        <w:rPr>
          <w:noProof/>
        </w:rPr>
        <w:t>„е)</w:t>
      </w:r>
      <w:r>
        <w:rPr>
          <w:noProof/>
        </w:rPr>
        <w:tab/>
        <w:t>Кампионе д'Италия;</w:t>
      </w:r>
    </w:p>
    <w:p>
      <w:pPr>
        <w:rPr>
          <w:noProof/>
        </w:rPr>
      </w:pPr>
      <w:r>
        <w:rPr>
          <w:noProof/>
        </w:rPr>
        <w:t>ж)</w:t>
      </w:r>
      <w:r>
        <w:rPr>
          <w:noProof/>
        </w:rPr>
        <w:tab/>
        <w:t>италианските води на езерото Лугано.“.</w:t>
      </w:r>
    </w:p>
    <w:p>
      <w:pPr>
        <w:rPr>
          <w:noProof/>
        </w:rPr>
      </w:pPr>
      <w:r>
        <w:rPr>
          <w:noProof/>
        </w:rPr>
        <w:t>2)</w:t>
      </w:r>
      <w:r>
        <w:rPr>
          <w:noProof/>
        </w:rPr>
        <w:tab/>
        <w:t>В член 6, параграф 2 се заличават букви е) и ж).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Директива 2008/118/ЕО се изменя, както следва:</w:t>
      </w:r>
    </w:p>
    <w:p>
      <w:pPr>
        <w:rPr>
          <w:noProof/>
        </w:rPr>
      </w:pPr>
      <w:r>
        <w:rPr>
          <w:noProof/>
        </w:rPr>
        <w:t>1)</w:t>
      </w:r>
      <w:r>
        <w:rPr>
          <w:noProof/>
        </w:rPr>
        <w:tab/>
        <w:t>В член 5, параграф 3 се заличават букви е) и ж).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Държавите членки приемат и публикуват не по-късно от 31 декември 2018 г. законовите, подзаконовите и административните разпоредби, необходими, за да се съобразят с настоящата директива. Те незабавно съобщават на Комисията текста на тези разпоредби.</w:t>
      </w:r>
    </w:p>
    <w:p>
      <w:pPr>
        <w:pStyle w:val="Text1"/>
        <w:rPr>
          <w:noProof/>
        </w:rPr>
      </w:pPr>
      <w:r>
        <w:rPr>
          <w:noProof/>
        </w:rPr>
        <w:t>Те прилагат тези разпоредби, считано от 1 януари 2019 г.</w:t>
      </w:r>
    </w:p>
    <w:p>
      <w:pPr>
        <w:pStyle w:val="Text1"/>
        <w:rPr>
          <w:noProof/>
        </w:rPr>
      </w:pPr>
      <w:r>
        <w:rPr>
          <w:noProof/>
        </w:rPr>
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Настоящата директива влиза в сила на двадесетия ден след деня на публикуването ѝ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5</w:t>
      </w:r>
    </w:p>
    <w:p>
      <w:pPr>
        <w:rPr>
          <w:noProof/>
        </w:rPr>
      </w:pPr>
      <w:r>
        <w:rPr>
          <w:noProof/>
        </w:rPr>
        <w:t>Адресати на настоящата директива са държавите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Директива 2008/118/ЕО на Съвета от 16 декември 2008 г. относно общия режим на облагане с акциз и за отмяна на Директива 92/12/ЕИО (ОВ L 9, 14.1.2009 г., стр. 12).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Директива 2006/112/ЕО на Съвета от 28 ноември 2006 г. относно общата система на данъка върху добавената стойност (ОВ L 347, 11.12.2006 г., стр. 1).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952/2013 на Европейския парламент и на Съвета от 9 октомври 2013 г. за създаване на Митнически кодекс на Съюза (ОВ L 269, 10.10.2013 г., стр.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С [...], [...] г., стр. [...].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С [...], [...] г., стр. [...].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952/2013 на Европейския парламент и на Съвета от 9 октомври 2013 г. за създаване на Митнически кодекс на Съюза (ОВ L 269, 10.10.2013 г., стр. 1).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Директива 2008/118/ЕО на Съвета от 16 декември 2008 г. относно общия режим на облагане с акциз и за отмяна на Директива 92/12/ЕИО (ОВ L 9, 14.1.2009 г., стр. 12).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Директива 2006/112/ЕО на Съвета от 28 ноември 2006 г. относно общата система на данъка върху добавената стойност (ОВ L 347, 11.12.2006 г., стр. 1).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Изменен с Регламент (ЕС) № ХХХ.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467B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9F687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03023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1AA1A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B034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B92C8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0904F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C921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17:49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A76815D-FA57-4759-8BE1-89010019A261"/>
    <w:docVar w:name="LW_COVERPAGE_TYPE" w:val="1"/>
    <w:docVar w:name="LW_CROSSREFERENCE" w:val="&lt;UNUSED&gt;"/>
    <w:docVar w:name="LW_DocType" w:val="COM"/>
    <w:docVar w:name="LW_EMISSION" w:val="8.5.2018"/>
    <w:docVar w:name="LW_EMISSION_ISODATE" w:val="2018-05-08"/>
    <w:docVar w:name="LW_EMISSION_LOCATION" w:val="BRX"/>
    <w:docVar w:name="LW_EMISSION_PREFIX" w:val="Брюксел, "/>
    <w:docVar w:name="LW_EMISSION_SUFFIX" w:val="&lt;EMPTY&gt;"/>
    <w:docVar w:name="LW_ID_DOCMODEL" w:val="SJ-017"/>
    <w:docVar w:name="LW_ID_DOCSIGNATURE" w:val="SJ-017"/>
    <w:docVar w:name="LW_ID_DOCSTRUCTURE" w:val="COM/PL/ORG"/>
    <w:docVar w:name="LW_ID_DOCTYPE" w:val="SJ-017"/>
    <w:docVar w:name="LW_ID_EXP.MOTIFS.NEW" w:val="EM_PL_"/>
    <w:docVar w:name="LW_ID_STATUT" w:val="SJ-017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NS"/>
    <w:docVar w:name="LW_REF.II.NEW.CP_NUMBER" w:val="0124"/>
    <w:docVar w:name="LW_REF.II.NEW.CP_YEAR" w:val="2018"/>
    <w:docVar w:name="LW_REF.INST.NEW" w:val="COM"/>
    <w:docVar w:name="LW_REF.INST.NEW_ADOPTED" w:val="final"/>
    <w:docVar w:name="LW_REF.INST.NEW_TEXT" w:val="(2018) 26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76?\u1080?\u1088?\u1077?\u1082?\u1090?\u1080?\u1074?\u1080? 2006/112/\u1045?\u1054? \u1080? 2008/118/\u1045?\u1054?, \u1097?\u1086? \u1089?\u1077? \u1086?\u1090?\u1085?\u1072?\u1089?\u1103? \u1076?\u1086? \u1074?\u1082?\u1083?\u1102?\u1095?\u1074?\u1072?\u1085?\u1077?\u1090?\u1086? \u1085?\u1072? \u1086?\u1073?\u1097?\u1080?\u1085?\u1072? \u1050?\u1072?\u1084?\u1087?\u1080?\u1086?\u1085?\u1077? \u1076?\u8217?\u1048?\u1090?\u1072?\u1083?\u1080?\u1103? \u1080? \u1085?\u1072? \u1080?\u1090?\u1072?\u1083?\u1080?\u1072?\u1085?\u1089?\u1082?\u1080?\u1090?\u1077? \u1074?\u1086?\u1076?\u1080? \u1085?\u1072? \u1077?\u1079?\u1077?\u1088?\u1086?\u1090?\u1086? \u1051?\u1091?\u1075?\u1072?\u1085?\u1086? \u1074? \u1084?\u1080?\u1090?\u1085?\u1080?\u1095?\u1077?\u1089?\u1082?\u1072?\u1090?\u1072? \u1090?\u1077?\u1088?\u1080?\u1090?\u1086?\u1088?\u1080?\u1103? \u1085?\u1072? \u1057?\u1098?\u1102?\u1079?\u1072? \u1080? \u1074? \u1090?\u1077?\u1088?\u1080?\u1090?\u1086?\u1088?\u1080?\u1072?\u1083?\u1085?\u1080?\u1103? \u1086?\u1073?\u1093?\u1074?\u1072?\u1090? \u1085?\u1072? \u1044?\u1080?\u1088?\u1077?\u1082?\u1090?\u1080?\u1074?\u1072? 2008/118/\u1045?\u1054?"/>
    <w:docVar w:name="LW_TYPE.DOC.CP" w:val="\u1044?\u1048?\u1056?\u1045?\u1050?\u1058?\u1048?\u1042?\u1040? \u1053?\u1040? \u1057?\u1066?\u1042?\u1045?\u1058?\u1040?"/>
    <w:docVar w:name="Stamp" w:val="\\dossiers.dgt.cec.eu.int\dossiers\TAXUD\TAXUD-2018-00169\TAXUD-2018-00169-00-00-EN-REV-00.20180320152053705998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pPr>
      <w:numPr>
        <w:numId w:val="1"/>
      </w:numPr>
    </w:pPr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bleText">
    <w:name w:val="TableText"/>
    <w:basedOn w:val="Normal"/>
    <w:pPr>
      <w:keepNext/>
      <w:keepLines/>
      <w:spacing w:before="60" w:after="60"/>
      <w:ind w:left="10"/>
      <w:jc w:val="left"/>
    </w:pPr>
    <w:rPr>
      <w:rFonts w:ascii="Arial" w:eastAsia="Times New Roman" w:hAnsi="Arial" w:cs="Arial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qFormat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itle-doc-first2">
    <w:name w:val="title-doc-first2"/>
    <w:basedOn w:val="Normal"/>
    <w:pPr>
      <w:spacing w:after="0" w:line="312" w:lineRule="atLeast"/>
      <w:jc w:val="center"/>
    </w:pPr>
    <w:rPr>
      <w:rFonts w:eastAsia="Times New Roman"/>
      <w:b/>
      <w:bCs/>
      <w:szCs w:val="24"/>
    </w:rPr>
  </w:style>
  <w:style w:type="paragraph" w:customStyle="1" w:styleId="title-doc-last2">
    <w:name w:val="title-doc-last2"/>
    <w:basedOn w:val="Normal"/>
    <w:pPr>
      <w:spacing w:after="0" w:line="312" w:lineRule="atLeast"/>
      <w:jc w:val="center"/>
    </w:pPr>
    <w:rPr>
      <w:rFonts w:eastAsia="Times New Roman"/>
      <w:szCs w:val="24"/>
    </w:rPr>
  </w:style>
  <w:style w:type="paragraph" w:customStyle="1" w:styleId="title-doc-oj-reference2">
    <w:name w:val="title-doc-oj-reference2"/>
    <w:basedOn w:val="Normal"/>
    <w:pPr>
      <w:spacing w:after="0" w:line="312" w:lineRule="atLeast"/>
      <w:jc w:val="center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pPr>
      <w:numPr>
        <w:numId w:val="1"/>
      </w:numPr>
    </w:pPr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bleText">
    <w:name w:val="TableText"/>
    <w:basedOn w:val="Normal"/>
    <w:pPr>
      <w:keepNext/>
      <w:keepLines/>
      <w:spacing w:before="60" w:after="60"/>
      <w:ind w:left="10"/>
      <w:jc w:val="left"/>
    </w:pPr>
    <w:rPr>
      <w:rFonts w:ascii="Arial" w:eastAsia="Times New Roman" w:hAnsi="Arial" w:cs="Arial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qFormat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itle-doc-first2">
    <w:name w:val="title-doc-first2"/>
    <w:basedOn w:val="Normal"/>
    <w:pPr>
      <w:spacing w:after="0" w:line="312" w:lineRule="atLeast"/>
      <w:jc w:val="center"/>
    </w:pPr>
    <w:rPr>
      <w:rFonts w:eastAsia="Times New Roman"/>
      <w:b/>
      <w:bCs/>
      <w:szCs w:val="24"/>
    </w:rPr>
  </w:style>
  <w:style w:type="paragraph" w:customStyle="1" w:styleId="title-doc-last2">
    <w:name w:val="title-doc-last2"/>
    <w:basedOn w:val="Normal"/>
    <w:pPr>
      <w:spacing w:after="0" w:line="312" w:lineRule="atLeast"/>
      <w:jc w:val="center"/>
    </w:pPr>
    <w:rPr>
      <w:rFonts w:eastAsia="Times New Roman"/>
      <w:szCs w:val="24"/>
    </w:rPr>
  </w:style>
  <w:style w:type="paragraph" w:customStyle="1" w:styleId="title-doc-oj-reference2">
    <w:name w:val="title-doc-oj-reference2"/>
    <w:basedOn w:val="Normal"/>
    <w:pPr>
      <w:spacing w:after="0" w:line="312" w:lineRule="atLeast"/>
      <w:jc w:val="center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59D4-1B4B-4E7B-9E9B-2E341081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1256</Words>
  <Characters>7266</Characters>
  <Application>Microsoft Office Word</Application>
  <DocSecurity>0</DocSecurity>
  <Lines>148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2018-04-03T13:15:00Z</cp:lastPrinted>
  <dcterms:created xsi:type="dcterms:W3CDTF">2018-04-26T12:48:00Z</dcterms:created>
  <dcterms:modified xsi:type="dcterms:W3CDTF">2018-05-02T15:49:00Z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SJ-017</vt:lpwstr>
  </property>
  <property fmtid="{D5CDD505-2E9C-101B-9397-08002B2CF9AE}" pid="10" name="DQCStatus">
    <vt:lpwstr>Green (DQC version 03)</vt:lpwstr>
  </property>
</Properties>
</file>