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A57" w:rsidRDefault="00A4261F">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3828042C-544F-47A6-A336-E4A914DBFFB5" style="width:450.75pt;height:361.9pt">
            <v:imagedata r:id="rId9" o:title=""/>
          </v:shape>
        </w:pict>
      </w:r>
    </w:p>
    <w:bookmarkEnd w:id="0"/>
    <w:p w:rsidR="00950A57" w:rsidRDefault="00950A57">
      <w:pPr>
        <w:rPr>
          <w:noProof/>
        </w:rPr>
        <w:sectPr w:rsidR="00950A57">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rsidR="00950A57" w:rsidRDefault="00A4261F">
      <w:pPr>
        <w:pStyle w:val="Heading1"/>
        <w:numPr>
          <w:ilvl w:val="0"/>
          <w:numId w:val="6"/>
        </w:numPr>
        <w:rPr>
          <w:noProof/>
        </w:rPr>
      </w:pPr>
      <w:bookmarkStart w:id="1" w:name="_Toc456264263"/>
      <w:bookmarkStart w:id="2" w:name="_Toc456264339"/>
      <w:r>
        <w:rPr>
          <w:noProof/>
        </w:rPr>
        <w:lastRenderedPageBreak/>
        <w:t>Introduction</w:t>
      </w:r>
    </w:p>
    <w:bookmarkEnd w:id="1"/>
    <w:bookmarkEnd w:id="2"/>
    <w:p w:rsidR="00950A57" w:rsidRDefault="00A4261F">
      <w:pPr>
        <w:spacing w:after="0"/>
        <w:rPr>
          <w:noProof/>
          <w:sz w:val="24"/>
          <w:szCs w:val="24"/>
        </w:rPr>
      </w:pPr>
      <w:r>
        <w:rPr>
          <w:noProof/>
          <w:sz w:val="24"/>
          <w:szCs w:val="24"/>
        </w:rPr>
        <w:t>This report reviews the implementation by Member States of Recast Directive 2009/38/EC on the establishment of a European Works Council)</w:t>
      </w:r>
      <w:r>
        <w:rPr>
          <w:rStyle w:val="FootnoteReference"/>
          <w:noProof/>
          <w:sz w:val="24"/>
          <w:szCs w:val="24"/>
        </w:rPr>
        <w:footnoteReference w:id="1"/>
      </w:r>
      <w:r>
        <w:rPr>
          <w:noProof/>
          <w:sz w:val="24"/>
          <w:szCs w:val="24"/>
        </w:rPr>
        <w:t xml:space="preserve"> (‘the Recast Directive’), as required by Article 15 of the Directive. It sets out the follow-up action the Commission intends to take. Annexed to the report is a staff working document in which the Commission sets out in greater detail the results of its </w:t>
      </w:r>
      <w:r>
        <w:rPr>
          <w:noProof/>
          <w:sz w:val="24"/>
          <w:szCs w:val="24"/>
        </w:rPr>
        <w:t>evaluation</w:t>
      </w:r>
      <w:r>
        <w:rPr>
          <w:rStyle w:val="FootnoteReference"/>
          <w:noProof/>
          <w:sz w:val="24"/>
          <w:szCs w:val="24"/>
        </w:rPr>
        <w:footnoteReference w:id="2"/>
      </w:r>
      <w:r>
        <w:rPr>
          <w:noProof/>
          <w:sz w:val="24"/>
          <w:szCs w:val="24"/>
        </w:rPr>
        <w:t>.</w:t>
      </w:r>
    </w:p>
    <w:p w:rsidR="00950A57" w:rsidRDefault="00950A57">
      <w:pPr>
        <w:spacing w:after="0" w:line="240" w:lineRule="auto"/>
        <w:rPr>
          <w:noProof/>
          <w:color w:val="000000" w:themeColor="text1"/>
          <w:sz w:val="24"/>
          <w:szCs w:val="24"/>
        </w:rPr>
      </w:pPr>
    </w:p>
    <w:p w:rsidR="00950A57" w:rsidRDefault="00A4261F">
      <w:pPr>
        <w:rPr>
          <w:noProof/>
          <w:color w:val="000000" w:themeColor="text1"/>
          <w:sz w:val="24"/>
          <w:szCs w:val="24"/>
        </w:rPr>
      </w:pPr>
      <w:r>
        <w:rPr>
          <w:noProof/>
          <w:color w:val="000000" w:themeColor="text1"/>
          <w:sz w:val="24"/>
          <w:szCs w:val="24"/>
        </w:rPr>
        <w:t>Council Directive 94/45/EC</w:t>
      </w:r>
      <w:r>
        <w:rPr>
          <w:rStyle w:val="FootnoteReference"/>
          <w:noProof/>
        </w:rPr>
        <w:footnoteReference w:id="3"/>
      </w:r>
      <w:r>
        <w:rPr>
          <w:noProof/>
          <w:color w:val="000000" w:themeColor="text1"/>
          <w:sz w:val="24"/>
          <w:szCs w:val="24"/>
        </w:rPr>
        <w:t xml:space="preserve"> was subject to a recast after consultation with social partners, which entered into force on 6 June 2009. The end of transposition period was two years later. </w:t>
      </w:r>
    </w:p>
    <w:p w:rsidR="00950A57" w:rsidRDefault="00A4261F">
      <w:pPr>
        <w:rPr>
          <w:noProof/>
          <w:color w:val="000000" w:themeColor="text1"/>
          <w:sz w:val="24"/>
          <w:szCs w:val="24"/>
        </w:rPr>
      </w:pPr>
      <w:r>
        <w:rPr>
          <w:noProof/>
          <w:color w:val="000000" w:themeColor="text1"/>
          <w:sz w:val="24"/>
          <w:szCs w:val="24"/>
        </w:rPr>
        <w:t>The evaluation underpinning this report focuses on the</w:t>
      </w:r>
      <w:r>
        <w:rPr>
          <w:noProof/>
          <w:color w:val="000000" w:themeColor="text1"/>
          <w:sz w:val="24"/>
          <w:szCs w:val="24"/>
        </w:rPr>
        <w:t xml:space="preserve"> changes brought by the Recast Directive. The purpose of the evaluation is to assess the transposition and implementation of the Recast Directive in Member States, and the effects of these on: </w:t>
      </w:r>
    </w:p>
    <w:p w:rsidR="00950A57" w:rsidRDefault="00A4261F">
      <w:pPr>
        <w:pStyle w:val="ListParagraph"/>
        <w:numPr>
          <w:ilvl w:val="0"/>
          <w:numId w:val="47"/>
        </w:numPr>
        <w:rPr>
          <w:noProof/>
          <w:color w:val="000000" w:themeColor="text1"/>
          <w:sz w:val="24"/>
          <w:szCs w:val="24"/>
        </w:rPr>
      </w:pPr>
      <w:r>
        <w:rPr>
          <w:noProof/>
          <w:color w:val="000000" w:themeColor="text1"/>
          <w:sz w:val="24"/>
          <w:szCs w:val="24"/>
        </w:rPr>
        <w:t xml:space="preserve">the creation of European Works Councils; </w:t>
      </w:r>
    </w:p>
    <w:p w:rsidR="00950A57" w:rsidRDefault="00A4261F">
      <w:pPr>
        <w:pStyle w:val="ListParagraph"/>
        <w:numPr>
          <w:ilvl w:val="0"/>
          <w:numId w:val="47"/>
        </w:numPr>
        <w:rPr>
          <w:noProof/>
          <w:color w:val="000000" w:themeColor="text1"/>
          <w:sz w:val="24"/>
          <w:szCs w:val="24"/>
        </w:rPr>
      </w:pPr>
      <w:r>
        <w:rPr>
          <w:noProof/>
          <w:color w:val="000000" w:themeColor="text1"/>
          <w:sz w:val="24"/>
          <w:szCs w:val="24"/>
        </w:rPr>
        <w:t>the effectiveness of</w:t>
      </w:r>
      <w:r>
        <w:rPr>
          <w:noProof/>
          <w:color w:val="000000" w:themeColor="text1"/>
          <w:sz w:val="24"/>
          <w:szCs w:val="24"/>
        </w:rPr>
        <w:t xml:space="preserve"> employees’ transnational information and consultation rights; and </w:t>
      </w:r>
    </w:p>
    <w:p w:rsidR="00950A57" w:rsidRDefault="00A4261F">
      <w:pPr>
        <w:pStyle w:val="ListParagraph"/>
        <w:numPr>
          <w:ilvl w:val="0"/>
          <w:numId w:val="47"/>
        </w:numPr>
        <w:rPr>
          <w:noProof/>
          <w:color w:val="000000" w:themeColor="text1"/>
          <w:sz w:val="24"/>
          <w:szCs w:val="24"/>
        </w:rPr>
      </w:pPr>
      <w:r>
        <w:rPr>
          <w:noProof/>
          <w:color w:val="000000" w:themeColor="text1"/>
          <w:sz w:val="24"/>
          <w:szCs w:val="24"/>
        </w:rPr>
        <w:t xml:space="preserve">improvements to the legal framework. </w:t>
      </w:r>
    </w:p>
    <w:p w:rsidR="00950A57" w:rsidRDefault="00A4261F">
      <w:pPr>
        <w:rPr>
          <w:noProof/>
          <w:color w:val="000000" w:themeColor="text1"/>
          <w:sz w:val="24"/>
          <w:szCs w:val="24"/>
        </w:rPr>
      </w:pPr>
      <w:r>
        <w:rPr>
          <w:noProof/>
          <w:color w:val="000000" w:themeColor="text1"/>
          <w:sz w:val="24"/>
          <w:szCs w:val="24"/>
        </w:rPr>
        <w:t>The evaluation also assesses the relevance, coherence, efficiency and EU added value of the Recast Directive, in compliance with the Better Regulation</w:t>
      </w:r>
      <w:r>
        <w:rPr>
          <w:noProof/>
          <w:color w:val="000000" w:themeColor="text1"/>
          <w:sz w:val="24"/>
          <w:szCs w:val="24"/>
        </w:rPr>
        <w:t xml:space="preserve"> Guidelines</w:t>
      </w:r>
      <w:r>
        <w:rPr>
          <w:rStyle w:val="FootnoteReference"/>
          <w:noProof/>
          <w:color w:val="000000" w:themeColor="text1"/>
          <w:sz w:val="24"/>
          <w:szCs w:val="24"/>
        </w:rPr>
        <w:footnoteReference w:id="4"/>
      </w:r>
      <w:r>
        <w:rPr>
          <w:noProof/>
          <w:color w:val="000000" w:themeColor="text1"/>
          <w:sz w:val="24"/>
          <w:szCs w:val="24"/>
        </w:rPr>
        <w:t>.</w:t>
      </w:r>
    </w:p>
    <w:p w:rsidR="00950A57" w:rsidRDefault="00A4261F">
      <w:pPr>
        <w:spacing w:after="0"/>
        <w:rPr>
          <w:noProof/>
          <w:sz w:val="24"/>
          <w:szCs w:val="24"/>
        </w:rPr>
      </w:pPr>
      <w:r>
        <w:rPr>
          <w:noProof/>
          <w:sz w:val="24"/>
          <w:szCs w:val="24"/>
        </w:rPr>
        <w:t>This report sets out the Recast Directive’s objectives, the Commission’s main evaluation findings and the corresponding policy responses.</w:t>
      </w:r>
    </w:p>
    <w:p w:rsidR="00950A57" w:rsidRDefault="00950A57">
      <w:pPr>
        <w:spacing w:after="0" w:line="240" w:lineRule="auto"/>
        <w:rPr>
          <w:noProof/>
          <w:sz w:val="24"/>
          <w:szCs w:val="24"/>
        </w:rPr>
      </w:pPr>
    </w:p>
    <w:p w:rsidR="00950A57" w:rsidRDefault="00A4261F">
      <w:pPr>
        <w:pStyle w:val="Heading1"/>
        <w:numPr>
          <w:ilvl w:val="0"/>
          <w:numId w:val="6"/>
        </w:numPr>
        <w:rPr>
          <w:noProof/>
        </w:rPr>
      </w:pPr>
      <w:r>
        <w:rPr>
          <w:noProof/>
        </w:rPr>
        <w:t>European Works Councils and transnational social dialogue</w:t>
      </w:r>
    </w:p>
    <w:p w:rsidR="00950A57" w:rsidRDefault="00A4261F">
      <w:pPr>
        <w:rPr>
          <w:rFonts w:eastAsia="Times New Roman"/>
          <w:noProof/>
          <w:sz w:val="24"/>
          <w:szCs w:val="20"/>
        </w:rPr>
      </w:pPr>
      <w:r>
        <w:rPr>
          <w:noProof/>
          <w:color w:val="000000" w:themeColor="text1"/>
          <w:sz w:val="24"/>
          <w:szCs w:val="24"/>
        </w:rPr>
        <w:t xml:space="preserve">Social dialogue is an essential element of </w:t>
      </w:r>
      <w:r>
        <w:rPr>
          <w:noProof/>
          <w:color w:val="000000" w:themeColor="text1"/>
          <w:sz w:val="24"/>
          <w:szCs w:val="24"/>
        </w:rPr>
        <w:t>the European social model. Where social dialogue is strong, economies are more competitive and socially resilient. The involvement of social partners in the design and implementation of policies is crucial to strengthen competitiveness and fairness, and is</w:t>
      </w:r>
      <w:r>
        <w:rPr>
          <w:noProof/>
          <w:color w:val="000000" w:themeColor="text1"/>
          <w:sz w:val="24"/>
          <w:szCs w:val="24"/>
        </w:rPr>
        <w:t xml:space="preserve"> a prerequisite for the functioning of Europe's social market economy. The Commission is committed to strengthening social dialogue, at all levels. This is why it initiated the 'New Start for Social Dialogue' in 2015.</w:t>
      </w:r>
      <w:r>
        <w:rPr>
          <w:rStyle w:val="FootnoteReference"/>
          <w:noProof/>
          <w:color w:val="000000" w:themeColor="text1"/>
          <w:sz w:val="24"/>
          <w:szCs w:val="24"/>
        </w:rPr>
        <w:footnoteReference w:id="5"/>
      </w:r>
      <w:r>
        <w:rPr>
          <w:noProof/>
          <w:color w:val="000000" w:themeColor="text1"/>
          <w:sz w:val="24"/>
          <w:szCs w:val="24"/>
        </w:rPr>
        <w:t xml:space="preserve"> </w:t>
      </w:r>
    </w:p>
    <w:p w:rsidR="00950A57" w:rsidRDefault="00A4261F">
      <w:pPr>
        <w:rPr>
          <w:rFonts w:eastAsia="Times New Roman"/>
          <w:noProof/>
          <w:sz w:val="24"/>
          <w:szCs w:val="20"/>
        </w:rPr>
      </w:pPr>
      <w:r>
        <w:rPr>
          <w:rFonts w:eastAsia="Times New Roman"/>
          <w:noProof/>
          <w:sz w:val="24"/>
          <w:szCs w:val="20"/>
        </w:rPr>
        <w:lastRenderedPageBreak/>
        <w:t xml:space="preserve">Principle 8 of the European Pillar </w:t>
      </w:r>
      <w:r>
        <w:rPr>
          <w:rFonts w:eastAsia="Times New Roman"/>
          <w:noProof/>
          <w:sz w:val="24"/>
          <w:szCs w:val="20"/>
        </w:rPr>
        <w:t>of Social Rights</w:t>
      </w:r>
      <w:r>
        <w:rPr>
          <w:rStyle w:val="FootnoteReference"/>
          <w:noProof/>
        </w:rPr>
        <w:footnoteReference w:id="6"/>
      </w:r>
      <w:r>
        <w:rPr>
          <w:rFonts w:eastAsia="Times New Roman"/>
          <w:noProof/>
          <w:sz w:val="24"/>
          <w:szCs w:val="20"/>
        </w:rPr>
        <w:t xml:space="preserve"> establishes that t</w:t>
      </w:r>
      <w:r>
        <w:rPr>
          <w:noProof/>
          <w:color w:val="000000" w:themeColor="text1"/>
          <w:sz w:val="24"/>
          <w:szCs w:val="24"/>
        </w:rPr>
        <w:t>he social partners shall be consulted on the design and implementation of economic, employment and social policies according to national practices. They shall be encouraged to negotiate and conclude collective agreements</w:t>
      </w:r>
      <w:r>
        <w:rPr>
          <w:noProof/>
          <w:color w:val="000000" w:themeColor="text1"/>
          <w:sz w:val="24"/>
          <w:szCs w:val="24"/>
        </w:rPr>
        <w:t xml:space="preserve"> in matters relevant to them, while respecting their autonomy and the right to collective action. </w:t>
      </w:r>
    </w:p>
    <w:p w:rsidR="00950A57" w:rsidRDefault="00A4261F">
      <w:pPr>
        <w:rPr>
          <w:rFonts w:eastAsia="Times New Roman"/>
          <w:noProof/>
          <w:sz w:val="24"/>
          <w:szCs w:val="20"/>
        </w:rPr>
      </w:pPr>
      <w:r>
        <w:rPr>
          <w:rFonts w:eastAsia="Times New Roman"/>
          <w:noProof/>
          <w:sz w:val="24"/>
          <w:szCs w:val="20"/>
        </w:rPr>
        <w:t>Social dialogue at all levels must be a core part of Europe's response to processes that deeply affect the world of work such as digitalisation, globalisatio</w:t>
      </w:r>
      <w:r>
        <w:rPr>
          <w:rFonts w:eastAsia="Times New Roman"/>
          <w:noProof/>
          <w:sz w:val="24"/>
          <w:szCs w:val="20"/>
        </w:rPr>
        <w:t xml:space="preserve">n and demographic change. The involvement of social partners in labour market reforms and sector or company restructuring has shown to yield positive results as their involvement ensures ownership of reform processes and promotes trust and partnership. In </w:t>
      </w:r>
      <w:r>
        <w:rPr>
          <w:rFonts w:eastAsia="Times New Roman"/>
          <w:noProof/>
          <w:sz w:val="24"/>
          <w:szCs w:val="20"/>
        </w:rPr>
        <w:t>addition, permanent channels for social dialogue can help anticipate and address the needs and expectations arising from the challenges associated with an ageing workforce and occupational health and safety or with regard to skills and work-life balance.</w:t>
      </w:r>
    </w:p>
    <w:p w:rsidR="00950A57" w:rsidRDefault="00A4261F">
      <w:pPr>
        <w:rPr>
          <w:rFonts w:eastAsia="Times New Roman"/>
          <w:noProof/>
          <w:sz w:val="24"/>
          <w:szCs w:val="20"/>
        </w:rPr>
      </w:pPr>
      <w:r>
        <w:rPr>
          <w:rFonts w:eastAsia="Times New Roman"/>
          <w:noProof/>
          <w:sz w:val="24"/>
          <w:szCs w:val="20"/>
        </w:rPr>
        <w:t>P</w:t>
      </w:r>
      <w:r>
        <w:rPr>
          <w:rFonts w:eastAsia="Times New Roman"/>
          <w:noProof/>
          <w:sz w:val="24"/>
          <w:szCs w:val="20"/>
        </w:rPr>
        <w:t>rinciple 8 of the European Pillar of Social Rights also establishes that workers or their representatives have the right to be informed and consulted in good time on matters relevant to them, in particular on the transfer, restructuring and merger of compa</w:t>
      </w:r>
      <w:r>
        <w:rPr>
          <w:rFonts w:eastAsia="Times New Roman"/>
          <w:noProof/>
          <w:sz w:val="24"/>
          <w:szCs w:val="20"/>
        </w:rPr>
        <w:t>nies and on collective redundancies. It sets out not only the right to receive information but also the right to be consulted about any such corporate action, which implies an exchange of views and the establishment of a consistent dialogue with the employ</w:t>
      </w:r>
      <w:r>
        <w:rPr>
          <w:rFonts w:eastAsia="Times New Roman"/>
          <w:noProof/>
          <w:sz w:val="24"/>
          <w:szCs w:val="20"/>
        </w:rPr>
        <w:t xml:space="preserve">er. </w:t>
      </w:r>
    </w:p>
    <w:p w:rsidR="00950A57" w:rsidRDefault="00A4261F">
      <w:pPr>
        <w:autoSpaceDE w:val="0"/>
        <w:autoSpaceDN w:val="0"/>
        <w:adjustRightInd w:val="0"/>
        <w:spacing w:after="0"/>
        <w:rPr>
          <w:rFonts w:eastAsia="Times New Roman"/>
          <w:noProof/>
          <w:sz w:val="24"/>
          <w:szCs w:val="20"/>
        </w:rPr>
      </w:pPr>
      <w:r>
        <w:rPr>
          <w:rFonts w:eastAsia="Times New Roman"/>
          <w:noProof/>
          <w:sz w:val="24"/>
          <w:szCs w:val="20"/>
        </w:rPr>
        <w:t xml:space="preserve">The EU’s legal framework in the field of </w:t>
      </w:r>
      <w:r>
        <w:rPr>
          <w:rFonts w:eastAsia="Times New Roman"/>
          <w:noProof/>
          <w:sz w:val="24"/>
          <w:szCs w:val="24"/>
        </w:rPr>
        <w:t>information and consultation at national level has developed over several decades. Directive 98/59/EC</w:t>
      </w:r>
      <w:r>
        <w:rPr>
          <w:rStyle w:val="FootnoteReference"/>
          <w:rFonts w:eastAsia="Times New Roman"/>
          <w:noProof/>
          <w:sz w:val="24"/>
          <w:szCs w:val="24"/>
        </w:rPr>
        <w:footnoteReference w:id="7"/>
      </w:r>
      <w:r>
        <w:rPr>
          <w:rFonts w:eastAsia="Times New Roman"/>
          <w:noProof/>
          <w:sz w:val="24"/>
          <w:szCs w:val="24"/>
        </w:rPr>
        <w:t xml:space="preserve"> </w:t>
      </w:r>
      <w:r>
        <w:rPr>
          <w:noProof/>
          <w:sz w:val="24"/>
          <w:szCs w:val="24"/>
        </w:rPr>
        <w:t>sets out rules on the information and consultation of workers’ representatives before collective redundanci</w:t>
      </w:r>
      <w:r>
        <w:rPr>
          <w:noProof/>
          <w:sz w:val="24"/>
          <w:szCs w:val="24"/>
        </w:rPr>
        <w:t xml:space="preserve">es are made. </w:t>
      </w:r>
      <w:r>
        <w:rPr>
          <w:rFonts w:eastAsia="Times New Roman"/>
          <w:noProof/>
          <w:sz w:val="24"/>
          <w:szCs w:val="24"/>
        </w:rPr>
        <w:t>Directive 2002/14/EC</w:t>
      </w:r>
      <w:r>
        <w:rPr>
          <w:rStyle w:val="FootnoteReference"/>
          <w:noProof/>
          <w:sz w:val="24"/>
          <w:szCs w:val="24"/>
        </w:rPr>
        <w:footnoteReference w:id="8"/>
      </w:r>
      <w:r>
        <w:rPr>
          <w:rFonts w:eastAsia="Times New Roman"/>
          <w:noProof/>
          <w:sz w:val="24"/>
          <w:szCs w:val="24"/>
        </w:rPr>
        <w:t xml:space="preserve"> establishes a general framework for information</w:t>
      </w:r>
      <w:r>
        <w:rPr>
          <w:rFonts w:eastAsia="Times New Roman"/>
          <w:noProof/>
          <w:sz w:val="24"/>
          <w:szCs w:val="20"/>
        </w:rPr>
        <w:t xml:space="preserve"> and consultation of workers at national level. Directive 2001/23/EC</w:t>
      </w:r>
      <w:r>
        <w:rPr>
          <w:rStyle w:val="FootnoteReference"/>
          <w:noProof/>
        </w:rPr>
        <w:footnoteReference w:id="9"/>
      </w:r>
      <w:r>
        <w:rPr>
          <w:rFonts w:eastAsia="Times New Roman"/>
          <w:noProof/>
          <w:sz w:val="24"/>
          <w:szCs w:val="20"/>
        </w:rPr>
        <w:t xml:space="preserve"> contains provisions ensuring workers employed in businesses that are transferred to a new owner are info</w:t>
      </w:r>
      <w:r>
        <w:rPr>
          <w:rFonts w:eastAsia="Times New Roman"/>
          <w:noProof/>
          <w:sz w:val="24"/>
          <w:szCs w:val="20"/>
        </w:rPr>
        <w:t>rmed and consulted.</w:t>
      </w:r>
      <w:r>
        <w:rPr>
          <w:rStyle w:val="FootnoteReference"/>
          <w:rFonts w:eastAsia="Times New Roman"/>
          <w:noProof/>
          <w:sz w:val="24"/>
          <w:szCs w:val="20"/>
        </w:rPr>
        <w:footnoteReference w:id="10"/>
      </w:r>
    </w:p>
    <w:p w:rsidR="00950A57" w:rsidRDefault="00A4261F">
      <w:pPr>
        <w:spacing w:before="120" w:after="120"/>
        <w:rPr>
          <w:rFonts w:eastAsia="Times New Roman"/>
          <w:noProof/>
          <w:sz w:val="24"/>
          <w:szCs w:val="20"/>
        </w:rPr>
      </w:pPr>
      <w:r>
        <w:rPr>
          <w:rFonts w:eastAsia="Times New Roman"/>
          <w:noProof/>
          <w:sz w:val="24"/>
          <w:szCs w:val="20"/>
        </w:rPr>
        <w:t>Through the European quality framework for anticipation of change and restructuring,</w:t>
      </w:r>
      <w:r>
        <w:rPr>
          <w:rStyle w:val="FootnoteReference"/>
          <w:rFonts w:eastAsia="Times New Roman"/>
          <w:noProof/>
          <w:sz w:val="24"/>
          <w:szCs w:val="20"/>
        </w:rPr>
        <w:footnoteReference w:id="11"/>
      </w:r>
      <w:r>
        <w:rPr>
          <w:rFonts w:eastAsia="Times New Roman"/>
          <w:noProof/>
          <w:sz w:val="24"/>
          <w:szCs w:val="20"/>
        </w:rPr>
        <w:t xml:space="preserve"> the Commission has set out principles and good practices to follow within companies and by public authorities, in advance of changes and when managin</w:t>
      </w:r>
      <w:r>
        <w:rPr>
          <w:rFonts w:eastAsia="Times New Roman"/>
          <w:noProof/>
          <w:sz w:val="24"/>
          <w:szCs w:val="20"/>
        </w:rPr>
        <w:t>g restructuring activities. The European Globalisation Adjustment Fund was set up 10 years ago with the objective of providing support to workers who have been made redundant as a result of major structural changes in world trade patterns due to globalisat</w:t>
      </w:r>
      <w:r>
        <w:rPr>
          <w:rFonts w:eastAsia="Times New Roman"/>
          <w:noProof/>
          <w:sz w:val="24"/>
          <w:szCs w:val="20"/>
        </w:rPr>
        <w:t>ion or due the global financial and economic crisis.</w:t>
      </w:r>
    </w:p>
    <w:p w:rsidR="00950A57" w:rsidRDefault="00A4261F">
      <w:pPr>
        <w:rPr>
          <w:noProof/>
          <w:color w:val="000000" w:themeColor="text1"/>
          <w:sz w:val="24"/>
          <w:szCs w:val="24"/>
        </w:rPr>
      </w:pPr>
      <w:r>
        <w:rPr>
          <w:rFonts w:eastAsia="Times New Roman"/>
          <w:noProof/>
          <w:sz w:val="24"/>
          <w:szCs w:val="20"/>
        </w:rPr>
        <w:t xml:space="preserve">European Works Councils are an important instrument for organising transnational social dialogue in multinational companies of a certain size. They are </w:t>
      </w:r>
      <w:r>
        <w:rPr>
          <w:noProof/>
          <w:color w:val="000000" w:themeColor="text1"/>
          <w:sz w:val="24"/>
          <w:szCs w:val="24"/>
        </w:rPr>
        <w:t>bodies that represent European employees within tra</w:t>
      </w:r>
      <w:r>
        <w:rPr>
          <w:noProof/>
          <w:color w:val="000000" w:themeColor="text1"/>
          <w:sz w:val="24"/>
          <w:szCs w:val="24"/>
        </w:rPr>
        <w:t xml:space="preserve">nsnational companies. European Works Councils provide for a common platform for exchanges on transnational issues between employees and employers’ representatives </w:t>
      </w:r>
      <w:r>
        <w:rPr>
          <w:rFonts w:eastAsia="Times New Roman"/>
          <w:noProof/>
          <w:sz w:val="24"/>
          <w:szCs w:val="20"/>
        </w:rPr>
        <w:t>across EU Member States and EEA countries.</w:t>
      </w:r>
      <w:r>
        <w:rPr>
          <w:noProof/>
          <w:color w:val="000000" w:themeColor="text1"/>
          <w:sz w:val="24"/>
          <w:szCs w:val="24"/>
        </w:rPr>
        <w:t xml:space="preserve"> Through them, workers are informed and consulted b</w:t>
      </w:r>
      <w:r>
        <w:rPr>
          <w:noProof/>
          <w:color w:val="000000" w:themeColor="text1"/>
          <w:sz w:val="24"/>
          <w:szCs w:val="24"/>
        </w:rPr>
        <w:t>y management on the progress of the business and on any significant decision at European level that could affect their employment or working conditions.</w:t>
      </w:r>
    </w:p>
    <w:p w:rsidR="00950A57" w:rsidRDefault="00A4261F">
      <w:pPr>
        <w:autoSpaceDE w:val="0"/>
        <w:autoSpaceDN w:val="0"/>
        <w:adjustRightInd w:val="0"/>
        <w:spacing w:after="0"/>
        <w:rPr>
          <w:noProof/>
          <w:color w:val="000000" w:themeColor="text1"/>
          <w:sz w:val="24"/>
          <w:szCs w:val="24"/>
        </w:rPr>
      </w:pPr>
      <w:r>
        <w:rPr>
          <w:noProof/>
          <w:color w:val="000000" w:themeColor="text1"/>
          <w:sz w:val="24"/>
          <w:szCs w:val="24"/>
        </w:rPr>
        <w:t>European Works Councils have proven vital to the development of transnational industrial relations. Wit</w:t>
      </w:r>
      <w:r>
        <w:rPr>
          <w:noProof/>
          <w:color w:val="000000" w:themeColor="text1"/>
          <w:sz w:val="24"/>
          <w:szCs w:val="24"/>
        </w:rPr>
        <w:t>hin multinational companies, decisions affecting employees in one Member State are often taken by central management located outside that Member State.  European Works Councils contribute to creating solidarity and synergies between workers in different Me</w:t>
      </w:r>
      <w:r>
        <w:rPr>
          <w:noProof/>
          <w:color w:val="000000" w:themeColor="text1"/>
          <w:sz w:val="24"/>
          <w:szCs w:val="24"/>
        </w:rPr>
        <w:t xml:space="preserve">mber States, to sharing best practices and to the shaping, understanding and implementing of decisions on transnational issues facing the multinational company. </w:t>
      </w:r>
    </w:p>
    <w:p w:rsidR="00950A57" w:rsidRDefault="00950A57">
      <w:pPr>
        <w:autoSpaceDE w:val="0"/>
        <w:autoSpaceDN w:val="0"/>
        <w:adjustRightInd w:val="0"/>
        <w:spacing w:after="0"/>
        <w:rPr>
          <w:noProof/>
          <w:color w:val="000000" w:themeColor="text1"/>
          <w:sz w:val="24"/>
          <w:szCs w:val="24"/>
        </w:rPr>
      </w:pPr>
    </w:p>
    <w:p w:rsidR="00950A57" w:rsidRDefault="00A4261F">
      <w:pPr>
        <w:autoSpaceDE w:val="0"/>
        <w:autoSpaceDN w:val="0"/>
        <w:adjustRightInd w:val="0"/>
        <w:spacing w:after="0"/>
        <w:rPr>
          <w:noProof/>
          <w:color w:val="000000" w:themeColor="text1"/>
          <w:sz w:val="24"/>
          <w:szCs w:val="24"/>
        </w:rPr>
      </w:pPr>
      <w:r>
        <w:rPr>
          <w:noProof/>
          <w:color w:val="000000" w:themeColor="text1"/>
          <w:sz w:val="24"/>
          <w:szCs w:val="24"/>
        </w:rPr>
        <w:t>European Works Councils allow improving the communication between the employees and the centr</w:t>
      </w:r>
      <w:r>
        <w:rPr>
          <w:noProof/>
          <w:color w:val="000000" w:themeColor="text1"/>
          <w:sz w:val="24"/>
          <w:szCs w:val="24"/>
        </w:rPr>
        <w:t>al management. The benefit for employers can lie in increased trust and engagement from workers, bringing in their knowledge and experience. A shared understanding of the transnational challenges facing the company and the involvement of employees in the d</w:t>
      </w:r>
      <w:r>
        <w:rPr>
          <w:noProof/>
          <w:color w:val="000000" w:themeColor="text1"/>
          <w:sz w:val="24"/>
          <w:szCs w:val="24"/>
        </w:rPr>
        <w:t>ecision-making on possible solutions can also facilitate the introduction and increase the impact of strategic choices made by central management within a multinational company.</w:t>
      </w:r>
    </w:p>
    <w:p w:rsidR="00950A57" w:rsidRDefault="00950A57">
      <w:pPr>
        <w:autoSpaceDE w:val="0"/>
        <w:autoSpaceDN w:val="0"/>
        <w:adjustRightInd w:val="0"/>
        <w:spacing w:after="0"/>
        <w:rPr>
          <w:noProof/>
          <w:color w:val="000000" w:themeColor="text1"/>
          <w:sz w:val="24"/>
          <w:szCs w:val="24"/>
        </w:rPr>
      </w:pPr>
    </w:p>
    <w:p w:rsidR="00950A57" w:rsidRDefault="00A4261F">
      <w:pPr>
        <w:autoSpaceDE w:val="0"/>
        <w:autoSpaceDN w:val="0"/>
        <w:adjustRightInd w:val="0"/>
        <w:spacing w:after="0"/>
        <w:rPr>
          <w:rFonts w:eastAsia="Times New Roman"/>
          <w:noProof/>
          <w:sz w:val="24"/>
          <w:szCs w:val="20"/>
        </w:rPr>
      </w:pPr>
      <w:r>
        <w:rPr>
          <w:noProof/>
          <w:color w:val="000000" w:themeColor="text1"/>
          <w:sz w:val="24"/>
          <w:szCs w:val="24"/>
        </w:rPr>
        <w:t>Through the decisive role they play in anticipating and managing change, Euro</w:t>
      </w:r>
      <w:r>
        <w:rPr>
          <w:noProof/>
          <w:color w:val="000000" w:themeColor="text1"/>
          <w:sz w:val="24"/>
          <w:szCs w:val="24"/>
        </w:rPr>
        <w:t xml:space="preserve">pean Works Councils allow for the prevention or mitigation of the negative effects of restructuring on employment and working conditions. More broadly, European Works Councils </w:t>
      </w:r>
      <w:r>
        <w:rPr>
          <w:rFonts w:eastAsia="Times New Roman"/>
          <w:noProof/>
          <w:sz w:val="24"/>
          <w:szCs w:val="20"/>
        </w:rPr>
        <w:t>will have an increasingly relevant role to play in formulating fair and sustaina</w:t>
      </w:r>
      <w:r>
        <w:rPr>
          <w:rFonts w:eastAsia="Times New Roman"/>
          <w:noProof/>
          <w:sz w:val="24"/>
          <w:szCs w:val="20"/>
        </w:rPr>
        <w:t>ble responses at company level to the transnational impact of challenges linked to digitalisation, globalisation and demographic change. They can address a wide variety of issues, such as the introduction of new technologies and the related training needs,</w:t>
      </w:r>
      <w:r>
        <w:rPr>
          <w:rFonts w:eastAsia="Times New Roman"/>
          <w:noProof/>
          <w:sz w:val="24"/>
          <w:szCs w:val="20"/>
        </w:rPr>
        <w:t xml:space="preserve"> the strategic development of the company in a changing market environment, or best practices in accommodating an ageing workforce. Some European Works Councils have initiated and supported the negotiation and conclusion of transnational company agreements</w:t>
      </w:r>
      <w:r>
        <w:rPr>
          <w:rFonts w:eastAsia="Times New Roman"/>
          <w:noProof/>
          <w:sz w:val="24"/>
          <w:szCs w:val="20"/>
        </w:rPr>
        <w:t xml:space="preserve"> on various topics such as training, employment, or sustainable development.</w:t>
      </w:r>
    </w:p>
    <w:p w:rsidR="00950A57" w:rsidRDefault="00950A57">
      <w:pPr>
        <w:autoSpaceDE w:val="0"/>
        <w:autoSpaceDN w:val="0"/>
        <w:adjustRightInd w:val="0"/>
        <w:spacing w:after="0"/>
        <w:rPr>
          <w:rFonts w:eastAsia="Times New Roman"/>
          <w:noProof/>
          <w:sz w:val="24"/>
          <w:szCs w:val="20"/>
        </w:rPr>
      </w:pPr>
    </w:p>
    <w:p w:rsidR="00950A57" w:rsidRDefault="00A4261F">
      <w:pPr>
        <w:autoSpaceDE w:val="0"/>
        <w:autoSpaceDN w:val="0"/>
        <w:adjustRightInd w:val="0"/>
        <w:spacing w:after="0"/>
        <w:rPr>
          <w:noProof/>
          <w:color w:val="000000" w:themeColor="text1"/>
          <w:sz w:val="24"/>
          <w:szCs w:val="24"/>
        </w:rPr>
      </w:pPr>
      <w:r>
        <w:rPr>
          <w:noProof/>
          <w:color w:val="000000" w:themeColor="text1"/>
          <w:sz w:val="24"/>
          <w:szCs w:val="24"/>
        </w:rPr>
        <w:t>As with other fora of social dialogue at company level, the proper legal framework conditions do not guarantee successful results. The motivation, commitment and capacities of bo</w:t>
      </w:r>
      <w:r>
        <w:rPr>
          <w:noProof/>
          <w:color w:val="000000" w:themeColor="text1"/>
          <w:sz w:val="24"/>
          <w:szCs w:val="24"/>
        </w:rPr>
        <w:t>th employee and employer representatives are an important determinant of the outcomes and the quality of the exchanges in European Works Councils.</w:t>
      </w:r>
    </w:p>
    <w:p w:rsidR="00950A57" w:rsidRDefault="00950A57">
      <w:pPr>
        <w:autoSpaceDE w:val="0"/>
        <w:autoSpaceDN w:val="0"/>
        <w:adjustRightInd w:val="0"/>
        <w:spacing w:after="0"/>
        <w:rPr>
          <w:noProof/>
          <w:color w:val="000000" w:themeColor="text1"/>
          <w:sz w:val="24"/>
          <w:szCs w:val="24"/>
        </w:rPr>
      </w:pPr>
    </w:p>
    <w:p w:rsidR="00950A57" w:rsidRDefault="00950A57">
      <w:pPr>
        <w:spacing w:after="0" w:line="240" w:lineRule="auto"/>
        <w:rPr>
          <w:rFonts w:eastAsia="Times New Roman"/>
          <w:noProof/>
          <w:sz w:val="24"/>
          <w:szCs w:val="20"/>
        </w:rPr>
      </w:pPr>
    </w:p>
    <w:p w:rsidR="00950A57" w:rsidRDefault="00A4261F">
      <w:pPr>
        <w:pStyle w:val="Heading1"/>
        <w:rPr>
          <w:noProof/>
        </w:rPr>
      </w:pPr>
      <w:r>
        <w:rPr>
          <w:noProof/>
        </w:rPr>
        <w:t>The objectives of the Recast Directive</w:t>
      </w:r>
    </w:p>
    <w:p w:rsidR="00950A57" w:rsidRDefault="00A4261F">
      <w:pPr>
        <w:spacing w:before="120" w:after="120"/>
        <w:rPr>
          <w:noProof/>
          <w:color w:val="000000" w:themeColor="text1"/>
          <w:sz w:val="24"/>
          <w:szCs w:val="24"/>
        </w:rPr>
      </w:pPr>
      <w:r>
        <w:rPr>
          <w:noProof/>
          <w:color w:val="000000" w:themeColor="text1"/>
          <w:sz w:val="24"/>
          <w:szCs w:val="24"/>
        </w:rPr>
        <w:t>The Recast Directive allows for European Works Councils to be set up</w:t>
      </w:r>
      <w:r>
        <w:rPr>
          <w:noProof/>
          <w:color w:val="000000" w:themeColor="text1"/>
          <w:sz w:val="24"/>
          <w:szCs w:val="24"/>
        </w:rPr>
        <w:t xml:space="preserve"> to inform and provide opinion on transnational matters in multinational companies that have at least 1 000 employees in the EEA and at least 150 employees in each of at least two Member States.</w:t>
      </w:r>
    </w:p>
    <w:p w:rsidR="00950A57" w:rsidRDefault="00A4261F">
      <w:pPr>
        <w:spacing w:before="120" w:after="120"/>
        <w:rPr>
          <w:noProof/>
          <w:color w:val="000000" w:themeColor="text1"/>
          <w:sz w:val="24"/>
          <w:szCs w:val="24"/>
        </w:rPr>
      </w:pPr>
      <w:r>
        <w:rPr>
          <w:noProof/>
          <w:color w:val="000000" w:themeColor="text1"/>
          <w:sz w:val="24"/>
          <w:szCs w:val="24"/>
        </w:rPr>
        <w:t>The process of creating a European Works Council is triggered</w:t>
      </w:r>
      <w:r>
        <w:rPr>
          <w:noProof/>
          <w:color w:val="000000" w:themeColor="text1"/>
          <w:sz w:val="24"/>
          <w:szCs w:val="24"/>
        </w:rPr>
        <w:t xml:space="preserve"> either by a request by 100 employees from two Member States, or by a decision by the employer. The composition and functioning of each European Works Councils is tailored to the company’s specific situation through a signed agreement between management an</w:t>
      </w:r>
      <w:r>
        <w:rPr>
          <w:noProof/>
          <w:color w:val="000000" w:themeColor="text1"/>
          <w:sz w:val="24"/>
          <w:szCs w:val="24"/>
        </w:rPr>
        <w:t>d workers’ representatives from the different Member States involved.</w:t>
      </w:r>
    </w:p>
    <w:p w:rsidR="00950A57" w:rsidRDefault="00A4261F">
      <w:pPr>
        <w:rPr>
          <w:noProof/>
          <w:color w:val="000000" w:themeColor="text1"/>
          <w:sz w:val="24"/>
          <w:szCs w:val="24"/>
        </w:rPr>
      </w:pPr>
      <w:r>
        <w:rPr>
          <w:noProof/>
          <w:color w:val="000000" w:themeColor="text1"/>
          <w:sz w:val="24"/>
          <w:szCs w:val="24"/>
        </w:rPr>
        <w:t>In transnational undertakings, the central management shall inform and consult European employees on progress and significant decisions via their European Works Councils representatives.</w:t>
      </w:r>
    </w:p>
    <w:p w:rsidR="00950A57" w:rsidRDefault="00A4261F">
      <w:pPr>
        <w:rPr>
          <w:noProof/>
          <w:color w:val="000000" w:themeColor="text1"/>
          <w:sz w:val="24"/>
          <w:szCs w:val="24"/>
        </w:rPr>
      </w:pPr>
      <w:r>
        <w:rPr>
          <w:noProof/>
          <w:color w:val="000000" w:themeColor="text1"/>
          <w:sz w:val="24"/>
          <w:szCs w:val="24"/>
        </w:rPr>
        <w:t>The Recast Directive aims to pursue in particular the following objectives</w:t>
      </w:r>
      <w:r>
        <w:rPr>
          <w:rStyle w:val="FootnoteReference"/>
          <w:noProof/>
        </w:rPr>
        <w:footnoteReference w:id="12"/>
      </w:r>
      <w:r>
        <w:rPr>
          <w:noProof/>
          <w:color w:val="000000" w:themeColor="text1"/>
          <w:sz w:val="24"/>
          <w:szCs w:val="24"/>
        </w:rPr>
        <w:t>:</w:t>
      </w:r>
    </w:p>
    <w:p w:rsidR="00950A57" w:rsidRDefault="00A4261F">
      <w:pPr>
        <w:pStyle w:val="ListParagraph"/>
        <w:numPr>
          <w:ilvl w:val="0"/>
          <w:numId w:val="37"/>
        </w:numPr>
        <w:spacing w:before="120" w:after="120"/>
        <w:contextualSpacing w:val="0"/>
        <w:rPr>
          <w:noProof/>
          <w:color w:val="000000" w:themeColor="text1"/>
          <w:sz w:val="24"/>
          <w:szCs w:val="24"/>
        </w:rPr>
      </w:pPr>
      <w:r>
        <w:rPr>
          <w:noProof/>
          <w:color w:val="000000" w:themeColor="text1"/>
          <w:sz w:val="24"/>
          <w:szCs w:val="24"/>
        </w:rPr>
        <w:t xml:space="preserve">ensuring employees’ transnational information and consultation rights are effectively respected; </w:t>
      </w:r>
    </w:p>
    <w:p w:rsidR="00950A57" w:rsidRDefault="00A4261F">
      <w:pPr>
        <w:pStyle w:val="ListParagraph"/>
        <w:numPr>
          <w:ilvl w:val="0"/>
          <w:numId w:val="37"/>
        </w:numPr>
        <w:spacing w:before="120" w:after="120"/>
        <w:contextualSpacing w:val="0"/>
        <w:rPr>
          <w:noProof/>
          <w:color w:val="000000" w:themeColor="text1"/>
          <w:sz w:val="24"/>
          <w:szCs w:val="24"/>
        </w:rPr>
      </w:pPr>
      <w:r>
        <w:rPr>
          <w:noProof/>
          <w:color w:val="000000" w:themeColor="text1"/>
          <w:sz w:val="24"/>
          <w:szCs w:val="24"/>
        </w:rPr>
        <w:t>encouraging the creation of new European Works Councils;</w:t>
      </w:r>
    </w:p>
    <w:p w:rsidR="00950A57" w:rsidRDefault="00A4261F">
      <w:pPr>
        <w:pStyle w:val="ListParagraph"/>
        <w:numPr>
          <w:ilvl w:val="0"/>
          <w:numId w:val="37"/>
        </w:numPr>
        <w:spacing w:before="120" w:after="120"/>
        <w:contextualSpacing w:val="0"/>
        <w:rPr>
          <w:noProof/>
          <w:color w:val="000000" w:themeColor="text1"/>
          <w:sz w:val="24"/>
          <w:szCs w:val="24"/>
        </w:rPr>
      </w:pPr>
      <w:r>
        <w:rPr>
          <w:noProof/>
          <w:color w:val="000000" w:themeColor="text1"/>
          <w:sz w:val="24"/>
          <w:szCs w:val="24"/>
        </w:rPr>
        <w:t xml:space="preserve">resolving the problems </w:t>
      </w:r>
      <w:r>
        <w:rPr>
          <w:noProof/>
          <w:color w:val="000000" w:themeColor="text1"/>
          <w:sz w:val="24"/>
          <w:szCs w:val="24"/>
        </w:rPr>
        <w:t>encountered in the practical application of Directive 94/45/EC;</w:t>
      </w:r>
    </w:p>
    <w:p w:rsidR="00950A57" w:rsidRDefault="00A4261F">
      <w:pPr>
        <w:pStyle w:val="ListParagraph"/>
        <w:numPr>
          <w:ilvl w:val="0"/>
          <w:numId w:val="37"/>
        </w:numPr>
        <w:spacing w:before="120" w:after="120"/>
        <w:contextualSpacing w:val="0"/>
        <w:rPr>
          <w:noProof/>
          <w:color w:val="000000" w:themeColor="text1"/>
          <w:sz w:val="24"/>
          <w:szCs w:val="24"/>
        </w:rPr>
      </w:pPr>
      <w:r>
        <w:rPr>
          <w:noProof/>
          <w:color w:val="000000" w:themeColor="text1"/>
          <w:sz w:val="24"/>
          <w:szCs w:val="24"/>
        </w:rPr>
        <w:t>remedying the lack of legal certainty resulting from defects in some provisions (such as definitions of information and consultation) and the absence of others (e.g. definition of transnationa</w:t>
      </w:r>
      <w:r>
        <w:rPr>
          <w:noProof/>
          <w:color w:val="000000" w:themeColor="text1"/>
          <w:sz w:val="24"/>
          <w:szCs w:val="24"/>
        </w:rPr>
        <w:t>lity);</w:t>
      </w:r>
    </w:p>
    <w:p w:rsidR="00950A57" w:rsidRDefault="00A4261F">
      <w:pPr>
        <w:pStyle w:val="ListParagraph"/>
        <w:numPr>
          <w:ilvl w:val="0"/>
          <w:numId w:val="37"/>
        </w:numPr>
        <w:spacing w:before="120" w:after="120"/>
        <w:contextualSpacing w:val="0"/>
        <w:rPr>
          <w:noProof/>
          <w:color w:val="000000" w:themeColor="text1"/>
          <w:sz w:val="24"/>
          <w:szCs w:val="24"/>
        </w:rPr>
      </w:pPr>
      <w:r>
        <w:rPr>
          <w:noProof/>
          <w:color w:val="000000" w:themeColor="text1"/>
          <w:sz w:val="24"/>
          <w:szCs w:val="24"/>
        </w:rPr>
        <w:t>ensuring better links with other EU legislation on informing and consulting employees.</w:t>
      </w:r>
    </w:p>
    <w:p w:rsidR="00950A57" w:rsidRDefault="00A4261F">
      <w:pPr>
        <w:spacing w:after="200"/>
        <w:rPr>
          <w:noProof/>
          <w:color w:val="000000" w:themeColor="text1"/>
          <w:sz w:val="24"/>
          <w:szCs w:val="24"/>
        </w:rPr>
      </w:pPr>
      <w:r>
        <w:rPr>
          <w:noProof/>
          <w:color w:val="000000" w:themeColor="text1"/>
          <w:sz w:val="24"/>
          <w:szCs w:val="24"/>
        </w:rPr>
        <w:t>The Directive made the following significant changes to the enacting provisions:</w:t>
      </w:r>
    </w:p>
    <w:p w:rsidR="00950A57" w:rsidRDefault="00A4261F">
      <w:pPr>
        <w:pStyle w:val="ListParagraph"/>
        <w:spacing w:before="120" w:after="120"/>
        <w:contextualSpacing w:val="0"/>
        <w:rPr>
          <w:noProof/>
          <w:color w:val="000000" w:themeColor="text1"/>
          <w:sz w:val="24"/>
          <w:szCs w:val="24"/>
        </w:rPr>
      </w:pPr>
      <w:r>
        <w:rPr>
          <w:noProof/>
          <w:color w:val="000000" w:themeColor="text1"/>
          <w:sz w:val="24"/>
          <w:szCs w:val="24"/>
        </w:rPr>
        <w:t>- introducing general principles regarding the arrangements for transnational inf</w:t>
      </w:r>
      <w:r>
        <w:rPr>
          <w:noProof/>
          <w:color w:val="000000" w:themeColor="text1"/>
          <w:sz w:val="24"/>
          <w:szCs w:val="24"/>
        </w:rPr>
        <w:t>ormation and consultation of employees and precise definitions of information and consultation;</w:t>
      </w:r>
    </w:p>
    <w:p w:rsidR="00950A57" w:rsidRDefault="00A4261F">
      <w:pPr>
        <w:pStyle w:val="ListParagraph"/>
        <w:spacing w:before="120" w:after="120"/>
        <w:contextualSpacing w:val="0"/>
        <w:rPr>
          <w:noProof/>
          <w:color w:val="000000" w:themeColor="text1"/>
          <w:sz w:val="24"/>
          <w:szCs w:val="24"/>
        </w:rPr>
      </w:pPr>
      <w:r>
        <w:rPr>
          <w:noProof/>
          <w:color w:val="000000" w:themeColor="text1"/>
          <w:sz w:val="24"/>
          <w:szCs w:val="24"/>
        </w:rPr>
        <w:t>- limiting the competence of European Works Councils to issues of a transnational nature and introducing a link between national and transnational levels of inf</w:t>
      </w:r>
      <w:r>
        <w:rPr>
          <w:noProof/>
          <w:color w:val="000000" w:themeColor="text1"/>
          <w:sz w:val="24"/>
          <w:szCs w:val="24"/>
        </w:rPr>
        <w:t>ormation and consultation of employees;</w:t>
      </w:r>
    </w:p>
    <w:p w:rsidR="00950A57" w:rsidRDefault="00A4261F">
      <w:pPr>
        <w:pStyle w:val="ListParagraph"/>
        <w:spacing w:before="120" w:after="120"/>
        <w:contextualSpacing w:val="0"/>
        <w:rPr>
          <w:noProof/>
          <w:color w:val="000000" w:themeColor="text1"/>
          <w:sz w:val="24"/>
          <w:szCs w:val="24"/>
        </w:rPr>
      </w:pPr>
      <w:r>
        <w:rPr>
          <w:noProof/>
          <w:color w:val="000000" w:themeColor="text1"/>
          <w:sz w:val="24"/>
          <w:szCs w:val="24"/>
        </w:rPr>
        <w:t>- clarifying the role of the employees’ representatives and the opportunity to benefit from training without loss of wages;</w:t>
      </w:r>
    </w:p>
    <w:p w:rsidR="00950A57" w:rsidRDefault="00A4261F">
      <w:pPr>
        <w:pStyle w:val="ListParagraph"/>
        <w:spacing w:before="120" w:after="120"/>
        <w:contextualSpacing w:val="0"/>
        <w:rPr>
          <w:noProof/>
          <w:color w:val="000000" w:themeColor="text1"/>
          <w:sz w:val="24"/>
          <w:szCs w:val="24"/>
        </w:rPr>
      </w:pPr>
      <w:r>
        <w:rPr>
          <w:noProof/>
          <w:color w:val="000000" w:themeColor="text1"/>
          <w:sz w:val="24"/>
          <w:szCs w:val="24"/>
        </w:rPr>
        <w:t>- clarifying responsibilities regarding the provision of information enabling the commenceme</w:t>
      </w:r>
      <w:r>
        <w:rPr>
          <w:noProof/>
          <w:color w:val="000000" w:themeColor="text1"/>
          <w:sz w:val="24"/>
          <w:szCs w:val="24"/>
        </w:rPr>
        <w:t>nt of negotiations and rules on negotiating agreements to set up new European Works Councils;</w:t>
      </w:r>
    </w:p>
    <w:p w:rsidR="00950A57" w:rsidRDefault="00A4261F">
      <w:pPr>
        <w:pStyle w:val="ListParagraph"/>
        <w:spacing w:before="120" w:after="120"/>
        <w:contextualSpacing w:val="0"/>
        <w:rPr>
          <w:noProof/>
          <w:color w:val="000000" w:themeColor="text1"/>
          <w:sz w:val="24"/>
          <w:szCs w:val="24"/>
        </w:rPr>
      </w:pPr>
      <w:r>
        <w:rPr>
          <w:noProof/>
          <w:color w:val="000000" w:themeColor="text1"/>
          <w:sz w:val="24"/>
          <w:szCs w:val="24"/>
        </w:rPr>
        <w:t>- making changes to the subsidiary requirements that apply in the absence of an agreement;</w:t>
      </w:r>
    </w:p>
    <w:p w:rsidR="00950A57" w:rsidRDefault="00A4261F">
      <w:pPr>
        <w:pStyle w:val="ListParagraph"/>
        <w:spacing w:before="120" w:after="120"/>
        <w:contextualSpacing w:val="0"/>
        <w:rPr>
          <w:noProof/>
          <w:color w:val="000000" w:themeColor="text1"/>
          <w:sz w:val="24"/>
          <w:szCs w:val="24"/>
        </w:rPr>
      </w:pPr>
      <w:r>
        <w:rPr>
          <w:noProof/>
          <w:color w:val="000000" w:themeColor="text1"/>
          <w:sz w:val="24"/>
          <w:szCs w:val="24"/>
        </w:rPr>
        <w:t>- introducing an adaptation clause that applies to agreements governing</w:t>
      </w:r>
      <w:r>
        <w:rPr>
          <w:noProof/>
          <w:color w:val="000000" w:themeColor="text1"/>
          <w:sz w:val="24"/>
          <w:szCs w:val="24"/>
        </w:rPr>
        <w:t xml:space="preserve"> European Works Councils if the structure of the undertaking or group of undertakings changes.</w:t>
      </w:r>
    </w:p>
    <w:p w:rsidR="00950A57" w:rsidRDefault="00950A57">
      <w:pPr>
        <w:pStyle w:val="Heading1"/>
        <w:numPr>
          <w:ilvl w:val="0"/>
          <w:numId w:val="0"/>
        </w:numPr>
        <w:spacing w:line="240" w:lineRule="auto"/>
        <w:ind w:left="720"/>
        <w:rPr>
          <w:noProof/>
        </w:rPr>
      </w:pPr>
    </w:p>
    <w:p w:rsidR="00950A57" w:rsidRDefault="00A4261F">
      <w:pPr>
        <w:pStyle w:val="Heading1"/>
        <w:rPr>
          <w:noProof/>
        </w:rPr>
      </w:pPr>
      <w:r>
        <w:rPr>
          <w:noProof/>
        </w:rPr>
        <w:t>Findings of the evaluation</w:t>
      </w:r>
    </w:p>
    <w:p w:rsidR="00950A57" w:rsidRDefault="00A4261F">
      <w:pPr>
        <w:spacing w:after="0"/>
        <w:rPr>
          <w:noProof/>
          <w:sz w:val="24"/>
          <w:szCs w:val="24"/>
        </w:rPr>
      </w:pPr>
      <w:r>
        <w:rPr>
          <w:noProof/>
          <w:sz w:val="24"/>
          <w:szCs w:val="24"/>
        </w:rPr>
        <w:t>The Commission examined the implementation of the Recast Directive in all Member States and EEA countries and conducted an assessment</w:t>
      </w:r>
      <w:r>
        <w:rPr>
          <w:noProof/>
          <w:sz w:val="24"/>
          <w:szCs w:val="24"/>
        </w:rPr>
        <w:t xml:space="preserve"> on the basis of data and information collected from various sources, such as an external study</w:t>
      </w:r>
      <w:r>
        <w:rPr>
          <w:rStyle w:val="FootnoteReference"/>
          <w:noProof/>
          <w:sz w:val="24"/>
          <w:szCs w:val="24"/>
        </w:rPr>
        <w:footnoteReference w:id="13"/>
      </w:r>
      <w:r>
        <w:rPr>
          <w:noProof/>
          <w:sz w:val="24"/>
          <w:szCs w:val="24"/>
        </w:rPr>
        <w:t>, EU and national social partners, European Works Councils' practitioners, research institutes and labour law experts. In line with the requirements of the Comm</w:t>
      </w:r>
      <w:r>
        <w:rPr>
          <w:noProof/>
          <w:sz w:val="24"/>
          <w:szCs w:val="24"/>
        </w:rPr>
        <w:t>ission’s Better Regulation strategy, this report sets out conclusions in respect of the effectiveness, efficiency, coherence, relevance and the EU added value of the new provisions introduced by the Directive. More details on those findings are provided in</w:t>
      </w:r>
      <w:r>
        <w:rPr>
          <w:noProof/>
          <w:sz w:val="24"/>
          <w:szCs w:val="24"/>
        </w:rPr>
        <w:t xml:space="preserve"> Sections IV and V of the accompanying staff working document</w:t>
      </w:r>
      <w:r>
        <w:rPr>
          <w:rStyle w:val="FootnoteReference"/>
          <w:noProof/>
          <w:sz w:val="24"/>
          <w:szCs w:val="24"/>
        </w:rPr>
        <w:footnoteReference w:id="14"/>
      </w:r>
      <w:r>
        <w:rPr>
          <w:noProof/>
          <w:sz w:val="24"/>
          <w:szCs w:val="24"/>
        </w:rPr>
        <w:t>.</w:t>
      </w:r>
    </w:p>
    <w:p w:rsidR="00950A57" w:rsidRDefault="00950A57">
      <w:pPr>
        <w:spacing w:after="0"/>
        <w:rPr>
          <w:noProof/>
          <w:sz w:val="24"/>
          <w:szCs w:val="24"/>
        </w:rPr>
      </w:pPr>
    </w:p>
    <w:p w:rsidR="00950A57" w:rsidRDefault="00A4261F">
      <w:pPr>
        <w:pStyle w:val="Heading2"/>
        <w:rPr>
          <w:noProof/>
        </w:rPr>
      </w:pPr>
      <w:r>
        <w:rPr>
          <w:noProof/>
        </w:rPr>
        <w:t>Transposition and legal clarity</w:t>
      </w:r>
    </w:p>
    <w:p w:rsidR="00950A57" w:rsidRDefault="00A4261F">
      <w:pPr>
        <w:spacing w:before="120" w:after="120"/>
        <w:rPr>
          <w:noProof/>
          <w:sz w:val="24"/>
          <w:szCs w:val="24"/>
        </w:rPr>
      </w:pPr>
      <w:r>
        <w:rPr>
          <w:noProof/>
          <w:sz w:val="24"/>
          <w:szCs w:val="24"/>
        </w:rPr>
        <w:t xml:space="preserve">The large majority of Member States have properly transposed the EU legislation. While most provisions have been implemented verbatim in national legislation, </w:t>
      </w:r>
      <w:r>
        <w:rPr>
          <w:noProof/>
          <w:sz w:val="24"/>
          <w:szCs w:val="24"/>
        </w:rPr>
        <w:t xml:space="preserve">some countries have made more detailed provisions, which go beyond the minimum requirements of the Recast Directive. </w:t>
      </w:r>
    </w:p>
    <w:p w:rsidR="00950A57" w:rsidRDefault="00A4261F">
      <w:pPr>
        <w:spacing w:before="120" w:after="120"/>
        <w:contextualSpacing/>
        <w:rPr>
          <w:rFonts w:eastAsia="Calibri"/>
          <w:noProof/>
          <w:color w:val="000000"/>
          <w:sz w:val="24"/>
          <w:szCs w:val="24"/>
        </w:rPr>
      </w:pPr>
      <w:r>
        <w:rPr>
          <w:rFonts w:eastAsia="Calibri"/>
          <w:noProof/>
          <w:color w:val="000000"/>
          <w:sz w:val="24"/>
          <w:szCs w:val="24"/>
        </w:rPr>
        <w:t>Most stakeholders and practitioners who were consulted considered that the Recast Directive has improved the clarity of the legal framewor</w:t>
      </w:r>
      <w:r>
        <w:rPr>
          <w:rFonts w:eastAsia="Calibri"/>
          <w:noProof/>
          <w:color w:val="000000"/>
          <w:sz w:val="24"/>
          <w:szCs w:val="24"/>
        </w:rPr>
        <w:t xml:space="preserve">k while a non-negligible share of them considered not being in the position to answer due to lack of experience with the recast provisions. Some challenges remain in practice, in particular when negotiating or applying the provisions of the </w:t>
      </w:r>
      <w:r>
        <w:rPr>
          <w:noProof/>
          <w:color w:val="000000" w:themeColor="text1"/>
          <w:sz w:val="24"/>
          <w:szCs w:val="24"/>
        </w:rPr>
        <w:t xml:space="preserve">European Works </w:t>
      </w:r>
      <w:r>
        <w:rPr>
          <w:noProof/>
          <w:color w:val="000000" w:themeColor="text1"/>
          <w:sz w:val="24"/>
          <w:szCs w:val="24"/>
        </w:rPr>
        <w:t xml:space="preserve">Councils </w:t>
      </w:r>
      <w:r>
        <w:rPr>
          <w:rFonts w:eastAsia="Calibri"/>
          <w:noProof/>
          <w:color w:val="000000"/>
          <w:sz w:val="24"/>
          <w:szCs w:val="24"/>
        </w:rPr>
        <w:t>agreement at company level. The volume of litigation at national level is low, and shows no change compared with the trend seen in relation to the original Directive. No cases have been brought at EU level.</w:t>
      </w:r>
    </w:p>
    <w:p w:rsidR="00950A57" w:rsidRDefault="00A4261F">
      <w:pPr>
        <w:pStyle w:val="Heading2"/>
        <w:rPr>
          <w:noProof/>
        </w:rPr>
      </w:pPr>
      <w:r>
        <w:rPr>
          <w:noProof/>
        </w:rPr>
        <w:t>Effectiveness</w:t>
      </w:r>
    </w:p>
    <w:p w:rsidR="00950A57" w:rsidRDefault="00A4261F">
      <w:pPr>
        <w:spacing w:before="120" w:after="120"/>
        <w:rPr>
          <w:noProof/>
          <w:sz w:val="24"/>
          <w:szCs w:val="24"/>
        </w:rPr>
      </w:pPr>
      <w:r>
        <w:rPr>
          <w:rFonts w:eastAsia="Calibri"/>
          <w:noProof/>
          <w:color w:val="000000"/>
          <w:sz w:val="24"/>
          <w:szCs w:val="24"/>
        </w:rPr>
        <w:t>The Recast Directive provi</w:t>
      </w:r>
      <w:r>
        <w:rPr>
          <w:rFonts w:eastAsia="Calibri"/>
          <w:noProof/>
          <w:color w:val="000000"/>
          <w:sz w:val="24"/>
          <w:szCs w:val="24"/>
        </w:rPr>
        <w:t xml:space="preserve">ded some impetus for setting up </w:t>
      </w:r>
      <w:r>
        <w:rPr>
          <w:noProof/>
          <w:color w:val="000000" w:themeColor="text1"/>
          <w:sz w:val="24"/>
          <w:szCs w:val="24"/>
        </w:rPr>
        <w:t xml:space="preserve">European Works Councils </w:t>
      </w:r>
      <w:r>
        <w:rPr>
          <w:rFonts w:eastAsia="Calibri"/>
          <w:noProof/>
          <w:color w:val="000000"/>
          <w:sz w:val="24"/>
          <w:szCs w:val="24"/>
        </w:rPr>
        <w:t xml:space="preserve">and renegotiating existing </w:t>
      </w:r>
      <w:r>
        <w:rPr>
          <w:noProof/>
          <w:color w:val="000000" w:themeColor="text1"/>
          <w:sz w:val="24"/>
          <w:szCs w:val="24"/>
        </w:rPr>
        <w:t xml:space="preserve">European Works Councils </w:t>
      </w:r>
      <w:r>
        <w:rPr>
          <w:rFonts w:eastAsia="Calibri"/>
          <w:noProof/>
          <w:color w:val="000000"/>
          <w:sz w:val="24"/>
          <w:szCs w:val="24"/>
        </w:rPr>
        <w:t xml:space="preserve">agreements while it did not stop the declining trend of creation of European Works Councils. The evaluation observed that around 20 </w:t>
      </w:r>
      <w:r>
        <w:rPr>
          <w:noProof/>
          <w:color w:val="000000" w:themeColor="text1"/>
          <w:sz w:val="24"/>
          <w:szCs w:val="24"/>
        </w:rPr>
        <w:t xml:space="preserve">European Works </w:t>
      </w:r>
      <w:r>
        <w:rPr>
          <w:noProof/>
          <w:color w:val="000000" w:themeColor="text1"/>
          <w:sz w:val="24"/>
          <w:szCs w:val="24"/>
        </w:rPr>
        <w:t>Councils</w:t>
      </w:r>
      <w:r>
        <w:rPr>
          <w:rFonts w:eastAsia="Calibri"/>
          <w:noProof/>
          <w:color w:val="000000"/>
          <w:sz w:val="24"/>
          <w:szCs w:val="24"/>
        </w:rPr>
        <w:t xml:space="preserve"> have been created per year since the implementation of the </w:t>
      </w:r>
      <w:r>
        <w:rPr>
          <w:noProof/>
          <w:sz w:val="24"/>
          <w:szCs w:val="24"/>
        </w:rPr>
        <w:t xml:space="preserve">Recast Directive, mainly in companies headquartered in France, Sweden and the US. </w:t>
      </w:r>
    </w:p>
    <w:p w:rsidR="00950A57" w:rsidRDefault="00A4261F">
      <w:pPr>
        <w:spacing w:before="120" w:after="120"/>
        <w:rPr>
          <w:rFonts w:eastAsia="Calibri"/>
          <w:noProof/>
          <w:color w:val="000000"/>
          <w:sz w:val="24"/>
          <w:szCs w:val="24"/>
        </w:rPr>
      </w:pPr>
      <w:r>
        <w:rPr>
          <w:noProof/>
          <w:sz w:val="24"/>
          <w:szCs w:val="24"/>
        </w:rPr>
        <w:t>Globally</w:t>
      </w:r>
      <w:r>
        <w:rPr>
          <w:rFonts w:eastAsia="Calibri"/>
          <w:noProof/>
          <w:color w:val="000000"/>
          <w:sz w:val="24"/>
          <w:szCs w:val="24"/>
        </w:rPr>
        <w:t xml:space="preserve">, France, Germany and United Kingdom host most of the European Works Councils due to the size of </w:t>
      </w:r>
      <w:r>
        <w:rPr>
          <w:rFonts w:eastAsia="Calibri"/>
          <w:noProof/>
          <w:color w:val="000000"/>
          <w:sz w:val="24"/>
          <w:szCs w:val="24"/>
        </w:rPr>
        <w:t>the companies at stake but also the development of industrial relations in those countries. The average size of companies setting up European Works Councils since the Recast Directive’s adoption is smaller than under the previous legislation.</w:t>
      </w:r>
    </w:p>
    <w:p w:rsidR="00950A57" w:rsidRDefault="00A4261F">
      <w:pPr>
        <w:spacing w:before="120" w:after="120"/>
        <w:rPr>
          <w:rFonts w:eastAsia="Calibri"/>
          <w:noProof/>
          <w:color w:val="000000"/>
          <w:sz w:val="24"/>
          <w:szCs w:val="24"/>
        </w:rPr>
      </w:pPr>
      <w:r>
        <w:rPr>
          <w:rFonts w:eastAsia="Calibri"/>
          <w:noProof/>
          <w:color w:val="000000"/>
          <w:sz w:val="24"/>
          <w:szCs w:val="24"/>
        </w:rPr>
        <w:t>There is room</w:t>
      </w:r>
      <w:r>
        <w:rPr>
          <w:rFonts w:eastAsia="Calibri"/>
          <w:noProof/>
          <w:color w:val="000000"/>
          <w:sz w:val="24"/>
          <w:szCs w:val="24"/>
        </w:rPr>
        <w:t xml:space="preserve"> for improvement to encourage creation of such bodies, as it is estimated that half of the companies eligible to do so have not yet set up a </w:t>
      </w:r>
      <w:r>
        <w:rPr>
          <w:noProof/>
          <w:color w:val="000000" w:themeColor="text1"/>
          <w:sz w:val="24"/>
          <w:szCs w:val="24"/>
        </w:rPr>
        <w:t>European Works Councils</w:t>
      </w:r>
      <w:r>
        <w:rPr>
          <w:rFonts w:eastAsia="Calibri"/>
          <w:noProof/>
          <w:color w:val="000000"/>
          <w:sz w:val="24"/>
          <w:szCs w:val="24"/>
        </w:rPr>
        <w:t>. While the absolute number of European Works Councils increased following the adoption of t</w:t>
      </w:r>
      <w:r>
        <w:rPr>
          <w:rFonts w:eastAsia="Calibri"/>
          <w:noProof/>
          <w:color w:val="000000"/>
          <w:sz w:val="24"/>
          <w:szCs w:val="24"/>
        </w:rPr>
        <w:t>he Recast Directive, one could  still expect a higher level of net creation of such bodies The reasons for this are complex and multiple, including: a lack of awareness of legal requirements on the part of national social partners; changing company structu</w:t>
      </w:r>
      <w:r>
        <w:rPr>
          <w:rFonts w:eastAsia="Calibri"/>
          <w:noProof/>
          <w:color w:val="000000"/>
          <w:sz w:val="24"/>
          <w:szCs w:val="24"/>
        </w:rPr>
        <w:t xml:space="preserve">res due to mergers or acquisitions; the absence of an obligation to set up </w:t>
      </w:r>
      <w:r>
        <w:rPr>
          <w:noProof/>
          <w:color w:val="000000" w:themeColor="text1"/>
          <w:sz w:val="24"/>
          <w:szCs w:val="24"/>
        </w:rPr>
        <w:t>European Works Councils</w:t>
      </w:r>
      <w:r>
        <w:rPr>
          <w:rFonts w:eastAsia="Calibri"/>
          <w:noProof/>
          <w:color w:val="000000"/>
          <w:sz w:val="24"/>
          <w:szCs w:val="24"/>
        </w:rPr>
        <w:t xml:space="preserve">; </w:t>
      </w:r>
      <w:r>
        <w:rPr>
          <w:noProof/>
          <w:sz w:val="24"/>
          <w:szCs w:val="24"/>
        </w:rPr>
        <w:t xml:space="preserve">companies being headquartered in countries with a less developed social dialogue tradition; and </w:t>
      </w:r>
      <w:r>
        <w:rPr>
          <w:rFonts w:eastAsia="Calibri"/>
          <w:noProof/>
          <w:color w:val="000000"/>
          <w:sz w:val="24"/>
          <w:szCs w:val="24"/>
        </w:rPr>
        <w:t xml:space="preserve">the length of time for social partners to negotiate the </w:t>
      </w:r>
      <w:r>
        <w:rPr>
          <w:noProof/>
          <w:color w:val="000000" w:themeColor="text1"/>
          <w:sz w:val="24"/>
          <w:szCs w:val="24"/>
        </w:rPr>
        <w:t>Euro</w:t>
      </w:r>
      <w:r>
        <w:rPr>
          <w:noProof/>
          <w:color w:val="000000" w:themeColor="text1"/>
          <w:sz w:val="24"/>
          <w:szCs w:val="24"/>
        </w:rPr>
        <w:t>pean Works Councils</w:t>
      </w:r>
      <w:r>
        <w:rPr>
          <w:rFonts w:eastAsia="Calibri"/>
          <w:noProof/>
          <w:color w:val="000000"/>
          <w:sz w:val="24"/>
          <w:szCs w:val="24"/>
        </w:rPr>
        <w:t xml:space="preserve"> agreement.</w:t>
      </w:r>
    </w:p>
    <w:p w:rsidR="00950A57" w:rsidRDefault="00A4261F">
      <w:pPr>
        <w:spacing w:before="120" w:after="120"/>
        <w:rPr>
          <w:rFonts w:eastAsia="Calibri"/>
          <w:noProof/>
          <w:color w:val="000000"/>
          <w:sz w:val="24"/>
          <w:szCs w:val="24"/>
        </w:rPr>
      </w:pPr>
      <w:r>
        <w:rPr>
          <w:rFonts w:eastAsia="Calibri"/>
          <w:noProof/>
          <w:color w:val="000000"/>
          <w:sz w:val="24"/>
          <w:szCs w:val="24"/>
        </w:rPr>
        <w:t>While the concept of transnationality is better defined in the provisions of the Recast Directive, it often remains difficult for European</w:t>
      </w:r>
      <w:r>
        <w:rPr>
          <w:noProof/>
          <w:color w:val="000000" w:themeColor="text1"/>
          <w:sz w:val="24"/>
          <w:szCs w:val="24"/>
        </w:rPr>
        <w:t xml:space="preserve"> Works Councils</w:t>
      </w:r>
      <w:r>
        <w:rPr>
          <w:rFonts w:eastAsia="Calibri"/>
          <w:noProof/>
          <w:color w:val="000000"/>
          <w:sz w:val="24"/>
          <w:szCs w:val="24"/>
        </w:rPr>
        <w:t xml:space="preserve"> practitioners to interpret in concrete cases.</w:t>
      </w:r>
    </w:p>
    <w:p w:rsidR="00950A57" w:rsidRDefault="00A4261F">
      <w:pPr>
        <w:spacing w:before="120" w:after="120"/>
        <w:rPr>
          <w:rFonts w:eastAsia="Calibri"/>
          <w:noProof/>
          <w:color w:val="000000"/>
          <w:sz w:val="24"/>
          <w:szCs w:val="24"/>
        </w:rPr>
      </w:pPr>
      <w:r>
        <w:rPr>
          <w:rFonts w:eastAsia="Calibri"/>
          <w:noProof/>
          <w:color w:val="000000"/>
          <w:sz w:val="24"/>
          <w:szCs w:val="24"/>
        </w:rPr>
        <w:t xml:space="preserve">The Recast Directive improved the information for workers in terms of quality and scope but as regards consultation, it has been less effective. Despite having the right to express an opinion, </w:t>
      </w:r>
      <w:r>
        <w:rPr>
          <w:noProof/>
          <w:color w:val="000000" w:themeColor="text1"/>
          <w:sz w:val="24"/>
          <w:szCs w:val="24"/>
        </w:rPr>
        <w:t>European Works Councils members</w:t>
      </w:r>
      <w:r>
        <w:rPr>
          <w:rFonts w:eastAsia="Calibri"/>
          <w:noProof/>
          <w:color w:val="000000"/>
          <w:sz w:val="24"/>
          <w:szCs w:val="24"/>
        </w:rPr>
        <w:t xml:space="preserve"> seem to have little influence i</w:t>
      </w:r>
      <w:r>
        <w:rPr>
          <w:rFonts w:eastAsia="Calibri"/>
          <w:noProof/>
          <w:color w:val="000000"/>
          <w:sz w:val="24"/>
          <w:szCs w:val="24"/>
        </w:rPr>
        <w:t>n the decision-making process in their companies, notably in cases of restructuring.</w:t>
      </w:r>
    </w:p>
    <w:p w:rsidR="00950A57" w:rsidRDefault="00A4261F">
      <w:pPr>
        <w:spacing w:after="0"/>
        <w:rPr>
          <w:noProof/>
          <w:color w:val="000000" w:themeColor="text1"/>
          <w:sz w:val="24"/>
          <w:szCs w:val="24"/>
        </w:rPr>
      </w:pPr>
      <w:r>
        <w:rPr>
          <w:noProof/>
          <w:color w:val="000000" w:themeColor="text1"/>
          <w:sz w:val="24"/>
          <w:szCs w:val="24"/>
        </w:rPr>
        <w:t>European Works Councils</w:t>
      </w:r>
      <w:r>
        <w:rPr>
          <w:rFonts w:eastAsia="Calibri"/>
          <w:noProof/>
          <w:color w:val="000000"/>
          <w:sz w:val="24"/>
          <w:szCs w:val="24"/>
        </w:rPr>
        <w:t xml:space="preserve"> are perceived by employers as useful tools, </w:t>
      </w:r>
      <w:r>
        <w:rPr>
          <w:noProof/>
          <w:color w:val="000000" w:themeColor="text1"/>
          <w:sz w:val="24"/>
          <w:szCs w:val="24"/>
        </w:rPr>
        <w:t xml:space="preserve">bringing benefits to all parties in many ways, including: improving the common understanding of issues </w:t>
      </w:r>
      <w:r>
        <w:rPr>
          <w:noProof/>
          <w:color w:val="000000" w:themeColor="text1"/>
          <w:sz w:val="24"/>
          <w:szCs w:val="24"/>
        </w:rPr>
        <w:t>among members; explaining decisions; initiating strategic discussions; and making valuable proposals for action, depending on the topics discussed.</w:t>
      </w:r>
      <w:r>
        <w:rPr>
          <w:rFonts w:eastAsia="Times New Roman"/>
          <w:noProof/>
          <w:sz w:val="24"/>
          <w:szCs w:val="24"/>
          <w:lang w:eastAsia="en-GB"/>
        </w:rPr>
        <w:t xml:space="preserve"> Despite not having any formal bargaining powers, </w:t>
      </w:r>
      <w:r>
        <w:rPr>
          <w:noProof/>
          <w:color w:val="000000" w:themeColor="text1"/>
          <w:sz w:val="24"/>
          <w:szCs w:val="24"/>
        </w:rPr>
        <w:t>European Works Councils</w:t>
      </w:r>
      <w:r>
        <w:rPr>
          <w:rFonts w:eastAsia="Times New Roman"/>
          <w:noProof/>
          <w:sz w:val="24"/>
          <w:szCs w:val="24"/>
          <w:lang w:eastAsia="en-GB"/>
        </w:rPr>
        <w:t xml:space="preserve"> also play a role in negotiating tra</w:t>
      </w:r>
      <w:r>
        <w:rPr>
          <w:rFonts w:eastAsia="Times New Roman"/>
          <w:noProof/>
          <w:sz w:val="24"/>
          <w:szCs w:val="24"/>
          <w:lang w:eastAsia="en-GB"/>
        </w:rPr>
        <w:t>nsnational collective agreements</w:t>
      </w:r>
      <w:r>
        <w:rPr>
          <w:rStyle w:val="FootnoteReference"/>
          <w:rFonts w:eastAsia="Times New Roman"/>
          <w:noProof/>
          <w:sz w:val="24"/>
          <w:szCs w:val="24"/>
          <w:lang w:eastAsia="en-GB"/>
        </w:rPr>
        <w:footnoteReference w:id="15"/>
      </w:r>
      <w:r>
        <w:rPr>
          <w:rFonts w:eastAsia="Times New Roman"/>
          <w:noProof/>
          <w:sz w:val="24"/>
          <w:szCs w:val="24"/>
          <w:lang w:eastAsia="en-GB"/>
        </w:rPr>
        <w:t xml:space="preserve"> in some multinational undertakings.</w:t>
      </w:r>
    </w:p>
    <w:p w:rsidR="00950A57" w:rsidRDefault="00A4261F">
      <w:pPr>
        <w:spacing w:before="120" w:after="120"/>
        <w:rPr>
          <w:noProof/>
          <w:szCs w:val="24"/>
        </w:rPr>
      </w:pPr>
      <w:r>
        <w:rPr>
          <w:rFonts w:eastAsia="Calibri"/>
          <w:noProof/>
          <w:color w:val="000000"/>
          <w:sz w:val="24"/>
          <w:szCs w:val="24"/>
        </w:rPr>
        <w:t xml:space="preserve">In relation to enforcement, the assessment shows a variety of situations in Member States regarding the capacity of </w:t>
      </w:r>
      <w:r>
        <w:rPr>
          <w:noProof/>
          <w:color w:val="000000" w:themeColor="text1"/>
          <w:sz w:val="24"/>
          <w:szCs w:val="24"/>
        </w:rPr>
        <w:t>European Works Councils</w:t>
      </w:r>
      <w:r>
        <w:rPr>
          <w:rFonts w:eastAsia="Calibri"/>
          <w:noProof/>
          <w:color w:val="000000"/>
          <w:sz w:val="24"/>
          <w:szCs w:val="24"/>
        </w:rPr>
        <w:t xml:space="preserve"> to act in justice. In half of the Member State</w:t>
      </w:r>
      <w:r>
        <w:rPr>
          <w:rFonts w:eastAsia="Calibri"/>
          <w:noProof/>
          <w:color w:val="000000"/>
          <w:sz w:val="24"/>
          <w:szCs w:val="24"/>
        </w:rPr>
        <w:t>s, alternative dispute resolution mechanisms are in place. Overall, the evaluation noted weaknesses in the means in place allowing European Works Councils to enforce their rights and significant differences in the type and level of sanctions.</w:t>
      </w:r>
    </w:p>
    <w:p w:rsidR="00950A57" w:rsidRDefault="00A4261F">
      <w:pPr>
        <w:pStyle w:val="Heading2"/>
        <w:rPr>
          <w:noProof/>
        </w:rPr>
      </w:pPr>
      <w:r>
        <w:rPr>
          <w:noProof/>
        </w:rPr>
        <w:t>Efficiency</w:t>
      </w:r>
    </w:p>
    <w:p w:rsidR="00950A57" w:rsidRDefault="00A4261F">
      <w:pPr>
        <w:tabs>
          <w:tab w:val="num" w:pos="680"/>
        </w:tabs>
        <w:spacing w:before="120" w:after="120"/>
        <w:contextualSpacing/>
        <w:rPr>
          <w:noProof/>
          <w:sz w:val="24"/>
          <w:szCs w:val="24"/>
        </w:rPr>
      </w:pPr>
      <w:r>
        <w:rPr>
          <w:rFonts w:eastAsia="Calibri"/>
          <w:noProof/>
          <w:color w:val="000000"/>
          <w:sz w:val="24"/>
          <w:szCs w:val="24"/>
        </w:rPr>
        <w:t>Th</w:t>
      </w:r>
      <w:r>
        <w:rPr>
          <w:rFonts w:eastAsia="Calibri"/>
          <w:noProof/>
          <w:color w:val="000000"/>
          <w:sz w:val="24"/>
          <w:szCs w:val="24"/>
        </w:rPr>
        <w:t>e Recast Directive did not create additional costs for employers compared to the 1994 Directive. Quantifiable costs for setting up European Works Councils even seem to have decreased compared to the 1994 Directive, but this may simply reflect the smaller s</w:t>
      </w:r>
      <w:r>
        <w:rPr>
          <w:rFonts w:eastAsia="Calibri"/>
          <w:noProof/>
          <w:color w:val="000000"/>
          <w:sz w:val="24"/>
          <w:szCs w:val="24"/>
        </w:rPr>
        <w:t>ize of the companies setting up European Works Councils following the recast. For a majority of employers, the benefits outweigh the related costs. The right to training without loss of wages is largely respected and constitutes a major support for Europea</w:t>
      </w:r>
      <w:r>
        <w:rPr>
          <w:rFonts w:eastAsia="Calibri"/>
          <w:noProof/>
          <w:color w:val="000000"/>
          <w:sz w:val="24"/>
          <w:szCs w:val="24"/>
        </w:rPr>
        <w:t>n Works Councils' representatives in exercising their roles in multinational companies. The evaluation concludes that the</w:t>
      </w:r>
      <w:r>
        <w:rPr>
          <w:noProof/>
          <w:sz w:val="24"/>
          <w:szCs w:val="24"/>
        </w:rPr>
        <w:t xml:space="preserve"> Recast Directive does not impose administrative, financial and legal obligations in a way which would constitute an unreasonable burde</w:t>
      </w:r>
      <w:r>
        <w:rPr>
          <w:noProof/>
          <w:sz w:val="24"/>
          <w:szCs w:val="24"/>
        </w:rPr>
        <w:t>n for companies.</w:t>
      </w:r>
    </w:p>
    <w:p w:rsidR="00950A57" w:rsidRDefault="00A4261F">
      <w:pPr>
        <w:pStyle w:val="Heading2"/>
        <w:rPr>
          <w:noProof/>
        </w:rPr>
      </w:pPr>
      <w:r>
        <w:rPr>
          <w:noProof/>
        </w:rPr>
        <w:t>Relevance</w:t>
      </w:r>
    </w:p>
    <w:p w:rsidR="00950A57" w:rsidRDefault="00A4261F">
      <w:pPr>
        <w:spacing w:after="0"/>
        <w:rPr>
          <w:rFonts w:eastAsia="Times New Roman"/>
          <w:noProof/>
          <w:sz w:val="24"/>
          <w:szCs w:val="24"/>
          <w:lang w:eastAsia="en-GB"/>
        </w:rPr>
      </w:pPr>
      <w:r>
        <w:rPr>
          <w:rFonts w:eastAsia="Times New Roman"/>
          <w:bCs/>
          <w:noProof/>
          <w:sz w:val="24"/>
          <w:szCs w:val="24"/>
        </w:rPr>
        <w:t>The Recast Directive is considered relevant by all stakeholders, and the need to develop further transnational dialogue is acknowledged by social partners.</w:t>
      </w:r>
      <w:r>
        <w:rPr>
          <w:rFonts w:eastAsia="Times New Roman"/>
          <w:noProof/>
          <w:sz w:val="24"/>
          <w:szCs w:val="24"/>
          <w:lang w:eastAsia="en-GB"/>
        </w:rPr>
        <w:t xml:space="preserve"> In terms of improved employee protection, the Recast Directive was found to make a significant contribution to ensuring transnational social dialogue at company level. </w:t>
      </w:r>
      <w:r>
        <w:rPr>
          <w:rFonts w:eastAsia="Calibri"/>
          <w:noProof/>
          <w:color w:val="000000"/>
          <w:sz w:val="24"/>
          <w:szCs w:val="24"/>
        </w:rPr>
        <w:t>European Works Councils</w:t>
      </w:r>
      <w:r>
        <w:rPr>
          <w:rFonts w:eastAsia="Times New Roman"/>
          <w:noProof/>
          <w:sz w:val="24"/>
          <w:szCs w:val="24"/>
          <w:lang w:eastAsia="en-GB"/>
        </w:rPr>
        <w:t xml:space="preserve"> provide a mechanism for cascading information throughout the bu</w:t>
      </w:r>
      <w:r>
        <w:rPr>
          <w:rFonts w:eastAsia="Times New Roman"/>
          <w:noProof/>
          <w:sz w:val="24"/>
          <w:szCs w:val="24"/>
          <w:lang w:eastAsia="en-GB"/>
        </w:rPr>
        <w:t>siness, create leverage between EU and local levels and thereby facilitate the introduction of strategic initiatives, leading to qualitative improvements in the strategic solutions found in the company.</w:t>
      </w:r>
    </w:p>
    <w:p w:rsidR="00950A57" w:rsidRDefault="00A4261F">
      <w:pPr>
        <w:pStyle w:val="Heading2"/>
        <w:rPr>
          <w:noProof/>
        </w:rPr>
      </w:pPr>
      <w:r>
        <w:rPr>
          <w:noProof/>
        </w:rPr>
        <w:t>Coherence with other EU instruments</w:t>
      </w:r>
    </w:p>
    <w:p w:rsidR="00950A57" w:rsidRDefault="00A4261F">
      <w:pPr>
        <w:spacing w:before="120" w:after="120"/>
        <w:rPr>
          <w:noProof/>
          <w:sz w:val="24"/>
          <w:szCs w:val="24"/>
        </w:rPr>
      </w:pPr>
      <w:r>
        <w:rPr>
          <w:rFonts w:eastAsia="Calibri"/>
          <w:noProof/>
          <w:color w:val="000000"/>
          <w:sz w:val="24"/>
          <w:szCs w:val="24"/>
        </w:rPr>
        <w:t>The new rules are</w:t>
      </w:r>
      <w:r>
        <w:rPr>
          <w:rFonts w:eastAsia="Calibri"/>
          <w:noProof/>
          <w:color w:val="000000"/>
          <w:sz w:val="24"/>
          <w:szCs w:val="24"/>
        </w:rPr>
        <w:t xml:space="preserve"> generally found to be internally consistent and coherent with other EU legislation on workers’ rights to information and consultation, including the Charter of Fundamental Rights of the EU. Discrepancies are justified by the specific objectives in the rel</w:t>
      </w:r>
      <w:r>
        <w:rPr>
          <w:rFonts w:eastAsia="Calibri"/>
          <w:noProof/>
          <w:color w:val="000000"/>
          <w:sz w:val="24"/>
          <w:szCs w:val="24"/>
        </w:rPr>
        <w:t xml:space="preserve">evant legislative instruments, such as those addressing </w:t>
      </w:r>
      <w:r>
        <w:rPr>
          <w:noProof/>
          <w:sz w:val="24"/>
          <w:szCs w:val="24"/>
        </w:rPr>
        <w:t xml:space="preserve">collective redundancies or the transfer of ownership of companies. </w:t>
      </w:r>
    </w:p>
    <w:p w:rsidR="00950A57" w:rsidRDefault="00A4261F">
      <w:pPr>
        <w:spacing w:before="120" w:after="120"/>
        <w:rPr>
          <w:rFonts w:eastAsia="Calibri"/>
          <w:noProof/>
          <w:color w:val="000000"/>
          <w:szCs w:val="24"/>
        </w:rPr>
      </w:pPr>
      <w:r>
        <w:rPr>
          <w:noProof/>
          <w:sz w:val="24"/>
          <w:szCs w:val="24"/>
        </w:rPr>
        <w:t>While European</w:t>
      </w:r>
      <w:r>
        <w:rPr>
          <w:rFonts w:eastAsia="Calibri"/>
          <w:noProof/>
          <w:color w:val="000000"/>
          <w:sz w:val="24"/>
          <w:szCs w:val="24"/>
        </w:rPr>
        <w:t xml:space="preserve"> Works Councils'</w:t>
      </w:r>
      <w:r>
        <w:rPr>
          <w:noProof/>
          <w:sz w:val="24"/>
          <w:szCs w:val="24"/>
        </w:rPr>
        <w:t xml:space="preserve"> rights to information and consultation apply to all transnational topics affecting workers’ employmen</w:t>
      </w:r>
      <w:r>
        <w:rPr>
          <w:noProof/>
          <w:sz w:val="24"/>
          <w:szCs w:val="24"/>
        </w:rPr>
        <w:t xml:space="preserve">t conditions, </w:t>
      </w:r>
      <w:r>
        <w:rPr>
          <w:rFonts w:eastAsia="Calibri"/>
          <w:noProof/>
          <w:color w:val="000000"/>
          <w:sz w:val="24"/>
          <w:szCs w:val="24"/>
        </w:rPr>
        <w:t xml:space="preserve">European Works Councils </w:t>
      </w:r>
      <w:r>
        <w:rPr>
          <w:noProof/>
          <w:sz w:val="24"/>
          <w:szCs w:val="24"/>
        </w:rPr>
        <w:t>are not a negotiating body and so have a different objective than informing and consulting at local level, a process which aims to reach agreement between workers’ representatives and the employer</w:t>
      </w:r>
      <w:r>
        <w:rPr>
          <w:noProof/>
          <w:szCs w:val="24"/>
        </w:rPr>
        <w:t>.</w:t>
      </w:r>
    </w:p>
    <w:p w:rsidR="00950A57" w:rsidRDefault="00A4261F">
      <w:pPr>
        <w:pStyle w:val="Heading2"/>
        <w:rPr>
          <w:noProof/>
        </w:rPr>
      </w:pPr>
      <w:r>
        <w:rPr>
          <w:noProof/>
        </w:rPr>
        <w:t>EU added value</w:t>
      </w:r>
    </w:p>
    <w:p w:rsidR="00950A57" w:rsidRDefault="00A4261F">
      <w:pPr>
        <w:rPr>
          <w:rFonts w:eastAsia="Calibri"/>
          <w:noProof/>
          <w:color w:val="000000"/>
          <w:sz w:val="24"/>
          <w:szCs w:val="24"/>
        </w:rPr>
      </w:pPr>
      <w:r>
        <w:rPr>
          <w:rFonts w:eastAsia="Calibri"/>
          <w:noProof/>
          <w:color w:val="000000"/>
          <w:sz w:val="24"/>
          <w:szCs w:val="24"/>
        </w:rPr>
        <w:t>In te</w:t>
      </w:r>
      <w:r>
        <w:rPr>
          <w:rFonts w:eastAsia="Calibri"/>
          <w:noProof/>
          <w:color w:val="000000"/>
          <w:sz w:val="24"/>
          <w:szCs w:val="24"/>
        </w:rPr>
        <w:t>rms of subsidiarity, European Works Councils have a genuine EU transnational dimension. Only an EU legal act, transposed into national legislation, can regulate the issue of information and consultation procedures for workers in transnational companies.</w:t>
      </w:r>
    </w:p>
    <w:p w:rsidR="00950A57" w:rsidRDefault="00A4261F">
      <w:pPr>
        <w:rPr>
          <w:rFonts w:eastAsia="Calibri"/>
          <w:noProof/>
          <w:color w:val="000000"/>
          <w:sz w:val="24"/>
          <w:szCs w:val="24"/>
        </w:rPr>
      </w:pPr>
      <w:r>
        <w:rPr>
          <w:rFonts w:eastAsia="Calibri"/>
          <w:noProof/>
          <w:color w:val="000000"/>
          <w:sz w:val="24"/>
          <w:szCs w:val="24"/>
        </w:rPr>
        <w:t>Wi</w:t>
      </w:r>
      <w:r>
        <w:rPr>
          <w:rFonts w:eastAsia="Calibri"/>
          <w:noProof/>
          <w:color w:val="000000"/>
          <w:sz w:val="24"/>
          <w:szCs w:val="24"/>
        </w:rPr>
        <w:t>th regard to proportionality, the Recast Directive allows Member States flexibility to adapt the Recast Directive’s provisions to suit national industrial relations and legal systems, particularly in determining the arrangements for designating or electing</w:t>
      </w:r>
      <w:r>
        <w:rPr>
          <w:rFonts w:eastAsia="Calibri"/>
          <w:noProof/>
          <w:color w:val="000000"/>
          <w:sz w:val="24"/>
          <w:szCs w:val="24"/>
        </w:rPr>
        <w:t xml:space="preserve"> employees’ representatives, their legal protection and determining appropriate penalties in case of breach in the application of the legislation.</w:t>
      </w:r>
    </w:p>
    <w:p w:rsidR="00950A57" w:rsidRDefault="00A4261F">
      <w:pPr>
        <w:pStyle w:val="CommentText"/>
        <w:spacing w:line="276" w:lineRule="auto"/>
        <w:rPr>
          <w:rFonts w:eastAsia="Calibri"/>
          <w:noProof/>
          <w:color w:val="000000"/>
          <w:sz w:val="24"/>
          <w:szCs w:val="24"/>
        </w:rPr>
      </w:pPr>
      <w:r>
        <w:rPr>
          <w:rFonts w:eastAsia="Calibri"/>
          <w:noProof/>
          <w:color w:val="000000"/>
          <w:sz w:val="24"/>
          <w:szCs w:val="24"/>
        </w:rPr>
        <w:t>The Recast Directive provides a legal framework at EU level for fostering the organisation of transnational i</w:t>
      </w:r>
      <w:r>
        <w:rPr>
          <w:rFonts w:eastAsia="Calibri"/>
          <w:noProof/>
          <w:color w:val="000000"/>
          <w:sz w:val="24"/>
          <w:szCs w:val="24"/>
        </w:rPr>
        <w:t>nformation and consultation within companies, which would otherwise have a purely voluntary character and take place in a legal vacuum.</w:t>
      </w:r>
    </w:p>
    <w:p w:rsidR="00950A57" w:rsidRDefault="00A4261F">
      <w:pPr>
        <w:pStyle w:val="Heading1"/>
        <w:rPr>
          <w:noProof/>
        </w:rPr>
      </w:pPr>
      <w:r>
        <w:rPr>
          <w:noProof/>
        </w:rPr>
        <w:t>Policy responses at EU level</w:t>
      </w:r>
    </w:p>
    <w:p w:rsidR="00950A57" w:rsidRDefault="00A4261F">
      <w:pPr>
        <w:spacing w:before="240" w:after="0"/>
        <w:rPr>
          <w:rFonts w:eastAsia="Calibri"/>
          <w:noProof/>
          <w:color w:val="000000"/>
          <w:sz w:val="24"/>
          <w:szCs w:val="24"/>
        </w:rPr>
      </w:pPr>
      <w:r>
        <w:rPr>
          <w:rFonts w:eastAsia="Calibri"/>
          <w:noProof/>
          <w:color w:val="000000"/>
          <w:sz w:val="24"/>
          <w:szCs w:val="24"/>
        </w:rPr>
        <w:t>The analysis set out above identified the following challenges that require action at EU le</w:t>
      </w:r>
      <w:r>
        <w:rPr>
          <w:rFonts w:eastAsia="Calibri"/>
          <w:noProof/>
          <w:color w:val="000000"/>
          <w:sz w:val="24"/>
          <w:szCs w:val="24"/>
        </w:rPr>
        <w:t xml:space="preserve">vel: </w:t>
      </w:r>
    </w:p>
    <w:p w:rsidR="00950A57" w:rsidRDefault="00A4261F">
      <w:pPr>
        <w:pStyle w:val="ListParagraph"/>
        <w:numPr>
          <w:ilvl w:val="0"/>
          <w:numId w:val="48"/>
        </w:numPr>
        <w:spacing w:before="240" w:after="0"/>
        <w:rPr>
          <w:iCs/>
          <w:noProof/>
          <w:sz w:val="24"/>
          <w:szCs w:val="24"/>
        </w:rPr>
      </w:pPr>
      <w:r>
        <w:rPr>
          <w:rFonts w:eastAsia="Calibri"/>
          <w:noProof/>
          <w:color w:val="000000"/>
          <w:sz w:val="24"/>
          <w:szCs w:val="24"/>
        </w:rPr>
        <w:t>the limited number of new European Works Councils;</w:t>
      </w:r>
    </w:p>
    <w:p w:rsidR="00950A57" w:rsidRDefault="00A4261F">
      <w:pPr>
        <w:pStyle w:val="ListParagraph"/>
        <w:numPr>
          <w:ilvl w:val="0"/>
          <w:numId w:val="48"/>
        </w:numPr>
        <w:spacing w:before="240" w:after="0"/>
        <w:rPr>
          <w:iCs/>
          <w:noProof/>
          <w:sz w:val="24"/>
          <w:szCs w:val="24"/>
        </w:rPr>
      </w:pPr>
      <w:r>
        <w:rPr>
          <w:rFonts w:eastAsia="Calibri"/>
          <w:noProof/>
          <w:color w:val="000000"/>
          <w:sz w:val="24"/>
          <w:szCs w:val="24"/>
        </w:rPr>
        <w:t>the effectiveness of the consultation procedure</w:t>
      </w:r>
    </w:p>
    <w:p w:rsidR="00950A57" w:rsidRDefault="00A4261F">
      <w:pPr>
        <w:pStyle w:val="ListParagraph"/>
        <w:numPr>
          <w:ilvl w:val="0"/>
          <w:numId w:val="48"/>
        </w:numPr>
        <w:spacing w:before="240" w:after="0"/>
        <w:rPr>
          <w:iCs/>
          <w:noProof/>
          <w:sz w:val="24"/>
          <w:szCs w:val="24"/>
        </w:rPr>
      </w:pPr>
      <w:r>
        <w:rPr>
          <w:rFonts w:eastAsia="Calibri"/>
          <w:noProof/>
          <w:color w:val="000000"/>
          <w:sz w:val="24"/>
          <w:szCs w:val="24"/>
        </w:rPr>
        <w:t xml:space="preserve">the need to share and exchange existing good practices; and </w:t>
      </w:r>
    </w:p>
    <w:p w:rsidR="00950A57" w:rsidRDefault="00A4261F">
      <w:pPr>
        <w:pStyle w:val="ListParagraph"/>
        <w:numPr>
          <w:ilvl w:val="0"/>
          <w:numId w:val="48"/>
        </w:numPr>
        <w:spacing w:before="240" w:after="0"/>
        <w:rPr>
          <w:iCs/>
          <w:noProof/>
          <w:sz w:val="24"/>
          <w:szCs w:val="24"/>
        </w:rPr>
      </w:pPr>
      <w:r>
        <w:rPr>
          <w:rFonts w:eastAsia="Calibri"/>
          <w:noProof/>
          <w:color w:val="000000"/>
          <w:sz w:val="24"/>
          <w:szCs w:val="24"/>
        </w:rPr>
        <w:t xml:space="preserve">shortcomings in implementing and enforcing some of the Directive’s provisions. </w:t>
      </w:r>
    </w:p>
    <w:p w:rsidR="00950A57" w:rsidRDefault="00A4261F">
      <w:pPr>
        <w:spacing w:before="240" w:after="0"/>
        <w:rPr>
          <w:rFonts w:eastAsia="Calibri"/>
          <w:noProof/>
          <w:color w:val="000000"/>
          <w:sz w:val="24"/>
          <w:szCs w:val="24"/>
        </w:rPr>
      </w:pPr>
      <w:r>
        <w:rPr>
          <w:rFonts w:eastAsia="Calibri"/>
          <w:noProof/>
          <w:color w:val="000000"/>
          <w:sz w:val="24"/>
          <w:szCs w:val="24"/>
        </w:rPr>
        <w:t>Therefore,</w:t>
      </w:r>
      <w:r>
        <w:rPr>
          <w:rFonts w:eastAsia="Calibri"/>
          <w:noProof/>
          <w:color w:val="000000"/>
          <w:sz w:val="24"/>
          <w:szCs w:val="24"/>
        </w:rPr>
        <w:t xml:space="preserve"> the Commission proposes to pursue the following measures: </w:t>
      </w:r>
    </w:p>
    <w:p w:rsidR="00950A57" w:rsidRDefault="00A4261F">
      <w:pPr>
        <w:pStyle w:val="ListParagraph"/>
        <w:numPr>
          <w:ilvl w:val="0"/>
          <w:numId w:val="49"/>
        </w:numPr>
        <w:spacing w:before="240" w:after="0"/>
        <w:rPr>
          <w:iCs/>
          <w:noProof/>
          <w:sz w:val="24"/>
          <w:szCs w:val="24"/>
        </w:rPr>
      </w:pPr>
      <w:r>
        <w:rPr>
          <w:rFonts w:eastAsia="Calibri"/>
          <w:noProof/>
          <w:color w:val="000000"/>
          <w:sz w:val="24"/>
          <w:szCs w:val="24"/>
        </w:rPr>
        <w:t xml:space="preserve">creating and sharing a practical handbook for European Works Councils' practitioners; </w:t>
      </w:r>
    </w:p>
    <w:p w:rsidR="00950A57" w:rsidRDefault="00A4261F">
      <w:pPr>
        <w:pStyle w:val="ListParagraph"/>
        <w:numPr>
          <w:ilvl w:val="0"/>
          <w:numId w:val="49"/>
        </w:numPr>
        <w:spacing w:before="240" w:after="0"/>
        <w:rPr>
          <w:iCs/>
          <w:noProof/>
          <w:sz w:val="24"/>
          <w:szCs w:val="24"/>
        </w:rPr>
      </w:pPr>
      <w:r>
        <w:rPr>
          <w:iCs/>
          <w:noProof/>
          <w:sz w:val="24"/>
          <w:szCs w:val="24"/>
        </w:rPr>
        <w:t xml:space="preserve">providing funding to social partners to support the implementation and effectiveness of </w:t>
      </w:r>
      <w:r>
        <w:rPr>
          <w:rFonts w:eastAsia="Calibri"/>
          <w:noProof/>
          <w:color w:val="000000"/>
          <w:sz w:val="24"/>
          <w:szCs w:val="24"/>
        </w:rPr>
        <w:t xml:space="preserve">European Works </w:t>
      </w:r>
      <w:r>
        <w:rPr>
          <w:rFonts w:eastAsia="Calibri"/>
          <w:noProof/>
          <w:color w:val="000000"/>
          <w:sz w:val="24"/>
          <w:szCs w:val="24"/>
        </w:rPr>
        <w:t>Councils</w:t>
      </w:r>
      <w:r>
        <w:rPr>
          <w:iCs/>
          <w:noProof/>
          <w:sz w:val="24"/>
          <w:szCs w:val="24"/>
        </w:rPr>
        <w:t xml:space="preserve">; and </w:t>
      </w:r>
    </w:p>
    <w:p w:rsidR="00950A57" w:rsidRDefault="00A4261F">
      <w:pPr>
        <w:pStyle w:val="ListParagraph"/>
        <w:numPr>
          <w:ilvl w:val="0"/>
          <w:numId w:val="49"/>
        </w:numPr>
        <w:spacing w:before="240" w:after="0"/>
        <w:rPr>
          <w:iCs/>
          <w:noProof/>
          <w:sz w:val="24"/>
          <w:szCs w:val="24"/>
        </w:rPr>
      </w:pPr>
      <w:r>
        <w:rPr>
          <w:iCs/>
          <w:noProof/>
          <w:sz w:val="24"/>
          <w:szCs w:val="24"/>
        </w:rPr>
        <w:t>ensuring the full transposition of key provisions of the Recast Directive in Member States.</w:t>
      </w:r>
    </w:p>
    <w:p w:rsidR="00950A57" w:rsidRDefault="00950A57">
      <w:pPr>
        <w:spacing w:line="240" w:lineRule="auto"/>
        <w:rPr>
          <w:rFonts w:eastAsia="Calibri"/>
          <w:noProof/>
          <w:color w:val="000000"/>
          <w:sz w:val="24"/>
          <w:szCs w:val="24"/>
        </w:rPr>
      </w:pPr>
    </w:p>
    <w:p w:rsidR="00950A57" w:rsidRDefault="00A4261F">
      <w:pPr>
        <w:pStyle w:val="Heading2"/>
        <w:numPr>
          <w:ilvl w:val="0"/>
          <w:numId w:val="42"/>
        </w:numPr>
        <w:rPr>
          <w:noProof/>
        </w:rPr>
      </w:pPr>
      <w:r>
        <w:rPr>
          <w:noProof/>
        </w:rPr>
        <w:t xml:space="preserve">Improving the establishment and functioning of </w:t>
      </w:r>
      <w:r>
        <w:rPr>
          <w:rFonts w:eastAsia="Calibri"/>
          <w:noProof/>
          <w:color w:val="000000"/>
          <w:szCs w:val="24"/>
        </w:rPr>
        <w:t>European Works Councils</w:t>
      </w:r>
      <w:r>
        <w:rPr>
          <w:noProof/>
        </w:rPr>
        <w:t xml:space="preserve"> by means of a practical handbook</w:t>
      </w:r>
    </w:p>
    <w:p w:rsidR="00950A57" w:rsidRDefault="00A4261F">
      <w:pPr>
        <w:rPr>
          <w:rFonts w:eastAsia="Times New Roman"/>
          <w:noProof/>
          <w:sz w:val="24"/>
          <w:szCs w:val="20"/>
        </w:rPr>
      </w:pPr>
      <w:r>
        <w:rPr>
          <w:noProof/>
          <w:color w:val="000000"/>
          <w:sz w:val="24"/>
          <w:szCs w:val="24"/>
        </w:rPr>
        <w:t xml:space="preserve">To facilitate the implementation of the Recast Directive, the Commission envisages the publication of </w:t>
      </w:r>
      <w:r>
        <w:rPr>
          <w:rFonts w:eastAsia="Times New Roman"/>
          <w:noProof/>
          <w:sz w:val="24"/>
          <w:szCs w:val="20"/>
        </w:rPr>
        <w:t>a handbook that would aim to:</w:t>
      </w:r>
    </w:p>
    <w:p w:rsidR="00950A57" w:rsidRDefault="00A4261F">
      <w:pPr>
        <w:pStyle w:val="ListParagraph"/>
        <w:numPr>
          <w:ilvl w:val="0"/>
          <w:numId w:val="46"/>
        </w:numPr>
        <w:rPr>
          <w:rFonts w:eastAsia="Times New Roman"/>
          <w:noProof/>
          <w:sz w:val="24"/>
          <w:szCs w:val="20"/>
        </w:rPr>
      </w:pPr>
      <w:r>
        <w:rPr>
          <w:rFonts w:eastAsia="Times New Roman"/>
          <w:noProof/>
          <w:sz w:val="24"/>
          <w:szCs w:val="20"/>
        </w:rPr>
        <w:t xml:space="preserve">increase the take-up of </w:t>
      </w:r>
      <w:r>
        <w:rPr>
          <w:rFonts w:eastAsia="Calibri"/>
          <w:noProof/>
          <w:color w:val="000000"/>
          <w:sz w:val="24"/>
          <w:szCs w:val="24"/>
        </w:rPr>
        <w:t>European Works Councils</w:t>
      </w:r>
      <w:r>
        <w:rPr>
          <w:rFonts w:eastAsia="Times New Roman"/>
          <w:noProof/>
          <w:sz w:val="24"/>
          <w:szCs w:val="20"/>
        </w:rPr>
        <w:t>, particularly in Member States and sectors that have so far set up few;</w:t>
      </w:r>
    </w:p>
    <w:p w:rsidR="00950A57" w:rsidRDefault="00A4261F">
      <w:pPr>
        <w:pStyle w:val="ListParagraph"/>
        <w:numPr>
          <w:ilvl w:val="0"/>
          <w:numId w:val="46"/>
        </w:numPr>
        <w:rPr>
          <w:rFonts w:eastAsia="Times New Roman"/>
          <w:noProof/>
          <w:sz w:val="24"/>
          <w:szCs w:val="20"/>
        </w:rPr>
      </w:pPr>
      <w:r>
        <w:rPr>
          <w:rFonts w:eastAsia="Times New Roman"/>
          <w:noProof/>
          <w:sz w:val="24"/>
          <w:szCs w:val="20"/>
        </w:rPr>
        <w:t>furt</w:t>
      </w:r>
      <w:r>
        <w:rPr>
          <w:rFonts w:eastAsia="Times New Roman"/>
          <w:noProof/>
          <w:sz w:val="24"/>
          <w:szCs w:val="20"/>
        </w:rPr>
        <w:t xml:space="preserve">her improve the </w:t>
      </w:r>
      <w:r>
        <w:rPr>
          <w:noProof/>
          <w:color w:val="000000"/>
          <w:sz w:val="24"/>
          <w:szCs w:val="24"/>
        </w:rPr>
        <w:t xml:space="preserve">effectiveness of </w:t>
      </w:r>
      <w:r>
        <w:rPr>
          <w:rFonts w:eastAsia="Calibri"/>
          <w:noProof/>
          <w:color w:val="000000"/>
          <w:sz w:val="24"/>
          <w:szCs w:val="24"/>
        </w:rPr>
        <w:t>European Works Councils</w:t>
      </w:r>
      <w:r>
        <w:rPr>
          <w:noProof/>
          <w:color w:val="000000"/>
          <w:sz w:val="24"/>
          <w:szCs w:val="24"/>
        </w:rPr>
        <w:t>, particularly as a tool for supporting  the raising of social</w:t>
      </w:r>
      <w:r>
        <w:rPr>
          <w:rFonts w:eastAsia="Times New Roman"/>
          <w:noProof/>
          <w:sz w:val="24"/>
          <w:szCs w:val="20"/>
        </w:rPr>
        <w:t xml:space="preserve"> standards across the EU;</w:t>
      </w:r>
    </w:p>
    <w:p w:rsidR="00950A57" w:rsidRDefault="00A4261F">
      <w:pPr>
        <w:pStyle w:val="ListParagraph"/>
        <w:numPr>
          <w:ilvl w:val="0"/>
          <w:numId w:val="46"/>
        </w:numPr>
        <w:rPr>
          <w:noProof/>
          <w:color w:val="000000"/>
          <w:sz w:val="24"/>
          <w:szCs w:val="24"/>
        </w:rPr>
      </w:pPr>
      <w:r>
        <w:rPr>
          <w:rFonts w:eastAsia="Times New Roman"/>
          <w:noProof/>
          <w:sz w:val="24"/>
          <w:szCs w:val="20"/>
        </w:rPr>
        <w:t xml:space="preserve">spread good practice </w:t>
      </w:r>
      <w:r>
        <w:rPr>
          <w:noProof/>
          <w:color w:val="000000"/>
          <w:sz w:val="24"/>
          <w:szCs w:val="24"/>
        </w:rPr>
        <w:t>by codifying and sharing concrete examples of approaches that have worked well in practice.</w:t>
      </w:r>
    </w:p>
    <w:p w:rsidR="00950A57" w:rsidRDefault="00A4261F">
      <w:pPr>
        <w:spacing w:before="240" w:after="0"/>
        <w:rPr>
          <w:noProof/>
          <w:color w:val="000000"/>
          <w:sz w:val="24"/>
          <w:szCs w:val="24"/>
        </w:rPr>
      </w:pPr>
      <w:r>
        <w:rPr>
          <w:noProof/>
          <w:color w:val="000000"/>
          <w:sz w:val="24"/>
          <w:szCs w:val="24"/>
        </w:rPr>
        <w:t xml:space="preserve">This handbook would provide concrete advice and guidance for employers, </w:t>
      </w:r>
      <w:r>
        <w:rPr>
          <w:rFonts w:eastAsia="Calibri"/>
          <w:noProof/>
          <w:color w:val="000000"/>
          <w:sz w:val="24"/>
          <w:szCs w:val="24"/>
        </w:rPr>
        <w:t xml:space="preserve">European Works Councils' </w:t>
      </w:r>
      <w:r>
        <w:rPr>
          <w:noProof/>
          <w:color w:val="000000"/>
          <w:sz w:val="24"/>
          <w:szCs w:val="24"/>
        </w:rPr>
        <w:t>members, trade union representatives, workers, and other stakeholders. It should also help employers and company representatives to fulfil their duties as set</w:t>
      </w:r>
      <w:r>
        <w:rPr>
          <w:noProof/>
          <w:color w:val="000000"/>
          <w:sz w:val="24"/>
          <w:szCs w:val="24"/>
        </w:rPr>
        <w:t xml:space="preserve"> out in the Recast Directive and help people in the process of setting up and operating </w:t>
      </w:r>
      <w:r>
        <w:rPr>
          <w:rFonts w:eastAsia="Calibri"/>
          <w:noProof/>
          <w:color w:val="000000"/>
          <w:sz w:val="24"/>
          <w:szCs w:val="24"/>
        </w:rPr>
        <w:t>European Works Councils</w:t>
      </w:r>
      <w:r>
        <w:rPr>
          <w:noProof/>
          <w:color w:val="000000"/>
          <w:sz w:val="24"/>
          <w:szCs w:val="24"/>
        </w:rPr>
        <w:t>.</w:t>
      </w:r>
    </w:p>
    <w:p w:rsidR="00950A57" w:rsidRDefault="00A4261F">
      <w:pPr>
        <w:spacing w:before="240" w:after="0"/>
        <w:rPr>
          <w:noProof/>
          <w:color w:val="000000"/>
          <w:sz w:val="24"/>
          <w:szCs w:val="24"/>
        </w:rPr>
      </w:pPr>
      <w:r>
        <w:rPr>
          <w:noProof/>
          <w:color w:val="000000"/>
          <w:sz w:val="24"/>
          <w:szCs w:val="24"/>
        </w:rPr>
        <w:t>The Commission will develop this guidance document in 2018, in cooperation with the social partners and with the support of experts and practit</w:t>
      </w:r>
      <w:r>
        <w:rPr>
          <w:noProof/>
          <w:color w:val="000000"/>
          <w:sz w:val="24"/>
          <w:szCs w:val="24"/>
        </w:rPr>
        <w:t>ioners. Working closely with social partners will help the Commission to collect examples of good practice and specific examples of agreements made in multinational companies that could be shared across the EU.</w:t>
      </w:r>
    </w:p>
    <w:p w:rsidR="00950A57" w:rsidRDefault="00A4261F">
      <w:pPr>
        <w:spacing w:before="240" w:after="0"/>
        <w:rPr>
          <w:rFonts w:eastAsia="Times New Roman"/>
          <w:noProof/>
          <w:sz w:val="24"/>
          <w:szCs w:val="20"/>
        </w:rPr>
      </w:pPr>
      <w:r>
        <w:rPr>
          <w:rFonts w:eastAsia="Times New Roman"/>
          <w:noProof/>
          <w:sz w:val="24"/>
          <w:szCs w:val="20"/>
        </w:rPr>
        <w:t>In order to share the handbook as widely as p</w:t>
      </w:r>
      <w:r>
        <w:rPr>
          <w:rFonts w:eastAsia="Times New Roman"/>
          <w:noProof/>
          <w:sz w:val="24"/>
          <w:szCs w:val="20"/>
        </w:rPr>
        <w:t>ossible and to raise awareness among practitioners and social partners at all levels, a range of communication measures are envisaged. These will include publicity via a dedicated website, the organisation of activities with social partners and events supp</w:t>
      </w:r>
      <w:r>
        <w:rPr>
          <w:rFonts w:eastAsia="Times New Roman"/>
          <w:noProof/>
          <w:sz w:val="24"/>
          <w:szCs w:val="20"/>
        </w:rPr>
        <w:t>orted by the Commission. The handbook will be published in all official EU languages.</w:t>
      </w:r>
    </w:p>
    <w:p w:rsidR="00950A57" w:rsidRDefault="00A4261F">
      <w:pPr>
        <w:pStyle w:val="Heading2"/>
        <w:numPr>
          <w:ilvl w:val="0"/>
          <w:numId w:val="42"/>
        </w:numPr>
        <w:rPr>
          <w:noProof/>
        </w:rPr>
      </w:pPr>
      <w:r>
        <w:rPr>
          <w:noProof/>
        </w:rPr>
        <w:t xml:space="preserve">Mobilising EU funding instruments to support </w:t>
      </w:r>
      <w:r>
        <w:rPr>
          <w:rFonts w:eastAsia="Calibri"/>
          <w:noProof/>
          <w:color w:val="000000"/>
          <w:szCs w:val="24"/>
        </w:rPr>
        <w:t xml:space="preserve">European Works Councils </w:t>
      </w:r>
    </w:p>
    <w:p w:rsidR="00950A57" w:rsidRDefault="00A4261F">
      <w:pPr>
        <w:spacing w:before="240" w:after="0"/>
        <w:rPr>
          <w:rFonts w:eastAsia="Times New Roman"/>
          <w:noProof/>
          <w:sz w:val="24"/>
          <w:szCs w:val="20"/>
        </w:rPr>
      </w:pPr>
      <w:r>
        <w:rPr>
          <w:rFonts w:eastAsia="Times New Roman"/>
          <w:noProof/>
          <w:sz w:val="24"/>
          <w:szCs w:val="20"/>
        </w:rPr>
        <w:t>Each year, the Commission launches a call for proposals</w:t>
      </w:r>
      <w:r>
        <w:rPr>
          <w:rStyle w:val="FootnoteReference"/>
          <w:noProof/>
        </w:rPr>
        <w:footnoteReference w:id="16"/>
      </w:r>
      <w:r>
        <w:rPr>
          <w:rFonts w:eastAsia="Times New Roman"/>
          <w:noProof/>
          <w:sz w:val="24"/>
          <w:szCs w:val="20"/>
        </w:rPr>
        <w:t xml:space="preserve"> to fund activities to develop employee invo</w:t>
      </w:r>
      <w:r>
        <w:rPr>
          <w:rFonts w:eastAsia="Times New Roman"/>
          <w:noProof/>
          <w:sz w:val="24"/>
          <w:szCs w:val="20"/>
        </w:rPr>
        <w:t xml:space="preserve">lvement in companies, i.e. any activity (including information, consultation and participation) through which employees’ representatives may influence decisions to be taken within the company. A specific priority relating to </w:t>
      </w:r>
      <w:r>
        <w:rPr>
          <w:rFonts w:eastAsia="Calibri"/>
          <w:noProof/>
          <w:color w:val="000000"/>
          <w:sz w:val="24"/>
          <w:szCs w:val="24"/>
        </w:rPr>
        <w:t>European Works Councils</w:t>
      </w:r>
      <w:r>
        <w:rPr>
          <w:rFonts w:eastAsia="Times New Roman"/>
          <w:noProof/>
          <w:sz w:val="24"/>
          <w:szCs w:val="20"/>
        </w:rPr>
        <w:t xml:space="preserve"> will be</w:t>
      </w:r>
      <w:r>
        <w:rPr>
          <w:rFonts w:eastAsia="Times New Roman"/>
          <w:noProof/>
          <w:sz w:val="24"/>
          <w:szCs w:val="20"/>
        </w:rPr>
        <w:t xml:space="preserve"> included in the first call for proposals issued following publication of the handbook. It will offer financial support</w:t>
      </w:r>
      <w:r>
        <w:rPr>
          <w:rStyle w:val="FootnoteReference"/>
          <w:rFonts w:eastAsia="Times New Roman"/>
          <w:noProof/>
          <w:sz w:val="24"/>
          <w:szCs w:val="20"/>
        </w:rPr>
        <w:footnoteReference w:id="17"/>
      </w:r>
      <w:r>
        <w:rPr>
          <w:rFonts w:eastAsia="Times New Roman"/>
          <w:noProof/>
          <w:sz w:val="24"/>
          <w:szCs w:val="20"/>
        </w:rPr>
        <w:t xml:space="preserve"> to social partners for setting up projects to publicise and support the use of this practical guide among stakeholders. It may also finance initiatives that support the implementation of the existing legal requirements, raise awareness of the potential be</w:t>
      </w:r>
      <w:r>
        <w:rPr>
          <w:rFonts w:eastAsia="Times New Roman"/>
          <w:noProof/>
          <w:sz w:val="24"/>
          <w:szCs w:val="20"/>
        </w:rPr>
        <w:t xml:space="preserve">nefits of </w:t>
      </w:r>
      <w:r>
        <w:rPr>
          <w:rFonts w:eastAsia="Calibri"/>
          <w:noProof/>
          <w:color w:val="000000"/>
          <w:sz w:val="24"/>
          <w:szCs w:val="24"/>
        </w:rPr>
        <w:t>European Works Councils</w:t>
      </w:r>
      <w:r>
        <w:rPr>
          <w:rFonts w:eastAsia="Times New Roman"/>
          <w:noProof/>
          <w:sz w:val="24"/>
          <w:szCs w:val="20"/>
        </w:rPr>
        <w:t xml:space="preserve"> for companies and employee representatives, and improve the establishment and functioning of </w:t>
      </w:r>
      <w:r>
        <w:rPr>
          <w:rFonts w:eastAsia="Calibri"/>
          <w:noProof/>
          <w:color w:val="000000"/>
          <w:sz w:val="24"/>
          <w:szCs w:val="24"/>
        </w:rPr>
        <w:t>European Works Councils</w:t>
      </w:r>
      <w:r>
        <w:rPr>
          <w:rFonts w:eastAsia="Times New Roman"/>
          <w:noProof/>
          <w:sz w:val="24"/>
          <w:szCs w:val="20"/>
        </w:rPr>
        <w:t>.</w:t>
      </w:r>
    </w:p>
    <w:p w:rsidR="00950A57" w:rsidRDefault="00A4261F">
      <w:pPr>
        <w:pStyle w:val="Heading2"/>
        <w:numPr>
          <w:ilvl w:val="0"/>
          <w:numId w:val="42"/>
        </w:numPr>
        <w:rPr>
          <w:noProof/>
        </w:rPr>
      </w:pPr>
      <w:r>
        <w:rPr>
          <w:noProof/>
        </w:rPr>
        <w:t>Ensuring the implementation of the Recast Directive in the Member States</w:t>
      </w:r>
    </w:p>
    <w:p w:rsidR="00950A57" w:rsidRDefault="00A4261F">
      <w:pPr>
        <w:spacing w:before="240" w:after="0"/>
        <w:rPr>
          <w:rFonts w:eastAsia="Times New Roman"/>
          <w:noProof/>
          <w:sz w:val="24"/>
          <w:szCs w:val="20"/>
        </w:rPr>
      </w:pPr>
      <w:r>
        <w:rPr>
          <w:rFonts w:eastAsia="Times New Roman"/>
          <w:noProof/>
          <w:sz w:val="24"/>
          <w:szCs w:val="20"/>
        </w:rPr>
        <w:t>This summary report and the ass</w:t>
      </w:r>
      <w:r>
        <w:rPr>
          <w:rFonts w:eastAsia="Times New Roman"/>
          <w:noProof/>
          <w:sz w:val="24"/>
          <w:szCs w:val="20"/>
        </w:rPr>
        <w:t>ociated staff working document identify the key areas for future cooperation with Member States and for enforcement activity.</w:t>
      </w:r>
    </w:p>
    <w:p w:rsidR="00950A57" w:rsidRDefault="00A4261F">
      <w:pPr>
        <w:spacing w:before="240" w:after="0"/>
        <w:rPr>
          <w:rFonts w:eastAsia="Times New Roman"/>
          <w:noProof/>
          <w:sz w:val="24"/>
          <w:szCs w:val="20"/>
        </w:rPr>
      </w:pPr>
      <w:r>
        <w:rPr>
          <w:rFonts w:eastAsia="Times New Roman"/>
          <w:noProof/>
          <w:sz w:val="24"/>
          <w:szCs w:val="20"/>
        </w:rPr>
        <w:t>The Commission will continue to support Member States’ work to improve implementation of the Directive’s provisions, and will faci</w:t>
      </w:r>
      <w:r>
        <w:rPr>
          <w:rFonts w:eastAsia="Times New Roman"/>
          <w:noProof/>
          <w:sz w:val="24"/>
          <w:szCs w:val="20"/>
        </w:rPr>
        <w:t>litate exchanges between Member States, notably on the design of 'effective, proportionate and dissuasive' sanctions</w:t>
      </w:r>
      <w:r>
        <w:rPr>
          <w:rStyle w:val="FootnoteReference"/>
          <w:noProof/>
        </w:rPr>
        <w:footnoteReference w:id="18"/>
      </w:r>
      <w:r>
        <w:rPr>
          <w:rFonts w:eastAsia="Times New Roman"/>
          <w:noProof/>
          <w:sz w:val="24"/>
          <w:szCs w:val="20"/>
        </w:rPr>
        <w:t xml:space="preserve"> in the event of infringement of the Directive's provisions.</w:t>
      </w:r>
    </w:p>
    <w:p w:rsidR="00950A57" w:rsidRDefault="00950A57">
      <w:pPr>
        <w:spacing w:before="240" w:after="0"/>
        <w:rPr>
          <w:rFonts w:eastAsia="Times New Roman"/>
          <w:noProof/>
          <w:sz w:val="24"/>
          <w:szCs w:val="20"/>
          <w:vertAlign w:val="superscript"/>
        </w:rPr>
      </w:pPr>
    </w:p>
    <w:p w:rsidR="00950A57" w:rsidRDefault="00950A57">
      <w:pPr>
        <w:autoSpaceDE w:val="0"/>
        <w:autoSpaceDN w:val="0"/>
        <w:adjustRightInd w:val="0"/>
        <w:spacing w:after="0"/>
        <w:rPr>
          <w:iCs/>
          <w:noProof/>
          <w:sz w:val="24"/>
          <w:szCs w:val="24"/>
        </w:rPr>
      </w:pPr>
    </w:p>
    <w:sectPr w:rsidR="00950A57">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A57" w:rsidRDefault="00A4261F">
      <w:pPr>
        <w:spacing w:after="0" w:line="240" w:lineRule="auto"/>
      </w:pPr>
      <w:r>
        <w:separator/>
      </w:r>
    </w:p>
  </w:endnote>
  <w:endnote w:type="continuationSeparator" w:id="0">
    <w:p w:rsidR="00950A57" w:rsidRDefault="00A42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A57" w:rsidRDefault="00950A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A57" w:rsidRDefault="00A4261F">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A57" w:rsidRDefault="00950A57">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A57" w:rsidRDefault="00950A5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5577254"/>
      <w:docPartObj>
        <w:docPartGallery w:val="Page Numbers (Bottom of Page)"/>
        <w:docPartUnique/>
      </w:docPartObj>
    </w:sdtPr>
    <w:sdtEndPr/>
    <w:sdtContent>
      <w:p w:rsidR="00950A57" w:rsidRDefault="00A4261F">
        <w:pPr>
          <w:pStyle w:val="Footer"/>
          <w:jc w:val="right"/>
        </w:pPr>
        <w:r>
          <w:fldChar w:fldCharType="begin"/>
        </w:r>
        <w:r>
          <w:instrText xml:space="preserve"> PAGE   \* MERGEFORMAT </w:instrText>
        </w:r>
        <w:r>
          <w:fldChar w:fldCharType="separate"/>
        </w:r>
        <w:r>
          <w:rPr>
            <w:noProof/>
          </w:rPr>
          <w:t>5</w:t>
        </w:r>
        <w:r>
          <w:fldChar w:fldCharType="end"/>
        </w:r>
      </w:p>
    </w:sdtContent>
  </w:sdt>
  <w:p w:rsidR="00950A57" w:rsidRDefault="00950A5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A57" w:rsidRDefault="00950A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A57" w:rsidRDefault="00A4261F">
      <w:pPr>
        <w:spacing w:after="0" w:line="240" w:lineRule="auto"/>
      </w:pPr>
      <w:r>
        <w:separator/>
      </w:r>
    </w:p>
  </w:footnote>
  <w:footnote w:type="continuationSeparator" w:id="0">
    <w:p w:rsidR="00950A57" w:rsidRDefault="00A4261F">
      <w:pPr>
        <w:spacing w:after="0" w:line="240" w:lineRule="auto"/>
      </w:pPr>
      <w:r>
        <w:continuationSeparator/>
      </w:r>
    </w:p>
  </w:footnote>
  <w:footnote w:id="1">
    <w:p w:rsidR="00950A57" w:rsidRDefault="00A4261F">
      <w:pPr>
        <w:pStyle w:val="FootnoteText"/>
      </w:pPr>
      <w:r>
        <w:footnoteRef/>
      </w:r>
      <w:r>
        <w:tab/>
        <w:t xml:space="preserve">Directive 2009/38/EC of the </w:t>
      </w:r>
      <w:r>
        <w:t xml:space="preserve">European Parliament and of the Council of 6 May 2009 on the establishment of a European Works Council or a procedure in Community-scale undertakings and Community-scale groups of undertakings for the purposes of informing and consulting employees (Recast) </w:t>
      </w:r>
      <w:r>
        <w:t>(OJ L 122, 16.5.2009, pp. 28-44).</w:t>
      </w:r>
    </w:p>
  </w:footnote>
  <w:footnote w:id="2">
    <w:p w:rsidR="00950A57" w:rsidRDefault="00A4261F">
      <w:pPr>
        <w:pStyle w:val="FootnoteText"/>
      </w:pPr>
      <w:r>
        <w:footnoteRef/>
      </w:r>
      <w:r>
        <w:tab/>
        <w:t xml:space="preserve">SWD (2018) </w:t>
      </w:r>
      <w:r w:rsidR="00F94313" w:rsidRPr="00F94313">
        <w:t>187 final</w:t>
      </w:r>
      <w:r>
        <w:t xml:space="preserve"> Evaluation of Directive 2009/38/EC on the establishment of a European Works Council.</w:t>
      </w:r>
    </w:p>
  </w:footnote>
  <w:footnote w:id="3">
    <w:p w:rsidR="00950A57" w:rsidRDefault="00A4261F">
      <w:pPr>
        <w:pStyle w:val="FootnoteText"/>
      </w:pPr>
      <w:r>
        <w:footnoteRef/>
      </w:r>
      <w:r>
        <w:tab/>
        <w:t>Council Directive 94/45/EC of 22 September 1994 on the establishment of a European Works Council or a procedure in Com</w:t>
      </w:r>
      <w:r>
        <w:t>munity-scale undertakings and Community-scale groups of undertakings, for the purposes of informing and consulting employees, OJ L 254, 30.9.1994, pp. 64-72.</w:t>
      </w:r>
    </w:p>
  </w:footnote>
  <w:footnote w:id="4">
    <w:p w:rsidR="00950A57" w:rsidRDefault="00A4261F">
      <w:pPr>
        <w:pStyle w:val="FootnoteText"/>
      </w:pPr>
      <w:r>
        <w:footnoteRef/>
      </w:r>
      <w:r>
        <w:tab/>
      </w:r>
      <w:hyperlink r:id="rId1" w:history="1">
        <w:r>
          <w:rPr>
            <w:rStyle w:val="Hyperlink"/>
          </w:rPr>
          <w:t>http://ec.europa.eu/smart-regulation/roadmaps/docs/2016_empl_011_evaluation_european_works_council_en.pdf</w:t>
        </w:r>
      </w:hyperlink>
    </w:p>
  </w:footnote>
  <w:footnote w:id="5">
    <w:p w:rsidR="00950A57" w:rsidRDefault="00A4261F">
      <w:pPr>
        <w:pStyle w:val="FootnoteText"/>
      </w:pPr>
      <w:r>
        <w:footnoteRef/>
      </w:r>
      <w:r>
        <w:tab/>
        <w:t>http://ec.europa.eu/social/main.jsp?catId=88&amp;langId=en&amp;eventsId=1028</w:t>
      </w:r>
    </w:p>
  </w:footnote>
  <w:footnote w:id="6">
    <w:p w:rsidR="00950A57" w:rsidRDefault="00A4261F">
      <w:pPr>
        <w:pStyle w:val="FootnoteText"/>
      </w:pPr>
      <w:r>
        <w:footnoteRef/>
      </w:r>
      <w:r>
        <w:t xml:space="preserve"> </w:t>
      </w:r>
      <w:r>
        <w:tab/>
        <w:t>Proclamation of the European Pillar of Social Righ</w:t>
      </w:r>
      <w:r>
        <w:t>ts of 17  November 2017</w:t>
      </w:r>
    </w:p>
  </w:footnote>
  <w:footnote w:id="7">
    <w:p w:rsidR="00950A57" w:rsidRDefault="00A4261F">
      <w:pPr>
        <w:pStyle w:val="FootnoteText"/>
      </w:pPr>
      <w:r>
        <w:footnoteRef/>
      </w:r>
      <w:r>
        <w:t xml:space="preserve"> </w:t>
      </w:r>
      <w:r>
        <w:tab/>
        <w:t>Council Directive 98/59/EC of 20 July 1998 on the approximation of the laws of the Member States relating to collective redundancies.</w:t>
      </w:r>
    </w:p>
  </w:footnote>
  <w:footnote w:id="8">
    <w:p w:rsidR="00950A57" w:rsidRDefault="00A4261F">
      <w:pPr>
        <w:pStyle w:val="FootnoteText"/>
      </w:pPr>
      <w:r>
        <w:footnoteRef/>
      </w:r>
      <w:r>
        <w:tab/>
        <w:t xml:space="preserve">Directive 2002/14/EC of the European Parliament and of the Council of 11 March 2002 </w:t>
      </w:r>
      <w:r>
        <w:t>establishing a general framework for informing and consulting employees in the European Community.</w:t>
      </w:r>
    </w:p>
  </w:footnote>
  <w:footnote w:id="9">
    <w:p w:rsidR="00950A57" w:rsidRDefault="00A4261F">
      <w:pPr>
        <w:pStyle w:val="FootnoteText"/>
      </w:pPr>
      <w:r>
        <w:footnoteRef/>
      </w:r>
      <w:r>
        <w:tab/>
        <w:t>Council Directive 2001/23/EC of 12 March 2001 on the approximation of the laws of the Member States relating to the safeguarding of employees’ rights in th</w:t>
      </w:r>
      <w:r>
        <w:t>e event of transfers of undertakings, businesses or parts of undertakings or businesses.</w:t>
      </w:r>
    </w:p>
  </w:footnote>
  <w:footnote w:id="10">
    <w:p w:rsidR="00950A57" w:rsidRDefault="00A4261F">
      <w:pPr>
        <w:pStyle w:val="FootnoteText"/>
      </w:pPr>
      <w:r>
        <w:footnoteRef/>
      </w:r>
      <w:r>
        <w:tab/>
        <w:t>For an overview of employee involvement legislation, see:</w:t>
      </w:r>
    </w:p>
    <w:p w:rsidR="00950A57" w:rsidRDefault="00A4261F">
      <w:pPr>
        <w:pStyle w:val="FootnoteText"/>
      </w:pPr>
      <w:r>
        <w:tab/>
      </w:r>
      <w:hyperlink r:id="rId2" w:history="1">
        <w:r>
          <w:t>http://ec.europa.eu/social/main.js</w:t>
        </w:r>
        <w:r>
          <w:t>p?catId=707&amp;langId=en</w:t>
        </w:r>
      </w:hyperlink>
    </w:p>
  </w:footnote>
  <w:footnote w:id="11">
    <w:p w:rsidR="00950A57" w:rsidRDefault="00A4261F">
      <w:pPr>
        <w:pStyle w:val="FootnoteText"/>
      </w:pPr>
      <w:r>
        <w:footnoteRef/>
      </w:r>
      <w:r>
        <w:tab/>
      </w:r>
      <w:hyperlink r:id="rId3" w:history="1">
        <w:r>
          <w:t>http://ec.europa.eu/social/BlobServlet?docId=11270&amp;langId=en</w:t>
        </w:r>
      </w:hyperlink>
      <w:r>
        <w:t xml:space="preserve"> </w:t>
      </w:r>
    </w:p>
  </w:footnote>
  <w:footnote w:id="12">
    <w:p w:rsidR="00950A57" w:rsidRDefault="00A4261F">
      <w:pPr>
        <w:pStyle w:val="FootnoteText"/>
      </w:pPr>
      <w:r>
        <w:footnoteRef/>
      </w:r>
      <w:r>
        <w:tab/>
        <w:t>Recital 7 of Recast Directive 2009/38/EC.</w:t>
      </w:r>
    </w:p>
  </w:footnote>
  <w:footnote w:id="13">
    <w:p w:rsidR="00950A57" w:rsidRDefault="00A4261F">
      <w:pPr>
        <w:pStyle w:val="FootnoteText"/>
      </w:pPr>
      <w:r>
        <w:footnoteRef/>
      </w:r>
      <w:r>
        <w:tab/>
        <w:t>ICF Evaluation study of Directive 2009/38 commi</w:t>
      </w:r>
      <w:r>
        <w:t>ssioned by DG EMPL- September 2016.</w:t>
      </w:r>
    </w:p>
  </w:footnote>
  <w:footnote w:id="14">
    <w:p w:rsidR="00950A57" w:rsidRDefault="00A4261F">
      <w:pPr>
        <w:pStyle w:val="FootnoteText"/>
      </w:pPr>
      <w:r>
        <w:footnoteRef/>
      </w:r>
      <w:r>
        <w:tab/>
        <w:t>SWD (2018)</w:t>
      </w:r>
      <w:r w:rsidRPr="00A4261F">
        <w:t xml:space="preserve"> 187 final</w:t>
      </w:r>
      <w:bookmarkStart w:id="3" w:name="_GoBack"/>
      <w:bookmarkEnd w:id="3"/>
      <w:r>
        <w:t xml:space="preserve"> Evaluation of Directive 2009/38/EC on the establishment of a European Works Council.</w:t>
      </w:r>
    </w:p>
  </w:footnote>
  <w:footnote w:id="15">
    <w:p w:rsidR="00950A57" w:rsidRDefault="00A4261F">
      <w:pPr>
        <w:pStyle w:val="FootnoteText"/>
        <w:rPr>
          <w:lang w:val="it-IT"/>
        </w:rPr>
      </w:pPr>
      <w:r>
        <w:footnoteRef/>
      </w:r>
      <w:r>
        <w:rPr>
          <w:lang w:val="it-IT"/>
        </w:rPr>
        <w:tab/>
        <w:t xml:space="preserve">European Commission database: </w:t>
      </w:r>
      <w:hyperlink r:id="rId4" w:history="1">
        <w:r>
          <w:rPr>
            <w:lang w:val="it-IT"/>
          </w:rPr>
          <w:t>http://ec.europ</w:t>
        </w:r>
        <w:r>
          <w:rPr>
            <w:lang w:val="it-IT"/>
          </w:rPr>
          <w:t>a.eu/social/main.jsp?catId=978&amp;langId=en</w:t>
        </w:r>
      </w:hyperlink>
    </w:p>
  </w:footnote>
  <w:footnote w:id="16">
    <w:p w:rsidR="00950A57" w:rsidRDefault="00A4261F">
      <w:pPr>
        <w:pStyle w:val="FootnoteText"/>
      </w:pPr>
      <w:r>
        <w:footnoteRef/>
      </w:r>
      <w:r>
        <w:tab/>
        <w:t>European Commission call for proposals –‘Information, consultation and representation of representatives of undertakings’ DG EMPL Prerogative and Specific competencies — Commission Decision C (2016)6596/F1 for cal</w:t>
      </w:r>
      <w:r>
        <w:t>l for proposals 2017.</w:t>
      </w:r>
    </w:p>
    <w:p w:rsidR="00950A57" w:rsidRDefault="00A4261F">
      <w:pPr>
        <w:pStyle w:val="FootnoteText"/>
      </w:pPr>
      <w:r>
        <w:tab/>
      </w:r>
      <w:hyperlink r:id="rId5" w:history="1">
        <w:r>
          <w:t>http://ec.europa.eu/social/main.jsp?catId=629&amp;langId=en&amp;callId=511&amp;furtherCalls=yes</w:t>
        </w:r>
      </w:hyperlink>
    </w:p>
  </w:footnote>
  <w:footnote w:id="17">
    <w:p w:rsidR="00950A57" w:rsidRDefault="00A4261F">
      <w:pPr>
        <w:pStyle w:val="FootnoteText"/>
      </w:pPr>
      <w:r>
        <w:footnoteRef/>
      </w:r>
      <w:r>
        <w:t xml:space="preserve">   This initiative will not require additional r</w:t>
      </w:r>
      <w:r>
        <w:t>esources from the EU budget.</w:t>
      </w:r>
    </w:p>
  </w:footnote>
  <w:footnote w:id="18">
    <w:p w:rsidR="00950A57" w:rsidRDefault="00A4261F">
      <w:pPr>
        <w:pStyle w:val="FootnoteText"/>
      </w:pPr>
      <w:r>
        <w:footnoteRef/>
      </w:r>
      <w:r>
        <w:tab/>
        <w:t>Article 10.1 and Recitals 35 and 36 of Directive 2009/38/EC.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A57" w:rsidRDefault="00950A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A57" w:rsidRDefault="00950A57">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A57" w:rsidRDefault="00950A57">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A57" w:rsidRDefault="00950A5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A57" w:rsidRDefault="00950A5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A57" w:rsidRDefault="00950A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200A"/>
    <w:multiLevelType w:val="hybridMultilevel"/>
    <w:tmpl w:val="C40236DA"/>
    <w:lvl w:ilvl="0" w:tplc="806671A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6127FD"/>
    <w:multiLevelType w:val="hybridMultilevel"/>
    <w:tmpl w:val="AC34B38C"/>
    <w:lvl w:ilvl="0" w:tplc="4F0037B8">
      <w:numFmt w:val="bullet"/>
      <w:pStyle w:val="Heading5"/>
      <w:lvlText w:val="-"/>
      <w:lvlJc w:val="left"/>
      <w:pPr>
        <w:ind w:left="1800" w:hanging="360"/>
      </w:pPr>
      <w:rPr>
        <w:rFonts w:ascii="Times New Roman" w:eastAsiaTheme="minorHAnsi"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nsid w:val="01943A7F"/>
    <w:multiLevelType w:val="hybridMultilevel"/>
    <w:tmpl w:val="D892F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6674487"/>
    <w:multiLevelType w:val="hybridMultilevel"/>
    <w:tmpl w:val="C70E204C"/>
    <w:lvl w:ilvl="0" w:tplc="0854D51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072089"/>
    <w:multiLevelType w:val="hybridMultilevel"/>
    <w:tmpl w:val="E0AEF1AE"/>
    <w:lvl w:ilvl="0" w:tplc="625283E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3280704"/>
    <w:multiLevelType w:val="hybridMultilevel"/>
    <w:tmpl w:val="93C0972A"/>
    <w:lvl w:ilvl="0" w:tplc="806671A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1C302F"/>
    <w:multiLevelType w:val="hybridMultilevel"/>
    <w:tmpl w:val="9006C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E2C3FB6"/>
    <w:multiLevelType w:val="hybridMultilevel"/>
    <w:tmpl w:val="D5583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E374891"/>
    <w:multiLevelType w:val="hybridMultilevel"/>
    <w:tmpl w:val="739EF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3C01B25"/>
    <w:multiLevelType w:val="hybridMultilevel"/>
    <w:tmpl w:val="A69884F4"/>
    <w:lvl w:ilvl="0" w:tplc="00F625F0">
      <w:start w:val="1"/>
      <w:numFmt w:val="upperLetter"/>
      <w:pStyle w:val="Heading2"/>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395128B6"/>
    <w:multiLevelType w:val="singleLevel"/>
    <w:tmpl w:val="4F70CA0A"/>
    <w:name w:val="List Number 2"/>
    <w:lvl w:ilvl="0">
      <w:start w:val="1"/>
      <w:numFmt w:val="bullet"/>
      <w:lvlRestart w:val="0"/>
      <w:pStyle w:val="Tiret2"/>
      <w:lvlText w:val="–"/>
      <w:lvlJc w:val="left"/>
      <w:pPr>
        <w:tabs>
          <w:tab w:val="num" w:pos="1984"/>
        </w:tabs>
        <w:ind w:left="1984" w:hanging="567"/>
      </w:pPr>
    </w:lvl>
  </w:abstractNum>
  <w:abstractNum w:abstractNumId="11">
    <w:nsid w:val="3C803880"/>
    <w:multiLevelType w:val="hybridMultilevel"/>
    <w:tmpl w:val="54A25F4E"/>
    <w:lvl w:ilvl="0" w:tplc="8B28F134">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nsid w:val="3D37385D"/>
    <w:multiLevelType w:val="hybridMultilevel"/>
    <w:tmpl w:val="15DE6D72"/>
    <w:lvl w:ilvl="0" w:tplc="37D8E42A">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0F70BC3"/>
    <w:multiLevelType w:val="hybridMultilevel"/>
    <w:tmpl w:val="BC1C0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4B72C73"/>
    <w:multiLevelType w:val="hybridMultilevel"/>
    <w:tmpl w:val="F6804E0C"/>
    <w:lvl w:ilvl="0" w:tplc="8B28F134">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nsid w:val="558A6507"/>
    <w:multiLevelType w:val="hybridMultilevel"/>
    <w:tmpl w:val="2D1A9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F3A6C2A"/>
    <w:multiLevelType w:val="hybridMultilevel"/>
    <w:tmpl w:val="A4EA2F0C"/>
    <w:lvl w:ilvl="0" w:tplc="0000000B">
      <w:start w:val="1"/>
      <w:numFmt w:val="bullet"/>
      <w:lvlText w:val=""/>
      <w:lvlJc w:val="left"/>
      <w:pPr>
        <w:tabs>
          <w:tab w:val="num" w:pos="0"/>
        </w:tabs>
        <w:ind w:left="2628" w:hanging="360"/>
      </w:pPr>
      <w:rPr>
        <w:rFonts w:ascii="Symbol" w:hAnsi="Symbol" w:cs="Symbol" w:hint="default"/>
        <w:sz w:val="28"/>
        <w:szCs w:val="28"/>
      </w:rPr>
    </w:lvl>
    <w:lvl w:ilvl="1" w:tplc="9BDCB3D2">
      <w:numFmt w:val="bullet"/>
      <w:lvlText w:val="-"/>
      <w:lvlJc w:val="left"/>
      <w:pPr>
        <w:ind w:left="1440" w:hanging="360"/>
      </w:pPr>
      <w:rPr>
        <w:rFonts w:ascii="Verdana" w:eastAsia="Times New Roman" w:hAnsi="Verdana" w:cs="Verdan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1DD32C3"/>
    <w:multiLevelType w:val="hybridMultilevel"/>
    <w:tmpl w:val="60E6B734"/>
    <w:lvl w:ilvl="0" w:tplc="625283E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4636C5C"/>
    <w:multiLevelType w:val="hybridMultilevel"/>
    <w:tmpl w:val="943A15C6"/>
    <w:lvl w:ilvl="0" w:tplc="37D8E42A">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7C53F9F"/>
    <w:multiLevelType w:val="hybridMultilevel"/>
    <w:tmpl w:val="ED800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89A2227"/>
    <w:multiLevelType w:val="hybridMultilevel"/>
    <w:tmpl w:val="B4EC5E98"/>
    <w:lvl w:ilvl="0" w:tplc="F75AB7FC">
      <w:numFmt w:val="bullet"/>
      <w:lvlText w:val="-"/>
      <w:lvlJc w:val="left"/>
      <w:pPr>
        <w:ind w:left="717" w:hanging="360"/>
      </w:pPr>
      <w:rPr>
        <w:rFonts w:ascii="Times New Roman" w:eastAsiaTheme="minorHAnsi" w:hAnsi="Times New Roman" w:cs="Times New Roman" w:hint="default"/>
      </w:rPr>
    </w:lvl>
    <w:lvl w:ilvl="1" w:tplc="08090001">
      <w:start w:val="1"/>
      <w:numFmt w:val="bullet"/>
      <w:lvlText w:val=""/>
      <w:lvlJc w:val="left"/>
      <w:pPr>
        <w:ind w:left="1440" w:hanging="360"/>
      </w:pPr>
      <w:rPr>
        <w:rFonts w:ascii="Symbol" w:hAnsi="Symbol" w:hint="default"/>
      </w:rPr>
    </w:lvl>
    <w:lvl w:ilvl="2" w:tplc="6472E320">
      <w:numFmt w:val="bullet"/>
      <w:lvlText w:val="–"/>
      <w:lvlJc w:val="left"/>
      <w:pPr>
        <w:ind w:left="2160" w:hanging="360"/>
      </w:pPr>
      <w:rPr>
        <w:rFonts w:ascii="Times New Roman" w:eastAsiaTheme="minorEastAsia"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D2B5511"/>
    <w:multiLevelType w:val="singleLevel"/>
    <w:tmpl w:val="74A09970"/>
    <w:name w:val="Tiret 2"/>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2">
    <w:nsid w:val="6E8C339E"/>
    <w:multiLevelType w:val="hybridMultilevel"/>
    <w:tmpl w:val="C9868E2A"/>
    <w:lvl w:ilvl="0" w:tplc="4BA8BE0A">
      <w:start w:val="1"/>
      <w:numFmt w:val="upperRoman"/>
      <w:pStyle w:val="Heading1"/>
      <w:lvlText w:val="%1."/>
      <w:lvlJc w:val="righ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2AF7AA1"/>
    <w:multiLevelType w:val="hybridMultilevel"/>
    <w:tmpl w:val="9F5C0586"/>
    <w:lvl w:ilvl="0" w:tplc="625283E4">
      <w:numFmt w:val="bullet"/>
      <w:lvlText w:val="-"/>
      <w:lvlJc w:val="left"/>
      <w:pPr>
        <w:ind w:left="1356" w:hanging="360"/>
      </w:pPr>
      <w:rPr>
        <w:rFonts w:ascii="Times New Roman" w:eastAsia="Times New Roman" w:hAnsi="Times New Roman" w:cs="Times New Roman" w:hint="default"/>
      </w:rPr>
    </w:lvl>
    <w:lvl w:ilvl="1" w:tplc="08090003" w:tentative="1">
      <w:start w:val="1"/>
      <w:numFmt w:val="bullet"/>
      <w:lvlText w:val="o"/>
      <w:lvlJc w:val="left"/>
      <w:pPr>
        <w:ind w:left="2076" w:hanging="360"/>
      </w:pPr>
      <w:rPr>
        <w:rFonts w:ascii="Courier New" w:hAnsi="Courier New" w:cs="Courier New" w:hint="default"/>
      </w:rPr>
    </w:lvl>
    <w:lvl w:ilvl="2" w:tplc="08090005" w:tentative="1">
      <w:start w:val="1"/>
      <w:numFmt w:val="bullet"/>
      <w:lvlText w:val=""/>
      <w:lvlJc w:val="left"/>
      <w:pPr>
        <w:ind w:left="2796" w:hanging="360"/>
      </w:pPr>
      <w:rPr>
        <w:rFonts w:ascii="Wingdings" w:hAnsi="Wingdings" w:hint="default"/>
      </w:rPr>
    </w:lvl>
    <w:lvl w:ilvl="3" w:tplc="08090001" w:tentative="1">
      <w:start w:val="1"/>
      <w:numFmt w:val="bullet"/>
      <w:lvlText w:val=""/>
      <w:lvlJc w:val="left"/>
      <w:pPr>
        <w:ind w:left="3516" w:hanging="360"/>
      </w:pPr>
      <w:rPr>
        <w:rFonts w:ascii="Symbol" w:hAnsi="Symbol" w:hint="default"/>
      </w:rPr>
    </w:lvl>
    <w:lvl w:ilvl="4" w:tplc="08090003" w:tentative="1">
      <w:start w:val="1"/>
      <w:numFmt w:val="bullet"/>
      <w:lvlText w:val="o"/>
      <w:lvlJc w:val="left"/>
      <w:pPr>
        <w:ind w:left="4236" w:hanging="360"/>
      </w:pPr>
      <w:rPr>
        <w:rFonts w:ascii="Courier New" w:hAnsi="Courier New" w:cs="Courier New" w:hint="default"/>
      </w:rPr>
    </w:lvl>
    <w:lvl w:ilvl="5" w:tplc="08090005" w:tentative="1">
      <w:start w:val="1"/>
      <w:numFmt w:val="bullet"/>
      <w:lvlText w:val=""/>
      <w:lvlJc w:val="left"/>
      <w:pPr>
        <w:ind w:left="4956" w:hanging="360"/>
      </w:pPr>
      <w:rPr>
        <w:rFonts w:ascii="Wingdings" w:hAnsi="Wingdings" w:hint="default"/>
      </w:rPr>
    </w:lvl>
    <w:lvl w:ilvl="6" w:tplc="08090001" w:tentative="1">
      <w:start w:val="1"/>
      <w:numFmt w:val="bullet"/>
      <w:lvlText w:val=""/>
      <w:lvlJc w:val="left"/>
      <w:pPr>
        <w:ind w:left="5676" w:hanging="360"/>
      </w:pPr>
      <w:rPr>
        <w:rFonts w:ascii="Symbol" w:hAnsi="Symbol" w:hint="default"/>
      </w:rPr>
    </w:lvl>
    <w:lvl w:ilvl="7" w:tplc="08090003" w:tentative="1">
      <w:start w:val="1"/>
      <w:numFmt w:val="bullet"/>
      <w:lvlText w:val="o"/>
      <w:lvlJc w:val="left"/>
      <w:pPr>
        <w:ind w:left="6396" w:hanging="360"/>
      </w:pPr>
      <w:rPr>
        <w:rFonts w:ascii="Courier New" w:hAnsi="Courier New" w:cs="Courier New" w:hint="default"/>
      </w:rPr>
    </w:lvl>
    <w:lvl w:ilvl="8" w:tplc="08090005" w:tentative="1">
      <w:start w:val="1"/>
      <w:numFmt w:val="bullet"/>
      <w:lvlText w:val=""/>
      <w:lvlJc w:val="left"/>
      <w:pPr>
        <w:ind w:left="7116" w:hanging="360"/>
      </w:pPr>
      <w:rPr>
        <w:rFonts w:ascii="Wingdings" w:hAnsi="Wingdings" w:hint="default"/>
      </w:rPr>
    </w:lvl>
  </w:abstractNum>
  <w:abstractNum w:abstractNumId="24">
    <w:nsid w:val="7DD102B7"/>
    <w:multiLevelType w:val="hybridMultilevel"/>
    <w:tmpl w:val="B6C40DB6"/>
    <w:lvl w:ilvl="0" w:tplc="1AA2100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nsid w:val="7E2178F2"/>
    <w:multiLevelType w:val="hybridMultilevel"/>
    <w:tmpl w:val="F85445E8"/>
    <w:lvl w:ilvl="0" w:tplc="35D0CA52">
      <w:start w:val="1"/>
      <w:numFmt w:val="decimal"/>
      <w:pStyle w:val="Heading3"/>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F5837F8"/>
    <w:multiLevelType w:val="hybridMultilevel"/>
    <w:tmpl w:val="A5C03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9"/>
  </w:num>
  <w:num w:numId="4">
    <w:abstractNumId w:val="21"/>
  </w:num>
  <w:num w:numId="5">
    <w:abstractNumId w:val="22"/>
  </w:num>
  <w:num w:numId="6">
    <w:abstractNumId w:val="22"/>
    <w:lvlOverride w:ilvl="0">
      <w:startOverride w:val="1"/>
    </w:lvlOverride>
  </w:num>
  <w:num w:numId="7">
    <w:abstractNumId w:val="20"/>
  </w:num>
  <w:num w:numId="8">
    <w:abstractNumId w:val="17"/>
  </w:num>
  <w:num w:numId="9">
    <w:abstractNumId w:val="23"/>
  </w:num>
  <w:num w:numId="10">
    <w:abstractNumId w:val="18"/>
  </w:num>
  <w:num w:numId="11">
    <w:abstractNumId w:val="12"/>
  </w:num>
  <w:num w:numId="12">
    <w:abstractNumId w:val="25"/>
  </w:num>
  <w:num w:numId="13">
    <w:abstractNumId w:val="25"/>
    <w:lvlOverride w:ilvl="0">
      <w:startOverride w:val="1"/>
    </w:lvlOverride>
  </w:num>
  <w:num w:numId="14">
    <w:abstractNumId w:val="7"/>
  </w:num>
  <w:num w:numId="15">
    <w:abstractNumId w:val="5"/>
  </w:num>
  <w:num w:numId="16">
    <w:abstractNumId w:val="0"/>
  </w:num>
  <w:num w:numId="17">
    <w:abstractNumId w:val="9"/>
    <w:lvlOverride w:ilvl="0">
      <w:startOverride w:val="1"/>
    </w:lvlOverride>
  </w:num>
  <w:num w:numId="18">
    <w:abstractNumId w:val="9"/>
    <w:lvlOverride w:ilvl="0">
      <w:startOverride w:val="1"/>
    </w:lvlOverride>
  </w:num>
  <w:num w:numId="19">
    <w:abstractNumId w:val="9"/>
    <w:lvlOverride w:ilvl="0">
      <w:startOverride w:val="1"/>
    </w:lvlOverride>
  </w:num>
  <w:num w:numId="20">
    <w:abstractNumId w:val="6"/>
  </w:num>
  <w:num w:numId="21">
    <w:abstractNumId w:val="19"/>
  </w:num>
  <w:num w:numId="22">
    <w:abstractNumId w:val="24"/>
  </w:num>
  <w:num w:numId="23">
    <w:abstractNumId w:val="24"/>
  </w:num>
  <w:num w:numId="24">
    <w:abstractNumId w:val="9"/>
  </w:num>
  <w:num w:numId="25">
    <w:abstractNumId w:val="9"/>
  </w:num>
  <w:num w:numId="26">
    <w:abstractNumId w:val="9"/>
  </w:num>
  <w:num w:numId="27">
    <w:abstractNumId w:val="9"/>
  </w:num>
  <w:num w:numId="28">
    <w:abstractNumId w:val="9"/>
  </w:num>
  <w:num w:numId="29">
    <w:abstractNumId w:val="9"/>
  </w:num>
  <w:num w:numId="30">
    <w:abstractNumId w:val="9"/>
  </w:num>
  <w:num w:numId="31">
    <w:abstractNumId w:val="9"/>
  </w:num>
  <w:num w:numId="32">
    <w:abstractNumId w:val="9"/>
  </w:num>
  <w:num w:numId="33">
    <w:abstractNumId w:val="4"/>
  </w:num>
  <w:num w:numId="34">
    <w:abstractNumId w:val="9"/>
    <w:lvlOverride w:ilvl="0">
      <w:startOverride w:val="1"/>
    </w:lvlOverride>
  </w:num>
  <w:num w:numId="35">
    <w:abstractNumId w:val="11"/>
  </w:num>
  <w:num w:numId="36">
    <w:abstractNumId w:val="9"/>
    <w:lvlOverride w:ilvl="0">
      <w:startOverride w:val="1"/>
    </w:lvlOverride>
  </w:num>
  <w:num w:numId="37">
    <w:abstractNumId w:val="15"/>
  </w:num>
  <w:num w:numId="38">
    <w:abstractNumId w:val="16"/>
  </w:num>
  <w:num w:numId="39">
    <w:abstractNumId w:val="11"/>
  </w:num>
  <w:num w:numId="40">
    <w:abstractNumId w:val="14"/>
  </w:num>
  <w:num w:numId="41">
    <w:abstractNumId w:val="9"/>
  </w:num>
  <w:num w:numId="42">
    <w:abstractNumId w:val="9"/>
    <w:lvlOverride w:ilvl="0">
      <w:startOverride w:val="1"/>
    </w:lvlOverride>
  </w:num>
  <w:num w:numId="43">
    <w:abstractNumId w:val="9"/>
  </w:num>
  <w:num w:numId="44">
    <w:abstractNumId w:val="9"/>
  </w:num>
  <w:num w:numId="45">
    <w:abstractNumId w:val="2"/>
  </w:num>
  <w:num w:numId="46">
    <w:abstractNumId w:val="3"/>
  </w:num>
  <w:num w:numId="47">
    <w:abstractNumId w:val="8"/>
  </w:num>
  <w:num w:numId="48">
    <w:abstractNumId w:val="26"/>
  </w:num>
  <w:num w:numId="49">
    <w:abstractNumId w:val="13"/>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BIAK Katarzyna (EMPL)">
    <w15:presenceInfo w15:providerId="None" w15:userId="HABIAK Katarzyna (EMP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hideGrammaticalErrors/>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828042C-544F-47A6-A336-E4A914DBFFB5"/>
    <w:docVar w:name="LW_COVERPAGE_TYPE" w:val="1"/>
    <w:docVar w:name="LW_CROSSREFERENCE" w:val="{SWD(2018) 187 final}"/>
    <w:docVar w:name="LW_DocType" w:val="NORMAL"/>
    <w:docVar w:name="LW_EMISSION" w:val="14.5.2018"/>
    <w:docVar w:name="LW_EMISSION_ISODATE" w:val="2018-05-14"/>
    <w:docVar w:name="LW_EMISSION_LOCATION" w:val="BRX"/>
    <w:docVar w:name="LW_EMISSION_PREFIX" w:val="Brussels, "/>
    <w:docVar w:name="LW_EMISSION_SUFFIX" w:val=" "/>
    <w:docVar w:name="LW_ID_DOCTYPE_NONLW" w:val="CP-007"/>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29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Report on the implementation by Member States of Directive 2009/38/EC on the establishment of a European Works Council or a procedure in Community-scale undertakings and Community-scale groups of undertakings for the purposes of informing and consulting employees (Recast)"/>
    <w:docVar w:name="LW_TYPE.DOC.CP" w:val="REPORT FROM THE COMMISSION TO THE EUROPEAN PARLIAMENT, THE COUNCIL AND THE EUROPEAN ECONOMIC AND SOCIAL COMMITTEE"/>
    <w:docVar w:name="Stamp" w:val="\\dossiers.dgt.cec.eu.int\dossiers\EMPL\EMPL-2018-00035\EMPL-2018-00035-00-00-EN-REV-00.201801111144260077897.DOCX"/>
  </w:docVars>
  <w:rsids>
    <w:rsidRoot w:val="00950A57"/>
    <w:rsid w:val="00950A57"/>
    <w:rsid w:val="00A4261F"/>
    <w:rsid w:val="00F943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pPr>
      <w:spacing w:after="240"/>
      <w:jc w:val="both"/>
    </w:pPr>
    <w:rPr>
      <w:rFonts w:ascii="Times New Roman" w:hAnsi="Times New Roman" w:cs="Times New Roman"/>
    </w:rPr>
  </w:style>
  <w:style w:type="paragraph" w:styleId="Heading1">
    <w:name w:val="heading 1"/>
    <w:basedOn w:val="Normal"/>
    <w:next w:val="Normal"/>
    <w:link w:val="Heading1Char"/>
    <w:autoRedefine/>
    <w:uiPriority w:val="9"/>
    <w:qFormat/>
    <w:pPr>
      <w:numPr>
        <w:numId w:val="5"/>
      </w:numPr>
      <w:spacing w:before="240"/>
      <w:ind w:left="720"/>
      <w:outlineLvl w:val="0"/>
    </w:pPr>
    <w:rPr>
      <w:b/>
      <w:sz w:val="24"/>
      <w:szCs w:val="24"/>
      <w:u w:val="single"/>
    </w:rPr>
  </w:style>
  <w:style w:type="paragraph" w:styleId="Heading2">
    <w:name w:val="heading 2"/>
    <w:basedOn w:val="Normal"/>
    <w:next w:val="Normal"/>
    <w:link w:val="Heading2Char"/>
    <w:autoRedefine/>
    <w:uiPriority w:val="9"/>
    <w:unhideWhenUsed/>
    <w:qFormat/>
    <w:pPr>
      <w:keepNext/>
      <w:numPr>
        <w:numId w:val="3"/>
      </w:numPr>
      <w:spacing w:before="240"/>
      <w:ind w:left="0"/>
      <w:outlineLvl w:val="1"/>
    </w:pPr>
    <w:rPr>
      <w:rFonts w:eastAsiaTheme="majorEastAsia" w:cstheme="majorBidi"/>
      <w:b/>
      <w:bCs/>
      <w:sz w:val="24"/>
      <w:szCs w:val="26"/>
    </w:rPr>
  </w:style>
  <w:style w:type="paragraph" w:styleId="Heading3">
    <w:name w:val="heading 3"/>
    <w:basedOn w:val="Normal"/>
    <w:next w:val="Normal"/>
    <w:link w:val="Heading3Char"/>
    <w:autoRedefine/>
    <w:uiPriority w:val="9"/>
    <w:unhideWhenUsed/>
    <w:qFormat/>
    <w:pPr>
      <w:numPr>
        <w:numId w:val="12"/>
      </w:numPr>
      <w:spacing w:before="200" w:line="271" w:lineRule="auto"/>
      <w:outlineLvl w:val="2"/>
    </w:pPr>
    <w:rPr>
      <w:rFonts w:eastAsiaTheme="majorEastAsia" w:cstheme="majorBidi"/>
      <w:bCs/>
      <w:sz w:val="24"/>
      <w:u w:val="single"/>
    </w:rPr>
  </w:style>
  <w:style w:type="paragraph" w:styleId="Heading4">
    <w:name w:val="heading 4"/>
    <w:basedOn w:val="ListParagraph"/>
    <w:next w:val="Normal"/>
    <w:link w:val="Heading4Char"/>
    <w:autoRedefine/>
    <w:uiPriority w:val="9"/>
    <w:unhideWhenUsed/>
    <w:qFormat/>
    <w:pPr>
      <w:tabs>
        <w:tab w:val="left" w:pos="142"/>
      </w:tabs>
      <w:spacing w:before="240"/>
      <w:ind w:left="0"/>
      <w:contextualSpacing w:val="0"/>
      <w:outlineLvl w:val="3"/>
    </w:pPr>
    <w:rPr>
      <w:i/>
      <w:sz w:val="24"/>
    </w:rPr>
  </w:style>
  <w:style w:type="paragraph" w:styleId="Heading5">
    <w:name w:val="heading 5"/>
    <w:basedOn w:val="ListParagraph"/>
    <w:next w:val="Normal"/>
    <w:link w:val="Heading5Char"/>
    <w:autoRedefine/>
    <w:uiPriority w:val="9"/>
    <w:unhideWhenUsed/>
    <w:qFormat/>
    <w:pPr>
      <w:numPr>
        <w:numId w:val="1"/>
      </w:numPr>
      <w:outlineLvl w:val="4"/>
    </w:pPr>
  </w:style>
  <w:style w:type="paragraph" w:styleId="Heading6">
    <w:name w:val="heading 6"/>
    <w:basedOn w:val="Normal"/>
    <w:next w:val="Normal"/>
    <w:link w:val="Heading6Char"/>
    <w:uiPriority w:val="9"/>
    <w:semiHidden/>
    <w:unhideWhenUsed/>
    <w:qFormat/>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Heading1Char">
    <w:name w:val="Heading 1 Char"/>
    <w:basedOn w:val="DefaultParagraphFont"/>
    <w:link w:val="Heading1"/>
    <w:uiPriority w:val="9"/>
    <w:rPr>
      <w:rFonts w:ascii="Times New Roman" w:hAnsi="Times New Roman" w:cs="Times New Roman"/>
      <w:b/>
      <w:sz w:val="24"/>
      <w:szCs w:val="24"/>
      <w:u w:val="single"/>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Pr>
      <w:rFonts w:ascii="Times New Roman" w:eastAsiaTheme="majorEastAsia" w:hAnsi="Times New Roman" w:cstheme="majorBidi"/>
      <w:bCs/>
      <w:sz w:val="24"/>
      <w:u w:val="single"/>
    </w:rPr>
  </w:style>
  <w:style w:type="character" w:customStyle="1" w:styleId="Heading4Char">
    <w:name w:val="Heading 4 Char"/>
    <w:basedOn w:val="DefaultParagraphFont"/>
    <w:link w:val="Heading4"/>
    <w:uiPriority w:val="9"/>
    <w:rPr>
      <w:rFonts w:ascii="Times New Roman" w:hAnsi="Times New Roman" w:cs="Times New Roman"/>
      <w:i/>
      <w:sz w:val="24"/>
    </w:rPr>
  </w:style>
  <w:style w:type="character" w:customStyle="1" w:styleId="Heading5Char">
    <w:name w:val="Heading 5 Char"/>
    <w:basedOn w:val="DefaultParagraphFont"/>
    <w:link w:val="Heading5"/>
    <w:uiPriority w:val="9"/>
    <w:rPr>
      <w:rFonts w:ascii="Times New Roman" w:hAnsi="Times New Roman" w:cs="Times New Roman"/>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pPr>
      <w:spacing w:line="240" w:lineRule="auto"/>
    </w:pPr>
    <w:rPr>
      <w:rFonts w:asciiTheme="majorHAnsi" w:hAnsiTheme="majorHAnsi"/>
      <w:bCs/>
      <w:smallCaps/>
      <w:color w:val="1F497D" w:themeColor="text2"/>
      <w:spacing w:val="6"/>
      <w:szCs w:val="18"/>
      <w:lang w:bidi="hi-IN"/>
    </w:rPr>
  </w:style>
  <w:style w:type="paragraph" w:styleId="Title">
    <w:name w:val="Title"/>
    <w:basedOn w:val="Normal"/>
    <w:next w:val="Normal"/>
    <w:link w:val="TitleChar"/>
    <w:uiPriority w:val="10"/>
    <w:qFormat/>
    <w:pPr>
      <w:pBdr>
        <w:top w:val="single" w:sz="4" w:space="1" w:color="auto"/>
        <w:left w:val="single" w:sz="4" w:space="4" w:color="auto"/>
        <w:bottom w:val="single" w:sz="4" w:space="1" w:color="auto"/>
        <w:right w:val="single" w:sz="4" w:space="4" w:color="auto"/>
      </w:pBdr>
      <w:spacing w:before="240" w:line="240" w:lineRule="auto"/>
    </w:pPr>
    <w:rPr>
      <w:rFonts w:eastAsiaTheme="majorEastAsia" w:cstheme="majorBidi"/>
      <w:b/>
      <w:spacing w:val="5"/>
      <w:sz w:val="36"/>
      <w:szCs w:val="52"/>
    </w:rPr>
  </w:style>
  <w:style w:type="character" w:customStyle="1" w:styleId="TitleChar">
    <w:name w:val="Title Char"/>
    <w:basedOn w:val="DefaultParagraphFont"/>
    <w:link w:val="Title"/>
    <w:uiPriority w:val="10"/>
    <w:rPr>
      <w:rFonts w:ascii="Times New Roman" w:eastAsiaTheme="majorEastAsia" w:hAnsi="Times New Roman" w:cstheme="majorBidi"/>
      <w:b/>
      <w:spacing w:val="5"/>
      <w:sz w:val="36"/>
      <w:szCs w:val="52"/>
    </w:rPr>
  </w:style>
  <w:style w:type="paragraph" w:styleId="Subtitle">
    <w:name w:val="Subtitle"/>
    <w:basedOn w:val="Normal"/>
    <w:next w:val="Normal"/>
    <w:link w:val="SubtitleChar"/>
    <w:uiPriority w:val="11"/>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spacing w:val="13"/>
      <w:sz w:val="24"/>
      <w:szCs w:val="24"/>
    </w:rPr>
  </w:style>
  <w:style w:type="character" w:styleId="Strong">
    <w:name w:val="Strong"/>
    <w:uiPriority w:val="22"/>
    <w:qFormat/>
    <w:rPr>
      <w:b/>
      <w:bCs/>
    </w:rPr>
  </w:style>
  <w:style w:type="character" w:styleId="Emphasis">
    <w:name w:val="Emphasis"/>
    <w:uiPriority w:val="20"/>
    <w:qFormat/>
    <w:rPr>
      <w:rFonts w:ascii="Times New Roman" w:hAnsi="Times New Roman"/>
      <w:b/>
      <w:bCs/>
      <w:i/>
      <w:iCs/>
      <w:spacing w:val="10"/>
      <w:sz w:val="24"/>
      <w:bdr w:val="none" w:sz="0" w:space="0" w:color="auto"/>
      <w:shd w:val="clear" w:color="auto" w:fill="auto"/>
    </w:rPr>
  </w:style>
  <w:style w:type="paragraph" w:styleId="NoSpacing">
    <w:name w:val="No Spacing"/>
    <w:basedOn w:val="Normal"/>
    <w:link w:val="NoSpacingChar"/>
    <w:autoRedefine/>
    <w:uiPriority w:val="1"/>
    <w:qFormat/>
    <w:pPr>
      <w:spacing w:after="0" w:line="240" w:lineRule="auto"/>
    </w:pPr>
  </w:style>
  <w:style w:type="character" w:customStyle="1" w:styleId="NoSpacingChar">
    <w:name w:val="No Spacing Char"/>
    <w:basedOn w:val="DefaultParagraphFont"/>
    <w:link w:val="NoSpacing"/>
    <w:uiPriority w:val="1"/>
  </w:style>
  <w:style w:type="paragraph" w:styleId="Quote">
    <w:name w:val="Quote"/>
    <w:basedOn w:val="Normal"/>
    <w:next w:val="Normal"/>
    <w:link w:val="QuoteChar"/>
    <w:autoRedefine/>
    <w:uiPriority w:val="29"/>
    <w:qFormat/>
    <w:pPr>
      <w:spacing w:before="240"/>
      <w:ind w:left="357" w:right="357"/>
    </w:pPr>
    <w:rPr>
      <w:i/>
      <w:iCs/>
      <w:sz w:val="24"/>
    </w:rPr>
  </w:style>
  <w:style w:type="character" w:customStyle="1" w:styleId="QuoteChar">
    <w:name w:val="Quote Char"/>
    <w:basedOn w:val="DefaultParagraphFont"/>
    <w:link w:val="Quote"/>
    <w:uiPriority w:val="29"/>
    <w:rPr>
      <w:rFonts w:ascii="Times New Roman" w:hAnsi="Times New Roman" w:cs="Times New Roman"/>
      <w:i/>
      <w:iCs/>
      <w:sz w:val="24"/>
    </w:rPr>
  </w:style>
  <w:style w:type="paragraph" w:styleId="IntenseQuote">
    <w:name w:val="Intense Quote"/>
    <w:basedOn w:val="Quote"/>
    <w:next w:val="Normal"/>
    <w:link w:val="IntenseQuoteChar"/>
    <w:autoRedefine/>
    <w:uiPriority w:val="30"/>
    <w:qFormat/>
    <w:rPr>
      <w:u w:val="single"/>
    </w:rPr>
  </w:style>
  <w:style w:type="character" w:customStyle="1" w:styleId="IntenseQuoteChar">
    <w:name w:val="Intense Quote Char"/>
    <w:basedOn w:val="DefaultParagraphFont"/>
    <w:link w:val="IntenseQuote"/>
    <w:uiPriority w:val="30"/>
    <w:rPr>
      <w:rFonts w:ascii="Times New Roman" w:hAnsi="Times New Roman" w:cs="Times New Roman"/>
      <w:i/>
      <w:iCs/>
      <w:sz w:val="24"/>
      <w:u w:val="single"/>
    </w:rPr>
  </w:style>
  <w:style w:type="character" w:styleId="SubtleEmphasis">
    <w:name w:val="Subtle Emphasis"/>
    <w:uiPriority w:val="19"/>
    <w:rPr>
      <w:i/>
      <w:iCs/>
    </w:rPr>
  </w:style>
  <w:style w:type="character" w:styleId="IntenseEmphasis">
    <w:name w:val="Intense Emphasis"/>
    <w:uiPriority w:val="21"/>
    <w:rPr>
      <w:b/>
      <w:bCs/>
    </w:rPr>
  </w:style>
  <w:style w:type="character" w:styleId="SubtleReference">
    <w:name w:val="Subtle Reference"/>
    <w:uiPriority w:val="31"/>
    <w:rPr>
      <w:smallCaps/>
    </w:rPr>
  </w:style>
  <w:style w:type="character" w:styleId="IntenseReference">
    <w:name w:val="Intense Reference"/>
    <w:uiPriority w:val="32"/>
    <w:rPr>
      <w:smallCaps/>
      <w:spacing w:val="5"/>
      <w:u w:val="single"/>
    </w:rPr>
  </w:style>
  <w:style w:type="character" w:styleId="BookTitle">
    <w:name w:val="Book Title"/>
    <w:uiPriority w:val="33"/>
    <w:rPr>
      <w:i/>
      <w:iCs/>
      <w:smallCaps/>
      <w:spacing w:val="5"/>
    </w:rPr>
  </w:style>
  <w:style w:type="paragraph" w:styleId="TOCHeading">
    <w:name w:val="TOC Heading"/>
    <w:basedOn w:val="Heading1"/>
    <w:next w:val="Normal"/>
    <w:uiPriority w:val="39"/>
    <w:unhideWhenUsed/>
    <w:pPr>
      <w:outlineLvl w:val="9"/>
    </w:pPr>
    <w:rPr>
      <w:lang w:bidi="en-US"/>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character" w:styleId="Hyperlink">
    <w:name w:val="Hyperlink"/>
    <w:basedOn w:val="DefaultParagraphFont"/>
    <w:uiPriority w:val="99"/>
    <w:unhideWhenUsed/>
    <w:rPr>
      <w:color w:val="0000FF" w:themeColor="hyperlink"/>
      <w:u w:val="single"/>
    </w:rPr>
  </w:style>
  <w:style w:type="paragraph" w:styleId="FootnoteText">
    <w:name w:val="footnote text"/>
    <w:basedOn w:val="Normal"/>
    <w:uiPriority w:val="99"/>
    <w:unhideWhenUsed/>
    <w:qFormat/>
    <w:pPr>
      <w:tabs>
        <w:tab w:val="left" w:pos="360"/>
      </w:tabs>
      <w:spacing w:after="0" w:line="240" w:lineRule="auto"/>
      <w:ind w:left="360" w:hanging="360"/>
    </w:pPr>
    <w:rPr>
      <w:rFonts w:eastAsia="Calibri"/>
      <w:sz w:val="20"/>
      <w:szCs w:val="20"/>
    </w:rPr>
  </w:style>
  <w:style w:type="character" w:customStyle="1" w:styleId="FootnoteTextChar">
    <w:name w:val="Footnote Text Char"/>
    <w:aliases w:val="Footnote Char,Fußnote Char,Char Char Car Char,Fußnotentextf Char,Note de bas de page Car Car Car Car Car Car Car Car Car Car Char,Note de bas de page Car Car Car Car Char,Note de bas de page Car Car Car Car Car Car Car Car Car Char"/>
    <w:basedOn w:val="DefaultParagraphFont"/>
    <w:uiPriority w:val="99"/>
    <w:rPr>
      <w:rFonts w:ascii="Times New Roman" w:eastAsia="Calibri" w:hAnsi="Times New Roman" w:cs="Times New Roman"/>
      <w:sz w:val="20"/>
      <w:szCs w:val="20"/>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sh"/>
    <w:link w:val="FootnotesymbolCarZchn"/>
    <w:uiPriority w:val="99"/>
    <w:unhideWhenUsed/>
    <w:qFormat/>
    <w:rPr>
      <w:shd w:val="clear" w:color="auto" w:fill="auto"/>
      <w:vertAlign w:val="superscript"/>
    </w:rPr>
  </w:style>
  <w:style w:type="paragraph" w:customStyle="1" w:styleId="Style18">
    <w:name w:val="Style18"/>
    <w:basedOn w:val="Normal"/>
    <w:uiPriority w:val="99"/>
    <w:pPr>
      <w:widowControl w:val="0"/>
      <w:autoSpaceDE w:val="0"/>
      <w:autoSpaceDN w:val="0"/>
      <w:adjustRightInd w:val="0"/>
      <w:spacing w:after="0" w:line="296" w:lineRule="exact"/>
    </w:pPr>
    <w:rPr>
      <w:rFonts w:ascii="Trebuchet MS" w:eastAsia="Times New Roman" w:hAnsi="Trebuchet MS"/>
      <w:sz w:val="24"/>
      <w:szCs w:val="24"/>
      <w:lang w:val="hu-HU" w:eastAsia="hu-HU"/>
    </w:rPr>
  </w:style>
  <w:style w:type="paragraph" w:styleId="Header">
    <w:name w:val="header"/>
    <w:basedOn w:val="Normal"/>
    <w:link w:val="HeaderChar"/>
    <w:uiPriority w:val="99"/>
    <w:unhideWhenUsed/>
    <w:pPr>
      <w:tabs>
        <w:tab w:val="center" w:pos="4535"/>
        <w:tab w:val="right" w:pos="9071"/>
      </w:tabs>
      <w:spacing w:after="120" w:line="240" w:lineRule="auto"/>
    </w:pPr>
    <w:rPr>
      <w:rFonts w:eastAsiaTheme="minorHAnsi"/>
      <w:sz w:val="24"/>
    </w:rPr>
  </w:style>
  <w:style w:type="character" w:customStyle="1" w:styleId="HeaderChar">
    <w:name w:val="Header Char"/>
    <w:basedOn w:val="DefaultParagraphFont"/>
    <w:link w:val="Header"/>
    <w:uiPriority w:val="99"/>
    <w:rPr>
      <w:rFonts w:ascii="Times New Roman" w:eastAsiaTheme="minorHAnsi"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jc w:val="left"/>
    </w:pPr>
    <w:rPr>
      <w:rFonts w:eastAsiaTheme="minorHAnsi"/>
      <w:sz w:val="24"/>
    </w:rPr>
  </w:style>
  <w:style w:type="character" w:customStyle="1" w:styleId="FooterChar">
    <w:name w:val="Footer Char"/>
    <w:basedOn w:val="DefaultParagraphFont"/>
    <w:link w:val="Footer"/>
    <w:uiPriority w:val="99"/>
    <w:rPr>
      <w:rFonts w:ascii="Times New Roman" w:eastAsiaTheme="minorHAnsi" w:hAnsi="Times New Roman" w:cs="Times New Roman"/>
      <w:sz w:val="24"/>
    </w:rPr>
  </w:style>
  <w:style w:type="paragraph" w:customStyle="1" w:styleId="Tiret2">
    <w:name w:val="Tiret 2"/>
    <w:basedOn w:val="Normal"/>
    <w:pPr>
      <w:numPr>
        <w:numId w:val="2"/>
      </w:numPr>
      <w:spacing w:before="120" w:after="120" w:line="240" w:lineRule="auto"/>
    </w:pPr>
    <w:rPr>
      <w:rFonts w:eastAsia="Times New Roman"/>
      <w:sz w:val="24"/>
      <w:szCs w:val="24"/>
      <w:lang w:eastAsia="de-DE"/>
    </w:rPr>
  </w:style>
  <w:style w:type="paragraph" w:styleId="ListBullet">
    <w:name w:val="List Bullet"/>
    <w:basedOn w:val="Normal"/>
    <w:pPr>
      <w:numPr>
        <w:numId w:val="4"/>
      </w:numPr>
      <w:spacing w:before="120" w:after="120" w:line="240" w:lineRule="auto"/>
    </w:pPr>
    <w:rPr>
      <w:rFonts w:eastAsia="Times New Roman"/>
      <w:sz w:val="24"/>
      <w:szCs w:val="24"/>
      <w:lang w:eastAsia="de-DE"/>
    </w:rPr>
  </w:style>
  <w:style w:type="paragraph" w:customStyle="1" w:styleId="c01pointnumerotealtn">
    <w:name w:val="c01pointnumerotealtn"/>
    <w:basedOn w:val="Normal"/>
    <w:pPr>
      <w:spacing w:before="100" w:beforeAutospacing="1" w:after="100" w:afterAutospacing="1" w:line="240" w:lineRule="auto"/>
      <w:jc w:val="left"/>
    </w:pPr>
    <w:rPr>
      <w:rFonts w:eastAsia="Times New Roman"/>
      <w:sz w:val="24"/>
      <w:szCs w:val="24"/>
      <w:lang w:eastAsia="en-GB"/>
    </w:rPr>
  </w:style>
  <w:style w:type="paragraph" w:styleId="Revision">
    <w:name w:val="Revision"/>
    <w:hidden/>
    <w:uiPriority w:val="99"/>
    <w:semiHidden/>
    <w:pPr>
      <w:spacing w:after="0" w:line="240" w:lineRule="auto"/>
    </w:pPr>
    <w:rPr>
      <w:rFonts w:ascii="Times New Roman" w:hAnsi="Times New Roman" w:cs="Times New Roman"/>
    </w:rPr>
  </w:style>
  <w:style w:type="paragraph" w:styleId="EndnoteText">
    <w:name w:val="endnote text"/>
    <w:basedOn w:val="Normal"/>
    <w:link w:val="EndnoteTextChar"/>
    <w:uiPriority w:val="99"/>
    <w:semiHidden/>
    <w:unhideWhenUsed/>
    <w:pPr>
      <w:spacing w:after="0" w:line="240" w:lineRule="auto"/>
    </w:pPr>
    <w:rPr>
      <w:rFonts w:eastAsia="Times New Roman"/>
      <w:sz w:val="20"/>
      <w:szCs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rFonts w:eastAsiaTheme="minorHAnsi"/>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sz w:val="24"/>
    </w:rPr>
  </w:style>
  <w:style w:type="character" w:customStyle="1" w:styleId="FooterCoverPageChar">
    <w:name w:val="Footer Cover Page Char"/>
    <w:basedOn w:val="TitleChar"/>
    <w:link w:val="FooterCoverPage"/>
    <w:rPr>
      <w:rFonts w:ascii="Times New Roman" w:eastAsiaTheme="majorEastAsia" w:hAnsi="Times New Roman" w:cs="Times New Roman"/>
      <w:b w:val="0"/>
      <w:spacing w:val="5"/>
      <w:sz w:val="24"/>
      <w:szCs w:val="52"/>
    </w:rPr>
  </w:style>
  <w:style w:type="paragraph" w:customStyle="1" w:styleId="HeaderCoverPage">
    <w:name w:val="Header Cover Page"/>
    <w:basedOn w:val="Normal"/>
    <w:link w:val="HeaderCoverPageChar"/>
    <w:pPr>
      <w:tabs>
        <w:tab w:val="center" w:pos="4535"/>
        <w:tab w:val="right" w:pos="9071"/>
      </w:tabs>
      <w:spacing w:after="120" w:line="240" w:lineRule="auto"/>
    </w:pPr>
    <w:rPr>
      <w:sz w:val="24"/>
    </w:rPr>
  </w:style>
  <w:style w:type="character" w:customStyle="1" w:styleId="HeaderCoverPageChar">
    <w:name w:val="Header Cover Page Char"/>
    <w:basedOn w:val="TitleChar"/>
    <w:link w:val="HeaderCoverPage"/>
    <w:rPr>
      <w:rFonts w:ascii="Times New Roman" w:eastAsiaTheme="majorEastAsia" w:hAnsi="Times New Roman" w:cs="Times New Roman"/>
      <w:b w:val="0"/>
      <w:spacing w:val="5"/>
      <w:sz w:val="24"/>
      <w:szCs w:val="52"/>
    </w:rPr>
  </w:style>
  <w:style w:type="character" w:customStyle="1" w:styleId="st">
    <w:name w:val="st"/>
    <w:basedOn w:val="DefaultParagraphFont"/>
  </w:style>
  <w:style w:type="character" w:customStyle="1" w:styleId="ListParagraphChar">
    <w:name w:val="List Paragraph Char"/>
    <w:link w:val="ListParagraph"/>
    <w:uiPriority w:val="34"/>
    <w:locked/>
    <w:rPr>
      <w:rFonts w:ascii="Times New Roman" w:hAnsi="Times New Roman" w:cs="Times New Roman"/>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before="60" w:after="160" w:line="240" w:lineRule="exact"/>
      <w:ind w:left="357" w:hanging="357"/>
    </w:pPr>
    <w:rPr>
      <w:rFonts w:asciiTheme="minorHAnsi" w:hAnsiTheme="minorHAnsi" w:cstheme="minorBidi"/>
      <w:vertAlign w:val="superscript"/>
    </w:rPr>
  </w:style>
  <w:style w:type="paragraph" w:customStyle="1" w:styleId="Briefingtext">
    <w:name w:val="Briefing text"/>
    <w:basedOn w:val="Normal"/>
    <w:link w:val="BriefingtextChar"/>
    <w:pPr>
      <w:suppressAutoHyphens/>
      <w:spacing w:line="240" w:lineRule="auto"/>
    </w:pPr>
    <w:rPr>
      <w:rFonts w:ascii="Arial" w:eastAsia="Times New Roman" w:hAnsi="Arial" w:cs="Arial"/>
      <w:szCs w:val="24"/>
      <w:lang w:eastAsia="ar-SA"/>
    </w:rPr>
  </w:style>
  <w:style w:type="paragraph" w:styleId="NormalWeb">
    <w:name w:val="Normal (Web)"/>
    <w:basedOn w:val="Normal"/>
    <w:pPr>
      <w:suppressAutoHyphens/>
      <w:spacing w:before="100" w:after="100" w:line="240" w:lineRule="auto"/>
      <w:jc w:val="left"/>
    </w:pPr>
    <w:rPr>
      <w:rFonts w:eastAsia="Times New Roman"/>
      <w:sz w:val="24"/>
      <w:szCs w:val="24"/>
      <w:lang w:val="fr-FR" w:eastAsia="ar-SA"/>
    </w:rPr>
  </w:style>
  <w:style w:type="paragraph" w:customStyle="1" w:styleId="Pa13">
    <w:name w:val="Pa13"/>
    <w:basedOn w:val="Normal"/>
    <w:next w:val="Normal"/>
    <w:uiPriority w:val="99"/>
    <w:pPr>
      <w:autoSpaceDE w:val="0"/>
      <w:autoSpaceDN w:val="0"/>
      <w:adjustRightInd w:val="0"/>
      <w:spacing w:after="0" w:line="201" w:lineRule="atLeast"/>
      <w:jc w:val="left"/>
    </w:pPr>
    <w:rPr>
      <w:rFonts w:ascii="Garamond" w:hAnsi="Garamond" w:cstheme="minorBidi"/>
      <w:sz w:val="24"/>
      <w:szCs w:val="24"/>
    </w:rPr>
  </w:style>
  <w:style w:type="paragraph" w:customStyle="1" w:styleId="Declassification">
    <w:name w:val="Declassification"/>
    <w:basedOn w:val="Normal"/>
    <w:next w:val="Normal"/>
    <w:pPr>
      <w:spacing w:after="0" w:line="240" w:lineRule="auto"/>
    </w:pPr>
    <w:rPr>
      <w:rFonts w:eastAsiaTheme="minorHAnsi"/>
      <w:sz w:val="24"/>
    </w:rPr>
  </w:style>
  <w:style w:type="paragraph" w:customStyle="1" w:styleId="HeaderLandscape">
    <w:name w:val="HeaderLandscape"/>
    <w:basedOn w:val="Normal"/>
    <w:pPr>
      <w:tabs>
        <w:tab w:val="center" w:pos="7285"/>
        <w:tab w:val="right" w:pos="14003"/>
      </w:tabs>
      <w:spacing w:after="120" w:line="240" w:lineRule="auto"/>
    </w:pPr>
    <w:rPr>
      <w:rFonts w:eastAsiaTheme="minorHAnsi"/>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jc w:val="left"/>
    </w:pPr>
    <w:rPr>
      <w:rFonts w:eastAsiaTheme="minorHAnsi"/>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paragraph" w:styleId="PlainText">
    <w:name w:val="Plain Text"/>
    <w:basedOn w:val="Normal"/>
    <w:link w:val="PlainTextChar"/>
    <w:uiPriority w:val="99"/>
    <w:unhideWhenUsed/>
    <w:pPr>
      <w:spacing w:after="0" w:line="240" w:lineRule="auto"/>
      <w:jc w:val="left"/>
    </w:pPr>
    <w:rPr>
      <w:rFonts w:ascii="Calibri" w:eastAsiaTheme="minorHAnsi" w:hAnsi="Calibri" w:cs="Consolas"/>
      <w:szCs w:val="21"/>
    </w:rPr>
  </w:style>
  <w:style w:type="character" w:customStyle="1" w:styleId="PlainTextChar">
    <w:name w:val="Plain Text Char"/>
    <w:basedOn w:val="DefaultParagraphFont"/>
    <w:link w:val="PlainText"/>
    <w:uiPriority w:val="99"/>
    <w:rPr>
      <w:rFonts w:ascii="Calibri" w:eastAsiaTheme="minorHAnsi" w:hAnsi="Calibri" w:cs="Consolas"/>
      <w:szCs w:val="21"/>
    </w:rPr>
  </w:style>
  <w:style w:type="character" w:customStyle="1" w:styleId="BriefingtextChar">
    <w:name w:val="Briefing text Char"/>
    <w:link w:val="Briefingtext"/>
    <w:locked/>
    <w:rPr>
      <w:rFonts w:ascii="Arial" w:eastAsia="Times New Roman" w:hAnsi="Arial" w:cs="Arial"/>
      <w:szCs w:val="24"/>
      <w:lang w:eastAsia="ar-SA"/>
    </w:rPr>
  </w:style>
  <w:style w:type="paragraph" w:customStyle="1" w:styleId="Default">
    <w:name w:val="Default"/>
    <w:pPr>
      <w:autoSpaceDE w:val="0"/>
      <w:autoSpaceDN w:val="0"/>
      <w:adjustRightInd w:val="0"/>
      <w:spacing w:after="0" w:line="240" w:lineRule="auto"/>
    </w:pPr>
    <w:rPr>
      <w:rFonts w:ascii="Georgia" w:eastAsia="Calibri" w:hAnsi="Georgia" w:cs="Georgia"/>
      <w:color w:val="000000"/>
      <w:sz w:val="24"/>
      <w:szCs w:val="24"/>
      <w:lang w:val="fr-BE"/>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pPr>
      <w:spacing w:after="240"/>
      <w:jc w:val="both"/>
    </w:pPr>
    <w:rPr>
      <w:rFonts w:ascii="Times New Roman" w:hAnsi="Times New Roman" w:cs="Times New Roman"/>
    </w:rPr>
  </w:style>
  <w:style w:type="paragraph" w:styleId="Heading1">
    <w:name w:val="heading 1"/>
    <w:basedOn w:val="Normal"/>
    <w:next w:val="Normal"/>
    <w:link w:val="Heading1Char"/>
    <w:autoRedefine/>
    <w:uiPriority w:val="9"/>
    <w:qFormat/>
    <w:pPr>
      <w:numPr>
        <w:numId w:val="5"/>
      </w:numPr>
      <w:spacing w:before="240"/>
      <w:ind w:left="720"/>
      <w:outlineLvl w:val="0"/>
    </w:pPr>
    <w:rPr>
      <w:b/>
      <w:sz w:val="24"/>
      <w:szCs w:val="24"/>
      <w:u w:val="single"/>
    </w:rPr>
  </w:style>
  <w:style w:type="paragraph" w:styleId="Heading2">
    <w:name w:val="heading 2"/>
    <w:basedOn w:val="Normal"/>
    <w:next w:val="Normal"/>
    <w:link w:val="Heading2Char"/>
    <w:autoRedefine/>
    <w:uiPriority w:val="9"/>
    <w:unhideWhenUsed/>
    <w:qFormat/>
    <w:pPr>
      <w:keepNext/>
      <w:numPr>
        <w:numId w:val="3"/>
      </w:numPr>
      <w:spacing w:before="240"/>
      <w:ind w:left="0"/>
      <w:outlineLvl w:val="1"/>
    </w:pPr>
    <w:rPr>
      <w:rFonts w:eastAsiaTheme="majorEastAsia" w:cstheme="majorBidi"/>
      <w:b/>
      <w:bCs/>
      <w:sz w:val="24"/>
      <w:szCs w:val="26"/>
    </w:rPr>
  </w:style>
  <w:style w:type="paragraph" w:styleId="Heading3">
    <w:name w:val="heading 3"/>
    <w:basedOn w:val="Normal"/>
    <w:next w:val="Normal"/>
    <w:link w:val="Heading3Char"/>
    <w:autoRedefine/>
    <w:uiPriority w:val="9"/>
    <w:unhideWhenUsed/>
    <w:qFormat/>
    <w:pPr>
      <w:numPr>
        <w:numId w:val="12"/>
      </w:numPr>
      <w:spacing w:before="200" w:line="271" w:lineRule="auto"/>
      <w:outlineLvl w:val="2"/>
    </w:pPr>
    <w:rPr>
      <w:rFonts w:eastAsiaTheme="majorEastAsia" w:cstheme="majorBidi"/>
      <w:bCs/>
      <w:sz w:val="24"/>
      <w:u w:val="single"/>
    </w:rPr>
  </w:style>
  <w:style w:type="paragraph" w:styleId="Heading4">
    <w:name w:val="heading 4"/>
    <w:basedOn w:val="ListParagraph"/>
    <w:next w:val="Normal"/>
    <w:link w:val="Heading4Char"/>
    <w:autoRedefine/>
    <w:uiPriority w:val="9"/>
    <w:unhideWhenUsed/>
    <w:qFormat/>
    <w:pPr>
      <w:tabs>
        <w:tab w:val="left" w:pos="142"/>
      </w:tabs>
      <w:spacing w:before="240"/>
      <w:ind w:left="0"/>
      <w:contextualSpacing w:val="0"/>
      <w:outlineLvl w:val="3"/>
    </w:pPr>
    <w:rPr>
      <w:i/>
      <w:sz w:val="24"/>
    </w:rPr>
  </w:style>
  <w:style w:type="paragraph" w:styleId="Heading5">
    <w:name w:val="heading 5"/>
    <w:basedOn w:val="ListParagraph"/>
    <w:next w:val="Normal"/>
    <w:link w:val="Heading5Char"/>
    <w:autoRedefine/>
    <w:uiPriority w:val="9"/>
    <w:unhideWhenUsed/>
    <w:qFormat/>
    <w:pPr>
      <w:numPr>
        <w:numId w:val="1"/>
      </w:numPr>
      <w:outlineLvl w:val="4"/>
    </w:pPr>
  </w:style>
  <w:style w:type="paragraph" w:styleId="Heading6">
    <w:name w:val="heading 6"/>
    <w:basedOn w:val="Normal"/>
    <w:next w:val="Normal"/>
    <w:link w:val="Heading6Char"/>
    <w:uiPriority w:val="9"/>
    <w:semiHidden/>
    <w:unhideWhenUsed/>
    <w:qFormat/>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Heading1Char">
    <w:name w:val="Heading 1 Char"/>
    <w:basedOn w:val="DefaultParagraphFont"/>
    <w:link w:val="Heading1"/>
    <w:uiPriority w:val="9"/>
    <w:rPr>
      <w:rFonts w:ascii="Times New Roman" w:hAnsi="Times New Roman" w:cs="Times New Roman"/>
      <w:b/>
      <w:sz w:val="24"/>
      <w:szCs w:val="24"/>
      <w:u w:val="single"/>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Pr>
      <w:rFonts w:ascii="Times New Roman" w:eastAsiaTheme="majorEastAsia" w:hAnsi="Times New Roman" w:cstheme="majorBidi"/>
      <w:bCs/>
      <w:sz w:val="24"/>
      <w:u w:val="single"/>
    </w:rPr>
  </w:style>
  <w:style w:type="character" w:customStyle="1" w:styleId="Heading4Char">
    <w:name w:val="Heading 4 Char"/>
    <w:basedOn w:val="DefaultParagraphFont"/>
    <w:link w:val="Heading4"/>
    <w:uiPriority w:val="9"/>
    <w:rPr>
      <w:rFonts w:ascii="Times New Roman" w:hAnsi="Times New Roman" w:cs="Times New Roman"/>
      <w:i/>
      <w:sz w:val="24"/>
    </w:rPr>
  </w:style>
  <w:style w:type="character" w:customStyle="1" w:styleId="Heading5Char">
    <w:name w:val="Heading 5 Char"/>
    <w:basedOn w:val="DefaultParagraphFont"/>
    <w:link w:val="Heading5"/>
    <w:uiPriority w:val="9"/>
    <w:rPr>
      <w:rFonts w:ascii="Times New Roman" w:hAnsi="Times New Roman" w:cs="Times New Roman"/>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pPr>
      <w:spacing w:line="240" w:lineRule="auto"/>
    </w:pPr>
    <w:rPr>
      <w:rFonts w:asciiTheme="majorHAnsi" w:hAnsiTheme="majorHAnsi"/>
      <w:bCs/>
      <w:smallCaps/>
      <w:color w:val="1F497D" w:themeColor="text2"/>
      <w:spacing w:val="6"/>
      <w:szCs w:val="18"/>
      <w:lang w:bidi="hi-IN"/>
    </w:rPr>
  </w:style>
  <w:style w:type="paragraph" w:styleId="Title">
    <w:name w:val="Title"/>
    <w:basedOn w:val="Normal"/>
    <w:next w:val="Normal"/>
    <w:link w:val="TitleChar"/>
    <w:uiPriority w:val="10"/>
    <w:qFormat/>
    <w:pPr>
      <w:pBdr>
        <w:top w:val="single" w:sz="4" w:space="1" w:color="auto"/>
        <w:left w:val="single" w:sz="4" w:space="4" w:color="auto"/>
        <w:bottom w:val="single" w:sz="4" w:space="1" w:color="auto"/>
        <w:right w:val="single" w:sz="4" w:space="4" w:color="auto"/>
      </w:pBdr>
      <w:spacing w:before="240" w:line="240" w:lineRule="auto"/>
    </w:pPr>
    <w:rPr>
      <w:rFonts w:eastAsiaTheme="majorEastAsia" w:cstheme="majorBidi"/>
      <w:b/>
      <w:spacing w:val="5"/>
      <w:sz w:val="36"/>
      <w:szCs w:val="52"/>
    </w:rPr>
  </w:style>
  <w:style w:type="character" w:customStyle="1" w:styleId="TitleChar">
    <w:name w:val="Title Char"/>
    <w:basedOn w:val="DefaultParagraphFont"/>
    <w:link w:val="Title"/>
    <w:uiPriority w:val="10"/>
    <w:rPr>
      <w:rFonts w:ascii="Times New Roman" w:eastAsiaTheme="majorEastAsia" w:hAnsi="Times New Roman" w:cstheme="majorBidi"/>
      <w:b/>
      <w:spacing w:val="5"/>
      <w:sz w:val="36"/>
      <w:szCs w:val="52"/>
    </w:rPr>
  </w:style>
  <w:style w:type="paragraph" w:styleId="Subtitle">
    <w:name w:val="Subtitle"/>
    <w:basedOn w:val="Normal"/>
    <w:next w:val="Normal"/>
    <w:link w:val="SubtitleChar"/>
    <w:uiPriority w:val="11"/>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spacing w:val="13"/>
      <w:sz w:val="24"/>
      <w:szCs w:val="24"/>
    </w:rPr>
  </w:style>
  <w:style w:type="character" w:styleId="Strong">
    <w:name w:val="Strong"/>
    <w:uiPriority w:val="22"/>
    <w:qFormat/>
    <w:rPr>
      <w:b/>
      <w:bCs/>
    </w:rPr>
  </w:style>
  <w:style w:type="character" w:styleId="Emphasis">
    <w:name w:val="Emphasis"/>
    <w:uiPriority w:val="20"/>
    <w:qFormat/>
    <w:rPr>
      <w:rFonts w:ascii="Times New Roman" w:hAnsi="Times New Roman"/>
      <w:b/>
      <w:bCs/>
      <w:i/>
      <w:iCs/>
      <w:spacing w:val="10"/>
      <w:sz w:val="24"/>
      <w:bdr w:val="none" w:sz="0" w:space="0" w:color="auto"/>
      <w:shd w:val="clear" w:color="auto" w:fill="auto"/>
    </w:rPr>
  </w:style>
  <w:style w:type="paragraph" w:styleId="NoSpacing">
    <w:name w:val="No Spacing"/>
    <w:basedOn w:val="Normal"/>
    <w:link w:val="NoSpacingChar"/>
    <w:autoRedefine/>
    <w:uiPriority w:val="1"/>
    <w:qFormat/>
    <w:pPr>
      <w:spacing w:after="0" w:line="240" w:lineRule="auto"/>
    </w:pPr>
  </w:style>
  <w:style w:type="character" w:customStyle="1" w:styleId="NoSpacingChar">
    <w:name w:val="No Spacing Char"/>
    <w:basedOn w:val="DefaultParagraphFont"/>
    <w:link w:val="NoSpacing"/>
    <w:uiPriority w:val="1"/>
  </w:style>
  <w:style w:type="paragraph" w:styleId="Quote">
    <w:name w:val="Quote"/>
    <w:basedOn w:val="Normal"/>
    <w:next w:val="Normal"/>
    <w:link w:val="QuoteChar"/>
    <w:autoRedefine/>
    <w:uiPriority w:val="29"/>
    <w:qFormat/>
    <w:pPr>
      <w:spacing w:before="240"/>
      <w:ind w:left="357" w:right="357"/>
    </w:pPr>
    <w:rPr>
      <w:i/>
      <w:iCs/>
      <w:sz w:val="24"/>
    </w:rPr>
  </w:style>
  <w:style w:type="character" w:customStyle="1" w:styleId="QuoteChar">
    <w:name w:val="Quote Char"/>
    <w:basedOn w:val="DefaultParagraphFont"/>
    <w:link w:val="Quote"/>
    <w:uiPriority w:val="29"/>
    <w:rPr>
      <w:rFonts w:ascii="Times New Roman" w:hAnsi="Times New Roman" w:cs="Times New Roman"/>
      <w:i/>
      <w:iCs/>
      <w:sz w:val="24"/>
    </w:rPr>
  </w:style>
  <w:style w:type="paragraph" w:styleId="IntenseQuote">
    <w:name w:val="Intense Quote"/>
    <w:basedOn w:val="Quote"/>
    <w:next w:val="Normal"/>
    <w:link w:val="IntenseQuoteChar"/>
    <w:autoRedefine/>
    <w:uiPriority w:val="30"/>
    <w:qFormat/>
    <w:rPr>
      <w:u w:val="single"/>
    </w:rPr>
  </w:style>
  <w:style w:type="character" w:customStyle="1" w:styleId="IntenseQuoteChar">
    <w:name w:val="Intense Quote Char"/>
    <w:basedOn w:val="DefaultParagraphFont"/>
    <w:link w:val="IntenseQuote"/>
    <w:uiPriority w:val="30"/>
    <w:rPr>
      <w:rFonts w:ascii="Times New Roman" w:hAnsi="Times New Roman" w:cs="Times New Roman"/>
      <w:i/>
      <w:iCs/>
      <w:sz w:val="24"/>
      <w:u w:val="single"/>
    </w:rPr>
  </w:style>
  <w:style w:type="character" w:styleId="SubtleEmphasis">
    <w:name w:val="Subtle Emphasis"/>
    <w:uiPriority w:val="19"/>
    <w:rPr>
      <w:i/>
      <w:iCs/>
    </w:rPr>
  </w:style>
  <w:style w:type="character" w:styleId="IntenseEmphasis">
    <w:name w:val="Intense Emphasis"/>
    <w:uiPriority w:val="21"/>
    <w:rPr>
      <w:b/>
      <w:bCs/>
    </w:rPr>
  </w:style>
  <w:style w:type="character" w:styleId="SubtleReference">
    <w:name w:val="Subtle Reference"/>
    <w:uiPriority w:val="31"/>
    <w:rPr>
      <w:smallCaps/>
    </w:rPr>
  </w:style>
  <w:style w:type="character" w:styleId="IntenseReference">
    <w:name w:val="Intense Reference"/>
    <w:uiPriority w:val="32"/>
    <w:rPr>
      <w:smallCaps/>
      <w:spacing w:val="5"/>
      <w:u w:val="single"/>
    </w:rPr>
  </w:style>
  <w:style w:type="character" w:styleId="BookTitle">
    <w:name w:val="Book Title"/>
    <w:uiPriority w:val="33"/>
    <w:rPr>
      <w:i/>
      <w:iCs/>
      <w:smallCaps/>
      <w:spacing w:val="5"/>
    </w:rPr>
  </w:style>
  <w:style w:type="paragraph" w:styleId="TOCHeading">
    <w:name w:val="TOC Heading"/>
    <w:basedOn w:val="Heading1"/>
    <w:next w:val="Normal"/>
    <w:uiPriority w:val="39"/>
    <w:unhideWhenUsed/>
    <w:pPr>
      <w:outlineLvl w:val="9"/>
    </w:pPr>
    <w:rPr>
      <w:lang w:bidi="en-US"/>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character" w:styleId="Hyperlink">
    <w:name w:val="Hyperlink"/>
    <w:basedOn w:val="DefaultParagraphFont"/>
    <w:uiPriority w:val="99"/>
    <w:unhideWhenUsed/>
    <w:rPr>
      <w:color w:val="0000FF" w:themeColor="hyperlink"/>
      <w:u w:val="single"/>
    </w:rPr>
  </w:style>
  <w:style w:type="paragraph" w:styleId="FootnoteText">
    <w:name w:val="footnote text"/>
    <w:basedOn w:val="Normal"/>
    <w:uiPriority w:val="99"/>
    <w:unhideWhenUsed/>
    <w:qFormat/>
    <w:pPr>
      <w:tabs>
        <w:tab w:val="left" w:pos="360"/>
      </w:tabs>
      <w:spacing w:after="0" w:line="240" w:lineRule="auto"/>
      <w:ind w:left="360" w:hanging="360"/>
    </w:pPr>
    <w:rPr>
      <w:rFonts w:eastAsia="Calibri"/>
      <w:sz w:val="20"/>
      <w:szCs w:val="20"/>
    </w:rPr>
  </w:style>
  <w:style w:type="character" w:customStyle="1" w:styleId="FootnoteTextChar">
    <w:name w:val="Footnote Text Char"/>
    <w:aliases w:val="Footnote Char,Fußnote Char,Char Char Car Char,Fußnotentextf Char,Note de bas de page Car Car Car Car Car Car Car Car Car Car Char,Note de bas de page Car Car Car Car Char,Note de bas de page Car Car Car Car Car Car Car Car Car Char"/>
    <w:basedOn w:val="DefaultParagraphFont"/>
    <w:uiPriority w:val="99"/>
    <w:rPr>
      <w:rFonts w:ascii="Times New Roman" w:eastAsia="Calibri" w:hAnsi="Times New Roman" w:cs="Times New Roman"/>
      <w:sz w:val="20"/>
      <w:szCs w:val="20"/>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sh"/>
    <w:link w:val="FootnotesymbolCarZchn"/>
    <w:uiPriority w:val="99"/>
    <w:unhideWhenUsed/>
    <w:qFormat/>
    <w:rPr>
      <w:shd w:val="clear" w:color="auto" w:fill="auto"/>
      <w:vertAlign w:val="superscript"/>
    </w:rPr>
  </w:style>
  <w:style w:type="paragraph" w:customStyle="1" w:styleId="Style18">
    <w:name w:val="Style18"/>
    <w:basedOn w:val="Normal"/>
    <w:uiPriority w:val="99"/>
    <w:pPr>
      <w:widowControl w:val="0"/>
      <w:autoSpaceDE w:val="0"/>
      <w:autoSpaceDN w:val="0"/>
      <w:adjustRightInd w:val="0"/>
      <w:spacing w:after="0" w:line="296" w:lineRule="exact"/>
    </w:pPr>
    <w:rPr>
      <w:rFonts w:ascii="Trebuchet MS" w:eastAsia="Times New Roman" w:hAnsi="Trebuchet MS"/>
      <w:sz w:val="24"/>
      <w:szCs w:val="24"/>
      <w:lang w:val="hu-HU" w:eastAsia="hu-HU"/>
    </w:rPr>
  </w:style>
  <w:style w:type="paragraph" w:styleId="Header">
    <w:name w:val="header"/>
    <w:basedOn w:val="Normal"/>
    <w:link w:val="HeaderChar"/>
    <w:uiPriority w:val="99"/>
    <w:unhideWhenUsed/>
    <w:pPr>
      <w:tabs>
        <w:tab w:val="center" w:pos="4535"/>
        <w:tab w:val="right" w:pos="9071"/>
      </w:tabs>
      <w:spacing w:after="120" w:line="240" w:lineRule="auto"/>
    </w:pPr>
    <w:rPr>
      <w:rFonts w:eastAsiaTheme="minorHAnsi"/>
      <w:sz w:val="24"/>
    </w:rPr>
  </w:style>
  <w:style w:type="character" w:customStyle="1" w:styleId="HeaderChar">
    <w:name w:val="Header Char"/>
    <w:basedOn w:val="DefaultParagraphFont"/>
    <w:link w:val="Header"/>
    <w:uiPriority w:val="99"/>
    <w:rPr>
      <w:rFonts w:ascii="Times New Roman" w:eastAsiaTheme="minorHAnsi"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jc w:val="left"/>
    </w:pPr>
    <w:rPr>
      <w:rFonts w:eastAsiaTheme="minorHAnsi"/>
      <w:sz w:val="24"/>
    </w:rPr>
  </w:style>
  <w:style w:type="character" w:customStyle="1" w:styleId="FooterChar">
    <w:name w:val="Footer Char"/>
    <w:basedOn w:val="DefaultParagraphFont"/>
    <w:link w:val="Footer"/>
    <w:uiPriority w:val="99"/>
    <w:rPr>
      <w:rFonts w:ascii="Times New Roman" w:eastAsiaTheme="minorHAnsi" w:hAnsi="Times New Roman" w:cs="Times New Roman"/>
      <w:sz w:val="24"/>
    </w:rPr>
  </w:style>
  <w:style w:type="paragraph" w:customStyle="1" w:styleId="Tiret2">
    <w:name w:val="Tiret 2"/>
    <w:basedOn w:val="Normal"/>
    <w:pPr>
      <w:numPr>
        <w:numId w:val="2"/>
      </w:numPr>
      <w:spacing w:before="120" w:after="120" w:line="240" w:lineRule="auto"/>
    </w:pPr>
    <w:rPr>
      <w:rFonts w:eastAsia="Times New Roman"/>
      <w:sz w:val="24"/>
      <w:szCs w:val="24"/>
      <w:lang w:eastAsia="de-DE"/>
    </w:rPr>
  </w:style>
  <w:style w:type="paragraph" w:styleId="ListBullet">
    <w:name w:val="List Bullet"/>
    <w:basedOn w:val="Normal"/>
    <w:pPr>
      <w:numPr>
        <w:numId w:val="4"/>
      </w:numPr>
      <w:spacing w:before="120" w:after="120" w:line="240" w:lineRule="auto"/>
    </w:pPr>
    <w:rPr>
      <w:rFonts w:eastAsia="Times New Roman"/>
      <w:sz w:val="24"/>
      <w:szCs w:val="24"/>
      <w:lang w:eastAsia="de-DE"/>
    </w:rPr>
  </w:style>
  <w:style w:type="paragraph" w:customStyle="1" w:styleId="c01pointnumerotealtn">
    <w:name w:val="c01pointnumerotealtn"/>
    <w:basedOn w:val="Normal"/>
    <w:pPr>
      <w:spacing w:before="100" w:beforeAutospacing="1" w:after="100" w:afterAutospacing="1" w:line="240" w:lineRule="auto"/>
      <w:jc w:val="left"/>
    </w:pPr>
    <w:rPr>
      <w:rFonts w:eastAsia="Times New Roman"/>
      <w:sz w:val="24"/>
      <w:szCs w:val="24"/>
      <w:lang w:eastAsia="en-GB"/>
    </w:rPr>
  </w:style>
  <w:style w:type="paragraph" w:styleId="Revision">
    <w:name w:val="Revision"/>
    <w:hidden/>
    <w:uiPriority w:val="99"/>
    <w:semiHidden/>
    <w:pPr>
      <w:spacing w:after="0" w:line="240" w:lineRule="auto"/>
    </w:pPr>
    <w:rPr>
      <w:rFonts w:ascii="Times New Roman" w:hAnsi="Times New Roman" w:cs="Times New Roman"/>
    </w:rPr>
  </w:style>
  <w:style w:type="paragraph" w:styleId="EndnoteText">
    <w:name w:val="endnote text"/>
    <w:basedOn w:val="Normal"/>
    <w:link w:val="EndnoteTextChar"/>
    <w:uiPriority w:val="99"/>
    <w:semiHidden/>
    <w:unhideWhenUsed/>
    <w:pPr>
      <w:spacing w:after="0" w:line="240" w:lineRule="auto"/>
    </w:pPr>
    <w:rPr>
      <w:rFonts w:eastAsia="Times New Roman"/>
      <w:sz w:val="20"/>
      <w:szCs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rFonts w:eastAsiaTheme="minorHAnsi"/>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sz w:val="24"/>
    </w:rPr>
  </w:style>
  <w:style w:type="character" w:customStyle="1" w:styleId="FooterCoverPageChar">
    <w:name w:val="Footer Cover Page Char"/>
    <w:basedOn w:val="TitleChar"/>
    <w:link w:val="FooterCoverPage"/>
    <w:rPr>
      <w:rFonts w:ascii="Times New Roman" w:eastAsiaTheme="majorEastAsia" w:hAnsi="Times New Roman" w:cs="Times New Roman"/>
      <w:b w:val="0"/>
      <w:spacing w:val="5"/>
      <w:sz w:val="24"/>
      <w:szCs w:val="52"/>
    </w:rPr>
  </w:style>
  <w:style w:type="paragraph" w:customStyle="1" w:styleId="HeaderCoverPage">
    <w:name w:val="Header Cover Page"/>
    <w:basedOn w:val="Normal"/>
    <w:link w:val="HeaderCoverPageChar"/>
    <w:pPr>
      <w:tabs>
        <w:tab w:val="center" w:pos="4535"/>
        <w:tab w:val="right" w:pos="9071"/>
      </w:tabs>
      <w:spacing w:after="120" w:line="240" w:lineRule="auto"/>
    </w:pPr>
    <w:rPr>
      <w:sz w:val="24"/>
    </w:rPr>
  </w:style>
  <w:style w:type="character" w:customStyle="1" w:styleId="HeaderCoverPageChar">
    <w:name w:val="Header Cover Page Char"/>
    <w:basedOn w:val="TitleChar"/>
    <w:link w:val="HeaderCoverPage"/>
    <w:rPr>
      <w:rFonts w:ascii="Times New Roman" w:eastAsiaTheme="majorEastAsia" w:hAnsi="Times New Roman" w:cs="Times New Roman"/>
      <w:b w:val="0"/>
      <w:spacing w:val="5"/>
      <w:sz w:val="24"/>
      <w:szCs w:val="52"/>
    </w:rPr>
  </w:style>
  <w:style w:type="character" w:customStyle="1" w:styleId="st">
    <w:name w:val="st"/>
    <w:basedOn w:val="DefaultParagraphFont"/>
  </w:style>
  <w:style w:type="character" w:customStyle="1" w:styleId="ListParagraphChar">
    <w:name w:val="List Paragraph Char"/>
    <w:link w:val="ListParagraph"/>
    <w:uiPriority w:val="34"/>
    <w:locked/>
    <w:rPr>
      <w:rFonts w:ascii="Times New Roman" w:hAnsi="Times New Roman" w:cs="Times New Roman"/>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before="60" w:after="160" w:line="240" w:lineRule="exact"/>
      <w:ind w:left="357" w:hanging="357"/>
    </w:pPr>
    <w:rPr>
      <w:rFonts w:asciiTheme="minorHAnsi" w:hAnsiTheme="minorHAnsi" w:cstheme="minorBidi"/>
      <w:vertAlign w:val="superscript"/>
    </w:rPr>
  </w:style>
  <w:style w:type="paragraph" w:customStyle="1" w:styleId="Briefingtext">
    <w:name w:val="Briefing text"/>
    <w:basedOn w:val="Normal"/>
    <w:link w:val="BriefingtextChar"/>
    <w:pPr>
      <w:suppressAutoHyphens/>
      <w:spacing w:line="240" w:lineRule="auto"/>
    </w:pPr>
    <w:rPr>
      <w:rFonts w:ascii="Arial" w:eastAsia="Times New Roman" w:hAnsi="Arial" w:cs="Arial"/>
      <w:szCs w:val="24"/>
      <w:lang w:eastAsia="ar-SA"/>
    </w:rPr>
  </w:style>
  <w:style w:type="paragraph" w:styleId="NormalWeb">
    <w:name w:val="Normal (Web)"/>
    <w:basedOn w:val="Normal"/>
    <w:pPr>
      <w:suppressAutoHyphens/>
      <w:spacing w:before="100" w:after="100" w:line="240" w:lineRule="auto"/>
      <w:jc w:val="left"/>
    </w:pPr>
    <w:rPr>
      <w:rFonts w:eastAsia="Times New Roman"/>
      <w:sz w:val="24"/>
      <w:szCs w:val="24"/>
      <w:lang w:val="fr-FR" w:eastAsia="ar-SA"/>
    </w:rPr>
  </w:style>
  <w:style w:type="paragraph" w:customStyle="1" w:styleId="Pa13">
    <w:name w:val="Pa13"/>
    <w:basedOn w:val="Normal"/>
    <w:next w:val="Normal"/>
    <w:uiPriority w:val="99"/>
    <w:pPr>
      <w:autoSpaceDE w:val="0"/>
      <w:autoSpaceDN w:val="0"/>
      <w:adjustRightInd w:val="0"/>
      <w:spacing w:after="0" w:line="201" w:lineRule="atLeast"/>
      <w:jc w:val="left"/>
    </w:pPr>
    <w:rPr>
      <w:rFonts w:ascii="Garamond" w:hAnsi="Garamond" w:cstheme="minorBidi"/>
      <w:sz w:val="24"/>
      <w:szCs w:val="24"/>
    </w:rPr>
  </w:style>
  <w:style w:type="paragraph" w:customStyle="1" w:styleId="Declassification">
    <w:name w:val="Declassification"/>
    <w:basedOn w:val="Normal"/>
    <w:next w:val="Normal"/>
    <w:pPr>
      <w:spacing w:after="0" w:line="240" w:lineRule="auto"/>
    </w:pPr>
    <w:rPr>
      <w:rFonts w:eastAsiaTheme="minorHAnsi"/>
      <w:sz w:val="24"/>
    </w:rPr>
  </w:style>
  <w:style w:type="paragraph" w:customStyle="1" w:styleId="HeaderLandscape">
    <w:name w:val="HeaderLandscape"/>
    <w:basedOn w:val="Normal"/>
    <w:pPr>
      <w:tabs>
        <w:tab w:val="center" w:pos="7285"/>
        <w:tab w:val="right" w:pos="14003"/>
      </w:tabs>
      <w:spacing w:after="120" w:line="240" w:lineRule="auto"/>
    </w:pPr>
    <w:rPr>
      <w:rFonts w:eastAsiaTheme="minorHAnsi"/>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jc w:val="left"/>
    </w:pPr>
    <w:rPr>
      <w:rFonts w:eastAsiaTheme="minorHAnsi"/>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paragraph" w:styleId="PlainText">
    <w:name w:val="Plain Text"/>
    <w:basedOn w:val="Normal"/>
    <w:link w:val="PlainTextChar"/>
    <w:uiPriority w:val="99"/>
    <w:unhideWhenUsed/>
    <w:pPr>
      <w:spacing w:after="0" w:line="240" w:lineRule="auto"/>
      <w:jc w:val="left"/>
    </w:pPr>
    <w:rPr>
      <w:rFonts w:ascii="Calibri" w:eastAsiaTheme="minorHAnsi" w:hAnsi="Calibri" w:cs="Consolas"/>
      <w:szCs w:val="21"/>
    </w:rPr>
  </w:style>
  <w:style w:type="character" w:customStyle="1" w:styleId="PlainTextChar">
    <w:name w:val="Plain Text Char"/>
    <w:basedOn w:val="DefaultParagraphFont"/>
    <w:link w:val="PlainText"/>
    <w:uiPriority w:val="99"/>
    <w:rPr>
      <w:rFonts w:ascii="Calibri" w:eastAsiaTheme="minorHAnsi" w:hAnsi="Calibri" w:cs="Consolas"/>
      <w:szCs w:val="21"/>
    </w:rPr>
  </w:style>
  <w:style w:type="character" w:customStyle="1" w:styleId="BriefingtextChar">
    <w:name w:val="Briefing text Char"/>
    <w:link w:val="Briefingtext"/>
    <w:locked/>
    <w:rPr>
      <w:rFonts w:ascii="Arial" w:eastAsia="Times New Roman" w:hAnsi="Arial" w:cs="Arial"/>
      <w:szCs w:val="24"/>
      <w:lang w:eastAsia="ar-SA"/>
    </w:rPr>
  </w:style>
  <w:style w:type="paragraph" w:customStyle="1" w:styleId="Default">
    <w:name w:val="Default"/>
    <w:pPr>
      <w:autoSpaceDE w:val="0"/>
      <w:autoSpaceDN w:val="0"/>
      <w:adjustRightInd w:val="0"/>
      <w:spacing w:after="0" w:line="240" w:lineRule="auto"/>
    </w:pPr>
    <w:rPr>
      <w:rFonts w:ascii="Georgia" w:eastAsia="Calibri" w:hAnsi="Georgia" w:cs="Georgia"/>
      <w:color w:val="000000"/>
      <w:sz w:val="24"/>
      <w:szCs w:val="24"/>
      <w:lang w:val="fr-BE"/>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773733">
      <w:bodyDiv w:val="1"/>
      <w:marLeft w:val="0"/>
      <w:marRight w:val="0"/>
      <w:marTop w:val="0"/>
      <w:marBottom w:val="0"/>
      <w:divBdr>
        <w:top w:val="none" w:sz="0" w:space="0" w:color="auto"/>
        <w:left w:val="none" w:sz="0" w:space="0" w:color="auto"/>
        <w:bottom w:val="none" w:sz="0" w:space="0" w:color="auto"/>
        <w:right w:val="none" w:sz="0" w:space="0" w:color="auto"/>
      </w:divBdr>
    </w:div>
    <w:div w:id="708798275">
      <w:bodyDiv w:val="1"/>
      <w:marLeft w:val="0"/>
      <w:marRight w:val="0"/>
      <w:marTop w:val="0"/>
      <w:marBottom w:val="0"/>
      <w:divBdr>
        <w:top w:val="none" w:sz="0" w:space="0" w:color="auto"/>
        <w:left w:val="none" w:sz="0" w:space="0" w:color="auto"/>
        <w:bottom w:val="none" w:sz="0" w:space="0" w:color="auto"/>
        <w:right w:val="none" w:sz="0" w:space="0" w:color="auto"/>
      </w:divBdr>
    </w:div>
    <w:div w:id="712270444">
      <w:bodyDiv w:val="1"/>
      <w:marLeft w:val="0"/>
      <w:marRight w:val="0"/>
      <w:marTop w:val="0"/>
      <w:marBottom w:val="0"/>
      <w:divBdr>
        <w:top w:val="none" w:sz="0" w:space="0" w:color="auto"/>
        <w:left w:val="none" w:sz="0" w:space="0" w:color="auto"/>
        <w:bottom w:val="none" w:sz="0" w:space="0" w:color="auto"/>
        <w:right w:val="none" w:sz="0" w:space="0" w:color="auto"/>
      </w:divBdr>
    </w:div>
    <w:div w:id="820654246">
      <w:bodyDiv w:val="1"/>
      <w:marLeft w:val="0"/>
      <w:marRight w:val="0"/>
      <w:marTop w:val="0"/>
      <w:marBottom w:val="0"/>
      <w:divBdr>
        <w:top w:val="none" w:sz="0" w:space="0" w:color="auto"/>
        <w:left w:val="none" w:sz="0" w:space="0" w:color="auto"/>
        <w:bottom w:val="none" w:sz="0" w:space="0" w:color="auto"/>
        <w:right w:val="none" w:sz="0" w:space="0" w:color="auto"/>
      </w:divBdr>
      <w:divsChild>
        <w:div w:id="788008242">
          <w:marLeft w:val="0"/>
          <w:marRight w:val="0"/>
          <w:marTop w:val="0"/>
          <w:marBottom w:val="0"/>
          <w:divBdr>
            <w:top w:val="none" w:sz="0" w:space="0" w:color="auto"/>
            <w:left w:val="none" w:sz="0" w:space="0" w:color="auto"/>
            <w:bottom w:val="none" w:sz="0" w:space="0" w:color="auto"/>
            <w:right w:val="none" w:sz="0" w:space="0" w:color="auto"/>
          </w:divBdr>
          <w:divsChild>
            <w:div w:id="1464957314">
              <w:marLeft w:val="0"/>
              <w:marRight w:val="0"/>
              <w:marTop w:val="0"/>
              <w:marBottom w:val="0"/>
              <w:divBdr>
                <w:top w:val="none" w:sz="0" w:space="0" w:color="auto"/>
                <w:left w:val="none" w:sz="0" w:space="0" w:color="auto"/>
                <w:bottom w:val="none" w:sz="0" w:space="0" w:color="auto"/>
                <w:right w:val="none" w:sz="0" w:space="0" w:color="auto"/>
              </w:divBdr>
              <w:divsChild>
                <w:div w:id="395130789">
                  <w:marLeft w:val="0"/>
                  <w:marRight w:val="0"/>
                  <w:marTop w:val="0"/>
                  <w:marBottom w:val="0"/>
                  <w:divBdr>
                    <w:top w:val="none" w:sz="0" w:space="0" w:color="auto"/>
                    <w:left w:val="none" w:sz="0" w:space="0" w:color="auto"/>
                    <w:bottom w:val="none" w:sz="0" w:space="0" w:color="auto"/>
                    <w:right w:val="none" w:sz="0" w:space="0" w:color="auto"/>
                  </w:divBdr>
                  <w:divsChild>
                    <w:div w:id="1158419324">
                      <w:marLeft w:val="1"/>
                      <w:marRight w:val="1"/>
                      <w:marTop w:val="0"/>
                      <w:marBottom w:val="0"/>
                      <w:divBdr>
                        <w:top w:val="none" w:sz="0" w:space="0" w:color="auto"/>
                        <w:left w:val="none" w:sz="0" w:space="0" w:color="auto"/>
                        <w:bottom w:val="none" w:sz="0" w:space="0" w:color="auto"/>
                        <w:right w:val="none" w:sz="0" w:space="0" w:color="auto"/>
                      </w:divBdr>
                      <w:divsChild>
                        <w:div w:id="2003966222">
                          <w:marLeft w:val="0"/>
                          <w:marRight w:val="0"/>
                          <w:marTop w:val="0"/>
                          <w:marBottom w:val="0"/>
                          <w:divBdr>
                            <w:top w:val="none" w:sz="0" w:space="0" w:color="auto"/>
                            <w:left w:val="none" w:sz="0" w:space="0" w:color="auto"/>
                            <w:bottom w:val="none" w:sz="0" w:space="0" w:color="auto"/>
                            <w:right w:val="none" w:sz="0" w:space="0" w:color="auto"/>
                          </w:divBdr>
                          <w:divsChild>
                            <w:div w:id="1088429284">
                              <w:marLeft w:val="0"/>
                              <w:marRight w:val="0"/>
                              <w:marTop w:val="0"/>
                              <w:marBottom w:val="360"/>
                              <w:divBdr>
                                <w:top w:val="none" w:sz="0" w:space="0" w:color="auto"/>
                                <w:left w:val="none" w:sz="0" w:space="0" w:color="auto"/>
                                <w:bottom w:val="none" w:sz="0" w:space="0" w:color="auto"/>
                                <w:right w:val="none" w:sz="0" w:space="0" w:color="auto"/>
                              </w:divBdr>
                              <w:divsChild>
                                <w:div w:id="304164986">
                                  <w:marLeft w:val="0"/>
                                  <w:marRight w:val="0"/>
                                  <w:marTop w:val="0"/>
                                  <w:marBottom w:val="0"/>
                                  <w:divBdr>
                                    <w:top w:val="none" w:sz="0" w:space="0" w:color="auto"/>
                                    <w:left w:val="none" w:sz="0" w:space="0" w:color="auto"/>
                                    <w:bottom w:val="none" w:sz="0" w:space="0" w:color="auto"/>
                                    <w:right w:val="none" w:sz="0" w:space="0" w:color="auto"/>
                                  </w:divBdr>
                                  <w:divsChild>
                                    <w:div w:id="427847438">
                                      <w:marLeft w:val="0"/>
                                      <w:marRight w:val="0"/>
                                      <w:marTop w:val="0"/>
                                      <w:marBottom w:val="0"/>
                                      <w:divBdr>
                                        <w:top w:val="none" w:sz="0" w:space="0" w:color="auto"/>
                                        <w:left w:val="none" w:sz="0" w:space="0" w:color="auto"/>
                                        <w:bottom w:val="none" w:sz="0" w:space="0" w:color="auto"/>
                                        <w:right w:val="none" w:sz="0" w:space="0" w:color="auto"/>
                                      </w:divBdr>
                                      <w:divsChild>
                                        <w:div w:id="1933513446">
                                          <w:marLeft w:val="0"/>
                                          <w:marRight w:val="0"/>
                                          <w:marTop w:val="0"/>
                                          <w:marBottom w:val="0"/>
                                          <w:divBdr>
                                            <w:top w:val="none" w:sz="0" w:space="0" w:color="auto"/>
                                            <w:left w:val="none" w:sz="0" w:space="0" w:color="auto"/>
                                            <w:bottom w:val="none" w:sz="0" w:space="0" w:color="auto"/>
                                            <w:right w:val="none" w:sz="0" w:space="0" w:color="auto"/>
                                          </w:divBdr>
                                          <w:divsChild>
                                            <w:div w:id="1903447852">
                                              <w:marLeft w:val="0"/>
                                              <w:marRight w:val="0"/>
                                              <w:marTop w:val="0"/>
                                              <w:marBottom w:val="0"/>
                                              <w:divBdr>
                                                <w:top w:val="none" w:sz="0" w:space="0" w:color="auto"/>
                                                <w:left w:val="none" w:sz="0" w:space="0" w:color="auto"/>
                                                <w:bottom w:val="none" w:sz="0" w:space="0" w:color="auto"/>
                                                <w:right w:val="none" w:sz="0" w:space="0" w:color="auto"/>
                                              </w:divBdr>
                                              <w:divsChild>
                                                <w:div w:id="1226527095">
                                                  <w:marLeft w:val="0"/>
                                                  <w:marRight w:val="0"/>
                                                  <w:marTop w:val="0"/>
                                                  <w:marBottom w:val="0"/>
                                                  <w:divBdr>
                                                    <w:top w:val="none" w:sz="0" w:space="0" w:color="auto"/>
                                                    <w:left w:val="none" w:sz="0" w:space="0" w:color="auto"/>
                                                    <w:bottom w:val="none" w:sz="0" w:space="0" w:color="auto"/>
                                                    <w:right w:val="none" w:sz="0" w:space="0" w:color="auto"/>
                                                  </w:divBdr>
                                                  <w:divsChild>
                                                    <w:div w:id="22055921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sChild>
            </w:div>
          </w:divsChild>
        </w:div>
      </w:divsChild>
    </w:div>
    <w:div w:id="837035370">
      <w:bodyDiv w:val="1"/>
      <w:marLeft w:val="0"/>
      <w:marRight w:val="0"/>
      <w:marTop w:val="0"/>
      <w:marBottom w:val="0"/>
      <w:divBdr>
        <w:top w:val="none" w:sz="0" w:space="0" w:color="auto"/>
        <w:left w:val="none" w:sz="0" w:space="0" w:color="auto"/>
        <w:bottom w:val="none" w:sz="0" w:space="0" w:color="auto"/>
        <w:right w:val="none" w:sz="0" w:space="0" w:color="auto"/>
      </w:divBdr>
    </w:div>
    <w:div w:id="1169712643">
      <w:bodyDiv w:val="1"/>
      <w:marLeft w:val="0"/>
      <w:marRight w:val="0"/>
      <w:marTop w:val="0"/>
      <w:marBottom w:val="0"/>
      <w:divBdr>
        <w:top w:val="none" w:sz="0" w:space="0" w:color="auto"/>
        <w:left w:val="none" w:sz="0" w:space="0" w:color="auto"/>
        <w:bottom w:val="none" w:sz="0" w:space="0" w:color="auto"/>
        <w:right w:val="none" w:sz="0" w:space="0" w:color="auto"/>
      </w:divBdr>
    </w:div>
    <w:div w:id="1424760614">
      <w:bodyDiv w:val="1"/>
      <w:marLeft w:val="0"/>
      <w:marRight w:val="0"/>
      <w:marTop w:val="0"/>
      <w:marBottom w:val="0"/>
      <w:divBdr>
        <w:top w:val="none" w:sz="0" w:space="0" w:color="auto"/>
        <w:left w:val="none" w:sz="0" w:space="0" w:color="auto"/>
        <w:bottom w:val="none" w:sz="0" w:space="0" w:color="auto"/>
        <w:right w:val="none" w:sz="0" w:space="0" w:color="auto"/>
      </w:divBdr>
    </w:div>
    <w:div w:id="1754737470">
      <w:bodyDiv w:val="1"/>
      <w:marLeft w:val="0"/>
      <w:marRight w:val="0"/>
      <w:marTop w:val="0"/>
      <w:marBottom w:val="0"/>
      <w:divBdr>
        <w:top w:val="none" w:sz="0" w:space="0" w:color="auto"/>
        <w:left w:val="none" w:sz="0" w:space="0" w:color="auto"/>
        <w:bottom w:val="none" w:sz="0" w:space="0" w:color="auto"/>
        <w:right w:val="none" w:sz="0" w:space="0" w:color="auto"/>
      </w:divBdr>
    </w:div>
    <w:div w:id="1792354833">
      <w:bodyDiv w:val="1"/>
      <w:marLeft w:val="0"/>
      <w:marRight w:val="0"/>
      <w:marTop w:val="0"/>
      <w:marBottom w:val="0"/>
      <w:divBdr>
        <w:top w:val="none" w:sz="0" w:space="0" w:color="auto"/>
        <w:left w:val="none" w:sz="0" w:space="0" w:color="auto"/>
        <w:bottom w:val="none" w:sz="0" w:space="0" w:color="auto"/>
        <w:right w:val="none" w:sz="0" w:space="0" w:color="auto"/>
      </w:divBdr>
    </w:div>
    <w:div w:id="1822381059">
      <w:bodyDiv w:val="1"/>
      <w:marLeft w:val="0"/>
      <w:marRight w:val="0"/>
      <w:marTop w:val="0"/>
      <w:marBottom w:val="0"/>
      <w:divBdr>
        <w:top w:val="none" w:sz="0" w:space="0" w:color="auto"/>
        <w:left w:val="none" w:sz="0" w:space="0" w:color="auto"/>
        <w:bottom w:val="none" w:sz="0" w:space="0" w:color="auto"/>
        <w:right w:val="none" w:sz="0" w:space="0" w:color="auto"/>
      </w:divBdr>
    </w:div>
    <w:div w:id="197717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social/BlobServlet?docId=11270&amp;langId=en" TargetMode="External"/><Relationship Id="rId2" Type="http://schemas.openxmlformats.org/officeDocument/2006/relationships/hyperlink" Target="http://ec.europa.eu/social/main.jsp?catId=707&amp;langId=en" TargetMode="External"/><Relationship Id="rId1" Type="http://schemas.openxmlformats.org/officeDocument/2006/relationships/hyperlink" Target="http://ec.europa.eu/smart-regulation/roadmaps/docs/2016_empl_011_evaluation_european_works_council_en.pdf" TargetMode="External"/><Relationship Id="rId5" Type="http://schemas.openxmlformats.org/officeDocument/2006/relationships/hyperlink" Target="http://ec.europa.eu/social/main.jsp?catId=629&amp;langId=en&amp;callId=511&amp;furtherCalls=yes" TargetMode="External"/><Relationship Id="rId4" Type="http://schemas.openxmlformats.org/officeDocument/2006/relationships/hyperlink" Target="http://ec.europa.eu/social/main.jsp?catId=978&amp;langId=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A1725-4DDD-41D6-A4A6-DE99F2F71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3200</Words>
  <Characters>18603</Characters>
  <Application>Microsoft Office Word</Application>
  <DocSecurity>0</DocSecurity>
  <Lines>344</Lines>
  <Paragraphs>155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DOMINGUEZ AGUIRRE Ana (SG)</cp:lastModifiedBy>
  <cp:revision>19</cp:revision>
  <cp:lastPrinted>2018-04-10T10:09:00Z</cp:lastPrinted>
  <dcterms:created xsi:type="dcterms:W3CDTF">2018-04-25T13:51:00Z</dcterms:created>
  <dcterms:modified xsi:type="dcterms:W3CDTF">2018-05-02T13:57:00Z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_DocHome">
    <vt:i4>198737373</vt:i4>
  </property>
  <property fmtid="{D5CDD505-2E9C-101B-9397-08002B2CF9AE}" pid="6" name="Level of sensitivity">
    <vt:lpwstr>Standard treatment</vt:lpwstr>
  </property>
</Properties>
</file>