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9DBCFCED-B36E-4FA7-B016-1E383575E13F" style="width:450.35pt;height:383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CM4"/>
        <w:spacing w:before="60" w:after="60"/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>
      <w:pPr>
        <w:pStyle w:val="CM4"/>
        <w:spacing w:before="60" w:after="60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Възстановявания при износ за птиче месо, приложими от 19 юли 2013 година до 31 декември 2013 година</w:t>
      </w:r>
    </w:p>
    <w:p>
      <w:pPr>
        <w:rPr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03"/>
        <w:gridCol w:w="2023"/>
        <w:gridCol w:w="2718"/>
        <w:gridCol w:w="2345"/>
      </w:tblGrid>
      <w:tr>
        <w:tc>
          <w:tcPr>
            <w:tcW w:w="1249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Код на продукта</w:t>
            </w:r>
          </w:p>
        </w:tc>
        <w:tc>
          <w:tcPr>
            <w:tcW w:w="900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Местоназначение</w:t>
            </w:r>
          </w:p>
        </w:tc>
        <w:tc>
          <w:tcPr>
            <w:tcW w:w="1526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Мерна единица</w:t>
            </w:r>
          </w:p>
        </w:tc>
        <w:tc>
          <w:tcPr>
            <w:tcW w:w="1326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Размер на възстановяването</w:t>
            </w:r>
          </w:p>
        </w:tc>
      </w:tr>
      <w:tr>
        <w:tc>
          <w:tcPr>
            <w:tcW w:w="1249" w:type="pct"/>
          </w:tcPr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0105 11 11 9000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0105 11 19 9000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0105 11 91 9000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0105 11 99 9000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0105 12 00 9000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0105 14 00 9000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0207 12 10 9900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0207 12 90 9190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0207 12 90 9990</w:t>
            </w:r>
          </w:p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900" w:type="pct"/>
          </w:tcPr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A02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V03</w:t>
            </w:r>
          </w:p>
          <w:p>
            <w:pPr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V03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color w:val="000000"/>
              </w:rPr>
              <w:t>V03</w:t>
            </w:r>
          </w:p>
        </w:tc>
        <w:tc>
          <w:tcPr>
            <w:tcW w:w="1526" w:type="pct"/>
          </w:tcPr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EUR/100 бр.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EUR/100 бр.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EUR/100 бр.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EUR/100 бр.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EUR/100 бр.</w:t>
            </w:r>
          </w:p>
          <w:p>
            <w:pPr>
              <w:pStyle w:val="CM4"/>
              <w:spacing w:before="120" w:after="12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EUR/100 бр.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EUR/100 kg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EUR/100 kg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EUR/100 kg</w:t>
            </w:r>
          </w:p>
        </w:tc>
        <w:tc>
          <w:tcPr>
            <w:tcW w:w="1326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0,00</w:t>
            </w:r>
          </w:p>
        </w:tc>
      </w:tr>
    </w:tbl>
    <w:p>
      <w:pPr>
        <w:pStyle w:val="CM4"/>
        <w:spacing w:before="60" w:after="60"/>
        <w:rPr>
          <w:rFonts w:ascii="Times New Roman" w:hAnsi="Times New Roman" w:cs="Times New Roman"/>
          <w:noProof/>
          <w:color w:val="000000"/>
          <w:sz w:val="16"/>
          <w:szCs w:val="14"/>
        </w:rPr>
      </w:pPr>
      <w:r>
        <w:rPr>
          <w:rFonts w:ascii="Times New Roman" w:hAnsi="Times New Roman"/>
          <w:noProof/>
          <w:color w:val="000000"/>
          <w:sz w:val="16"/>
        </w:rPr>
        <w:t xml:space="preserve">Залбележка: Кодовете на продуктите и кодовете на местоназначенията от серия „А“ са посочени в Регламент (ЕИО) № 3846/87 на Комисията (ОВ L 366, 24.12.1987 г., стр. 1). </w:t>
      </w:r>
    </w:p>
    <w:p>
      <w:pPr>
        <w:rPr>
          <w:rFonts w:cs="EUAlbertina"/>
          <w:noProof/>
          <w:color w:val="000000"/>
          <w:sz w:val="16"/>
          <w:szCs w:val="14"/>
        </w:rPr>
      </w:pPr>
      <w:r>
        <w:rPr>
          <w:noProof/>
          <w:color w:val="000000"/>
          <w:sz w:val="16"/>
        </w:rPr>
        <w:t>Останалите местоназначения се определят, както следва: V03: A24, Ангола, Саудитска Арабия, Кувейт, Бахрейн, Катар, Оман, Обединени арабски емирства, Йордания, Йемен, Ливан, Ирак и Иран.</w:t>
      </w:r>
    </w:p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B2E0C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FCE9D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FA80B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E8EEA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4B48A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3948F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F5694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594EC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11 13:55:05"/>
    <w:docVar w:name="DQCRepairStyles" w:val=";Date d'adoption;Sous-titre objet;Statut;Titre objet;Type du document;Date d'adoption (Page de couverture);Sous-titre objet (Page de couverture);Titre objet (Page de couverture);Type du document (Page de couverture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3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DBCFCED-B36E-4FA7-B016-1E383575E13F"/>
    <w:docVar w:name="LW_COVERPAGE_TYPE" w:val="1"/>
    <w:docVar w:name="LW_CROSSREFERENCE" w:val="&lt;UNUSED&gt;"/>
    <w:docVar w:name="LW_DocType" w:val="ANNEX"/>
    <w:docVar w:name="LW_EMISSION" w:val="14.5.2018"/>
    <w:docVar w:name="LW_EMISSION_ISODATE" w:val="2018-05-14"/>
    <w:docVar w:name="LW_EMISSION_LOCATION" w:val="BRX"/>
    <w:docVar w:name="LW_EMISSION_PREFIX" w:val="\u1041?\u1088?\u1102?\u1082?\u1089?\u1077?\u1083?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74?\u1098?\u1079?\u1089?\u1090?\u1072?\u1085?\u1086?\u1074?\u1103?\u1074?\u1072?\u1085?\u1080?\u1103?\u1090?\u1072? \u1087?\u1088?\u1080? \u1080?\u1079?\u1085?\u1086?\u1089? \u1085?\u1072? \u1087?\u1090?\u1080?\u1095?\u1077? \u1084?\u1077?\u1089?\u1086?"/>
    <w:docVar w:name="LW_OBJETACTEPRINCIPAL.CP" w:val="\u1079?\u1072? \u1086?\u1087?\u1088?\u1077?\u1076?\u1077?\u1083?\u1103?\u1085?\u1077? \u1085?\u1072? \u1074?\u1098?\u1079?\u1089?\u1090?\u1072?\u1085?\u1086?\u1074?\u1103?\u1074?\u1072?\u1085?\u1080?\u1103?\u1090?\u1072? \u1087?\u1088?\u1080? \u1080?\u1079?\u1085?\u1086?\u1089? \u1085?\u1072? \u1087?\u1090?\u1080?\u1095?\u1077? \u1084?\u1077?\u1089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8) 2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57?\u1098?\u1074?\u1077?\u1090?\u1072?_x000b_"/>
    <w:docVar w:name="LW_TYPEACTEPRINCIPAL.CP" w:val="\u1055?\u1088?\u1077?\u1076?\u1083?\u1086?\u1078?\u1077?\u1085?\u1080?\u1077? \u1079?\u1072? \u1056?\u1077?\u1075?\u1083?\u1072?\u1084?\u1077?\u1085?\u1090? \u1085?\u1072? \u1057?\u1098?\u1074?\u1077?\u1090?\u1072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152</Words>
  <Characters>727</Characters>
  <Application>Microsoft Office Word</Application>
  <DocSecurity>0</DocSecurity>
  <Lines>55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ALCARAZ Fabienne (AGRI)</dc:creator>
  <cp:lastModifiedBy>DIGIT/A3</cp:lastModifiedBy>
  <cp:revision>8</cp:revision>
  <dcterms:created xsi:type="dcterms:W3CDTF">2018-05-07T09:52:00Z</dcterms:created>
  <dcterms:modified xsi:type="dcterms:W3CDTF">2018-05-11T11:55:00Z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5.8.4, Build 20150407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