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1D9C1CE-D5A2-4C4A-AF34-B3DFE97B4407" style="width:450.75pt;height:334.5pt">
            <v:imagedata r:id="rId12" o:title=""/>
          </v:shape>
        </w:pict>
      </w:r>
    </w:p>
    <w:bookmarkEnd w:id="0"/>
    <w:p>
      <w:pPr>
        <w:rPr>
          <w:rFonts w:eastAsiaTheme="minorHAnsi"/>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spacing w:after="0" w:line="276" w:lineRule="auto"/>
        <w:jc w:val="center"/>
        <w:rPr>
          <w:rFonts w:eastAsiaTheme="minorHAnsi"/>
          <w:b/>
          <w:noProof/>
          <w:szCs w:val="24"/>
        </w:rPr>
      </w:pPr>
      <w:bookmarkStart w:id="1" w:name="_GoBack"/>
      <w:bookmarkEnd w:id="1"/>
      <w:r>
        <w:rPr>
          <w:rFonts w:eastAsiaTheme="minorHAnsi"/>
          <w:b/>
          <w:noProof/>
        </w:rPr>
        <w:lastRenderedPageBreak/>
        <w:t>ДОКЛАД НА КОМИСИЯТА</w:t>
      </w:r>
    </w:p>
    <w:p>
      <w:pPr>
        <w:spacing w:after="0" w:line="276" w:lineRule="auto"/>
        <w:jc w:val="center"/>
        <w:rPr>
          <w:rFonts w:eastAsiaTheme="minorHAnsi"/>
          <w:b/>
          <w:noProof/>
          <w:szCs w:val="24"/>
        </w:rPr>
      </w:pPr>
      <w:r>
        <w:rPr>
          <w:rFonts w:eastAsiaTheme="minorHAnsi"/>
          <w:b/>
          <w:noProof/>
        </w:rPr>
        <w:t>ДО ЕВРОПЕЙСКИЯ ПАРЛАМЕНТ И ДО СЪВЕТА</w:t>
      </w:r>
    </w:p>
    <w:p>
      <w:pPr>
        <w:spacing w:after="200" w:line="276" w:lineRule="auto"/>
        <w:jc w:val="center"/>
        <w:rPr>
          <w:rFonts w:eastAsiaTheme="minorHAnsi"/>
          <w:b/>
          <w:noProof/>
          <w:szCs w:val="24"/>
        </w:rPr>
      </w:pPr>
      <w:r>
        <w:rPr>
          <w:rFonts w:eastAsiaTheme="minorHAnsi"/>
          <w:b/>
          <w:noProof/>
        </w:rPr>
        <w:t xml:space="preserve">относно упражняването на правомощието за приемане на делегирани актове, предоставено на Комисията по силата на Директива 2006/66/ЕО на Европейския парламент и на Съвета относно батерии и акумулатори и отпадъци от батерии и акумулатори, и за отмяна на Директива 91/157/ЕИО </w:t>
      </w:r>
    </w:p>
    <w:p>
      <w:pPr>
        <w:pStyle w:val="Heading1"/>
        <w:rPr>
          <w:rFonts w:eastAsiaTheme="minorHAnsi"/>
          <w:noProof/>
        </w:rPr>
      </w:pPr>
      <w:r>
        <w:rPr>
          <w:noProof/>
        </w:rPr>
        <w:t>ВЪВЕДЕНИЕ</w:t>
      </w:r>
    </w:p>
    <w:p>
      <w:pPr>
        <w:spacing w:after="120"/>
        <w:rPr>
          <w:rFonts w:eastAsiaTheme="minorHAnsi"/>
          <w:noProof/>
          <w:szCs w:val="24"/>
        </w:rPr>
      </w:pPr>
      <w:r>
        <w:rPr>
          <w:noProof/>
        </w:rPr>
        <w:t>В Директива 2006/66/ЕО относно батериите и акумулаторите и отпадъците от батерии и акумулатори</w:t>
      </w:r>
      <w:r>
        <w:rPr>
          <w:rFonts w:eastAsiaTheme="minorHAnsi"/>
          <w:noProof/>
          <w:vertAlign w:val="superscript"/>
        </w:rPr>
        <w:footnoteReference w:id="1"/>
      </w:r>
      <w:r>
        <w:rPr>
          <w:noProof/>
        </w:rPr>
        <w:t xml:space="preserve"> („Директива за батериите“) са предвидени правила за свеждане до минимум на отрицателното въздействие, което имат батериите и акумулаторите и отпадъците от тях</w:t>
      </w:r>
      <w:r>
        <w:rPr>
          <w:rStyle w:val="FootnoteReference"/>
          <w:rFonts w:eastAsiaTheme="minorHAnsi"/>
          <w:noProof/>
        </w:rPr>
        <w:footnoteReference w:id="2"/>
      </w:r>
      <w:r>
        <w:rPr>
          <w:noProof/>
        </w:rPr>
        <w:t xml:space="preserve"> върху околната среда, като по този начин се допринася за опазването и съхранението на околната среда и за подобрението на качеството ѝ. В нея също така са предвидени мерки за хармонизиране на изискванията по отношение на съдържанието на тежки метали и етикетирането на батериите и акумулаторите, като така се осигурява гладкото функциониране на вътрешния пазар. Директивата беше изменяна няколко пъти</w:t>
      </w:r>
      <w:r>
        <w:rPr>
          <w:noProof/>
          <w:vertAlign w:val="superscript"/>
        </w:rPr>
        <w:footnoteReference w:id="3"/>
      </w:r>
      <w:r>
        <w:rPr>
          <w:noProof/>
        </w:rPr>
        <w:t xml:space="preserve">. </w:t>
      </w:r>
    </w:p>
    <w:p>
      <w:pPr>
        <w:spacing w:after="120" w:line="252" w:lineRule="auto"/>
        <w:rPr>
          <w:rFonts w:eastAsiaTheme="minorHAnsi"/>
          <w:noProof/>
          <w:szCs w:val="24"/>
        </w:rPr>
      </w:pPr>
      <w:r>
        <w:rPr>
          <w:noProof/>
        </w:rPr>
        <w:t>Съгласно Директивата Комисията е оправомощена да приема делегирани актове по член 23а за:</w:t>
      </w:r>
    </w:p>
    <w:p>
      <w:pPr>
        <w:numPr>
          <w:ilvl w:val="0"/>
          <w:numId w:val="28"/>
        </w:numPr>
        <w:spacing w:after="120" w:line="252" w:lineRule="auto"/>
        <w:rPr>
          <w:rFonts w:eastAsiaTheme="minorHAnsi"/>
          <w:noProof/>
          <w:szCs w:val="24"/>
        </w:rPr>
      </w:pPr>
      <w:r>
        <w:rPr>
          <w:noProof/>
        </w:rPr>
        <w:t>определяне на критериите за оценка на равностойните условия за рециклиране на отпадъците от батерии, което се извършва извън ЕС, както е предвидено в член 15, параграф 3, за допълване на правилата по член 15, параграф 2</w:t>
      </w:r>
      <w:r>
        <w:rPr>
          <w:rStyle w:val="FootnoteReference"/>
          <w:rFonts w:eastAsiaTheme="minorHAnsi"/>
          <w:noProof/>
        </w:rPr>
        <w:footnoteReference w:id="4"/>
      </w:r>
      <w:r>
        <w:rPr>
          <w:noProof/>
        </w:rPr>
        <w:t xml:space="preserve">, </w:t>
      </w:r>
    </w:p>
    <w:p>
      <w:pPr>
        <w:numPr>
          <w:ilvl w:val="0"/>
          <w:numId w:val="28"/>
        </w:numPr>
        <w:spacing w:after="120" w:line="252" w:lineRule="auto"/>
        <w:ind w:left="714" w:hanging="357"/>
        <w:rPr>
          <w:rFonts w:eastAsiaTheme="minorHAnsi"/>
          <w:noProof/>
          <w:szCs w:val="24"/>
        </w:rPr>
      </w:pPr>
      <w:r>
        <w:rPr>
          <w:noProof/>
        </w:rPr>
        <w:t xml:space="preserve">определяне на подробни правила по отношение на етикетирането на капацитета на преносимите и автомобилните батерии, както е предвидено в член 21, параграф 2, </w:t>
      </w:r>
    </w:p>
    <w:p>
      <w:pPr>
        <w:numPr>
          <w:ilvl w:val="0"/>
          <w:numId w:val="28"/>
        </w:numPr>
        <w:spacing w:after="120" w:line="252" w:lineRule="auto"/>
        <w:contextualSpacing/>
        <w:rPr>
          <w:rFonts w:eastAsiaTheme="minorHAnsi"/>
          <w:noProof/>
          <w:szCs w:val="24"/>
        </w:rPr>
      </w:pPr>
      <w:r>
        <w:rPr>
          <w:noProof/>
        </w:rPr>
        <w:t>предоставяне на освобождавания от прилагането на изискванията към етикетирането по член 21.</w:t>
      </w:r>
    </w:p>
    <w:p>
      <w:pPr>
        <w:pStyle w:val="Heading1"/>
        <w:rPr>
          <w:rFonts w:eastAsiaTheme="minorHAnsi"/>
          <w:noProof/>
        </w:rPr>
      </w:pPr>
      <w:r>
        <w:rPr>
          <w:noProof/>
        </w:rPr>
        <w:t>ПРАВНО ОСНОВАНИЕ</w:t>
      </w:r>
    </w:p>
    <w:p>
      <w:pPr>
        <w:spacing w:line="252" w:lineRule="auto"/>
        <w:rPr>
          <w:rFonts w:eastAsiaTheme="minorHAnsi"/>
          <w:noProof/>
          <w:szCs w:val="24"/>
        </w:rPr>
      </w:pPr>
      <w:r>
        <w:rPr>
          <w:noProof/>
        </w:rPr>
        <w:t>Настоящият доклад се изисква съгласно член 23а от изменената Директива за батериите. По силата на посочения член Комисията има правомощието да приема делегирани актове за срок от пет години, считано от 30 декември 2013 г. От Комисията се изисква да изготви доклад относно делегираните правомощия най-късно 9 месеца преди изтичането на петгодишния срок. В съответствие с член 23а, параграф 2 делегирането на правомощия се подновява мълчаливо за срокове със същата продължителност, освен ако Европейският парламент или Съветът не възразят срещу подобно подновяване не по-късно от три месеца преди изтичането на всеки срок.</w:t>
      </w:r>
    </w:p>
    <w:p>
      <w:pPr>
        <w:spacing w:line="252" w:lineRule="auto"/>
        <w:rPr>
          <w:rFonts w:eastAsiaTheme="minorHAnsi"/>
          <w:noProof/>
          <w:szCs w:val="24"/>
        </w:rPr>
      </w:pPr>
    </w:p>
    <w:p>
      <w:pPr>
        <w:pStyle w:val="Heading1"/>
        <w:rPr>
          <w:rFonts w:eastAsiaTheme="minorHAnsi"/>
          <w:noProof/>
        </w:rPr>
      </w:pPr>
      <w:r>
        <w:rPr>
          <w:noProof/>
        </w:rPr>
        <w:t>УПРАЖНЯВАНЕ НА ДЕЛЕГИРАНЕТО</w:t>
      </w:r>
    </w:p>
    <w:p>
      <w:pPr>
        <w:pStyle w:val="Heading2"/>
        <w:rPr>
          <w:rFonts w:eastAsiaTheme="majorEastAsia"/>
          <w:noProof/>
        </w:rPr>
      </w:pPr>
      <w:r>
        <w:rPr>
          <w:noProof/>
        </w:rPr>
        <w:t>Критерии за оценка на равностойните условия за рециклиране на отпадъците от батерии и акумулатори, което се извършва извън ЕС — член 15, параграф 3</w:t>
      </w:r>
    </w:p>
    <w:p>
      <w:pPr>
        <w:pStyle w:val="Text2"/>
        <w:rPr>
          <w:rFonts w:eastAsiaTheme="minorHAnsi"/>
          <w:noProof/>
        </w:rPr>
      </w:pPr>
      <w:r>
        <w:rPr>
          <w:noProof/>
        </w:rPr>
        <w:t xml:space="preserve">Съгласно член 15, параграф 2 от Директивата отпадъците от батерии, изнесени извън ЕС, се зачитат в полза на изпълнение на задълженията и производителността, посочени в приложение III към Директивата, само ако е налице разумно доказателство за това, че операцията по рециклиране на отпадъците е била реализирана при условия, равностойни на изискванията по Директивата. С член 15, параграф 3 се оправомощава Комисията да приема делегирани актове за определяне на подробни правила в тази връзка, по-конкретно критериите за оценка на тези равностойни условия. </w:t>
      </w:r>
    </w:p>
    <w:p>
      <w:pPr>
        <w:pStyle w:val="Text2"/>
        <w:rPr>
          <w:rFonts w:eastAsiaTheme="minorHAnsi"/>
          <w:noProof/>
        </w:rPr>
      </w:pPr>
      <w:r>
        <w:rPr>
          <w:noProof/>
        </w:rPr>
        <w:t>Следва да се отбележи, че член 10, параграф 3 от Директива 2012/19/EС oт 4 юли 2012 г. относно отпадъци от електрическо и електронно оборудване (ОЕЕО)</w:t>
      </w:r>
      <w:r>
        <w:rPr>
          <w:noProof/>
          <w:vertAlign w:val="superscript"/>
        </w:rPr>
        <w:footnoteReference w:id="5"/>
      </w:r>
      <w:r>
        <w:rPr>
          <w:noProof/>
        </w:rPr>
        <w:t xml:space="preserve"> съдържа подобна разпоредба във връзка с ОЕЕО, изнесени извън ЕС. Тъй като екологичните аспекти са сравними, разглежданите задължения за сходни и операторите на съответните дейности (лицата, които се занимават със събиране и рециклиране, износителите и публичните органи) до голяма степен съвпадат, Комисията счита, че разпоредбите относно тези „равностойни условия“ трябва да следват един и същи подход и за двете групи отпадъци. </w:t>
      </w:r>
    </w:p>
    <w:p>
      <w:pPr>
        <w:pStyle w:val="Text2"/>
        <w:rPr>
          <w:rFonts w:eastAsiaTheme="minorHAnsi"/>
          <w:noProof/>
        </w:rPr>
      </w:pPr>
      <w:r>
        <w:rPr>
          <w:noProof/>
        </w:rPr>
        <w:t>Все още не са установени критерии за оценка на равностойните условия относно третирането на ОЕЕО, изнасяни извън ЕС</w:t>
      </w:r>
      <w:r>
        <w:rPr>
          <w:rStyle w:val="FootnoteReference"/>
          <w:rFonts w:eastAsiaTheme="minorHAnsi"/>
          <w:noProof/>
        </w:rPr>
        <w:footnoteReference w:id="6"/>
      </w:r>
      <w:r>
        <w:rPr>
          <w:noProof/>
        </w:rPr>
        <w:t>. Комисията възнамерява да разгледа критерии за оценка на равностойните условия за рециклиране на батериите след тези относно ОЕЕО.</w:t>
      </w:r>
      <w:r>
        <w:rPr>
          <w:rStyle w:val="FootnoteReference"/>
          <w:rFonts w:eastAsiaTheme="minorHAnsi"/>
          <w:noProof/>
        </w:rPr>
        <w:t xml:space="preserve"> </w:t>
      </w:r>
      <w:r>
        <w:rPr>
          <w:noProof/>
        </w:rPr>
        <w:t xml:space="preserve"> Освен това понастоящем Директивата за батериите подлежи на оценка и ще се оцени и съответната информация, събрана при този процес.</w:t>
      </w:r>
    </w:p>
    <w:p>
      <w:pPr>
        <w:pStyle w:val="Heading2"/>
        <w:rPr>
          <w:rFonts w:eastAsiaTheme="majorEastAsia"/>
          <w:noProof/>
        </w:rPr>
      </w:pPr>
      <w:r>
        <w:rPr>
          <w:noProof/>
        </w:rPr>
        <w:t>Подробни правила по отношение на етикетирането на капацитета на преносимите вторични (презаредими) и автомобилните батерии — член 21, параграф 2</w:t>
      </w:r>
    </w:p>
    <w:p>
      <w:pPr>
        <w:pStyle w:val="Text2"/>
        <w:rPr>
          <w:rFonts w:eastAsiaTheme="minorHAnsi"/>
          <w:noProof/>
        </w:rPr>
      </w:pPr>
      <w:r>
        <w:rPr>
          <w:noProof/>
        </w:rPr>
        <w:t>Съгласно член 21, параграф 2 от Директивата Комисията е оправомощена да приема делегирани актове за определяне на подробни правила за допълване на изискването държавите членки да гарантират, че капацитетът на всички преносими и автомобилни батерии и акумулатори е посочен върху тях по ясен, четлив и неизтриваем начин, включително хармонизирани методи за определяне на капацитета и правилната употреба.</w:t>
      </w:r>
    </w:p>
    <w:p>
      <w:pPr>
        <w:pStyle w:val="Text2"/>
        <w:rPr>
          <w:rFonts w:eastAsiaTheme="minorHAnsi"/>
          <w:noProof/>
        </w:rPr>
      </w:pPr>
      <w:r>
        <w:rPr>
          <w:noProof/>
        </w:rPr>
        <w:t>През 2010 г. Комисията прие правила във връзка с етикетирането на капацитета на преносимите вторични (презаредими) и автомобилните батерии</w:t>
      </w:r>
      <w:r>
        <w:rPr>
          <w:rFonts w:eastAsiaTheme="minorHAnsi"/>
          <w:noProof/>
          <w:vertAlign w:val="superscript"/>
        </w:rPr>
        <w:footnoteReference w:id="7"/>
      </w:r>
      <w:r>
        <w:rPr>
          <w:noProof/>
        </w:rPr>
        <w:t xml:space="preserve">. Също така беше оценена евентуалната хармонизация на правилата за етикетиране на капацитета на преносимите първични (непрезаредими) батерии. </w:t>
      </w:r>
    </w:p>
    <w:p>
      <w:pPr>
        <w:pStyle w:val="Text2"/>
        <w:rPr>
          <w:rFonts w:eastAsiaTheme="minorHAnsi"/>
          <w:noProof/>
        </w:rPr>
      </w:pPr>
      <w:r>
        <w:rPr>
          <w:noProof/>
        </w:rPr>
        <w:t>При проведените проучвания</w:t>
      </w:r>
      <w:r>
        <w:rPr>
          <w:rStyle w:val="FootnoteReference"/>
          <w:rFonts w:eastAsiaTheme="minorHAnsi"/>
          <w:noProof/>
        </w:rPr>
        <w:footnoteReference w:id="8"/>
      </w:r>
      <w:r>
        <w:rPr>
          <w:noProof/>
        </w:rPr>
        <w:t xml:space="preserve"> се заключи, че все още не съществува един лесен и практичен начин за етикетиране на капацитета на тези видове батерии. Впоследствие Комисията даде мандат на Европейския комитет за стандартизация в електротехниката (CENELEC) да оцени осъществимостта на определянето на стандартизиран метод за маркиране на капацитета на първичните преносими батерии. При неговия преглед се стигна до заключението, че не може да се установи наличието на подходящ метод, който да отговаря на Директивата за батериите. </w:t>
      </w:r>
      <w:r>
        <w:rPr>
          <w:rFonts w:eastAsiaTheme="minorHAnsi"/>
          <w:noProof/>
          <w:vertAlign w:val="superscript"/>
        </w:rPr>
        <w:footnoteReference w:id="9"/>
      </w:r>
    </w:p>
    <w:p>
      <w:pPr>
        <w:pStyle w:val="Text2"/>
        <w:rPr>
          <w:rFonts w:eastAsiaTheme="minorHAnsi"/>
          <w:noProof/>
        </w:rPr>
      </w:pPr>
      <w:r>
        <w:rPr>
          <w:noProof/>
        </w:rPr>
        <w:t>Оттогава положението не се е променило, което води Комисията до заключението, че към настоящия момент не е възможно да се установят хармонизирани методи за етикетиране на капацитета на преносимите първични батерии.</w:t>
      </w:r>
    </w:p>
    <w:p>
      <w:pPr>
        <w:pStyle w:val="Text2"/>
        <w:rPr>
          <w:rFonts w:eastAsiaTheme="minorHAnsi"/>
          <w:noProof/>
        </w:rPr>
      </w:pPr>
      <w:r>
        <w:rPr>
          <w:noProof/>
        </w:rPr>
        <w:t>Комисията ще разгледа отново положението след приключване на текущия процес по преглед на Директивата.</w:t>
      </w:r>
    </w:p>
    <w:p>
      <w:pPr>
        <w:pStyle w:val="Heading2"/>
        <w:rPr>
          <w:rFonts w:eastAsiaTheme="majorEastAsia"/>
          <w:noProof/>
        </w:rPr>
      </w:pPr>
      <w:r>
        <w:rPr>
          <w:noProof/>
        </w:rPr>
        <w:t>Предоставяне на освобождавания от прилагането на изискванията към етикетирането по член 21 от Директивата — член 21, параграф 7</w:t>
      </w:r>
    </w:p>
    <w:p>
      <w:pPr>
        <w:pStyle w:val="Text2"/>
        <w:rPr>
          <w:rFonts w:eastAsiaTheme="majorEastAsia"/>
          <w:noProof/>
        </w:rPr>
      </w:pPr>
      <w:r>
        <w:rPr>
          <w:noProof/>
        </w:rPr>
        <w:t>Съгласно член 21, параграф 7 от Директивата Комисията е оправомощена да приема делегирани актове за предоставяне на освобождавания от прилагането на изискванията към етикетирането по член 21. В това отношение Комисията не получи никакви искания през периода, обхванат от настоящия доклад.</w:t>
      </w:r>
    </w:p>
    <w:p>
      <w:pPr>
        <w:pStyle w:val="Heading1"/>
        <w:rPr>
          <w:rFonts w:eastAsiaTheme="minorHAnsi"/>
          <w:noProof/>
        </w:rPr>
      </w:pPr>
      <w:r>
        <w:rPr>
          <w:noProof/>
        </w:rPr>
        <w:t>ЗАКЛЮЧЕНИЯ</w:t>
      </w:r>
    </w:p>
    <w:p>
      <w:pPr>
        <w:rPr>
          <w:rFonts w:eastAsiaTheme="minorHAnsi"/>
          <w:noProof/>
        </w:rPr>
      </w:pPr>
      <w:r>
        <w:rPr>
          <w:noProof/>
        </w:rPr>
        <w:t xml:space="preserve">Комисията не използва делегираното правомощие по член 23а от Директивата за батериите през периода, обхванат от настоящия доклад. Възможно е да го направи в бъдеще поради посочените причини. </w:t>
      </w:r>
    </w:p>
    <w:p>
      <w:pPr>
        <w:rPr>
          <w:rFonts w:eastAsiaTheme="minorHAnsi"/>
          <w:noProof/>
        </w:rPr>
      </w:pPr>
      <w:r>
        <w:rPr>
          <w:noProof/>
        </w:rPr>
        <w:t>Комисията приканва Европейския парламент и Съвета да вземат под внимание настоящия доклад.</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altName w:val="EC Square Sans Cond Pro Medium"/>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86819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60"/>
        <w:ind w:left="426" w:hanging="426"/>
      </w:pPr>
      <w:r>
        <w:rPr>
          <w:rStyle w:val="FootnoteReference"/>
        </w:rPr>
        <w:footnoteRef/>
      </w:r>
      <w:r>
        <w:t xml:space="preserve"> </w:t>
      </w:r>
      <w:r>
        <w:tab/>
      </w:r>
      <w:r>
        <w:rPr>
          <w:rStyle w:val="Emphasis"/>
          <w:i w:val="0"/>
          <w:sz w:val="18"/>
        </w:rPr>
        <w:t>OВ L 266, 26.9.2006 г., стр. 1 — 14.</w:t>
      </w:r>
      <w:r>
        <w:rPr>
          <w:rStyle w:val="Emphasis"/>
          <w:sz w:val="18"/>
        </w:rPr>
        <w:t xml:space="preserve"> </w:t>
      </w:r>
    </w:p>
  </w:footnote>
  <w:footnote w:id="2">
    <w:p>
      <w:pPr>
        <w:pStyle w:val="FootnoteText"/>
        <w:spacing w:after="60"/>
        <w:ind w:left="426" w:hanging="426"/>
      </w:pPr>
      <w:r>
        <w:rPr>
          <w:rStyle w:val="FootnoteReference"/>
        </w:rPr>
        <w:footnoteRef/>
      </w:r>
      <w:r>
        <w:t xml:space="preserve"> </w:t>
      </w:r>
      <w:r>
        <w:tab/>
        <w:t>В текста понятията „батерии“ и „акумулатори“ се считат за синоними и са взаимозаменяеми.</w:t>
      </w:r>
    </w:p>
  </w:footnote>
  <w:footnote w:id="3">
    <w:p>
      <w:pPr>
        <w:pStyle w:val="FootnoteText"/>
        <w:ind w:left="426" w:hanging="426"/>
      </w:pPr>
      <w:r>
        <w:rPr>
          <w:rStyle w:val="FootnoteReference"/>
        </w:rPr>
        <w:footnoteRef/>
      </w:r>
      <w:r>
        <w:t xml:space="preserve"> </w:t>
      </w:r>
      <w:r>
        <w:tab/>
        <w:t>Директива 2008/12/EО, OВ L 76, 19.3.2008 г., стр. 39; Директива 2008/103/EО, стр. 7, OВ L 327, 5.12.2008 г.; Директива 2013/56/EС, OВ L 329, 10.12.2013 г., стр. 5.</w:t>
      </w:r>
    </w:p>
  </w:footnote>
  <w:footnote w:id="4">
    <w:p>
      <w:pPr>
        <w:pStyle w:val="FootnoteText"/>
        <w:spacing w:after="60"/>
        <w:ind w:left="426" w:hanging="426"/>
      </w:pPr>
      <w:r>
        <w:rPr>
          <w:rStyle w:val="FootnoteReference"/>
        </w:rPr>
        <w:footnoteRef/>
      </w:r>
      <w:r>
        <w:t xml:space="preserve"> </w:t>
      </w:r>
      <w:r>
        <w:tab/>
        <w:t>Регламент (ЕИО) № 259/93, ОВ L 30, 6.2.1993 г., стр. 1; Регламент (ЕО) № 1420/1999 на Съвета, ОВ L 166, 1.7.1999 г., стр. 9; Регламент (ЕО) № 1547/1999 на Комисията, ОВ L 185, 17.7.1999 г., стр.1.</w:t>
      </w:r>
    </w:p>
  </w:footnote>
  <w:footnote w:id="5">
    <w:p>
      <w:pPr>
        <w:pStyle w:val="FootnoteText"/>
        <w:spacing w:after="120"/>
      </w:pPr>
      <w:r>
        <w:rPr>
          <w:rStyle w:val="FootnoteReference"/>
        </w:rPr>
        <w:footnoteRef/>
      </w:r>
      <w:r>
        <w:t xml:space="preserve"> </w:t>
      </w:r>
      <w:r>
        <w:tab/>
      </w:r>
      <w:r>
        <w:rPr>
          <w:rStyle w:val="Emphasis"/>
          <w:i w:val="0"/>
          <w:sz w:val="18"/>
        </w:rPr>
        <w:t>ОВ L 197, 24.7.2012 г., стр. 38.</w:t>
      </w:r>
    </w:p>
  </w:footnote>
  <w:footnote w:id="6">
    <w:p>
      <w:pPr>
        <w:pStyle w:val="FootnoteText"/>
      </w:pPr>
      <w:r>
        <w:rPr>
          <w:rStyle w:val="FootnoteReference"/>
        </w:rPr>
        <w:footnoteRef/>
      </w:r>
      <w:r>
        <w:t xml:space="preserve"> </w:t>
      </w:r>
      <w:r>
        <w:tab/>
        <w:t>Както е разяснено по-подробно в доклада на Комисията до Европейския парламент и Съвета относно упражняването на правомощието за приемане на делегирани актове, предоставено на Комисията по силата на Директива 2012/19/ЕС относно отпадъци от електрическо и електронно оборудване (ОЕЕО), COM(2017) 172 final.</w:t>
      </w:r>
    </w:p>
  </w:footnote>
  <w:footnote w:id="7">
    <w:p>
      <w:pPr>
        <w:pStyle w:val="FootnoteText"/>
        <w:spacing w:after="60"/>
      </w:pPr>
      <w:r>
        <w:rPr>
          <w:rStyle w:val="FootnoteReference"/>
        </w:rPr>
        <w:footnoteRef/>
      </w:r>
      <w:r>
        <w:t xml:space="preserve"> </w:t>
      </w:r>
      <w:r>
        <w:tab/>
        <w:t>Регламент (EС) № 1103/2010 на Комисията, OВ L 313, 30.11.2010 г.</w:t>
      </w:r>
    </w:p>
  </w:footnote>
  <w:footnote w:id="8">
    <w:p>
      <w:pPr>
        <w:pStyle w:val="FootnoteText"/>
        <w:spacing w:after="60"/>
      </w:pPr>
      <w:r>
        <w:rPr>
          <w:rStyle w:val="FootnoteReference"/>
        </w:rPr>
        <w:footnoteRef/>
      </w:r>
      <w:r>
        <w:t xml:space="preserve"> </w:t>
      </w:r>
      <w:r>
        <w:tab/>
      </w:r>
      <w:hyperlink r:id="rId1">
        <w:r>
          <w:rPr>
            <w:rStyle w:val="Hyperlink"/>
            <w:rFonts w:eastAsiaTheme="minorHAnsi"/>
          </w:rPr>
          <w:t>http://ec.europa.eu/environment/waste/batteries/pdf/battery_report_june2010.pdf</w:t>
        </w:r>
      </w:hyperlink>
      <w:r>
        <w:t>, http://ec.europa.eu/environment/waste/batteries/pdf/battery_report.pdf.</w:t>
      </w:r>
    </w:p>
  </w:footnote>
  <w:footnote w:id="9">
    <w:p>
      <w:pPr>
        <w:pStyle w:val="FootnoteText"/>
        <w:spacing w:after="0"/>
      </w:pPr>
      <w:r>
        <w:rPr>
          <w:rStyle w:val="FootnoteReference"/>
        </w:rPr>
        <w:footnoteRef/>
      </w:r>
      <w:r>
        <w:t xml:space="preserve"> </w:t>
      </w:r>
      <w:r>
        <w:tab/>
        <w:t xml:space="preserve">„Проучване на осъществимостта във връзка с етикетирането и производителността на първичните батерии (2012)“ на: </w:t>
      </w:r>
    </w:p>
    <w:p>
      <w:pPr>
        <w:pStyle w:val="FootnoteText"/>
      </w:pPr>
      <w:r>
        <w:tab/>
      </w:r>
      <w:hyperlink r:id="rId2">
        <w:r>
          <w:rPr>
            <w:rStyle w:val="Hyperlink"/>
          </w:rPr>
          <w:t>http://ec.europa.eu/environment/waste/batteries/pdf/CENELEC%20feasibility%20study.pdf</w:t>
        </w:r>
      </w:hyperlink>
      <w:r>
        <w:t>.</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23785ED1"/>
    <w:multiLevelType w:val="hybridMultilevel"/>
    <w:tmpl w:val="9FA0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16">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6"/>
  </w:num>
  <w:num w:numId="4">
    <w:abstractNumId w:val="17"/>
  </w:num>
  <w:num w:numId="5">
    <w:abstractNumId w:val="10"/>
  </w:num>
  <w:num w:numId="6">
    <w:abstractNumId w:val="7"/>
  </w:num>
  <w:num w:numId="7">
    <w:abstractNumId w:val="4"/>
  </w:num>
  <w:num w:numId="8">
    <w:abstractNumId w:val="3"/>
  </w:num>
  <w:num w:numId="9">
    <w:abstractNumId w:val="18"/>
  </w:num>
  <w:num w:numId="10">
    <w:abstractNumId w:val="20"/>
  </w:num>
  <w:num w:numId="11">
    <w:abstractNumId w:val="19"/>
  </w:num>
  <w:num w:numId="12">
    <w:abstractNumId w:val="21"/>
  </w:num>
  <w:num w:numId="13">
    <w:abstractNumId w:val="6"/>
  </w:num>
  <w:num w:numId="14">
    <w:abstractNumId w:val="11"/>
  </w:num>
  <w:num w:numId="15">
    <w:abstractNumId w:val="13"/>
  </w:num>
  <w:num w:numId="16">
    <w:abstractNumId w:val="12"/>
  </w:num>
  <w:num w:numId="17">
    <w:abstractNumId w:val="2"/>
  </w:num>
  <w:num w:numId="18">
    <w:abstractNumId w:val="14"/>
  </w:num>
  <w:num w:numId="19">
    <w:abstractNumId w:val="8"/>
  </w:num>
  <w:num w:numId="20">
    <w:abstractNumId w:val="15"/>
  </w:num>
  <w:num w:numId="21">
    <w:abstractNumId w:val="9"/>
  </w:num>
  <w:num w:numId="22">
    <w:abstractNumId w:val="8"/>
  </w:num>
  <w:num w:numId="23">
    <w:abstractNumId w:val="8"/>
  </w:num>
  <w:num w:numId="24">
    <w:abstractNumId w:val="8"/>
  </w:num>
  <w:num w:numId="25">
    <w:abstractNumId w:val="8"/>
  </w:num>
  <w:num w:numId="26">
    <w:abstractNumId w:val="8"/>
  </w:num>
  <w:num w:numId="27">
    <w:abstractNumId w:val="8"/>
  </w:num>
  <w:num w:numId="28">
    <w:abstractNumId w:val="5"/>
  </w:num>
  <w:num w:numId="29">
    <w:abstractNumId w:val="16"/>
  </w:num>
  <w:num w:numId="30">
    <w:abstractNumId w:val="16"/>
  </w:num>
  <w:num w:numId="31">
    <w:abstractNumId w:val="16"/>
  </w:num>
  <w:num w:numId="32">
    <w:abstractNumId w:val="16"/>
  </w:num>
  <w:num w:numId="33">
    <w:abstractNumId w:val="16"/>
  </w:num>
  <w:num w:numId="34">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1D9C1CE-D5A2-4C4A-AF34-B3DFE97B4407"/>
    <w:docVar w:name="LW_COVERPAGE_TYPE" w:val="1"/>
    <w:docVar w:name="LW_CROSSREFERENCE" w:val="&lt;UNUSED&gt;"/>
    <w:docVar w:name="LW_DocType" w:val="NOT"/>
    <w:docVar w:name="LW_EMISSION" w:val="14.5.2018"/>
    <w:docVar w:name="LW_EMISSION_ISODATE" w:val="2018-05-14"/>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2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86?\u1090?\u1085?\u1086?\u1089?\u1085?\u1086? \u1091?\u1087?\u1088?\u1072?\u1078?\u1085?\u1103?\u1074?\u1072?\u1085?\u1077?\u1090?\u1086? \u1085?\u1072? \u1087?\u1088?\u1072?\u1074?\u1086?\u1084?\u1086?\u1097?\u1080?\u1077?\u1090?\u1086? \u1079?\u1072? \u1087?\u1088?\u1080?\u1077?\u1084?\u1072?\u1085?\u1077? \u1085?\u1072? \u1076?\u1077?\u1083?\u1077?\u1075?\u1080?\u1088?\u1072?\u1085?\u1080? \u1072?\u1082?\u1090?\u1086?\u1074?\u1077?, \u1087?\u1088?\u1077?\u1076?\u1086?\u1089?\u1090?\u1072?\u1074?\u1077?\u1085?\u1086? \u1085?\u1072? \u1050?\u1086?\u1084?\u1080?\u1089?\u1080?\u1103?\u1090?\u1072? \u1087?\u1086? \u1089?\u1080?\u1083?\u1072?\u1090?\u1072? \u1085?\u1072? \u1044?\u1080?\u1088?\u1077?\u1082?\u1090?\u1080?\u1074?\u1072? 2006/66/\u1045?\u1054? \u1085?\u1072? \u1045?\u1074?\u1088?\u1086?\u1087?\u1077?\u1081?\u1089?\u1082?\u1080?\u1103? \u1087?\u1072?\u1088?\u1083?\u1072?\u1084?\u1077?\u1085?\u1090? \u1080? \u1085?\u1072? \u1057?\u1098?\u1074?\u1077?\u1090?\u1072? \u1086?\u1090?\u1085?\u1086?\u1089?\u1085?\u1086? \u1073?\u1072?\u1090?\u1077?\u1088?\u1080?\u1080? \u1080? \u1072?\u1082?\u1091?\u1084?\u1091?\u1083?\u1072?\u1090?\u1086?\u1088?\u1080? \u1080? \u1086?\u1090?\u1087?\u1072?\u1076?\u1098?\u1094?\u1080? \u1086?\u1090? \u1073?\u1072?\u1090?\u1077?\u1088?\u1080?\u1080? \u1080? \u1072?\u1082?\u1091?\u1084?\u1091?\u1083?\u1072?\u1090?\u1086?\u1088?\u1080?, \u1080? \u1079?\u1072? \u1086?\u1090?\u1084?\u1103?\u1085?\u1072? \u1085?\u1072? \u1044?\u1080?\u1088?\u1077?\u1082?\u1090?\u1080?\u1074?\u1072? 91/157/\u1045?\u1048?\u1054?&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eastAsia="bg-BG"/>
    </w:rPr>
  </w:style>
  <w:style w:type="character" w:customStyle="1" w:styleId="DateChar">
    <w:name w:val="Date Char"/>
    <w:basedOn w:val="DefaultParagraphFont"/>
    <w:link w:val="Date"/>
    <w:uiPriority w:val="99"/>
    <w:locked/>
    <w:rPr>
      <w:sz w:val="24"/>
      <w:lang w:eastAsia="bg-BG"/>
    </w:rPr>
  </w:style>
  <w:style w:type="character" w:customStyle="1" w:styleId="HeaderChar">
    <w:name w:val="Header Char"/>
    <w:basedOn w:val="DefaultParagraphFont"/>
    <w:link w:val="Header"/>
    <w:uiPriority w:val="99"/>
    <w:locked/>
    <w:rPr>
      <w:sz w:val="24"/>
      <w:lang w:eastAsia="bg-BG"/>
    </w:rPr>
  </w:style>
  <w:style w:type="character" w:styleId="Emphasis">
    <w:name w:val="Emphasis"/>
    <w:uiPriority w:val="20"/>
    <w:qFormat/>
    <w:rPr>
      <w:rFonts w:ascii="Times New Roman" w:hAnsi="Times New Roman" w:cs="Times New Roman" w:hint="default"/>
      <w:i/>
      <w:iCs/>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styleId="CommentReference">
    <w:name w:val="annotation reference"/>
    <w:basedOn w:val="DefaultParagraphFont"/>
    <w:uiPriority w:val="99"/>
    <w:semiHidden/>
    <w:unhideWhenUsed/>
    <w:rPr>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eastAsia="bg-BG"/>
    </w:rPr>
  </w:style>
  <w:style w:type="character" w:customStyle="1" w:styleId="DateChar">
    <w:name w:val="Date Char"/>
    <w:basedOn w:val="DefaultParagraphFont"/>
    <w:link w:val="Date"/>
    <w:uiPriority w:val="99"/>
    <w:locked/>
    <w:rPr>
      <w:sz w:val="24"/>
      <w:lang w:eastAsia="bg-BG"/>
    </w:rPr>
  </w:style>
  <w:style w:type="character" w:customStyle="1" w:styleId="HeaderChar">
    <w:name w:val="Header Char"/>
    <w:basedOn w:val="DefaultParagraphFont"/>
    <w:link w:val="Header"/>
    <w:uiPriority w:val="99"/>
    <w:locked/>
    <w:rPr>
      <w:sz w:val="24"/>
      <w:lang w:eastAsia="bg-BG"/>
    </w:rPr>
  </w:style>
  <w:style w:type="character" w:styleId="Emphasis">
    <w:name w:val="Emphasis"/>
    <w:uiPriority w:val="20"/>
    <w:qFormat/>
    <w:rPr>
      <w:rFonts w:ascii="Times New Roman" w:hAnsi="Times New Roman" w:cs="Times New Roman" w:hint="default"/>
      <w:i/>
      <w:iCs/>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styleId="CommentReference">
    <w:name w:val="annotation reference"/>
    <w:basedOn w:val="DefaultParagraphFont"/>
    <w:uiPriority w:val="99"/>
    <w:semiHidden/>
    <w:unhideWhenUsed/>
    <w:rPr>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78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vironment/waste/batteries/pdf/CENELEC%20feasibility%20study.pdf" TargetMode="External"/><Relationship Id="rId1" Type="http://schemas.openxmlformats.org/officeDocument/2006/relationships/hyperlink" Target="http://ec.europa.eu/environment/waste/batteries/pdf/battery_report_june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12f57fac-7366-4b92-9224-0cceda10ab2d</Id>
  <Names>
    <Latin>
      <FirstName>Nelen</FirstName>
      <LastName>Sarah</LastName>
    </Latin>
    <Greek>
      <FirstName/>
      <LastName/>
    </Greek>
    <Cyrillic>
      <FirstName/>
      <LastName/>
    </Cyrillic>
    <DocumentScript>
      <FirstName>Nelen</FirstName>
      <LastName>Sarah</LastName>
      <FullName>Nelen Sarah</FullName>
    </DocumentScript>
  </Names>
  <Initials>SN</Initials>
  <Gender>f</Gender>
  <Email>Marina.FAVERO@ec.europa.eu</Email>
  <Service>ENV.B.3</Service>
  <Function/>
  <WebAddress/>
  <InheritedWebAddress>http://europa.eu</InheritedWebAddress>
  <OrgaEntity1>
    <Id>dfeba4c5-4fee-4c38-9a3a-bbd8394ad370</Id>
    <LogicalLevel>1</LogicalLevel>
    <Name>SG</Name>
    <HeadLine1>Secretariat-General</HeadLine1>
    <HeadLine2/>
    <PrimaryAddressId>f03b5801-04c9-4931-aa17-c6d6c70bc579</PrimaryAddressId>
    <SecondaryAddressId/>
    <WebAddress/>
    <InheritedWebAddress>http://europa.eu</InheritedWebAddress>
    <ShowInHeader>true</ShowInHeader>
  </OrgaEntity1>
  <OrgaEntity2>
    <Id>5f33ba36-8b5f-4b71-bd13-21ac78b69861</Id>
    <LogicalLevel>2</LogicalLevel>
    <Name>SG.EFB</Name>
    <HeadLine1>European Fiscal Board</HeadLine1>
    <HeadLine2/>
    <PrimaryAddressId>f03b5801-04c9-4931-aa17-c6d6c70bc579</PrimaryAddressId>
    <SecondaryAddressId/>
    <WebAddress/>
    <InheritedWebAddress>http://europa.eu</InheritedWebAddress>
    <ShowInHeader>true</ShowInHeader>
  </OrgaEntity2>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+32 229 96838</Phone>
    <Office>BU-9 05/188</Office>
  </MainWorkplace>
  <Workplaces>
    <Workplace IsMain="false">
      <AddressId>1264fb81-f6bb-475e-9f9d-a937d3be6ee2</AddressId>
      <Fax/>
      <Phone/>
      <Office/>
    </Workplace>
    <Workplace IsMain="true">
      <AddressId>f03b5801-04c9-4931-aa17-c6d6c70bc579</AddressId>
      <Fax/>
      <Phone>+32 229 96838</Phone>
      <Office>BU-9 05/188</Office>
    </Workplace>
  </Workplaces>
</Author>
</file>

<file path=customXml/item2.xml><?xml version="1.0" encoding="utf-8"?>
<EurolookProperties>
  <Created>
    <Version>4.6</Version>
    <Date>2018-02-23T11:43:01</Date>
    <Language>EN</Language>
  </Created>
  <Edited>
    <Version>10.0.37441.0</Version>
    <Date>2018-04-30T11:38:54</Date>
  </Edited>
  <DocumentModel>
    <Id>0b054141-88b1-4efb-8c91-2905cb0bed6c</Id>
    <Name>Note</Name>
  </DocumentModel>
  <DocumentDate/>
  <DocumentVersion/>
  <CompatibilityMode>Eurolook4x</CompatibilityMode>
  <Address/>
</EurolookProperties>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ADBD2-DBB0-499D-AB83-CF82AF0BD1F6}">
  <ds:schemaRefs/>
</ds:datastoreItem>
</file>

<file path=customXml/itemProps2.xml><?xml version="1.0" encoding="utf-8"?>
<ds:datastoreItem xmlns:ds="http://schemas.openxmlformats.org/officeDocument/2006/customXml" ds:itemID="{26F623D5-F7E0-49AA-BB06-CEB376674E81}">
  <ds:schemaRefs/>
</ds:datastoreItem>
</file>

<file path=customXml/itemProps3.xml><?xml version="1.0" encoding="utf-8"?>
<ds:datastoreItem xmlns:ds="http://schemas.openxmlformats.org/officeDocument/2006/customXml" ds:itemID="{B8A3ABC3-5BEE-4791-948D-FCE381E79524}">
  <ds:schemaRefs/>
</ds:datastoreItem>
</file>

<file path=customXml/itemProps4.xml><?xml version="1.0" encoding="utf-8"?>
<ds:datastoreItem xmlns:ds="http://schemas.openxmlformats.org/officeDocument/2006/customXml" ds:itemID="{2A3F56BD-4F0E-471E-A001-F30B5F08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912</Words>
  <Characters>5376</Characters>
  <Application>Microsoft Office Word</Application>
  <DocSecurity>0</DocSecurity>
  <PresentationFormat>Microsoft Word 14.0</PresentationFormat>
  <Lines>112</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17</cp:revision>
  <dcterms:created xsi:type="dcterms:W3CDTF">2018-04-30T12:14:00Z</dcterms:created>
  <dcterms:modified xsi:type="dcterms:W3CDTF">2018-05-02T15:18:00Z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José RIZO</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