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25" w:rsidRDefault="006614C5" w:rsidP="008D3400">
      <w:pPr>
        <w:pStyle w:val="Pagedecouverture"/>
        <w:rPr>
          <w:noProof/>
          <w:lang w:val="es-ES_tradnl"/>
        </w:rPr>
      </w:pPr>
      <w:bookmarkStart w:id="0" w:name="LW_BM_COVERPAGE"/>
      <w:bookmarkStart w:id="1" w:name="_GoBack"/>
      <w:bookmarkEnd w:id="1"/>
      <w:r>
        <w:rPr>
          <w:noProof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4F20085-0859-4E84-8CE4-9AB800A558E6" style="width:450.8pt;height:393.2pt">
            <v:imagedata r:id="rId7" o:title=""/>
          </v:shape>
        </w:pict>
      </w:r>
    </w:p>
    <w:bookmarkEnd w:id="0"/>
    <w:p w:rsidR="002F7025" w:rsidRDefault="002F7025">
      <w:pPr>
        <w:rPr>
          <w:noProof/>
          <w:lang w:val="es-ES_tradnl"/>
        </w:rPr>
        <w:sectPr w:rsidR="002F7025" w:rsidSect="008D3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F7025" w:rsidRPr="008D3400" w:rsidRDefault="008D3400">
      <w:pPr>
        <w:pStyle w:val="Annextitre"/>
        <w:rPr>
          <w:rStyle w:val="bold"/>
          <w:rFonts w:ascii="Times New Roman" w:hAnsi="Times New Roman" w:cs="Times New Roman"/>
          <w:noProof/>
          <w:sz w:val="24"/>
          <w:u w:val="single"/>
          <w:lang w:val="es-ES_tradnl"/>
        </w:rPr>
      </w:pPr>
      <w:r>
        <w:rPr>
          <w:rFonts w:ascii="Times New Roman" w:hAnsi="Times New Roman" w:cs="Times New Roman"/>
          <w:noProof/>
          <w:sz w:val="24"/>
          <w:u w:val="single"/>
          <w:lang w:val="bg-BG"/>
        </w:rPr>
        <w:lastRenderedPageBreak/>
        <w:t>ПРИЛОЖЕНИЕ</w:t>
      </w:r>
      <w:r w:rsidRPr="008D3400">
        <w:rPr>
          <w:rFonts w:ascii="Times New Roman" w:hAnsi="Times New Roman" w:cs="Times New Roman"/>
          <w:noProof/>
          <w:sz w:val="24"/>
          <w:u w:val="single"/>
          <w:lang w:val="es-ES_tradnl"/>
        </w:rPr>
        <w:t xml:space="preserve"> II</w:t>
      </w:r>
      <w:r>
        <w:rPr>
          <w:rFonts w:ascii="Times New Roman" w:hAnsi="Times New Roman" w:cs="Times New Roman"/>
          <w:noProof/>
          <w:sz w:val="24"/>
          <w:u w:val="single"/>
          <w:lang w:val="bg-BG"/>
        </w:rPr>
        <w:t>А</w:t>
      </w:r>
    </w:p>
    <w:p w:rsidR="002F7025" w:rsidRDefault="008D3400">
      <w:pPr>
        <w:pStyle w:val="Annextitre"/>
        <w:jc w:val="left"/>
        <w:rPr>
          <w:rFonts w:ascii="Times New Roman" w:hAnsi="Times New Roman" w:cs="Times New Roman"/>
          <w:noProof/>
          <w:sz w:val="24"/>
          <w:u w:val="single"/>
          <w:lang w:val="bg-BG"/>
        </w:rPr>
      </w:pPr>
      <w:r>
        <w:rPr>
          <w:rStyle w:val="bold"/>
          <w:rFonts w:ascii="Times New Roman" w:hAnsi="Times New Roman" w:cs="Times New Roman"/>
          <w:noProof/>
          <w:sz w:val="24"/>
          <w:lang w:val="bg-BG"/>
        </w:rPr>
        <w:t>ВИДОВЕ ДРУЖЕСТВА, ПОСОЧЕНИ В ЧЛЕНОВЕ 13, 13д</w:t>
      </w:r>
      <w:r w:rsidRPr="008D3400">
        <w:rPr>
          <w:rStyle w:val="bold"/>
          <w:rFonts w:ascii="Times New Roman" w:hAnsi="Times New Roman" w:cs="Times New Roman"/>
          <w:noProof/>
          <w:sz w:val="24"/>
          <w:lang w:val="es-ES_tradnl"/>
        </w:rPr>
        <w:t>, 13</w:t>
      </w:r>
      <w:r>
        <w:rPr>
          <w:rStyle w:val="bold"/>
          <w:rFonts w:ascii="Times New Roman" w:hAnsi="Times New Roman" w:cs="Times New Roman"/>
          <w:noProof/>
          <w:sz w:val="24"/>
          <w:lang w:val="bg-BG"/>
        </w:rPr>
        <w:t xml:space="preserve">ж и </w:t>
      </w:r>
      <w:r w:rsidRPr="008D3400">
        <w:rPr>
          <w:rStyle w:val="bold"/>
          <w:rFonts w:ascii="Times New Roman" w:hAnsi="Times New Roman" w:cs="Times New Roman"/>
          <w:noProof/>
          <w:sz w:val="24"/>
          <w:lang w:val="es-ES_tradnl"/>
        </w:rPr>
        <w:t>162</w:t>
      </w:r>
      <w:r>
        <w:rPr>
          <w:rStyle w:val="bold"/>
          <w:rFonts w:ascii="Times New Roman" w:hAnsi="Times New Roman" w:cs="Times New Roman"/>
          <w:noProof/>
          <w:sz w:val="24"/>
          <w:lang w:val="bg-BG"/>
        </w:rPr>
        <w:t>а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Белгия: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</w:rPr>
        <w:t>soci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é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é </w:t>
      </w:r>
      <w:r>
        <w:rPr>
          <w:rFonts w:ascii="Times New Roman" w:hAnsi="Times New Roman" w:cs="Times New Roman"/>
          <w:noProof/>
          <w:sz w:val="24"/>
          <w:szCs w:val="24"/>
        </w:rPr>
        <w:t>priv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é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à </w:t>
      </w:r>
      <w:r>
        <w:rPr>
          <w:rFonts w:ascii="Times New Roman" w:hAnsi="Times New Roman" w:cs="Times New Roman"/>
          <w:noProof/>
          <w:sz w:val="24"/>
          <w:szCs w:val="24"/>
        </w:rPr>
        <w:t>responsabilit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é </w:t>
      </w:r>
      <w:r>
        <w:rPr>
          <w:rFonts w:ascii="Times New Roman" w:hAnsi="Times New Roman" w:cs="Times New Roman"/>
          <w:noProof/>
          <w:sz w:val="24"/>
          <w:szCs w:val="24"/>
        </w:rPr>
        <w:t>limit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é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t>besloten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vennootschap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met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beperkte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aansprakelijkheid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 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soci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>é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é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priv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>é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 à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responsabilit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é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limit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>é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unipersonnelle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>/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Eenpersoons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besloten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vennootschap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met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beperkte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aansprakelijkheid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>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—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България: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  <w:t>дружество с ограничена отговорност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en-GB"/>
        </w:rPr>
        <w:t xml:space="preserve">еднолично дружество с ограничена отговорност 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Чешката република: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</w:rPr>
        <w:t>spole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  <w:t>č</w:t>
      </w:r>
      <w:r>
        <w:rPr>
          <w:rFonts w:ascii="Times New Roman" w:eastAsia="TimesNewRomanPSMT2" w:hAnsi="Times New Roman" w:cs="Times New Roman"/>
          <w:noProof/>
          <w:sz w:val="24"/>
          <w:szCs w:val="24"/>
        </w:rPr>
        <w:t>nost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eastAsia="TimesNewRomanPSMT2" w:hAnsi="Times New Roman" w:cs="Times New Roman"/>
          <w:noProof/>
          <w:sz w:val="24"/>
          <w:szCs w:val="24"/>
        </w:rPr>
        <w:t>s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eastAsia="TimesNewRomanPSMT2" w:hAnsi="Times New Roman" w:cs="Times New Roman"/>
          <w:noProof/>
          <w:sz w:val="24"/>
          <w:szCs w:val="24"/>
        </w:rPr>
        <w:t>ru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  <w:t>č</w:t>
      </w:r>
      <w:r>
        <w:rPr>
          <w:rFonts w:ascii="Times New Roman" w:eastAsia="TimesNewRomanPSMT2" w:hAnsi="Times New Roman" w:cs="Times New Roman"/>
          <w:noProof/>
          <w:sz w:val="24"/>
          <w:szCs w:val="24"/>
        </w:rPr>
        <w:t>en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  <w:t>í</w:t>
      </w:r>
      <w:r>
        <w:rPr>
          <w:rFonts w:ascii="Times New Roman" w:eastAsia="TimesNewRomanPSMT2" w:hAnsi="Times New Roman" w:cs="Times New Roman"/>
          <w:noProof/>
          <w:sz w:val="24"/>
          <w:szCs w:val="24"/>
        </w:rPr>
        <w:t>m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eastAsia="TimesNewRomanPSMT2" w:hAnsi="Times New Roman" w:cs="Times New Roman"/>
          <w:noProof/>
          <w:sz w:val="24"/>
          <w:szCs w:val="24"/>
        </w:rPr>
        <w:t>omezen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  <w:t>ý</w:t>
      </w:r>
      <w:r>
        <w:rPr>
          <w:rFonts w:ascii="Times New Roman" w:eastAsia="TimesNewRomanPSMT2" w:hAnsi="Times New Roman" w:cs="Times New Roman"/>
          <w:noProof/>
          <w:sz w:val="24"/>
          <w:szCs w:val="24"/>
        </w:rPr>
        <w:t>m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bg-BG"/>
        </w:rPr>
        <w:t>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Дания:</w:t>
      </w:r>
    </w:p>
    <w:p w:rsidR="002F7025" w:rsidRDefault="008D3400">
      <w:pPr>
        <w:keepNext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>Anpartsselskab;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Германия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>Gesellschaft mit beschränkter Haftung;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Естония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>osaühing;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Ирландия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  <w:t>: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>private company limited by shares or by guarantee/cuideachta phríobháideach faoi theorainn scaireanna nó ráthaíochta,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de-DE"/>
        </w:rPr>
        <w:t xml:space="preserve"> 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designated activity company/</w:t>
      </w:r>
      <w:r>
        <w:rPr>
          <w:rFonts w:ascii="Times New Roman" w:hAnsi="Times New Roman" w:cs="Times New Roman"/>
          <w:noProof/>
          <w:sz w:val="24"/>
          <w:szCs w:val="24"/>
        </w:rPr>
        <w:t>cuideachta ghníomhaíochta ainmnithe;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Гърция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 xml:space="preserve">εταιρεία περιορισμένης ευθύνης, 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l-GR" w:eastAsia="en-GB"/>
        </w:rPr>
        <w:t>ιδιωτική κεφαλαιουχική εταιρεία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Испания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2F7025" w:rsidRDefault="008D3400">
      <w:pPr>
        <w:pStyle w:val="Normal1"/>
        <w:keepNext/>
        <w:spacing w:before="120" w:beforeAutospacing="0" w:after="0" w:afterAutospacing="0" w:line="360" w:lineRule="auto"/>
        <w:ind w:left="720" w:firstLine="720"/>
        <w:jc w:val="both"/>
        <w:rPr>
          <w:noProof/>
          <w:lang w:val="es-ES"/>
        </w:rPr>
      </w:pPr>
      <w:r>
        <w:rPr>
          <w:noProof/>
          <w:lang w:val="es-ES"/>
        </w:rPr>
        <w:t>sociedad de responsabilidad limitada;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във Франция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s-ES"/>
        </w:rPr>
        <w:t>: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société à responsabilité limitée, 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entreprise unipersonnelle à responsabilité limitée, 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  <w:t xml:space="preserve">société par actions simplifiée, 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  <w:t>société par actions simplifiée unipersonnelle;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fr-BE"/>
        </w:rPr>
        <w:lastRenderedPageBreak/>
        <w:t xml:space="preserve">—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Хърватия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: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>društvo s ograni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fr-BE"/>
        </w:rPr>
        <w:t>č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enom odgovorno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fr-BE"/>
        </w:rPr>
        <w:t>šć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u, 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BE" w:eastAsia="en-GB"/>
        </w:rPr>
        <w:t xml:space="preserve">jednostavno društvo s ograničenom odgovornošću; 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Италия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it-IT"/>
        </w:rPr>
        <w:t>: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>società a responsabilità limitata,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 xml:space="preserve"> 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en-GB"/>
        </w:rPr>
        <w:t>società a responsabilità limitata semplificata;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Кипър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ιδιωτική εταιρεία περιορισμένης ευθύνης με μετοχές ή/και με εγγύηση;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Латвия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>sabiedr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ī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ba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ar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ierobe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>ž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otu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atbild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ī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bu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>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Литва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el-GR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>ž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daroji</w:t>
      </w:r>
      <w:r>
        <w:rPr>
          <w:rFonts w:ascii="Times New Roman" w:hAnsi="Times New Roman" w:cs="Times New Roman"/>
          <w:noProof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akcin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 xml:space="preserve">ė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bendrov</w:t>
      </w:r>
      <w:r>
        <w:rPr>
          <w:rFonts w:ascii="Times New Roman" w:eastAsia="TimesNewRomanPSMT2" w:hAnsi="Times New Roman" w:cs="Times New Roman"/>
          <w:noProof/>
          <w:sz w:val="24"/>
          <w:szCs w:val="24"/>
          <w:lang w:val="el-GR"/>
        </w:rPr>
        <w:t>ė;</w:t>
      </w:r>
    </w:p>
    <w:p w:rsidR="002F7025" w:rsidRPr="008D3400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</w:pPr>
      <w:r w:rsidRPr="008D3400"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— </w:t>
      </w:r>
      <w:r w:rsidRPr="008D3400"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 w:rsidRPr="008D3400"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Люксембург</w:t>
      </w:r>
      <w:r w:rsidRPr="008D3400"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>société à responsabilité limitée;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Унгария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fr-BE"/>
        </w:rPr>
        <w:t>: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fr-BE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fr-BE"/>
        </w:rPr>
        <w:t>korlátolt felelősségű társaság</w:t>
      </w:r>
      <w:r>
        <w:rPr>
          <w:rFonts w:ascii="Times New Roman" w:hAnsi="Times New Roman" w:cs="Times New Roman"/>
          <w:noProof/>
          <w:sz w:val="24"/>
          <w:szCs w:val="24"/>
          <w:lang w:val="fr-BE"/>
        </w:rPr>
        <w:t>;</w:t>
      </w:r>
    </w:p>
    <w:p w:rsidR="002F7025" w:rsidRPr="008D3400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8D3400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Pr="008D3400">
        <w:rPr>
          <w:rFonts w:ascii="Times New Roman" w:hAnsi="Times New Roman" w:cs="Times New Roman"/>
          <w:noProof/>
          <w:sz w:val="24"/>
          <w:szCs w:val="24"/>
        </w:rPr>
        <w:tab/>
      </w:r>
      <w:r w:rsidRPr="008D3400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Малта</w:t>
      </w:r>
      <w:r w:rsidRPr="008D340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private limited liability company/kumpannija privata;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Нидерландия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nl-NL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noProof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sz w:val="24"/>
          <w:szCs w:val="24"/>
          <w:lang w:val="nl-NL"/>
        </w:rPr>
        <w:t>besloten vennootschap met beperkte aansprakelijkheid;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Австрия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de-DE"/>
        </w:rPr>
        <w:t>:</w:t>
      </w:r>
    </w:p>
    <w:p w:rsidR="002F7025" w:rsidRDefault="008D3400">
      <w:pPr>
        <w:keepNext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>Gesellschaft mit beschränkter Haftung;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Полша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pl-PL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pl-PL"/>
        </w:rPr>
        <w:t>spółka z ograniczoną odpowiedzialnością;</w:t>
      </w:r>
    </w:p>
    <w:p w:rsidR="002F7025" w:rsidRPr="008D3400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— </w:t>
      </w: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Португалия</w:t>
      </w:r>
      <w:r w:rsidRPr="008D3400"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t>sociedade por quotas;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Румъния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  <w:t>:</w:t>
      </w:r>
    </w:p>
    <w:p w:rsidR="002F7025" w:rsidRDefault="008D3400">
      <w:pPr>
        <w:keepNext/>
        <w:spacing w:after="0" w:line="360" w:lineRule="auto"/>
        <w:ind w:left="1440"/>
        <w:rPr>
          <w:rFonts w:ascii="Times New Roman" w:eastAsia="TimesNewRomanPSMT2" w:hAnsi="Times New Roman" w:cs="Times New Roman"/>
          <w:noProof/>
          <w:sz w:val="24"/>
          <w:szCs w:val="24"/>
          <w:lang w:val="pt-PT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pt-PT"/>
        </w:rPr>
        <w:t>societate cu răspundere limitată;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Словения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t>družba z omejeno odgovornostjo;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Словакия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  <w:t>: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NewRomanPSMT2" w:hAnsi="Times New Roman" w:cs="Times New Roman"/>
          <w:noProof/>
          <w:sz w:val="24"/>
          <w:szCs w:val="24"/>
          <w:lang w:val="pt-PT"/>
        </w:rPr>
      </w:pPr>
      <w:r>
        <w:rPr>
          <w:rFonts w:ascii="Times New Roman" w:eastAsia="TimesNewRomanPSMT2" w:hAnsi="Times New Roman" w:cs="Times New Roman"/>
          <w:noProof/>
          <w:sz w:val="24"/>
          <w:szCs w:val="24"/>
          <w:lang w:val="pt-PT"/>
        </w:rPr>
        <w:t>spoločnosť s ručením obmedzeným;</w:t>
      </w:r>
    </w:p>
    <w:p w:rsidR="002F7025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— </w:t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във Финландия</w:t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  <w:t>:</w:t>
      </w:r>
    </w:p>
    <w:p w:rsidR="002F7025" w:rsidRPr="008D3400" w:rsidRDefault="008D3400">
      <w:pPr>
        <w:keepNext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noProof/>
          <w:sz w:val="24"/>
          <w:szCs w:val="24"/>
          <w:lang w:val="pt-PT"/>
        </w:rPr>
      </w:pP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lastRenderedPageBreak/>
        <w:t>yksityinen osakeyhtiö/privat aktiebolag;</w:t>
      </w:r>
    </w:p>
    <w:p w:rsidR="002F7025" w:rsidRPr="008D3400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</w:pP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— </w:t>
      </w: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Швеция</w:t>
      </w:r>
      <w:r w:rsidRPr="008D3400"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  <w:t>:</w:t>
      </w:r>
    </w:p>
    <w:p w:rsidR="002F7025" w:rsidRPr="008D3400" w:rsidRDefault="008D3400">
      <w:pPr>
        <w:keepNext/>
        <w:spacing w:after="0" w:line="360" w:lineRule="auto"/>
        <w:ind w:left="720" w:firstLine="720"/>
        <w:rPr>
          <w:rFonts w:ascii="Times New Roman" w:hAnsi="Times New Roman" w:cs="Times New Roman"/>
          <w:noProof/>
          <w:color w:val="000000"/>
          <w:sz w:val="24"/>
          <w:szCs w:val="24"/>
          <w:lang w:val="pt-PT"/>
        </w:rPr>
      </w:pP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>privat aktiebolag;</w:t>
      </w:r>
      <w:r w:rsidRPr="008D3400">
        <w:rPr>
          <w:rFonts w:ascii="Times New Roman" w:hAnsi="Times New Roman" w:cs="Times New Roman"/>
          <w:noProof/>
          <w:color w:val="000000"/>
          <w:sz w:val="24"/>
          <w:szCs w:val="24"/>
          <w:lang w:val="pt-PT"/>
        </w:rPr>
        <w:t xml:space="preserve"> </w:t>
      </w:r>
    </w:p>
    <w:p w:rsidR="002F7025" w:rsidRPr="008D3400" w:rsidRDefault="008D3400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pt-PT"/>
        </w:rPr>
      </w:pP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— </w:t>
      </w: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 w:rsidRPr="008D3400"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bg-BG"/>
        </w:rPr>
        <w:t>в Обединеното кралство</w:t>
      </w:r>
      <w:r w:rsidRPr="008D3400">
        <w:rPr>
          <w:rFonts w:ascii="Times New Roman" w:hAnsi="Times New Roman" w:cs="Times New Roman"/>
          <w:b/>
          <w:i/>
          <w:iCs/>
          <w:noProof/>
          <w:sz w:val="24"/>
          <w:szCs w:val="24"/>
          <w:lang w:val="pt-PT"/>
        </w:rPr>
        <w:t>:</w:t>
      </w:r>
    </w:p>
    <w:p w:rsidR="002F7025" w:rsidRPr="008D3400" w:rsidRDefault="008D3400">
      <w:pPr>
        <w:keepNext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i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 xml:space="preserve">Private Limited by shares </w:t>
      </w: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or guarantee</w:t>
      </w:r>
    </w:p>
    <w:sectPr w:rsidR="002F7025" w:rsidRPr="008D34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25" w:rsidRDefault="008D3400">
      <w:pPr>
        <w:spacing w:after="0" w:line="240" w:lineRule="auto"/>
      </w:pPr>
      <w:r>
        <w:separator/>
      </w:r>
    </w:p>
  </w:endnote>
  <w:endnote w:type="continuationSeparator" w:id="0">
    <w:p w:rsidR="002F7025" w:rsidRDefault="008D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C5" w:rsidRDefault="00661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0" w:rsidRPr="008D3400" w:rsidRDefault="008D3400" w:rsidP="008D3400">
    <w:pPr>
      <w:pStyle w:val="FooterCoverPage"/>
      <w:rPr>
        <w:rFonts w:ascii="Arial" w:hAnsi="Arial" w:cs="Arial"/>
        <w:b/>
        <w:sz w:val="48"/>
      </w:rPr>
    </w:pPr>
    <w:r w:rsidRPr="008D3400">
      <w:rPr>
        <w:rFonts w:ascii="Arial" w:hAnsi="Arial" w:cs="Arial"/>
        <w:b/>
        <w:sz w:val="48"/>
      </w:rPr>
      <w:t>BG</w:t>
    </w:r>
    <w:r w:rsidRPr="008D3400">
      <w:rPr>
        <w:rFonts w:ascii="Arial" w:hAnsi="Arial" w:cs="Arial"/>
        <w:b/>
        <w:sz w:val="48"/>
      </w:rPr>
      <w:tab/>
    </w:r>
    <w:r w:rsidRPr="008D3400">
      <w:rPr>
        <w:rFonts w:ascii="Arial" w:hAnsi="Arial" w:cs="Arial"/>
        <w:b/>
        <w:sz w:val="48"/>
      </w:rPr>
      <w:tab/>
    </w:r>
    <w:r w:rsidRPr="008D3400">
      <w:tab/>
    </w:r>
    <w:r w:rsidRPr="008D3400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C5" w:rsidRDefault="006614C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25" w:rsidRDefault="002F702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0" w:rsidRDefault="008D3400">
    <w:pPr>
      <w:pStyle w:val="Footer"/>
      <w:jc w:val="center"/>
    </w:pPr>
  </w:p>
  <w:p w:rsidR="002F7025" w:rsidRDefault="002F7025"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25" w:rsidRDefault="002F7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25" w:rsidRDefault="008D3400">
      <w:pPr>
        <w:spacing w:after="0" w:line="240" w:lineRule="auto"/>
      </w:pPr>
      <w:r>
        <w:separator/>
      </w:r>
    </w:p>
  </w:footnote>
  <w:footnote w:type="continuationSeparator" w:id="0">
    <w:p w:rsidR="002F7025" w:rsidRDefault="008D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C5" w:rsidRDefault="00661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C5" w:rsidRDefault="006614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C5" w:rsidRDefault="006614C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25" w:rsidRDefault="002F702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25" w:rsidRDefault="002F702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25" w:rsidRDefault="002F7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55?\u1088?\u1077?\u1076?\u1083?\u1086?\u1078?\u1077?\u1085?\u1080?\u1077? \u1079?\u1072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4F20085-0859-4E84-8CE4-9AB800A558E6"/>
    <w:docVar w:name="LW_COVERPAGE_TYPE" w:val="1"/>
    <w:docVar w:name="LW_CROSSREFERENCE" w:val="{SWD(2018) 141 final}_x000d__x000a_{SWD(2018) 142 final}"/>
    <w:docVar w:name="LW_DocType" w:val="NORMAL"/>
    <w:docVar w:name="LW_EMISSION" w:val="25.4.2018"/>
    <w:docVar w:name="LW_EMISSION_ISODATE" w:val="2018-04-25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44?\u1080?\u1088?\u1077?\u1082?\u1090?\u1080?\u1074?\u1072? (\u1045?\u1057?) 2017/1132 \u1074?\u1098?\u1074? \u1074?\u1088?\u1098?\u1079?\u1082?\u1072? \u1089? \u1080?\u1079?\u1087?\u1086?\u1083?\u1079?\u1074?\u1072?\u1085?\u1077?\u1090?\u1086? \u1085?\u1072? \u1094?\u1080?\u1092?\u1088?\u1086?\u1074?\u1080? \u1080?\u1085?\u1089?\u1090?\u1088?\u1091?\u1084?\u1077?\u1085?\u1090?\u1080? \u1080? \u1087?\u1088?\u1086?\u1094?\u1077?\u1089?\u1080? \u1074? \u1086?\u1073?\u1083?\u1072?\u1089?\u1090?\u1090?\u1072? \u1085?\u1072? \u1076?\u1088?\u1091?\u1078?\u1077?\u1089?\u1090?\u1074?\u1077?\u1085?\u1086?\u1090?\u1086? \u1087?\u1088?\u1072?\u1074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2F7025"/>
    <w:rsid w:val="002F7025"/>
    <w:rsid w:val="006614C5"/>
    <w:rsid w:val="008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4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</w:style>
  <w:style w:type="paragraph" w:customStyle="1" w:styleId="Annextitre">
    <w:name w:val="Annex titre"/>
    <w:basedOn w:val="Normal"/>
    <w:pPr>
      <w:keepNext/>
      <w:autoSpaceDE w:val="0"/>
      <w:autoSpaceDN w:val="0"/>
      <w:adjustRightInd w:val="0"/>
      <w:spacing w:line="360" w:lineRule="auto"/>
      <w:jc w:val="center"/>
    </w:pPr>
    <w:rPr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3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4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40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4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</w:style>
  <w:style w:type="paragraph" w:customStyle="1" w:styleId="Annextitre">
    <w:name w:val="Annex titre"/>
    <w:basedOn w:val="Normal"/>
    <w:pPr>
      <w:keepNext/>
      <w:autoSpaceDE w:val="0"/>
      <w:autoSpaceDN w:val="0"/>
      <w:adjustRightInd w:val="0"/>
      <w:spacing w:line="360" w:lineRule="auto"/>
      <w:jc w:val="center"/>
    </w:pPr>
    <w:rPr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3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4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40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229</Words>
  <Characters>1921</Characters>
  <Application>Microsoft Office Word</Application>
  <DocSecurity>0</DocSecurity>
  <Lines>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9</cp:revision>
  <dcterms:created xsi:type="dcterms:W3CDTF">2018-05-08T07:39:00Z</dcterms:created>
  <dcterms:modified xsi:type="dcterms:W3CDTF">2018-05-14T09:56:00Z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