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C7" w:rsidRDefault="007612D9" w:rsidP="007612D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80AA8A9-5F5E-4E07-A015-E96BB846B628" style="width:450.8pt;height:478.35pt">
            <v:imagedata r:id="rId12" o:title=""/>
          </v:shape>
        </w:pict>
      </w:r>
    </w:p>
    <w:bookmarkEnd w:id="0"/>
    <w:p w:rsidR="002C7FC7" w:rsidRDefault="002C7FC7">
      <w:pPr>
        <w:rPr>
          <w:noProof/>
        </w:rPr>
        <w:sectPr w:rsidR="002C7FC7" w:rsidSect="007612D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2C7FC7">
        <w:tc>
          <w:tcPr>
            <w:tcW w:w="10188" w:type="dxa"/>
            <w:tcBorders>
              <w:bottom w:val="single" w:sz="4" w:space="0" w:color="auto"/>
            </w:tcBorders>
            <w:shd w:val="clear" w:color="auto" w:fill="CCCCCC"/>
          </w:tcPr>
          <w:p w:rsidR="002C7FC7" w:rsidRDefault="007612D9">
            <w:pPr>
              <w:spacing w:before="60" w:after="60"/>
              <w:jc w:val="center"/>
              <w:rPr>
                <w:rFonts w:ascii="Tahoma" w:hAnsi="Tahoma" w:cs="Tahoma"/>
                <w:b/>
                <w:noProof/>
                <w:sz w:val="22"/>
                <w:szCs w:val="22"/>
              </w:rPr>
            </w:pPr>
            <w:r>
              <w:rPr>
                <w:rFonts w:ascii="Tahoma" w:hAnsi="Tahoma"/>
                <w:b/>
                <w:noProof/>
                <w:sz w:val="22"/>
              </w:rPr>
              <w:lastRenderedPageBreak/>
              <w:t>Обобщение</w:t>
            </w:r>
          </w:p>
        </w:tc>
      </w:tr>
      <w:tr w:rsidR="002C7FC7">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2C7FC7" w:rsidRDefault="007612D9">
            <w:pPr>
              <w:spacing w:before="120" w:after="120"/>
              <w:jc w:val="both"/>
              <w:rPr>
                <w:rFonts w:ascii="Tahoma" w:hAnsi="Tahoma" w:cs="Tahoma"/>
                <w:b/>
                <w:noProof/>
                <w:sz w:val="20"/>
                <w:szCs w:val="20"/>
              </w:rPr>
            </w:pPr>
            <w:r>
              <w:rPr>
                <w:rFonts w:ascii="Tahoma" w:hAnsi="Tahoma"/>
                <w:noProof/>
                <w:color w:val="FFFFFF" w:themeColor="background1"/>
                <w:sz w:val="20"/>
              </w:rPr>
              <w:t xml:space="preserve">Оценка на въздействието на пакета в областта на дружественото право на ЕС: оптимално използване на цифровите решения и осигуряване на </w:t>
            </w:r>
            <w:r>
              <w:rPr>
                <w:rFonts w:ascii="Tahoma" w:hAnsi="Tahoma"/>
                <w:noProof/>
                <w:color w:val="FFFFFF" w:themeColor="background1"/>
                <w:sz w:val="20"/>
              </w:rPr>
              <w:t>ефикасни правила за трансграничните операции, като се зачитат прерогативите на националното социално и трудово законодателство</w:t>
            </w:r>
            <w:r>
              <w:rPr>
                <w:rFonts w:ascii="Tahoma" w:hAnsi="Tahoma"/>
                <w:i/>
                <w:noProof/>
                <w:color w:val="FFFFFF" w:themeColor="background1"/>
                <w:sz w:val="20"/>
              </w:rPr>
              <w:t xml:space="preserve"> </w:t>
            </w:r>
          </w:p>
        </w:tc>
      </w:tr>
      <w:tr w:rsidR="002C7FC7">
        <w:tc>
          <w:tcPr>
            <w:tcW w:w="10188" w:type="dxa"/>
            <w:tcBorders>
              <w:bottom w:val="single" w:sz="4" w:space="0" w:color="auto"/>
            </w:tcBorders>
            <w:shd w:val="clear" w:color="auto" w:fill="CCCCCC"/>
          </w:tcPr>
          <w:p w:rsidR="002C7FC7" w:rsidRDefault="007612D9">
            <w:pPr>
              <w:spacing w:before="60" w:after="60"/>
              <w:jc w:val="center"/>
              <w:rPr>
                <w:rFonts w:ascii="Tahoma" w:hAnsi="Tahoma" w:cs="Tahoma"/>
                <w:b/>
                <w:noProof/>
                <w:sz w:val="22"/>
                <w:szCs w:val="22"/>
              </w:rPr>
            </w:pPr>
            <w:r>
              <w:rPr>
                <w:rFonts w:ascii="Tahoma" w:hAnsi="Tahoma"/>
                <w:b/>
                <w:noProof/>
                <w:sz w:val="22"/>
              </w:rPr>
              <w:t>А. Необходимост от действия</w:t>
            </w:r>
          </w:p>
        </w:tc>
      </w:tr>
      <w:tr w:rsidR="002C7FC7">
        <w:tc>
          <w:tcPr>
            <w:tcW w:w="10188" w:type="dxa"/>
            <w:tcBorders>
              <w:bottom w:val="single" w:sz="4" w:space="0" w:color="auto"/>
            </w:tcBorders>
            <w:shd w:val="clear" w:color="auto" w:fill="E0E0E0"/>
          </w:tcPr>
          <w:p w:rsidR="002C7FC7" w:rsidRDefault="007612D9">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rsidR="002C7FC7">
        <w:tc>
          <w:tcPr>
            <w:tcW w:w="10188" w:type="dxa"/>
            <w:tcBorders>
              <w:bottom w:val="single" w:sz="4" w:space="0" w:color="auto"/>
            </w:tcBorders>
            <w:shd w:val="clear" w:color="auto" w:fill="auto"/>
          </w:tcPr>
          <w:p w:rsidR="002C7FC7" w:rsidRDefault="007612D9">
            <w:pPr>
              <w:keepNext/>
              <w:spacing w:before="120" w:after="120"/>
              <w:jc w:val="both"/>
              <w:rPr>
                <w:rFonts w:ascii="Arial" w:eastAsiaTheme="minorHAnsi" w:hAnsi="Arial" w:cs="Arial"/>
                <w:noProof/>
                <w:sz w:val="20"/>
                <w:szCs w:val="20"/>
              </w:rPr>
            </w:pPr>
            <w:r>
              <w:rPr>
                <w:rFonts w:ascii="Arial" w:eastAsiaTheme="minorHAnsi" w:hAnsi="Arial"/>
                <w:noProof/>
                <w:sz w:val="20"/>
              </w:rPr>
              <w:t>Националните правила относно използването на цифрови инструменти (напр. при регистрация и представяне на документи или информация в бизнес регистрите) се различават в отделните държави или пък държавите въобще нямат такива правила, а настоящото законодател</w:t>
            </w:r>
            <w:r>
              <w:rPr>
                <w:rFonts w:ascii="Arial" w:eastAsiaTheme="minorHAnsi" w:hAnsi="Arial"/>
                <w:noProof/>
                <w:sz w:val="20"/>
              </w:rPr>
              <w:t>ство на ЕС предвижда само съвсем ограничено използване на такива инструменти. По-специално, няма разпоредби относно онлайн регистрацията на дружества. Тази невъзможност да се използват съответни цифрови инструменти е пречка пред дружествата, които упражняв</w:t>
            </w:r>
            <w:r>
              <w:rPr>
                <w:rFonts w:ascii="Arial" w:eastAsiaTheme="minorHAnsi" w:hAnsi="Arial"/>
                <w:noProof/>
                <w:sz w:val="20"/>
              </w:rPr>
              <w:t>ат правото си на свобода на установяване. По подобен начин, тъй като липсва надеждна правна уредба на ЕС относно презграничните разделяния и преобразувания и вследствие на неефикасности на действащата уредба на ЕС относно презграничните сливания, дружества</w:t>
            </w:r>
            <w:r>
              <w:rPr>
                <w:rFonts w:ascii="Arial" w:eastAsiaTheme="minorHAnsi" w:hAnsi="Arial"/>
                <w:noProof/>
                <w:sz w:val="20"/>
              </w:rPr>
              <w:t>та срещат трудности при достъпа до пазарите в други държави членки и често трябва да намират скъпи алтернативи на преките процедури. Това може да ги възпре от извършването на презгранична стопанска дейност, особено ако става дума за МСП. Съответните заинте</w:t>
            </w:r>
            <w:r>
              <w:rPr>
                <w:rFonts w:ascii="Arial" w:eastAsiaTheme="minorHAnsi" w:hAnsi="Arial"/>
                <w:noProof/>
                <w:sz w:val="20"/>
              </w:rPr>
              <w:t>ресовани лица (работници и служители, кредитори, миноритарни акционери и други трети страни) са изправени пред несигурност, когато става дума за техните права и защита при презгранични ситуации. Различните национални стълкновителни норми допринасят за тази</w:t>
            </w:r>
            <w:r>
              <w:rPr>
                <w:rFonts w:ascii="Arial" w:eastAsiaTheme="minorHAnsi" w:hAnsi="Arial"/>
                <w:noProof/>
                <w:sz w:val="20"/>
              </w:rPr>
              <w:t xml:space="preserve"> ситуация. </w:t>
            </w:r>
          </w:p>
        </w:tc>
      </w:tr>
      <w:tr w:rsidR="002C7FC7">
        <w:tc>
          <w:tcPr>
            <w:tcW w:w="10188" w:type="dxa"/>
            <w:tcBorders>
              <w:bottom w:val="single" w:sz="4" w:space="0" w:color="auto"/>
            </w:tcBorders>
            <w:shd w:val="clear" w:color="auto" w:fill="E6E6E6"/>
          </w:tcPr>
          <w:p w:rsidR="002C7FC7" w:rsidRDefault="007612D9">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rsidR="002C7FC7">
        <w:tc>
          <w:tcPr>
            <w:tcW w:w="10188" w:type="dxa"/>
            <w:tcBorders>
              <w:bottom w:val="single" w:sz="4" w:space="0" w:color="auto"/>
            </w:tcBorders>
            <w:shd w:val="clear" w:color="auto" w:fill="auto"/>
          </w:tcPr>
          <w:p w:rsidR="002C7FC7" w:rsidRDefault="007612D9">
            <w:pPr>
              <w:keepNext/>
              <w:spacing w:after="120"/>
              <w:jc w:val="both"/>
              <w:rPr>
                <w:rFonts w:ascii="Arial" w:eastAsiaTheme="majorEastAsia" w:hAnsi="Arial" w:cs="Arial"/>
                <w:noProof/>
                <w:sz w:val="20"/>
                <w:szCs w:val="20"/>
              </w:rPr>
            </w:pPr>
            <w:r>
              <w:rPr>
                <w:rFonts w:ascii="Arial" w:eastAsiaTheme="minorHAnsi" w:hAnsi="Arial"/>
                <w:noProof/>
                <w:sz w:val="20"/>
              </w:rPr>
              <w:t>Целта е да се развие единния пазар, така че той да бъде по-задълбочен, по-справедлив и по-предвидим, като това бъде направено чрез увеличаване на отговорното ползване от дружествата на възможностите, предлагани от единния пазар. Очаква се инициативата да с</w:t>
            </w:r>
            <w:r>
              <w:rPr>
                <w:rFonts w:ascii="Arial" w:eastAsiaTheme="minorHAnsi" w:hAnsi="Arial"/>
                <w:noProof/>
                <w:sz w:val="20"/>
              </w:rPr>
              <w:t xml:space="preserve">тимулира създаването на работни места, растежа и инвестициите и да окаже особено положително въздействие върху МСП. Наред с това се очаква тя да спомогне за създаването на цифровия единен пазар чрез подобряване на използването на цифровите технологии през </w:t>
            </w:r>
            <w:r>
              <w:rPr>
                <w:rFonts w:ascii="Arial" w:eastAsiaTheme="minorHAnsi" w:hAnsi="Arial"/>
                <w:noProof/>
                <w:sz w:val="20"/>
              </w:rPr>
              <w:t>всички етапи от жизнения цикъл на дружествата. Очаква се тя да осигури по-голяма правна сигурност за дружествата и да доведе до намаляване на разходите, като същевременно предостави ефективна защита за работниците, служителите, кредиторите, миноритарните а</w:t>
            </w:r>
            <w:r>
              <w:rPr>
                <w:rFonts w:ascii="Arial" w:eastAsiaTheme="minorHAnsi" w:hAnsi="Arial"/>
                <w:noProof/>
                <w:sz w:val="20"/>
              </w:rPr>
              <w:t>кционери и третите лица. Като цяло се очаква инициативата да осигури балансирана рамка, в която упражняването на свободата на установяване, залегнала в Договора за ЕС, върви ръка за ръка със защитата на прерогативите на националното социално и трудово зако</w:t>
            </w:r>
            <w:r>
              <w:rPr>
                <w:rFonts w:ascii="Arial" w:eastAsiaTheme="minorHAnsi" w:hAnsi="Arial"/>
                <w:noProof/>
                <w:sz w:val="20"/>
              </w:rPr>
              <w:t xml:space="preserve">нодателство в съответствие с Европейския стълб на социалните права. Инициативата ще допълни други инициативи на ЕС, като например единния цифров портал. </w:t>
            </w:r>
          </w:p>
        </w:tc>
      </w:tr>
      <w:tr w:rsidR="002C7FC7">
        <w:tc>
          <w:tcPr>
            <w:tcW w:w="10188" w:type="dxa"/>
            <w:tcBorders>
              <w:bottom w:val="single" w:sz="4" w:space="0" w:color="auto"/>
            </w:tcBorders>
            <w:shd w:val="clear" w:color="auto" w:fill="E6E6E6"/>
          </w:tcPr>
          <w:p w:rsidR="002C7FC7" w:rsidRDefault="007612D9">
            <w:pPr>
              <w:spacing w:before="60" w:after="60"/>
              <w:jc w:val="both"/>
              <w:rPr>
                <w:rFonts w:ascii="Tahoma" w:hAnsi="Tahoma" w:cs="Tahoma"/>
                <w:noProof/>
                <w:sz w:val="20"/>
                <w:szCs w:val="20"/>
              </w:rPr>
            </w:pPr>
            <w:r>
              <w:rPr>
                <w:rFonts w:ascii="Tahoma" w:hAnsi="Tahoma"/>
                <w:b/>
                <w:noProof/>
                <w:sz w:val="20"/>
              </w:rPr>
              <w:t>Каква е добавената стойност на действията на равнището на ЕС?</w:t>
            </w:r>
            <w:r>
              <w:rPr>
                <w:rFonts w:ascii="Tahoma" w:hAnsi="Tahoma"/>
                <w:noProof/>
                <w:sz w:val="20"/>
              </w:rPr>
              <w:t xml:space="preserve"> </w:t>
            </w:r>
          </w:p>
        </w:tc>
      </w:tr>
      <w:tr w:rsidR="002C7FC7">
        <w:trPr>
          <w:trHeight w:val="1705"/>
        </w:trPr>
        <w:tc>
          <w:tcPr>
            <w:tcW w:w="10188" w:type="dxa"/>
            <w:tcBorders>
              <w:bottom w:val="single" w:sz="4" w:space="0" w:color="auto"/>
            </w:tcBorders>
            <w:shd w:val="clear" w:color="auto" w:fill="auto"/>
          </w:tcPr>
          <w:p w:rsidR="002C7FC7" w:rsidRDefault="007612D9">
            <w:pPr>
              <w:keepNext/>
              <w:autoSpaceDE w:val="0"/>
              <w:autoSpaceDN w:val="0"/>
              <w:adjustRightInd w:val="0"/>
              <w:spacing w:before="120" w:after="120"/>
              <w:jc w:val="both"/>
              <w:rPr>
                <w:rFonts w:ascii="Arial" w:eastAsiaTheme="minorHAnsi" w:hAnsi="Arial" w:cs="Arial"/>
                <w:noProof/>
                <w:sz w:val="20"/>
                <w:szCs w:val="20"/>
              </w:rPr>
            </w:pPr>
            <w:r>
              <w:rPr>
                <w:rFonts w:ascii="Arial" w:hAnsi="Arial"/>
                <w:noProof/>
                <w:sz w:val="20"/>
              </w:rPr>
              <w:t>Решаването на тези проблеми на равнищ</w:t>
            </w:r>
            <w:r>
              <w:rPr>
                <w:rFonts w:ascii="Arial" w:hAnsi="Arial"/>
                <w:noProof/>
                <w:sz w:val="20"/>
              </w:rPr>
              <w:t>е ЕС има явна добавена стойност. Настоящите проблеми се дължат главно на различаващи се национални норми, на липсата на подходящи норми или на необходимостта от модернизиране на действащите правила на ЕС. Самостоятелните действия на държавите членки не мог</w:t>
            </w:r>
            <w:r>
              <w:rPr>
                <w:rFonts w:ascii="Arial" w:hAnsi="Arial"/>
                <w:noProof/>
                <w:sz w:val="20"/>
              </w:rPr>
              <w:t>ат да премахнат по задоволителен начин пречките пред свободата на установяване, тъй като националните норми и процедури ще трябва да бъдат съвместими помежду си, за да могат да работят при презгранична ситуация. По същия начин държавите членки не могат чре</w:t>
            </w:r>
            <w:r>
              <w:rPr>
                <w:rFonts w:ascii="Arial" w:hAnsi="Arial"/>
                <w:noProof/>
                <w:sz w:val="20"/>
              </w:rPr>
              <w:t>з самостоятелни действия да въведат предпазни мерки за заинтересованите лица в презгранични ситуации. Съдът на Европейския съюз многократно е постановявал, че не всички различия в националните правила могат да бъдат решени чрез съдебната практика, а може д</w:t>
            </w:r>
            <w:r>
              <w:rPr>
                <w:rFonts w:ascii="Arial" w:hAnsi="Arial"/>
                <w:noProof/>
                <w:sz w:val="20"/>
              </w:rPr>
              <w:t>а се наложи да се разрешат чрез бъдещо законодателство или договорноправна дейност (вж. решенията по дело C-81/87, точки 21—23, дело C-208/00, точка 69, C-210/06, точка 108).</w:t>
            </w:r>
          </w:p>
        </w:tc>
      </w:tr>
    </w:tbl>
    <w:p w:rsidR="002C7FC7" w:rsidRDefault="002C7FC7">
      <w:pPr>
        <w:rPr>
          <w:noProof/>
        </w:rPr>
      </w:pPr>
    </w:p>
    <w:tbl>
      <w:tblPr>
        <w:tblStyle w:val="TableGrid"/>
        <w:tblW w:w="10188" w:type="dxa"/>
        <w:tblLook w:val="01E0" w:firstRow="1" w:lastRow="1" w:firstColumn="1" w:lastColumn="1" w:noHBand="0" w:noVBand="0"/>
      </w:tblPr>
      <w:tblGrid>
        <w:gridCol w:w="10188"/>
      </w:tblGrid>
      <w:tr w:rsidR="002C7FC7">
        <w:tc>
          <w:tcPr>
            <w:tcW w:w="10188" w:type="dxa"/>
            <w:tcBorders>
              <w:bottom w:val="single" w:sz="4" w:space="0" w:color="auto"/>
            </w:tcBorders>
            <w:shd w:val="clear" w:color="auto" w:fill="CCCCCC"/>
          </w:tcPr>
          <w:p w:rsidR="002C7FC7" w:rsidRDefault="007612D9">
            <w:pPr>
              <w:spacing w:before="60" w:after="60"/>
              <w:jc w:val="center"/>
              <w:rPr>
                <w:rFonts w:ascii="Tahoma" w:hAnsi="Tahoma" w:cs="Tahoma"/>
                <w:b/>
                <w:noProof/>
                <w:sz w:val="22"/>
                <w:szCs w:val="22"/>
              </w:rPr>
            </w:pPr>
            <w:r>
              <w:rPr>
                <w:rFonts w:ascii="Tahoma" w:hAnsi="Tahoma"/>
                <w:b/>
                <w:noProof/>
                <w:sz w:val="22"/>
              </w:rPr>
              <w:t>Б. Решения</w:t>
            </w:r>
          </w:p>
        </w:tc>
      </w:tr>
      <w:tr w:rsidR="002C7FC7">
        <w:tc>
          <w:tcPr>
            <w:tcW w:w="10188" w:type="dxa"/>
            <w:tcBorders>
              <w:bottom w:val="single" w:sz="4" w:space="0" w:color="auto"/>
            </w:tcBorders>
            <w:shd w:val="clear" w:color="auto" w:fill="E6E6E6"/>
          </w:tcPr>
          <w:p w:rsidR="002C7FC7" w:rsidRDefault="007612D9">
            <w:pPr>
              <w:spacing w:before="60"/>
              <w:jc w:val="both"/>
              <w:rPr>
                <w:rFonts w:ascii="Tahoma" w:hAnsi="Tahoma" w:cs="Tahoma"/>
                <w:noProof/>
                <w:sz w:val="20"/>
                <w:szCs w:val="20"/>
              </w:rPr>
            </w:pPr>
            <w:r>
              <w:rPr>
                <w:rFonts w:ascii="Tahoma" w:hAnsi="Tahoma"/>
                <w:b/>
                <w:noProof/>
                <w:sz w:val="20"/>
              </w:rPr>
              <w:t xml:space="preserve">Какви законодателни и незаконодателни варианти на политика са били </w:t>
            </w:r>
            <w:r>
              <w:rPr>
                <w:rFonts w:ascii="Tahoma" w:hAnsi="Tahoma"/>
                <w:b/>
                <w:noProof/>
                <w:sz w:val="20"/>
              </w:rPr>
              <w:t>разгледани? Има ли предпочетен вариант или не? Защо?</w:t>
            </w:r>
            <w:r>
              <w:rPr>
                <w:rFonts w:ascii="Tahoma" w:hAnsi="Tahoma"/>
                <w:noProof/>
                <w:sz w:val="20"/>
              </w:rPr>
              <w:t xml:space="preserve"> </w:t>
            </w:r>
          </w:p>
        </w:tc>
      </w:tr>
      <w:tr w:rsidR="002C7FC7">
        <w:tc>
          <w:tcPr>
            <w:tcW w:w="10188" w:type="dxa"/>
            <w:tcBorders>
              <w:bottom w:val="single" w:sz="4" w:space="0" w:color="auto"/>
            </w:tcBorders>
            <w:shd w:val="clear" w:color="auto" w:fill="auto"/>
          </w:tcPr>
          <w:p w:rsidR="002C7FC7" w:rsidRDefault="007612D9">
            <w:pPr>
              <w:spacing w:after="120"/>
              <w:jc w:val="both"/>
              <w:rPr>
                <w:rFonts w:ascii="Arial" w:hAnsi="Arial" w:cs="Arial"/>
                <w:noProof/>
                <w:sz w:val="20"/>
                <w:szCs w:val="20"/>
              </w:rPr>
            </w:pPr>
            <w:r>
              <w:rPr>
                <w:rFonts w:ascii="Arial" w:hAnsi="Arial"/>
                <w:noProof/>
                <w:sz w:val="20"/>
              </w:rPr>
              <w:t>Бяха разгледани няколко варианта на политиката по отношение на подобряването на използването на цифрови инструменти и процеси, както и по отношение на трансграничните сливания, разделяния и преобразува</w:t>
            </w:r>
            <w:r>
              <w:rPr>
                <w:rFonts w:ascii="Arial" w:hAnsi="Arial"/>
                <w:noProof/>
                <w:sz w:val="20"/>
              </w:rPr>
              <w:t>ния и за разрешаването на правни спорове. За всяка от тези области на политиката бяха избрани предпочетени варианти. Предпочетените варианти за подобряване на използването на цифрови инструменти и процеси ще въведат хармонизирани правила за онлайн регистра</w:t>
            </w:r>
            <w:r>
              <w:rPr>
                <w:rFonts w:ascii="Arial" w:hAnsi="Arial"/>
                <w:noProof/>
                <w:sz w:val="20"/>
              </w:rPr>
              <w:t>цията на дружества и клонове и за представянето на документите на дружествата и ще доведат до по-голяма прозрачност на информацията за дружествата, съдържаща се в бизнес регистрите. Що се отнася до презграничните операции предпочетените варианти за информа</w:t>
            </w:r>
            <w:r>
              <w:rPr>
                <w:rFonts w:ascii="Arial" w:hAnsi="Arial"/>
                <w:noProof/>
                <w:sz w:val="20"/>
              </w:rPr>
              <w:t>цията, консултацията и участието на работниците и служителите i) ще внесат целенасочени изменения в действащите правила за презграничните сливания, ii) ще предвидят прилагане на тези правила също и за презграничните разделяния и преобразувания и iii) ще ус</w:t>
            </w:r>
            <w:r>
              <w:rPr>
                <w:rFonts w:ascii="Arial" w:hAnsi="Arial"/>
                <w:noProof/>
                <w:sz w:val="20"/>
              </w:rPr>
              <w:t>тановят специални мерки за презграничните разделяния и преобразувания, тъй като се смята, че при тези операции обикновено има по-големи рискове за работниците и служителите.</w:t>
            </w:r>
            <w:r>
              <w:rPr>
                <w:noProof/>
              </w:rPr>
              <w:t xml:space="preserve"> </w:t>
            </w:r>
            <w:r>
              <w:rPr>
                <w:rFonts w:ascii="Arial" w:hAnsi="Arial"/>
                <w:noProof/>
                <w:sz w:val="20"/>
              </w:rPr>
              <w:t>При предпочетените варианти ще бъдат въведени и хармонизирани правила за защита на</w:t>
            </w:r>
            <w:r>
              <w:rPr>
                <w:rFonts w:ascii="Arial" w:hAnsi="Arial"/>
                <w:noProof/>
                <w:sz w:val="20"/>
              </w:rPr>
              <w:t xml:space="preserve"> кредиторите и миноритарните акционери при всички презгранични операции. При предпочетения вариант за презграничните преобразувания ще бъдат въведени правила и процедури, с които от държавите членки ще се изисква да преценяват за всеки отделен случай дали </w:t>
            </w:r>
            <w:r>
              <w:rPr>
                <w:rFonts w:ascii="Arial" w:hAnsi="Arial"/>
                <w:noProof/>
                <w:sz w:val="20"/>
              </w:rPr>
              <w:t>съответното презгранично преобразуване представлява изкуствена конструкция, насочена към получаването на неоправдани данъчни предимства, или дали тя неправомерно накърнява правата на работниците и служителите, миноритарните акционери или кредиторите.</w:t>
            </w:r>
            <w:r>
              <w:rPr>
                <w:noProof/>
              </w:rPr>
              <w:t xml:space="preserve"> </w:t>
            </w:r>
            <w:r>
              <w:rPr>
                <w:rFonts w:ascii="Arial" w:hAnsi="Arial"/>
                <w:noProof/>
                <w:sz w:val="20"/>
              </w:rPr>
              <w:t>Що се</w:t>
            </w:r>
            <w:r>
              <w:rPr>
                <w:rFonts w:ascii="Arial" w:hAnsi="Arial"/>
                <w:noProof/>
                <w:sz w:val="20"/>
              </w:rPr>
              <w:t xml:space="preserve"> отнася до стълкновението на закони, предпочетеният вариант ще хармонизира съответните правила и по-специално привръзката с мястото на учредяване на дружеството. Като цяло предпочетените варианти се допълват взаимно в приноса към постигане на целите на пол</w:t>
            </w:r>
            <w:r>
              <w:rPr>
                <w:rFonts w:ascii="Arial" w:hAnsi="Arial"/>
                <w:noProof/>
                <w:sz w:val="20"/>
              </w:rPr>
              <w:t xml:space="preserve">итиката, към които е ориентирана инициативата. Това означава, че максималното въздействие ще бъде постигнато, ако пакетът се състои от всички пет области на политиката. При все това, областите на политиката са самостоятелни и пакетът може да бъде съставен </w:t>
            </w:r>
            <w:r>
              <w:rPr>
                <w:rFonts w:ascii="Arial" w:hAnsi="Arial"/>
                <w:noProof/>
                <w:sz w:val="20"/>
              </w:rPr>
              <w:t>и само от някои от тях.</w:t>
            </w:r>
          </w:p>
        </w:tc>
      </w:tr>
      <w:tr w:rsidR="002C7FC7">
        <w:tc>
          <w:tcPr>
            <w:tcW w:w="10188" w:type="dxa"/>
            <w:shd w:val="clear" w:color="auto" w:fill="CCCCCC"/>
          </w:tcPr>
          <w:p w:rsidR="002C7FC7" w:rsidRDefault="007612D9">
            <w:pPr>
              <w:spacing w:before="60"/>
              <w:jc w:val="both"/>
              <w:rPr>
                <w:rFonts w:ascii="Tahoma" w:hAnsi="Tahoma" w:cs="Tahoma"/>
                <w:noProof/>
                <w:sz w:val="20"/>
                <w:szCs w:val="20"/>
              </w:rPr>
            </w:pPr>
            <w:r>
              <w:rPr>
                <w:rFonts w:ascii="Tahoma" w:hAnsi="Tahoma"/>
                <w:b/>
                <w:noProof/>
                <w:sz w:val="20"/>
              </w:rPr>
              <w:t>Кой подкрепя различните варианти?</w:t>
            </w:r>
            <w:r>
              <w:rPr>
                <w:rFonts w:ascii="Tahoma" w:hAnsi="Tahoma"/>
                <w:noProof/>
                <w:sz w:val="20"/>
              </w:rPr>
              <w:t xml:space="preserve"> </w:t>
            </w:r>
          </w:p>
        </w:tc>
      </w:tr>
      <w:tr w:rsidR="002C7FC7">
        <w:tc>
          <w:tcPr>
            <w:tcW w:w="10188" w:type="dxa"/>
            <w:shd w:val="clear" w:color="auto" w:fill="auto"/>
          </w:tcPr>
          <w:p w:rsidR="002C7FC7" w:rsidRDefault="007612D9">
            <w:pPr>
              <w:spacing w:after="120"/>
              <w:jc w:val="both"/>
              <w:rPr>
                <w:rFonts w:ascii="Arial" w:hAnsi="Arial" w:cs="Arial"/>
                <w:noProof/>
                <w:sz w:val="20"/>
                <w:szCs w:val="20"/>
              </w:rPr>
            </w:pPr>
            <w:r>
              <w:rPr>
                <w:rFonts w:ascii="Arial" w:hAnsi="Arial"/>
                <w:noProof/>
                <w:sz w:val="20"/>
              </w:rPr>
              <w:t>Резултатите от консултациите със заинтересованите страни показаха, че хармонизираните правила във връзка с цифровите инструменти и процеси се ползват със силна подкрепа от повечето държави членки</w:t>
            </w:r>
            <w:r>
              <w:rPr>
                <w:rFonts w:ascii="Arial" w:hAnsi="Arial"/>
                <w:noProof/>
                <w:sz w:val="20"/>
              </w:rPr>
              <w:t xml:space="preserve"> и предприятия, докато синдикатите не ги смятат за приоритет, а нотариусите са против тях. Хармонизираните правила за презграничните преобразувания се подкрепят от всички заинтересовани страни, и по-специално от всички, които отговориха на обществената кон</w:t>
            </w:r>
            <w:r>
              <w:rPr>
                <w:rFonts w:ascii="Arial" w:hAnsi="Arial"/>
                <w:noProof/>
                <w:sz w:val="20"/>
              </w:rPr>
              <w:t>султация, проведена през 2017 г. Презграничните разделяния се подкрепят от държавите членки, предприятията и нотариусите, но не и от синдикатите. Необходимостта от преразглеждане на Директивата относно презграничните сливания се признава от всички респонде</w:t>
            </w:r>
            <w:r>
              <w:rPr>
                <w:rFonts w:ascii="Arial" w:hAnsi="Arial"/>
                <w:noProof/>
                <w:sz w:val="20"/>
              </w:rPr>
              <w:t>нти, с изключение на нотариусите, въпреки че според респондентите този въпрос е с по-нисък приоритет. Що се отнася до стълкновението на закони, държавите членки и предприятията, които дадоха отговори при консултацията през 2017 г., подкрепят предлаганите м</w:t>
            </w:r>
            <w:r>
              <w:rPr>
                <w:rFonts w:ascii="Arial" w:hAnsi="Arial"/>
                <w:noProof/>
                <w:sz w:val="20"/>
              </w:rPr>
              <w:t>ерки, докато синдикатите и нотариусите не виждат необходимост от предприемане на действия на равнище ЕС.</w:t>
            </w:r>
          </w:p>
        </w:tc>
      </w:tr>
      <w:tr w:rsidR="002C7FC7">
        <w:tc>
          <w:tcPr>
            <w:tcW w:w="10188" w:type="dxa"/>
            <w:tcBorders>
              <w:bottom w:val="single" w:sz="4" w:space="0" w:color="auto"/>
            </w:tcBorders>
            <w:shd w:val="clear" w:color="auto" w:fill="CCCCCC"/>
          </w:tcPr>
          <w:p w:rsidR="002C7FC7" w:rsidRDefault="007612D9">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rsidR="002C7FC7">
        <w:tc>
          <w:tcPr>
            <w:tcW w:w="10188" w:type="dxa"/>
            <w:tcBorders>
              <w:bottom w:val="single" w:sz="4" w:space="0" w:color="auto"/>
            </w:tcBorders>
            <w:shd w:val="clear" w:color="auto" w:fill="E6E6E6"/>
          </w:tcPr>
          <w:p w:rsidR="002C7FC7" w:rsidRDefault="007612D9">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r>
              <w:rPr>
                <w:rFonts w:ascii="Tahoma" w:hAnsi="Tahoma"/>
                <w:noProof/>
                <w:sz w:val="20"/>
              </w:rPr>
              <w:t xml:space="preserve"> </w:t>
            </w:r>
          </w:p>
        </w:tc>
      </w:tr>
      <w:tr w:rsidR="002C7FC7">
        <w:tc>
          <w:tcPr>
            <w:tcW w:w="10188" w:type="dxa"/>
            <w:tcBorders>
              <w:bottom w:val="single" w:sz="4" w:space="0" w:color="auto"/>
            </w:tcBorders>
            <w:shd w:val="clear" w:color="auto" w:fill="auto"/>
          </w:tcPr>
          <w:p w:rsidR="002C7FC7" w:rsidRDefault="007612D9">
            <w:pPr>
              <w:spacing w:after="120"/>
              <w:jc w:val="both"/>
              <w:rPr>
                <w:rFonts w:ascii="Arial" w:eastAsiaTheme="minorHAnsi" w:hAnsi="Arial" w:cs="Arial"/>
                <w:noProof/>
                <w:sz w:val="20"/>
                <w:szCs w:val="20"/>
              </w:rPr>
            </w:pPr>
            <w:r>
              <w:rPr>
                <w:rFonts w:ascii="Arial" w:hAnsi="Arial"/>
                <w:noProof/>
                <w:sz w:val="20"/>
              </w:rPr>
              <w:t>Инициативата ще позволи на дружествата да регистрират, да представят документи и информация и да променят данните си в бизнес регистрите изцяло онлайн. Очаква се, че за новите дружества, които се регистрират в ЕС, икономиите от въвеждането на онлайн регист</w:t>
            </w:r>
            <w:r>
              <w:rPr>
                <w:rFonts w:ascii="Arial" w:hAnsi="Arial"/>
                <w:noProof/>
                <w:sz w:val="20"/>
              </w:rPr>
              <w:t>рация ще бъдат между 42—84 млн. евро. Освен това ще бъде възможно дружествата да представят определена информация само веднъж, а заинтересованите страни ще имат по-лесен достъп до информацията за дружествата, съдържаща се в бизнес регистрите. Очаква се нов</w:t>
            </w:r>
            <w:r>
              <w:rPr>
                <w:rFonts w:ascii="Arial" w:hAnsi="Arial"/>
                <w:noProof/>
                <w:sz w:val="20"/>
              </w:rPr>
              <w:t>ите правила относно презграничните разделяния и преобразувания да спестят между 12 000 и 37 000 EUR на операция при разделянията и между 12 000 и 19 000 EUR на операция при преобразуванията, въпреки че точният размер на намалените разходи ще зависи от прие</w:t>
            </w:r>
            <w:r>
              <w:rPr>
                <w:rFonts w:ascii="Arial" w:hAnsi="Arial"/>
                <w:noProof/>
                <w:sz w:val="20"/>
              </w:rPr>
              <w:t>тите окончателни процедурни правила и от разходите, свързани с привеждането в съответствие. Очаква се защитата на правата, свързани с участието на работниците и служителите, както и по-доброто информиране на работниците и служителите при презграничните опе</w:t>
            </w:r>
            <w:r>
              <w:rPr>
                <w:rFonts w:ascii="Arial" w:hAnsi="Arial"/>
                <w:noProof/>
                <w:sz w:val="20"/>
              </w:rPr>
              <w:t xml:space="preserve">рации да доведат до положителни социални последици. Кредиторите и миноритарните акционери ще се ползват от хармонизирана защита и по този начин за тях ще има правна сигурност. Стълкновителните норми ще доведат до по-голяма правна сигурност и по този начин </w:t>
            </w:r>
            <w:r>
              <w:rPr>
                <w:rFonts w:ascii="Arial" w:hAnsi="Arial"/>
                <w:noProof/>
                <w:sz w:val="20"/>
              </w:rPr>
              <w:t>ще донесат икономически ползи.</w:t>
            </w:r>
          </w:p>
        </w:tc>
      </w:tr>
    </w:tbl>
    <w:p w:rsidR="002C7FC7" w:rsidRDefault="002C7FC7">
      <w:pPr>
        <w:widowControl w:val="0"/>
        <w:rPr>
          <w:noProof/>
        </w:rPr>
      </w:pPr>
    </w:p>
    <w:tbl>
      <w:tblPr>
        <w:tblStyle w:val="TableGrid"/>
        <w:tblW w:w="10188" w:type="dxa"/>
        <w:tblLook w:val="01E0" w:firstRow="1" w:lastRow="1" w:firstColumn="1" w:lastColumn="1" w:noHBand="0" w:noVBand="0"/>
      </w:tblPr>
      <w:tblGrid>
        <w:gridCol w:w="10188"/>
      </w:tblGrid>
      <w:tr w:rsidR="002C7FC7">
        <w:tc>
          <w:tcPr>
            <w:tcW w:w="10188" w:type="dxa"/>
            <w:tcBorders>
              <w:bottom w:val="single" w:sz="4" w:space="0" w:color="auto"/>
            </w:tcBorders>
            <w:shd w:val="clear" w:color="auto" w:fill="E6E6E6"/>
          </w:tcPr>
          <w:p w:rsidR="002C7FC7" w:rsidRDefault="007612D9">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p>
        </w:tc>
      </w:tr>
      <w:tr w:rsidR="002C7FC7">
        <w:tc>
          <w:tcPr>
            <w:tcW w:w="10188" w:type="dxa"/>
            <w:tcBorders>
              <w:bottom w:val="single" w:sz="4" w:space="0" w:color="auto"/>
            </w:tcBorders>
            <w:shd w:val="clear" w:color="auto" w:fill="auto"/>
          </w:tcPr>
          <w:p w:rsidR="002C7FC7" w:rsidRDefault="007612D9">
            <w:pPr>
              <w:spacing w:after="120"/>
              <w:jc w:val="both"/>
              <w:rPr>
                <w:rFonts w:ascii="Arial" w:hAnsi="Arial" w:cs="Arial"/>
                <w:i/>
                <w:noProof/>
                <w:sz w:val="20"/>
                <w:szCs w:val="20"/>
              </w:rPr>
            </w:pPr>
            <w:r>
              <w:rPr>
                <w:rFonts w:ascii="Arial" w:hAnsi="Arial"/>
                <w:noProof/>
                <w:sz w:val="20"/>
              </w:rPr>
              <w:t>Инициативата ще изисква от държавите членки да въведат правила и да изградят или адаптират системи, които да позволяв</w:t>
            </w:r>
            <w:r>
              <w:rPr>
                <w:rFonts w:ascii="Arial" w:hAnsi="Arial"/>
                <w:noProof/>
                <w:sz w:val="20"/>
              </w:rPr>
              <w:t>ат на дружествата да се регистрират онлайн. Въпреки това опитът на държави, които вече са цифровизирали своите процедури по регистрация и представяне на документи и информация, показва, че разходите, свързани с подобни промени, се възстановяват бързо и фун</w:t>
            </w:r>
            <w:r>
              <w:rPr>
                <w:rFonts w:ascii="Arial" w:hAnsi="Arial"/>
                <w:noProof/>
                <w:sz w:val="20"/>
              </w:rPr>
              <w:t>кционирането на публичната администрация става по-ефикасно. Въпреки че ролята на нотариусите сама по себе си не е засегната, възможно е начинът на предоставяне на нотариалните услуги в някои държави членки да трябва да бъде адаптиран в съответствие с предп</w:t>
            </w:r>
            <w:r>
              <w:rPr>
                <w:rFonts w:ascii="Arial" w:hAnsi="Arial"/>
                <w:noProof/>
                <w:sz w:val="20"/>
              </w:rPr>
              <w:t>очетените варианти и със законодателството, което е вече в сила (напр. Регламентът за електронната идентификация и удостоверителните услуги). Увеличаването на броя на презграничните операции би могло да доведе до нетно намаляване на броя на дружествата в н</w:t>
            </w:r>
            <w:r>
              <w:rPr>
                <w:rFonts w:ascii="Arial" w:hAnsi="Arial"/>
                <w:noProof/>
                <w:sz w:val="20"/>
              </w:rPr>
              <w:t>якои държави членки и нетно увеличение на техния брой в други. Това би могло да повлияе негативно върху данъчното облагане в някои държави членки, но този ефект би следвало да намалее с въвеждането на предпазни мерки срещу рисковете от социални и данъчни з</w:t>
            </w:r>
            <w:r>
              <w:rPr>
                <w:rFonts w:ascii="Arial" w:hAnsi="Arial"/>
                <w:noProof/>
                <w:sz w:val="20"/>
              </w:rPr>
              <w:t xml:space="preserve">лоупотреби. </w:t>
            </w:r>
          </w:p>
        </w:tc>
      </w:tr>
      <w:tr w:rsidR="002C7FC7">
        <w:tc>
          <w:tcPr>
            <w:tcW w:w="10188" w:type="dxa"/>
            <w:tcBorders>
              <w:bottom w:val="single" w:sz="4" w:space="0" w:color="auto"/>
            </w:tcBorders>
            <w:shd w:val="clear" w:color="auto" w:fill="E6E6E6"/>
          </w:tcPr>
          <w:p w:rsidR="002C7FC7" w:rsidRDefault="007612D9">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rsidR="002C7FC7">
        <w:tc>
          <w:tcPr>
            <w:tcW w:w="10188" w:type="dxa"/>
            <w:tcBorders>
              <w:bottom w:val="single" w:sz="4" w:space="0" w:color="auto"/>
            </w:tcBorders>
            <w:shd w:val="clear" w:color="auto" w:fill="auto"/>
          </w:tcPr>
          <w:p w:rsidR="002C7FC7" w:rsidRDefault="007612D9">
            <w:pPr>
              <w:spacing w:after="120"/>
              <w:jc w:val="both"/>
              <w:rPr>
                <w:rFonts w:ascii="Arial" w:hAnsi="Arial" w:cs="Arial"/>
                <w:noProof/>
                <w:sz w:val="20"/>
                <w:szCs w:val="20"/>
              </w:rPr>
            </w:pPr>
            <w:r>
              <w:rPr>
                <w:rFonts w:ascii="Arial" w:hAnsi="Arial"/>
                <w:noProof/>
                <w:sz w:val="20"/>
              </w:rPr>
              <w:t>Последиците от предлаганите мерки за МСП и особено за микропредприятията и малките предприятия ще бъдат особено положителни, тъй като именно тези предприятия се нуждаят най-много от нови правила за презграничните операции. Те не могат да си позволят скъпи,</w:t>
            </w:r>
            <w:r>
              <w:rPr>
                <w:rFonts w:ascii="Arial" w:hAnsi="Arial"/>
                <w:noProof/>
                <w:sz w:val="20"/>
              </w:rPr>
              <w:t xml:space="preserve"> опосредени или последователни презгранични операции. Същото се отнася и за предлаганите мерки за подобряване на използването на цифрови инструменти, като тези мерки са необходими най-вече на по-малките предприятия, за да намалят разходите си и да останат </w:t>
            </w:r>
            <w:r>
              <w:rPr>
                <w:rFonts w:ascii="Arial" w:hAnsi="Arial"/>
                <w:noProof/>
                <w:sz w:val="20"/>
              </w:rPr>
              <w:t xml:space="preserve">конкурентоспособни. Правната сигурност, осигурявана от стълкновителните норми, също ще бъде в полза на тези дружества. </w:t>
            </w:r>
          </w:p>
        </w:tc>
      </w:tr>
      <w:tr w:rsidR="002C7FC7">
        <w:tc>
          <w:tcPr>
            <w:tcW w:w="10188" w:type="dxa"/>
            <w:tcBorders>
              <w:bottom w:val="single" w:sz="4" w:space="0" w:color="auto"/>
            </w:tcBorders>
            <w:shd w:val="clear" w:color="auto" w:fill="E6E6E6"/>
          </w:tcPr>
          <w:p w:rsidR="002C7FC7" w:rsidRDefault="007612D9">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p>
        </w:tc>
      </w:tr>
      <w:tr w:rsidR="002C7FC7">
        <w:tc>
          <w:tcPr>
            <w:tcW w:w="10188" w:type="dxa"/>
            <w:shd w:val="clear" w:color="auto" w:fill="auto"/>
          </w:tcPr>
          <w:p w:rsidR="002C7FC7" w:rsidRDefault="007612D9">
            <w:pPr>
              <w:spacing w:after="120"/>
              <w:jc w:val="both"/>
              <w:rPr>
                <w:rFonts w:ascii="Arial" w:hAnsi="Arial" w:cs="Arial"/>
                <w:noProof/>
                <w:sz w:val="20"/>
                <w:szCs w:val="20"/>
              </w:rPr>
            </w:pPr>
            <w:r>
              <w:rPr>
                <w:rFonts w:ascii="Arial" w:hAnsi="Arial"/>
                <w:noProof/>
                <w:sz w:val="20"/>
              </w:rPr>
              <w:t>Най-голямото предизвикателство ще бъде да се изградят или</w:t>
            </w:r>
            <w:r>
              <w:rPr>
                <w:rFonts w:ascii="Arial" w:hAnsi="Arial"/>
                <w:noProof/>
                <w:sz w:val="20"/>
              </w:rPr>
              <w:t xml:space="preserve"> адаптират инфраструктурите, които да дадат възможност за използване на цифрови инструменти и процеси в областта на дружественото право. Както бе обяснено обаче под въпроса за „разходите за предпочетения вариант“, не се очаква това да има голямо отрицателн</w:t>
            </w:r>
            <w:r>
              <w:rPr>
                <w:rFonts w:ascii="Arial" w:hAnsi="Arial"/>
                <w:noProof/>
                <w:sz w:val="20"/>
              </w:rPr>
              <w:t>о отражение върху националните бюджети и националната администрация поради икономиите от мащаба.</w:t>
            </w:r>
          </w:p>
        </w:tc>
      </w:tr>
      <w:tr w:rsidR="002C7FC7">
        <w:tc>
          <w:tcPr>
            <w:tcW w:w="10188" w:type="dxa"/>
            <w:tcBorders>
              <w:bottom w:val="single" w:sz="4" w:space="0" w:color="auto"/>
            </w:tcBorders>
            <w:shd w:val="clear" w:color="auto" w:fill="E6E6E6"/>
          </w:tcPr>
          <w:p w:rsidR="002C7FC7" w:rsidRDefault="007612D9">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rsidR="002C7FC7">
        <w:tc>
          <w:tcPr>
            <w:tcW w:w="10188" w:type="dxa"/>
            <w:tcBorders>
              <w:bottom w:val="single" w:sz="4" w:space="0" w:color="auto"/>
            </w:tcBorders>
            <w:shd w:val="clear" w:color="auto" w:fill="auto"/>
          </w:tcPr>
          <w:p w:rsidR="002C7FC7" w:rsidRDefault="007612D9">
            <w:pPr>
              <w:spacing w:after="120"/>
              <w:jc w:val="both"/>
              <w:rPr>
                <w:rFonts w:ascii="Arial" w:eastAsiaTheme="minorHAnsi" w:hAnsi="Arial" w:cs="Arial"/>
                <w:noProof/>
                <w:sz w:val="20"/>
                <w:szCs w:val="20"/>
              </w:rPr>
            </w:pPr>
            <w:r>
              <w:rPr>
                <w:rFonts w:ascii="Arial" w:eastAsiaTheme="minorHAnsi" w:hAnsi="Arial"/>
                <w:noProof/>
                <w:sz w:val="20"/>
              </w:rPr>
              <w:t>Пакетът ще окаже положително въздействие върху конкуренцията и конкурентоспособността благодарение на подобрените бизнес възможности в рамките на единния пазар. Въвеждането на хармонизирани правила за използването на цифрови инструменти и за презграничните</w:t>
            </w:r>
            <w:r>
              <w:rPr>
                <w:rFonts w:ascii="Arial" w:eastAsiaTheme="minorHAnsi" w:hAnsi="Arial"/>
                <w:noProof/>
                <w:sz w:val="20"/>
              </w:rPr>
              <w:t xml:space="preserve"> операции ще улесни и направи икономически по-целесъобразно както учредяването на дружества национално равнище и през граница, така и започването на дейност в други държави членки. Повишаването на ефикасността на дружествата може да окаже положително възде</w:t>
            </w:r>
            <w:r>
              <w:rPr>
                <w:rFonts w:ascii="Arial" w:eastAsiaTheme="minorHAnsi" w:hAnsi="Arial"/>
                <w:noProof/>
                <w:sz w:val="20"/>
              </w:rPr>
              <w:t>йствие върху потребителите от гледна точка на цени и предлагане. Дружествата ще могат да се адаптират по-добре към пазарните реалности (напр. променливи бизнес възможности), което ще доведе до по-голяма конкуренция. Използването на цифрови инструменти би с</w:t>
            </w:r>
            <w:r>
              <w:rPr>
                <w:rFonts w:ascii="Arial" w:eastAsiaTheme="minorHAnsi" w:hAnsi="Arial"/>
                <w:noProof/>
                <w:sz w:val="20"/>
              </w:rPr>
              <w:t>ледвало да стимулира предприемачеството и иновациите, тъй като ще предостави повече възможности за създаване на иновативни стартиращи предприятия. Що се отнася до презграничните операции на дружествата, пакетът ще осигури по-добра защита на работниците и с</w:t>
            </w:r>
            <w:r>
              <w:rPr>
                <w:rFonts w:ascii="Arial" w:eastAsiaTheme="minorHAnsi" w:hAnsi="Arial"/>
                <w:noProof/>
                <w:sz w:val="20"/>
              </w:rPr>
              <w:t xml:space="preserve">лужителите в единния пазар в сравнение с настоящото положение. </w:t>
            </w:r>
          </w:p>
        </w:tc>
      </w:tr>
      <w:tr w:rsidR="002C7FC7">
        <w:tc>
          <w:tcPr>
            <w:tcW w:w="10188" w:type="dxa"/>
            <w:tcBorders>
              <w:bottom w:val="single" w:sz="4" w:space="0" w:color="auto"/>
            </w:tcBorders>
            <w:shd w:val="clear" w:color="auto" w:fill="C0C0C0"/>
          </w:tcPr>
          <w:p w:rsidR="002C7FC7" w:rsidRDefault="007612D9">
            <w:pPr>
              <w:spacing w:before="60" w:after="60"/>
              <w:jc w:val="center"/>
              <w:rPr>
                <w:rFonts w:ascii="Tahoma" w:hAnsi="Tahoma" w:cs="Tahoma"/>
                <w:b/>
                <w:noProof/>
                <w:sz w:val="22"/>
                <w:szCs w:val="22"/>
              </w:rPr>
            </w:pPr>
            <w:r>
              <w:rPr>
                <w:rFonts w:ascii="Tahoma" w:hAnsi="Tahoma"/>
                <w:b/>
                <w:noProof/>
                <w:sz w:val="22"/>
              </w:rPr>
              <w:t>Г. Последващи действия</w:t>
            </w:r>
          </w:p>
        </w:tc>
      </w:tr>
      <w:tr w:rsidR="002C7FC7">
        <w:tc>
          <w:tcPr>
            <w:tcW w:w="10188" w:type="dxa"/>
            <w:tcBorders>
              <w:bottom w:val="single" w:sz="4" w:space="0" w:color="auto"/>
            </w:tcBorders>
            <w:shd w:val="clear" w:color="auto" w:fill="E6E6E6"/>
          </w:tcPr>
          <w:p w:rsidR="002C7FC7" w:rsidRDefault="007612D9">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rsidR="002C7FC7">
        <w:tc>
          <w:tcPr>
            <w:tcW w:w="10188" w:type="dxa"/>
            <w:tcBorders>
              <w:bottom w:val="single" w:sz="4" w:space="0" w:color="auto"/>
            </w:tcBorders>
            <w:shd w:val="clear" w:color="auto" w:fill="auto"/>
          </w:tcPr>
          <w:p w:rsidR="002C7FC7" w:rsidRDefault="007612D9">
            <w:pPr>
              <w:spacing w:after="120"/>
              <w:jc w:val="both"/>
              <w:rPr>
                <w:rFonts w:ascii="Arial" w:hAnsi="Arial" w:cs="Arial"/>
                <w:noProof/>
                <w:sz w:val="20"/>
                <w:szCs w:val="20"/>
              </w:rPr>
            </w:pPr>
            <w:r>
              <w:rPr>
                <w:rFonts w:ascii="Arial" w:hAnsi="Arial"/>
                <w:noProof/>
                <w:sz w:val="20"/>
              </w:rPr>
              <w:t>Преглед на политиката следва да бъде извършен 5 години след приемането или транспонирането на съответните правила.</w:t>
            </w:r>
          </w:p>
        </w:tc>
      </w:tr>
    </w:tbl>
    <w:p w:rsidR="002C7FC7" w:rsidRPr="007612D9" w:rsidRDefault="002C7FC7">
      <w:pPr>
        <w:rPr>
          <w:noProof/>
        </w:rPr>
      </w:pPr>
    </w:p>
    <w:sectPr w:rsidR="002C7FC7" w:rsidRPr="007612D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C7" w:rsidRDefault="007612D9">
      <w:r>
        <w:separator/>
      </w:r>
    </w:p>
  </w:endnote>
  <w:endnote w:type="continuationSeparator" w:id="0">
    <w:p w:rsidR="002C7FC7" w:rsidRDefault="007612D9">
      <w:r>
        <w:continuationSeparator/>
      </w:r>
    </w:p>
  </w:endnote>
  <w:endnote w:type="continuationNotice" w:id="1">
    <w:p w:rsidR="002C7FC7" w:rsidRDefault="002C7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D9" w:rsidRPr="007612D9" w:rsidRDefault="007612D9" w:rsidP="00761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D9" w:rsidRPr="007612D9" w:rsidRDefault="007612D9" w:rsidP="007612D9">
    <w:pPr>
      <w:pStyle w:val="FooterCoverPage"/>
      <w:rPr>
        <w:rFonts w:ascii="Arial" w:hAnsi="Arial" w:cs="Arial"/>
        <w:b/>
        <w:sz w:val="48"/>
      </w:rPr>
    </w:pPr>
    <w:r w:rsidRPr="007612D9">
      <w:rPr>
        <w:rFonts w:ascii="Arial" w:hAnsi="Arial" w:cs="Arial"/>
        <w:b/>
        <w:sz w:val="48"/>
      </w:rPr>
      <w:t>BG</w:t>
    </w:r>
    <w:r w:rsidRPr="007612D9">
      <w:rPr>
        <w:rFonts w:ascii="Arial" w:hAnsi="Arial" w:cs="Arial"/>
        <w:b/>
        <w:sz w:val="48"/>
      </w:rPr>
      <w:tab/>
    </w:r>
    <w:r w:rsidRPr="007612D9">
      <w:rPr>
        <w:rFonts w:ascii="Arial" w:hAnsi="Arial" w:cs="Arial"/>
        <w:b/>
        <w:sz w:val="48"/>
      </w:rPr>
      <w:tab/>
    </w:r>
    <w:r w:rsidRPr="007612D9">
      <w:tab/>
    </w:r>
    <w:proofErr w:type="spellStart"/>
    <w:r w:rsidRPr="007612D9">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D9" w:rsidRPr="007612D9" w:rsidRDefault="007612D9" w:rsidP="007612D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C7" w:rsidRDefault="002C7F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2C7FC7" w:rsidRDefault="007612D9">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C7" w:rsidRDefault="002C7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C7" w:rsidRDefault="007612D9">
      <w:r>
        <w:separator/>
      </w:r>
    </w:p>
  </w:footnote>
  <w:footnote w:type="continuationSeparator" w:id="0">
    <w:p w:rsidR="002C7FC7" w:rsidRDefault="007612D9">
      <w:r>
        <w:continuationSeparator/>
      </w:r>
    </w:p>
  </w:footnote>
  <w:footnote w:type="continuationNotice" w:id="1">
    <w:p w:rsidR="002C7FC7" w:rsidRDefault="002C7F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D9" w:rsidRPr="007612D9" w:rsidRDefault="007612D9" w:rsidP="00761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D9" w:rsidRPr="007612D9" w:rsidRDefault="007612D9" w:rsidP="007612D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D9" w:rsidRPr="007612D9" w:rsidRDefault="007612D9" w:rsidP="007612D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C7" w:rsidRDefault="002C7F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C7" w:rsidRDefault="002C7F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C7" w:rsidRDefault="002C7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7113"/>
    <w:multiLevelType w:val="hybridMultilevel"/>
    <w:tmpl w:val="BB0E7912"/>
    <w:lvl w:ilvl="0" w:tplc="EDF09CA4">
      <w:start w:val="1"/>
      <w:numFmt w:val="bullet"/>
      <w:lvlText w:val="-"/>
      <w:lvlJc w:val="left"/>
      <w:pPr>
        <w:ind w:left="720" w:hanging="360"/>
      </w:pPr>
      <w:rPr>
        <w:rFonts w:ascii="Arial" w:hAnsi="Aria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680AA8A9-5F5E-4E07-A015-E96BB846B628"/>
    <w:docVar w:name="LW_COVERPAGE_TYPE" w:val="1"/>
    <w:docVar w:name="LW_CROSSREFERENCE" w:val="{COM(2018) 239 final}_x000d__x000a_{COM(2018) 241 final}_x000a_{SWD(2018) 141 final}"/>
    <w:docVar w:name="LW_DocType" w:val="NORMAL"/>
    <w:docVar w:name="LW_EMISSION" w:val="25.4.2018"/>
    <w:docVar w:name="LW_EMISSION_ISODATE" w:val="2018-04-25"/>
    <w:docVar w:name="LW_EMISSION_LOCATION" w:val="BRX"/>
    <w:docVar w:name="LW_EMISSION_PREFIX" w:val="\u1041?\u1088?\u1102?\u1082?\u1089?\u1077?\u1083?,"/>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u1079?\u1072? \u1080?\u1079?\u1084?\u1077?\u1085?\u1077?\u1085?\u1080?\u1077? \u1085?\u1072? \u1044?\u1080?\u1088?\u1077?\u1082?\u1090?\u1080?\u1074?\u1072? (\u1045?\u1057?) 2017/1132 \u1074?\u1098?\u1074? \u1074?\u1088?\u1098?\u1079?\u1082?\u1072? \u1089? \u1080?\u1079?\u1087?\u1086?\u1083?\u1079?\u1074?\u1072?\u1085?\u1077?\u1090?\u1086? \u1085?\u1072? \u1094?\u1080?\u1092?\u1088?\u1086?\u1074?\u1080? \u1080?\u1085?\u1089?\u1090?\u1088?\u1091?\u1084?\u1077?\u1085?\u1090?\u1080? \u1080? \u1087?\u1088?\u1086?\u1094?\u1077?\u1089?\u1080? \u1074? \u1086?\u1073?\u1083?\u1072?\u1089?\u1090?\u1090?\u1072? \u1085?\u1072? \u1076?\u1088?\u1091?\u1078?\u1077?\u1089?\u1090?\u1074?\u1077?\u1085?\u1086?\u1090?\u1086? \u1087?\u1088?\u1072?\u1074?\u1086?_x000b__x000b_\u1080?_x000b__x000b_\u1055?\u1088?\u1077?\u1076?\u1083?\u1086?\u1078?\u1077?\u1085?\u1080?\u1077? \u1079?\u1072? \u1044?\u1080?\u1088?\u1077?\u1082?\u1090?\u1080?\u1074?\u1072? \u1085?\u1072? \u1045?\u1074?\u1088?\u1086?\u1087?\u1077?\u1081?\u1089?\u1082?\u1080?\u1103? \u1087?\u1072?\u1088?\u1083?\u1072?\u1084?\u1077?\u1085?\u1090? \u1080? \u1085?\u1072? \u1057?\u1098?\u1074?\u1077?\u1090?\u1072? \u1079?\u1072? \u1080?\u1079?\u1084?\u1077?\u1085?\u1077?\u1085?\u1080?\u1077? \u1085?\u1072? \u1044?\u1080?\u1088?\u1077?\u1082?\u1090?\u1080?\u1074?\u1072? (\u1045?\u1057?) 2017/1132 \u1074?\u1098?\u1074? \u1074?\u1088?\u1098?\u1079?\u1082?\u1072? \u1089? \u1087?\u1088?\u1077?\u1079?\u1075?\u1088?\u1072?\u1085?\u1080?\u1095?\u1085?\u1080?\u1090?\u1077? \u1087?\u1088?\u1077?\u1086?\u1073?\u1088?\u1072?\u1079?\u1091?\u1074?\u1072?\u1085?\u1080?\u1103?, \u1089?\u1083?\u1080?\u1074?\u1072?\u1085?\u1080?\u1103? \u1080? \u1088?\u1072?\u1079?\u1076?\u1077?\u1083?\u1103?\u1085?\u1080?\u1103?_x000b_"/>
    <w:docVar w:name="LW_PART_NBR" w:val="1"/>
    <w:docVar w:name="LW_PART_NBR_TOTAL" w:val="1"/>
    <w:docVar w:name="LW_REF.INST.NEW" w:val="SWD"/>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 w:name="Stamp" w:val="\\dossiers.dgt.cec.eu.int\dossiers\JUST\JUST-2018-00889\JUST-2018-00889-00-00-EN-EDT-00.201804110928288582446.DOCX"/>
  </w:docVars>
  <w:rsids>
    <w:rsidRoot w:val="002C7FC7"/>
    <w:rsid w:val="002C7FC7"/>
    <w:rsid w:val="00761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1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12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12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12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spacing w:after="200" w:line="252" w:lineRule="auto"/>
      <w:ind w:left="720"/>
      <w:contextualSpacing/>
    </w:pPr>
    <w:rPr>
      <w:rFonts w:asciiTheme="majorHAnsi" w:eastAsiaTheme="majorEastAsia" w:hAnsiTheme="majorHAnsi" w:cstheme="majorBidi"/>
      <w:sz w:val="22"/>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Theme="majorHAnsi" w:eastAsiaTheme="majorEastAsia" w:hAnsiTheme="majorHAnsi" w:cstheme="majorBidi"/>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1Char">
    <w:name w:val="Heading 1 Char"/>
    <w:basedOn w:val="DefaultParagraphFont"/>
    <w:link w:val="Heading1"/>
    <w:uiPriority w:val="9"/>
    <w:rsid w:val="00761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1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12D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612D9"/>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1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12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12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12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spacing w:after="200" w:line="252" w:lineRule="auto"/>
      <w:ind w:left="720"/>
      <w:contextualSpacing/>
    </w:pPr>
    <w:rPr>
      <w:rFonts w:asciiTheme="majorHAnsi" w:eastAsiaTheme="majorEastAsia" w:hAnsiTheme="majorHAnsi" w:cstheme="majorBidi"/>
      <w:sz w:val="22"/>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Theme="majorHAnsi" w:eastAsiaTheme="majorEastAsia" w:hAnsiTheme="majorHAnsi" w:cstheme="majorBidi"/>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1Char">
    <w:name w:val="Heading 1 Char"/>
    <w:basedOn w:val="DefaultParagraphFont"/>
    <w:link w:val="Heading1"/>
    <w:uiPriority w:val="9"/>
    <w:rsid w:val="00761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1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12D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612D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schemas.microsoft.com/sharepoint/v3/field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b7a29305-b9ad-40da-90d7-b44e636919fe"/>
  </ds:schemaRefs>
</ds:datastoreItem>
</file>

<file path=customXml/itemProps4.xml><?xml version="1.0" encoding="utf-8"?>
<ds:datastoreItem xmlns:ds="http://schemas.openxmlformats.org/officeDocument/2006/customXml" ds:itemID="{3D64386A-8AE0-4445-A038-CAFA4F94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1766</Words>
  <Characters>10849</Characters>
  <Application>Microsoft Office Word</Application>
  <DocSecurity>0</DocSecurity>
  <Lines>153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dcterms:created xsi:type="dcterms:W3CDTF">2018-04-17T11:41:00Z</dcterms:created>
  <dcterms:modified xsi:type="dcterms:W3CDTF">2018-05-14T10:17:00Z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NewReviewCycle">
    <vt:lpwstr/>
  </property>
  <property fmtid="{D5CDD505-2E9C-101B-9397-08002B2CF9AE}" pid="8" name="ContentTypeId">
    <vt:lpwstr>0x010100258AA79CEB83498886A3A08681123250009A724D2B7E74B846B9589CB37D350B65</vt:lpwstr>
  </property>
  <property fmtid="{D5CDD505-2E9C-101B-9397-08002B2CF9AE}" pid="9" name="TemplateUrl">
    <vt:lpwstr/>
  </property>
  <property fmtid="{D5CDD505-2E9C-101B-9397-08002B2CF9AE}" pid="10" name="DocStatus">
    <vt:lpwstr>Green</vt:lpwstr>
  </property>
  <property fmtid="{D5CDD505-2E9C-101B-9397-08002B2CF9AE}" pid="11" name="Level of sensitivity">
    <vt:lpwstr>Standard treatment</vt:lpwstr>
  </property>
</Properties>
</file>