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0E35F60-CECF-4E5C-AF9D-4AAD8874CF1A" style="width:450.45pt;height:366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  <w:r>
        <w:rPr>
          <w:noProof/>
        </w:rPr>
        <w:t>В съответствие с член 395 от Директива 2006/112/ЕО на Съвета от 28 ноември 2006 г. относно общата система на данъка върху добавената стойност (наричана по-нататък „Директивата за ДДС“)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Съветът, произнасяйки се с единодушие по предложение на Комисията, може да разреши на държавите членки да прилагат специални мерки за дерогация от разпоредбите на посочената директива с цел опростяване на процедурата за облагане с ДДС или предотвратяване на определени форми на отклонение от данъчно облагане и избягване на данъци.</w:t>
      </w:r>
    </w:p>
    <w:p>
      <w:pPr>
        <w:rPr>
          <w:noProof/>
        </w:rPr>
      </w:pPr>
      <w:r>
        <w:rPr>
          <w:noProof/>
        </w:rPr>
        <w:t>С писма, заведени в Комисията съответно на 9 януари 2018 г. и на 22 януари 2018 г., Германия и Полша поискаха разрешение за дерогация от член 5 от Директивата за ДДС. В съответствие с член 395, параграф 2 от Директивата за ДДС с писмо от 5 март 2018 г. Комисията информира останалите държави членки за отправеното от Германия и Полша искане. С писма от 6 март 2018 г. Комисията уведоми Германия и Полша, че разполага с цялата информация, която смята за необходима, за да разгледа искането.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 xml:space="preserve">За да улеснят движението по пътищата помежду си, Германия и Полша възнамеряват да сключат споразумение относно изграждането на нов мост между Кюстрин–Киц и Костржин над Одра (наричано по-долу „споразумението“). </w:t>
      </w:r>
    </w:p>
    <w:p>
      <w:pPr>
        <w:rPr>
          <w:noProof/>
        </w:rPr>
      </w:pPr>
      <w:r>
        <w:rPr>
          <w:noProof/>
        </w:rPr>
        <w:t xml:space="preserve">Съгласно това споразумение Германия и Полша ще осъществят обща инвестиция, състояща се от разрушаването на съществуващия граничен мост и изграждането на нов мост между Кюстрин–Киц и Костржин над Одра. Член 9 от споразумението предвижда, че по отношение на облагането с ДДС на доставките на стоки и услуги, вътреобщностните придобивания и вноса на стоки, предназначени за осъществяване на предвидената инвестиция, като територия на инвестицията следва да се разглежда територията на Полша. </w:t>
      </w:r>
    </w:p>
    <w:p>
      <w:pPr>
        <w:rPr>
          <w:noProof/>
        </w:rPr>
      </w:pPr>
      <w:r>
        <w:rPr>
          <w:noProof/>
        </w:rPr>
        <w:t>В съответствие с принципа на териториално приложение, определен с Директивата за ДДС, е необходимо да бъде установено къде се извършват доставките на стоки и услуги. Ето защо обикновено за всяка доставка на стоки или услуги, вътрешнообщностно придобиване и внос на стоки, свързани с осъществяването на инвестицията, би било необходимо да се установи дали те се извършват в Полша или в Германия. Полша и Германия са на мнение, че прилагането на това правило може да се окаже сложно за данъчно задължените лица и данъчните органи. Те считат, че данъчните разпоредби в споразумението ще опростят данъчните задължения и събирането на данъци.</w:t>
      </w:r>
    </w:p>
    <w:p>
      <w:pPr>
        <w:rPr>
          <w:iCs/>
          <w:noProof/>
        </w:rPr>
      </w:pPr>
      <w:r>
        <w:rPr>
          <w:noProof/>
        </w:rPr>
        <w:t xml:space="preserve">Предвид гореизложеното и въз основа на член 395 от Директивата за ДДС Германия и Полша искат чрез дерогация от член 5 от Директивата за ДДС да се постанови, че за целите на ДДС всички доставки на стоки и услуги, вътреобщностни придобивания и внос на стоки, предназначени за осъществяване на предвидената инвестиция, се извършват на територията на Полша и следователно подлежат на облагане с ДДС съгласно полското законодателство. </w:t>
      </w:r>
    </w:p>
    <w:p>
      <w:pPr>
        <w:rPr>
          <w:iCs/>
          <w:noProof/>
        </w:rPr>
      </w:pPr>
      <w:r>
        <w:rPr>
          <w:noProof/>
        </w:rPr>
        <w:t xml:space="preserve">Поддръжката на граничните мостове между Германия и Полша се урежда със споразумение, сключено между Германия и Полша на 20 март 1995 г. </w:t>
      </w:r>
    </w:p>
    <w:p>
      <w:pPr>
        <w:rPr>
          <w:noProof/>
        </w:rPr>
      </w:pPr>
      <w:r>
        <w:rPr>
          <w:noProof/>
        </w:rPr>
        <w:lastRenderedPageBreak/>
        <w:t>Съветът вече няколко пъти е разрешавал дерогации от принципа на териториалност между, наред с другото, Германия и Полша</w:t>
      </w:r>
      <w:r>
        <w:rPr>
          <w:rStyle w:val="FootnoteReference"/>
          <w:noProof/>
        </w:rPr>
        <w:footnoteReference w:id="2"/>
      </w:r>
      <w:r>
        <w:rPr>
          <w:noProof/>
        </w:rPr>
        <w:t>, Германия и Чешката република</w:t>
      </w:r>
      <w:r>
        <w:rPr>
          <w:rStyle w:val="FootnoteReference"/>
          <w:noProof/>
        </w:rPr>
        <w:footnoteReference w:id="3"/>
      </w:r>
      <w:r>
        <w:rPr>
          <w:noProof/>
        </w:rPr>
        <w:t>, Германия и Швейцария</w:t>
      </w:r>
      <w:r>
        <w:rPr>
          <w:rStyle w:val="FootnoteReference"/>
          <w:noProof/>
        </w:rPr>
        <w:footnoteReference w:id="4"/>
      </w:r>
      <w:r>
        <w:rPr>
          <w:noProof/>
        </w:rPr>
        <w:t>, както и между Полша и Украйна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 xml:space="preserve">Тъй като всички доставки, свързани с дадената инвестиция, ще подлежат на облагане с ДДС съгласно полското законодателство, мярката за дерогация няма да има отрицателно въздействие върху данъчното облагане на крайното потребление и следователно върху собствените ресурси на Съюза, формирани от ДДС. </w:t>
      </w:r>
    </w:p>
    <w:p>
      <w:pPr>
        <w:rPr>
          <w:noProof/>
        </w:rPr>
      </w:pPr>
      <w:r>
        <w:rPr>
          <w:noProof/>
        </w:rPr>
        <w:t xml:space="preserve">С оглед на горепосоченото се предлага исканата мярка за дерогация да се предостави.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>Член 395 от Директивата за ДДС.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Като се има предвид разпоредбата от Директивата за ДДС, на основание на която е съставено предложението, принципът на субсидиарност 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Решението се отнася до даването на разрешение на държави членки по тяхно искане и не представлява задължение.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Поради много ограничения обхват на дерогацията специалната мярка е пропорционална на поставената цел.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Предлаган инструмент: решение за изпълнение на Съвета.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В съответствие с член 395 от Директивата за ДДС дерогация от общите правила за ДДС е възможна единствено след като Съветът, действащ с единодушие по предложение на </w:t>
      </w:r>
      <w:r>
        <w:rPr>
          <w:noProof/>
        </w:rPr>
        <w:lastRenderedPageBreak/>
        <w:t>Комисията, е дал своето разрешение. Решение за изпълнение на Съвета е най-подходящият инструмент, тъй като негов адресат може да бъде отделна държава членка.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ОТ КОНСУЛТАЦИИТЕ СЪС ЗАИНТЕРЕСОВАНИТЕ СТРАНИ И ОТ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Настоящото предложение се основава на искания, отправени от Германия и Полша, и се отнася само до тези държави членки.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Не бяха необходими външни експертни становища.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Предложението за решение за изпълнение на Съвета позволява на Германия и Полша да третират всички доставки на стоки и услуги, вътреобщностни придобивания и внос на стоки, предназначени за разрушаването и изграждането на граничния мост между Кюстрин–Киц и Костржин над Одра, като извършвани в Полша и следователно подлежащи на облагане с ДДС съгласно полското законодателство. Очаква се с мярката да се опростят данъчните задължения на предприятия, както и събирането на данъци от страна на данъчните органи. Предвид ограничения обхват на дерогацията въздействието във всички случаи ще бъде ограничено.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Предложението не оказва въздействие върху собствените ресурси на Съюза, формирани от ДДС, тъй като всички доставки на стоки и услуги, вътреобщностни придобивания и внос на стоки, свързани с предвидената инвестиция, ще подлежат на облагане с ДДС съгласно полското законодателство.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2018/0141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ЗА ИЗПЪЛНЕНИЕ НА СЪВЕТА</w:t>
      </w:r>
    </w:p>
    <w:p>
      <w:pPr>
        <w:pStyle w:val="Titreobjet"/>
        <w:rPr>
          <w:noProof/>
        </w:rPr>
      </w:pPr>
      <w:r>
        <w:rPr>
          <w:noProof/>
        </w:rPr>
        <w:t>за предоставяне на разрешение на Германия и Полша да въведат специална мярка за дерогация от член 5 от Директива 2006/112/ЕО на Съвета относно общата система на данъка върху добавената стойност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</w:t>
      </w:r>
    </w:p>
    <w:p>
      <w:pPr>
        <w:rPr>
          <w:noProof/>
        </w:rPr>
      </w:pPr>
      <w:r>
        <w:rPr>
          <w:noProof/>
        </w:rPr>
        <w:t>като взе предвид Директива 2006/112/ЕО на Съвета от 28 ноември 2006 г. относно общата система на данъка върху добавената стойност</w:t>
      </w:r>
      <w:r>
        <w:rPr>
          <w:rStyle w:val="FootnoteReference"/>
          <w:noProof/>
        </w:rPr>
        <w:footnoteReference w:id="6"/>
      </w:r>
      <w:r>
        <w:rPr>
          <w:noProof/>
        </w:rPr>
        <w:t>, и по-специално член 395, параграф 1 от нея,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писма, заведени съответно на 9 януари 2018 г. и 22 януари 2018 г., Германия и Полша подадоха до Комисията искане за разрешение за въвеждане на специална мярка за дерогация от член 5 от Директива 2006/112/ЕО.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 395, параграф 2, втора алинея от Директива 2006/112/ЕО Комисията — с писма от 5 март 2018 г., изпрати до другите държави членки искането, подадено от Германия и Полша. С писма от 6 март 2018 г. Комисията уведоми Германия и Полша, че разполага с пълната информация, необходима за разглеждане на искането.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Съгласно споразумение, което Германия и Полша възнамеряват да сключат във връзка с разрушаването на съществуващия граничен мост и изграждането на нов мост между Кюстрин–Киц и Костржин над Одра, за целите на облагането с данък върху добавената стойност (ДДС) районът на тези строителни работи следва да се счита за територия, принадлежаща към Полша, доколкото доставките на стоки и услуги, вътреобщностните придобивания и вносът на стоки са предназначени за изпълнение на строителните работи, предвидени съгласно споразумението.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Германия и Полша считат, че данъчните разпоредби в споразумението са обосновани с оглед опростяване на процедурата за спазване на задълженията във връзка с ДДС. Без тези разпоредби би било необходимо сделките да се разпределят въз основа на територията, на която са извършени, което би породило данъчни усложнения за предприятията, изпълняващи строителните работи.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Като се има предвид, че специалната мярка, за която е подадено искането за разрешение, би имала пренебрежимо малко отражение върху общия размер на данъчните приходи на държавите членки, събрани на етапа на крайното потребление, е целесъобразно да се разреши дерогация от член 5 от Директива </w:t>
      </w:r>
      <w:r>
        <w:rPr>
          <w:noProof/>
        </w:rPr>
        <w:lastRenderedPageBreak/>
        <w:t xml:space="preserve">2006/112/ЕО, като бъде предвидено, че за целите на ДДС всички доставки на стоки и услуги, вътреобщностни придобивания и внос на стоки, предназначени за разрушаването на съществуващия граничен мост и изграждането на нов граничен мост между Кюстрин–Киц и Костржин над Одра, се извършват на територията на Полша и следователно подлежат на облагане с ДДС съгласно полското законодателство.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Дерогацията няма да има въздействие върху собствените ресурси на Съюза, формирани от ДДС,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 xml:space="preserve">Чрез дерогация от член 5 от Директива 2006/112/ЕО се разрешава на Германия и Полша да третират района на строителните работи по граничния мост между Кюстрин–Киц и Костржин над Одра като част от територията на Полша във връзка с доставките на стоки и услуги, вътреобщностните придобивания и вноса на стоки, предназначени за разрушаването на съществуващия граничен мост и изграждането на нов граничен мост. </w:t>
      </w:r>
    </w:p>
    <w:p>
      <w:pPr>
        <w:pStyle w:val="Titrearticle"/>
        <w:rPr>
          <w:noProof/>
          <w:color w:val="000000" w:themeColor="text1"/>
        </w:rPr>
      </w:pPr>
      <w:r>
        <w:rPr>
          <w:noProof/>
        </w:rPr>
        <w:t>Член 2</w:t>
      </w:r>
    </w:p>
    <w:p>
      <w:pPr>
        <w:keepNext/>
        <w:keepLines/>
        <w:rPr>
          <w:noProof/>
        </w:rPr>
      </w:pPr>
      <w:r>
        <w:rPr>
          <w:noProof/>
          <w:color w:val="000000"/>
        </w:rPr>
        <w:t>Адресати на настоящото решение са Федерална република Германия и Република Полша.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347, 11.12.2006 г., стр. 1.</w:t>
      </w:r>
    </w:p>
  </w:footnote>
  <w:footnote w:id="2">
    <w:p>
      <w:pPr>
        <w:ind w:left="720" w:hanging="720"/>
        <w:rPr>
          <w:sz w:val="20"/>
          <w:szCs w:val="20"/>
        </w:rPr>
      </w:pPr>
      <w:r>
        <w:rPr>
          <w:rStyle w:val="FootnoteReference"/>
        </w:rPr>
        <w:footnoteRef/>
      </w:r>
      <w:r>
        <w:tab/>
      </w:r>
      <w:r>
        <w:rPr>
          <w:sz w:val="20"/>
        </w:rPr>
        <w:t xml:space="preserve">Решение </w:t>
      </w:r>
      <w:hyperlink r:id="rId1">
        <w:r>
          <w:rPr>
            <w:sz w:val="20"/>
          </w:rPr>
          <w:t>95/115/ЕО</w:t>
        </w:r>
      </w:hyperlink>
      <w:r>
        <w:t xml:space="preserve"> на Съвета от 30 март 1995 г., (ОВ L 80, 8.4.1995 г., стр. 47); </w:t>
      </w:r>
      <w:r>
        <w:rPr>
          <w:sz w:val="20"/>
        </w:rPr>
        <w:t xml:space="preserve">Решение </w:t>
      </w:r>
      <w:hyperlink r:id="rId2">
        <w:r>
          <w:rPr>
            <w:sz w:val="20"/>
          </w:rPr>
          <w:t>96/402/ЕО</w:t>
        </w:r>
      </w:hyperlink>
      <w:r>
        <w:t xml:space="preserve"> на Съвета от 25 юни 1996 г., (ОВ L 165, 4.7.1996 г., стр. 35); </w:t>
      </w:r>
      <w:r>
        <w:rPr>
          <w:sz w:val="20"/>
        </w:rPr>
        <w:t xml:space="preserve">Решение </w:t>
      </w:r>
      <w:hyperlink r:id="rId3">
        <w:r>
          <w:rPr>
            <w:sz w:val="20"/>
          </w:rPr>
          <w:t>95/435/ЕО</w:t>
        </w:r>
      </w:hyperlink>
      <w:r>
        <w:t xml:space="preserve"> на Съвета от 23 октомври 1995 г. (ОВ L 257, 27.10.1995 г., стр. 34) и Решение </w:t>
      </w:r>
      <w:hyperlink r:id="rId4">
        <w:r>
          <w:rPr>
            <w:sz w:val="20"/>
          </w:rPr>
          <w:t>2001/741/ЕО</w:t>
        </w:r>
      </w:hyperlink>
      <w:r>
        <w:t xml:space="preserve"> на Съвета от 16 октомври 2001 г. (ОВ L 278, 23.10.2001 г., стр. 28).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Решение 97/188/ЕО на Съвета от 17 март 1997 г., (ОВ L 80, 21.3.1997 г., стр. 18). Решение 97/511/ЕО на Съвета от 24 юли 1997 г. (ОВ L 214, 6.8.1997 г., стр. 39) и Решение 2001/742/ЕО на Съвета от 16 октомври 2001 г. (ОВ L 278, 23.10.2001 г., стр. 30).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2003/544/ЕО на Съвета от 15 юли 2003 г. (ОВ L 186, 25.7.2003 г., стр. 36) и Решение 2005/911/ЕО на Съвета от 12 декември 2005 г. (ОВ L 331, 17.12.2005 г., стр. 30).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за изпълнение </w:t>
      </w:r>
      <w:r>
        <w:rPr>
          <w:sz w:val="19"/>
        </w:rPr>
        <w:t>(ЕС) 2017/1769 на Съвета от 25 септември 2017 г. (ОВ L 250, 28.9.2017 г., стр. 73).</w:t>
      </w:r>
      <w:r>
        <w:rPr>
          <w:b/>
          <w:sz w:val="19"/>
        </w:rPr>
        <w:t xml:space="preserve">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ОВ L 347, 11.12.2006 г., стр. 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49292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AC62D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0527F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C0C74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FFAF9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E224D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F78B7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BE6B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8 09:54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0E35F60-CECF-4E5C-AF9D-4AAD8874CF1A"/>
    <w:docVar w:name="LW_COVERPAGE_TYPE" w:val="1"/>
    <w:docVar w:name="LW_CROSSREFERENCE" w:val="&lt;UNUSED&gt;"/>
    <w:docVar w:name="LW_DocType" w:val="COM"/>
    <w:docVar w:name="LW_EMISSION" w:val="15.5.2018"/>
    <w:docVar w:name="LW_EMISSION_ISODATE" w:val="2018-05-15"/>
    <w:docVar w:name="LW_EMISSION_LOCATION" w:val="BRX"/>
    <w:docVar w:name="LW_EMISSION_PREFIX" w:val="Брюксел, "/>
    <w:docVar w:name="LW_EMISSION_SUFFIX" w:val="&lt;EMPTY&gt;"/>
    <w:docVar w:name="LW_ID_DOCMODEL" w:val="SJ-020"/>
    <w:docVar w:name="LW_ID_DOCSIGNATURE" w:val="SJ-020"/>
    <w:docVar w:name="LW_ID_DOCSTRUCTURE" w:val="COM/PL/ORG"/>
    <w:docVar w:name="LW_ID_DOCTYPE" w:val="SJ-020"/>
    <w:docVar w:name="LW_ID_EXP.MOTIFS.NEW" w:val="EM_PL_"/>
    <w:docVar w:name="LW_ID_STATUT" w:val="SJ-020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41"/>
    <w:docVar w:name="LW_REF.II.NEW.CP_YEAR" w:val="2018"/>
    <w:docVar w:name="LW_REF.INST.NEW" w:val="COM"/>
    <w:docVar w:name="LW_REF.INST.NEW_ADOPTED" w:val="final"/>
    <w:docVar w:name="LW_REF.INST.NEW_TEXT" w:val="(2018) 28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8?\u1077?\u1076?\u1086?\u1089?\u1090?\u1072?\u1074?\u1103?\u1085?\u1077? \u1085?\u1072? \u1088?\u1072?\u1079?\u1088?\u1077?\u1096?\u1077?\u1085?\u1080?\u1077? \u1085?\u1072? \u1043?\u1077?\u1088?\u1084?\u1072?\u1085?\u1080?\u1103? \u1080? \u1055?\u1086?\u1083?\u1096?\u1072? \u1076?\u1072? \u1074?\u1098?\u1074?\u1077?\u1076?\u1072?\u1090? \u1089?\u1087?\u1077?\u1094?\u1080?\u1072?\u1083?\u1085?\u1072? \u1084?\u1103?\u1088?\u1082?\u1072? \u1079?\u1072? \u1076?\u1077?\u1088?\u1086?\u1075?\u1072?\u1094?\u1080?\u1103? \u1086?\u1090? \u1095?\u1083?\u1077?\u1085? 5 \u1086?\u1090? \u1044?\u1080?\u1088?\u1077?\u1082?\u1090?\u1080?\u1074?\u1072? 2006/112/\u1045?\u1054? \u1085?\u1072? \u1057?\u1098?\u1074?\u1077?\u1090?\u1072? \u1086?\u1090?\u1085?\u1086?\u1089?\u1085?\u1086? \u1086?\u1073?\u1097?\u1072?\u1090?\u1072? \u1089?\u1080?\u1089?\u1090?\u1077?\u1084?\u1072? \u1085?\u1072? \u1076?\u1072?\u1085?\u1098?\u1082?\u1072? \u1074?\u1098?\u1088?\u1093?\u1091? \u1076?\u1086?\u1073?\u1072?\u1074?\u1077?\u1085?\u1072?\u1090?\u1072? \u1089?\u1090?\u1086?\u1081?\u1085?\u1086?\u1089?\u1090?"/>
    <w:docVar w:name="LW_TYPE.DOC.CP" w:val="\u1056?\u1045?\u1064?\u1045?\u1053?\u1048?\u1045? \u1047?\u1040? \u1048?\u1047?\u1055?\u1066?\u1051?\u1053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legal-content/BG/TXT/?qid=1490082640478&amp;uri=CELEX:31995D0435" TargetMode="External"/><Relationship Id="rId2" Type="http://schemas.openxmlformats.org/officeDocument/2006/relationships/hyperlink" Target="http://eur-lex.europa.eu/legal-content/BG/TXT/?qid=1490082922715&amp;uri=CELEX:31996D0402" TargetMode="External"/><Relationship Id="rId1" Type="http://schemas.openxmlformats.org/officeDocument/2006/relationships/hyperlink" Target="http://eur-lex.europa.eu/legal-content/BG/TXT/?qid=1490082875461&amp;uri=CELEX:31995D0115" TargetMode="External"/><Relationship Id="rId4" Type="http://schemas.openxmlformats.org/officeDocument/2006/relationships/hyperlink" Target="http://eur-lex.europa.eu/legal-content/BG/TXT/?qid=1490083339434&amp;uri=CELEX:32001D07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C294-D4C8-4A84-A2AB-916A1341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1389</Words>
  <Characters>7866</Characters>
  <Application>Microsoft Office Word</Application>
  <DocSecurity>0</DocSecurity>
  <Lines>157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2018-05-03T13:10:00Z</dcterms:created>
  <dcterms:modified xsi:type="dcterms:W3CDTF">2018-05-08T07:54:00Z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SJ-020</vt:lpwstr>
  </property>
  <property fmtid="{D5CDD505-2E9C-101B-9397-08002B2CF9AE}" pid="10" name="DQCStatus">
    <vt:lpwstr>Green (DQC version 03)</vt:lpwstr>
  </property>
</Properties>
</file>