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3C" w:rsidRDefault="00416A72" w:rsidP="00416A7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2E7897F-CBD6-49BF-8479-52FF2815D8AF" style="width:450.75pt;height:375pt">
            <v:imagedata r:id="rId9" o:title=""/>
          </v:shape>
        </w:pict>
      </w:r>
    </w:p>
    <w:bookmarkEnd w:id="0"/>
    <w:p w:rsidR="00612B3C" w:rsidRDefault="00612B3C">
      <w:pPr>
        <w:rPr>
          <w:noProof/>
        </w:rPr>
        <w:sectPr w:rsidR="00612B3C" w:rsidSect="00416A7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612B3C" w:rsidRDefault="00612B3C">
      <w:pPr>
        <w:pStyle w:val="Briefingtext"/>
        <w:ind w:left="360"/>
        <w:jc w:val="right"/>
        <w:rPr>
          <w:rFonts w:ascii="Times New Roman" w:hAnsi="Times New Roman" w:cs="Times New Roman"/>
          <w:i/>
          <w:noProof/>
          <w:sz w:val="24"/>
        </w:rPr>
      </w:pPr>
      <w:bookmarkStart w:id="1" w:name="_GoBack"/>
      <w:bookmarkEnd w:id="1"/>
    </w:p>
    <w:p w:rsidR="00612B3C" w:rsidRDefault="00612B3C">
      <w:pPr>
        <w:pStyle w:val="Briefingtext"/>
        <w:ind w:left="360"/>
        <w:jc w:val="right"/>
        <w:rPr>
          <w:rFonts w:ascii="Times New Roman" w:hAnsi="Times New Roman" w:cs="Times New Roman"/>
          <w:i/>
          <w:noProof/>
          <w:sz w:val="24"/>
        </w:rPr>
      </w:pPr>
    </w:p>
    <w:p w:rsidR="00612B3C" w:rsidRDefault="00612B3C">
      <w:pPr>
        <w:pStyle w:val="Briefingtext"/>
        <w:ind w:left="360"/>
        <w:jc w:val="right"/>
        <w:rPr>
          <w:rFonts w:ascii="Times New Roman" w:hAnsi="Times New Roman" w:cs="Times New Roman"/>
          <w:i/>
          <w:noProof/>
          <w:sz w:val="24"/>
        </w:rPr>
      </w:pPr>
    </w:p>
    <w:p w:rsidR="00612B3C" w:rsidRDefault="00612B3C">
      <w:pPr>
        <w:pStyle w:val="Briefingtext"/>
        <w:ind w:left="360"/>
        <w:jc w:val="right"/>
        <w:rPr>
          <w:rFonts w:ascii="Times New Roman" w:hAnsi="Times New Roman" w:cs="Times New Roman"/>
          <w:i/>
          <w:noProof/>
          <w:sz w:val="24"/>
        </w:rPr>
      </w:pPr>
    </w:p>
    <w:p w:rsidR="00612B3C" w:rsidRDefault="00612B3C">
      <w:pPr>
        <w:pStyle w:val="Briefingtext"/>
        <w:ind w:left="360"/>
        <w:jc w:val="right"/>
        <w:rPr>
          <w:rFonts w:ascii="Times New Roman" w:hAnsi="Times New Roman" w:cs="Times New Roman"/>
          <w:i/>
          <w:noProof/>
          <w:sz w:val="24"/>
        </w:rPr>
      </w:pPr>
    </w:p>
    <w:p w:rsidR="00612B3C" w:rsidRDefault="00612B3C">
      <w:pPr>
        <w:pStyle w:val="Briefingtext"/>
        <w:spacing w:before="240"/>
        <w:ind w:left="360"/>
        <w:jc w:val="right"/>
        <w:rPr>
          <w:rFonts w:ascii="Times New Roman" w:hAnsi="Times New Roman" w:cs="Times New Roman"/>
          <w:i/>
          <w:noProof/>
          <w:sz w:val="24"/>
        </w:rPr>
      </w:pPr>
    </w:p>
    <w:p w:rsidR="00612B3C" w:rsidRDefault="00416A72">
      <w:pPr>
        <w:pStyle w:val="Briefingtext"/>
        <w:ind w:left="360"/>
        <w:jc w:val="right"/>
        <w:rPr>
          <w:rFonts w:ascii="Times New Roman" w:hAnsi="Times New Roman" w:cs="Times New Roman"/>
          <w:i/>
          <w:noProof/>
          <w:sz w:val="24"/>
        </w:rPr>
      </w:pPr>
      <w:r>
        <w:rPr>
          <w:rFonts w:ascii="Times New Roman" w:hAnsi="Times New Roman" w:cs="Times New Roman"/>
          <w:noProof/>
          <w:color w:val="000000"/>
          <w:sz w:val="24"/>
        </w:rPr>
        <w:br/>
      </w:r>
      <w:r>
        <w:rPr>
          <w:rFonts w:ascii="Times New Roman" w:hAnsi="Times New Roman"/>
          <w:i/>
          <w:noProof/>
          <w:sz w:val="24"/>
        </w:rPr>
        <w:t xml:space="preserve">«Notre avenir ne peut pas rester un scénario, une esquisse, une idée parmi d'autres. C'est aujourd'hui que nous devons préparer l'Union de </w:t>
      </w:r>
      <w:r>
        <w:rPr>
          <w:rFonts w:ascii="Times New Roman" w:hAnsi="Times New Roman"/>
          <w:i/>
          <w:noProof/>
          <w:sz w:val="24"/>
        </w:rPr>
        <w:t>demain».</w:t>
      </w:r>
    </w:p>
    <w:p w:rsidR="00612B3C" w:rsidRDefault="00416A72">
      <w:pPr>
        <w:autoSpaceDE w:val="0"/>
        <w:autoSpaceDN w:val="0"/>
        <w:adjustRightInd w:val="0"/>
        <w:spacing w:after="0" w:line="240" w:lineRule="auto"/>
        <w:jc w:val="right"/>
        <w:rPr>
          <w:rFonts w:ascii="Times New Roman" w:hAnsi="Times New Roman" w:cs="Times New Roman"/>
          <w:noProof/>
          <w:color w:val="000000"/>
          <w:sz w:val="24"/>
          <w:szCs w:val="24"/>
        </w:rPr>
      </w:pPr>
      <w:r>
        <w:rPr>
          <w:rFonts w:ascii="Times New Roman" w:hAnsi="Times New Roman"/>
          <w:noProof/>
          <w:color w:val="000000"/>
          <w:sz w:val="24"/>
        </w:rPr>
        <w:t>Jean-Claude Juncker, président de la Commission</w:t>
      </w:r>
    </w:p>
    <w:p w:rsidR="00612B3C" w:rsidRDefault="00416A72">
      <w:pPr>
        <w:autoSpaceDE w:val="0"/>
        <w:autoSpaceDN w:val="0"/>
        <w:adjustRightInd w:val="0"/>
        <w:spacing w:after="0" w:line="240" w:lineRule="auto"/>
        <w:jc w:val="right"/>
        <w:rPr>
          <w:rFonts w:ascii="Times New Roman" w:hAnsi="Times New Roman" w:cs="Times New Roman"/>
          <w:noProof/>
          <w:color w:val="000000"/>
          <w:sz w:val="24"/>
          <w:szCs w:val="24"/>
        </w:rPr>
      </w:pPr>
      <w:r>
        <w:rPr>
          <w:rFonts w:ascii="Times New Roman" w:hAnsi="Times New Roman"/>
          <w:noProof/>
          <w:color w:val="000000"/>
          <w:sz w:val="24"/>
        </w:rPr>
        <w:t>Discours sur l’état de l’Union, Strasbourg, le 13 septembre 2017</w:t>
      </w:r>
    </w:p>
    <w:p w:rsidR="00612B3C" w:rsidRDefault="00612B3C">
      <w:pPr>
        <w:pStyle w:val="Briefingtext"/>
        <w:ind w:left="360"/>
        <w:rPr>
          <w:rFonts w:ascii="Times New Roman" w:hAnsi="Times New Roman" w:cs="Times New Roman"/>
          <w:i/>
          <w:noProof/>
          <w:sz w:val="24"/>
        </w:rPr>
      </w:pPr>
    </w:p>
    <w:p w:rsidR="00612B3C" w:rsidRDefault="00416A72">
      <w:pPr>
        <w:pStyle w:val="Briefingtext"/>
        <w:ind w:left="360"/>
        <w:jc w:val="right"/>
        <w:rPr>
          <w:rFonts w:ascii="Times New Roman" w:hAnsi="Times New Roman" w:cs="Times New Roman"/>
          <w:i/>
          <w:noProof/>
          <w:sz w:val="24"/>
        </w:rPr>
      </w:pPr>
      <w:r>
        <w:rPr>
          <w:rFonts w:ascii="Times New Roman" w:hAnsi="Times New Roman"/>
          <w:i/>
          <w:noProof/>
          <w:sz w:val="24"/>
        </w:rPr>
        <w:t xml:space="preserve">«La recherche et l'innovation sont cruciales pour notre avenir. Elles constituent les seuls moyens de s’attaquer simultanément et </w:t>
      </w:r>
      <w:r>
        <w:rPr>
          <w:rFonts w:ascii="Times New Roman" w:hAnsi="Times New Roman"/>
          <w:i/>
          <w:noProof/>
          <w:sz w:val="24"/>
        </w:rPr>
        <w:t>durablement à la faible croissance économique, à la création limitée d’emplois et à des enjeux mondiaux tels que la santé, la sécurité, l’alimentation et les océans, le climat et l’énergie».</w:t>
      </w:r>
    </w:p>
    <w:p w:rsidR="00612B3C" w:rsidRDefault="00416A72">
      <w:pPr>
        <w:pStyle w:val="Briefingtext"/>
        <w:spacing w:after="0"/>
        <w:ind w:left="360"/>
        <w:jc w:val="right"/>
        <w:rPr>
          <w:rFonts w:ascii="Times New Roman" w:hAnsi="Times New Roman" w:cs="Times New Roman"/>
          <w:i/>
          <w:noProof/>
          <w:sz w:val="24"/>
        </w:rPr>
      </w:pPr>
      <w:r>
        <w:rPr>
          <w:rFonts w:ascii="Times New Roman" w:hAnsi="Times New Roman"/>
          <w:noProof/>
          <w:color w:val="000000"/>
          <w:sz w:val="24"/>
        </w:rPr>
        <w:t xml:space="preserve">Contribution de la Commission européenne à la réunion informelle </w:t>
      </w:r>
      <w:r>
        <w:rPr>
          <w:rFonts w:ascii="Times New Roman" w:hAnsi="Times New Roman"/>
          <w:noProof/>
          <w:color w:val="000000"/>
          <w:sz w:val="24"/>
        </w:rPr>
        <w:t>des dirigeants du 23 février 2018</w:t>
      </w:r>
    </w:p>
    <w:p w:rsidR="00612B3C" w:rsidRDefault="00612B3C">
      <w:pPr>
        <w:pStyle w:val="Briefingtext"/>
        <w:spacing w:after="0"/>
        <w:ind w:left="360"/>
        <w:jc w:val="right"/>
        <w:rPr>
          <w:rFonts w:ascii="Times New Roman" w:hAnsi="Times New Roman" w:cs="Times New Roman"/>
          <w:i/>
          <w:noProof/>
          <w:sz w:val="24"/>
        </w:rPr>
      </w:pPr>
    </w:p>
    <w:p w:rsidR="00612B3C" w:rsidRDefault="00416A72">
      <w:pPr>
        <w:pStyle w:val="Briefingtext"/>
        <w:spacing w:before="240"/>
        <w:ind w:left="360"/>
        <w:jc w:val="right"/>
        <w:rPr>
          <w:rFonts w:ascii="Times New Roman" w:hAnsi="Times New Roman" w:cs="Times New Roman"/>
          <w:i/>
          <w:noProof/>
          <w:sz w:val="24"/>
        </w:rPr>
      </w:pPr>
      <w:r>
        <w:rPr>
          <w:rFonts w:ascii="Times New Roman" w:hAnsi="Times New Roman"/>
          <w:i/>
          <w:noProof/>
          <w:sz w:val="24"/>
        </w:rPr>
        <w:t>«Nous assurerons la marge de manœuvre nécessaire aux différents niveaux pour renforcer le potentiel d'innovation et de croissance de l'Europe».</w:t>
      </w:r>
    </w:p>
    <w:p w:rsidR="00612B3C" w:rsidRDefault="00416A72">
      <w:pPr>
        <w:autoSpaceDE w:val="0"/>
        <w:autoSpaceDN w:val="0"/>
        <w:adjustRightInd w:val="0"/>
        <w:spacing w:after="0" w:line="240" w:lineRule="auto"/>
        <w:jc w:val="right"/>
        <w:rPr>
          <w:rFonts w:ascii="Times New Roman" w:hAnsi="Times New Roman" w:cs="Times New Roman"/>
          <w:noProof/>
          <w:color w:val="000000"/>
          <w:sz w:val="24"/>
          <w:szCs w:val="24"/>
        </w:rPr>
      </w:pPr>
      <w:r>
        <w:rPr>
          <w:rFonts w:ascii="Times New Roman" w:hAnsi="Times New Roman"/>
          <w:noProof/>
          <w:color w:val="000000"/>
          <w:sz w:val="24"/>
        </w:rPr>
        <w:t>Déclaration de Rome, Rome, le 25 mars 2017</w:t>
      </w:r>
    </w:p>
    <w:p w:rsidR="00612B3C" w:rsidRDefault="00612B3C">
      <w:pPr>
        <w:pStyle w:val="Briefingtext"/>
        <w:jc w:val="right"/>
        <w:rPr>
          <w:rFonts w:ascii="Times New Roman" w:hAnsi="Times New Roman" w:cs="Times New Roman"/>
          <w:noProof/>
          <w:color w:val="000000"/>
          <w:sz w:val="24"/>
        </w:rPr>
      </w:pPr>
    </w:p>
    <w:p w:rsidR="00612B3C" w:rsidRDefault="00416A72">
      <w:pPr>
        <w:pStyle w:val="Briefingtext"/>
        <w:jc w:val="right"/>
        <w:rPr>
          <w:noProof/>
        </w:rPr>
      </w:pPr>
      <w:r>
        <w:rPr>
          <w:noProof/>
        </w:rPr>
        <w:br w:type="page"/>
      </w:r>
    </w:p>
    <w:p w:rsidR="00612B3C" w:rsidRDefault="00416A72">
      <w:pPr>
        <w:spacing w:after="360" w:line="240" w:lineRule="auto"/>
        <w:jc w:val="both"/>
        <w:rPr>
          <w:rFonts w:ascii="Times New Roman" w:hAnsi="Times New Roman" w:cs="Times New Roman"/>
          <w:i/>
          <w:noProof/>
          <w:sz w:val="24"/>
          <w:szCs w:val="24"/>
        </w:rPr>
      </w:pPr>
      <w:r>
        <w:rPr>
          <w:rFonts w:ascii="Times New Roman" w:hAnsi="Times New Roman"/>
          <w:i/>
          <w:noProof/>
          <w:sz w:val="24"/>
        </w:rPr>
        <w:lastRenderedPageBreak/>
        <w:t xml:space="preserve">La Commission européenne se </w:t>
      </w:r>
      <w:r>
        <w:rPr>
          <w:rFonts w:ascii="Times New Roman" w:hAnsi="Times New Roman"/>
          <w:i/>
          <w:noProof/>
          <w:sz w:val="24"/>
        </w:rPr>
        <w:t>félicite que le président du Conseil européen ait décidé de prévoir un débat entre les dirigeants sur la recherche et l’innovation et sur les mesures nécessaires pour garantir la compétitivité de l’Europe sur la scène mondiale. La présente communication ex</w:t>
      </w:r>
      <w:r>
        <w:rPr>
          <w:rFonts w:ascii="Times New Roman" w:hAnsi="Times New Roman"/>
          <w:i/>
          <w:noProof/>
          <w:sz w:val="24"/>
        </w:rPr>
        <w:t>pose une série d’actions concrètes visant à renforcer le programme de recherche et d’innovation et à nourrir la discussion informelle des chefs d’État ou de gouvernement qui aura lieu à Sofia le 16 mai 2018.</w:t>
      </w:r>
    </w:p>
    <w:p w:rsidR="00612B3C" w:rsidRDefault="00416A72">
      <w:pPr>
        <w:keepNext/>
        <w:spacing w:line="240" w:lineRule="auto"/>
        <w:jc w:val="both"/>
        <w:rPr>
          <w:rFonts w:ascii="Times New Roman" w:hAnsi="Times New Roman" w:cs="Times New Roman"/>
          <w:b/>
          <w:noProof/>
          <w:sz w:val="24"/>
          <w:szCs w:val="24"/>
        </w:rPr>
      </w:pPr>
      <w:r>
        <w:rPr>
          <w:rFonts w:ascii="Times New Roman" w:hAnsi="Times New Roman"/>
          <w:b/>
          <w:noProof/>
          <w:sz w:val="24"/>
        </w:rPr>
        <w:t>1. L’occasion pour l’Europe d’investir dans l’av</w:t>
      </w:r>
      <w:r>
        <w:rPr>
          <w:rFonts w:ascii="Times New Roman" w:hAnsi="Times New Roman"/>
          <w:b/>
          <w:noProof/>
          <w:sz w:val="24"/>
        </w:rPr>
        <w:t>enir</w:t>
      </w:r>
    </w:p>
    <w:p w:rsidR="00612B3C" w:rsidRDefault="00416A72">
      <w:pPr>
        <w:spacing w:line="264" w:lineRule="auto"/>
        <w:jc w:val="both"/>
        <w:rPr>
          <w:rFonts w:ascii="Times New Roman" w:hAnsi="Times New Roman" w:cs="Times New Roman"/>
          <w:noProof/>
          <w:sz w:val="24"/>
          <w:szCs w:val="24"/>
        </w:rPr>
      </w:pPr>
      <w:r>
        <w:rPr>
          <w:rFonts w:ascii="Times New Roman" w:hAnsi="Times New Roman"/>
          <w:noProof/>
          <w:sz w:val="24"/>
        </w:rPr>
        <w:t xml:space="preserve">Investir dans la recherche et l’innovation c’est investir dans l’avenir de l’Europe. Ces investissements permettent à l’Europe d’être compétitive à l’échelle mondiale et de conserver son modèle social unique et d’améliorer le quotidien de millions de </w:t>
      </w:r>
      <w:r>
        <w:rPr>
          <w:rFonts w:ascii="Times New Roman" w:hAnsi="Times New Roman"/>
          <w:noProof/>
          <w:sz w:val="24"/>
        </w:rPr>
        <w:t>personnes ici en Europe et dans le monde du fait qu’ils contribuent à résoudre certains des principaux problèmes sociétaux et générationnels. De la mise à disposition d’1,6 million de doses de vaccin anti-Ebola à la création d’une batterie 100 fois plus pu</w:t>
      </w:r>
      <w:r>
        <w:rPr>
          <w:rFonts w:ascii="Times New Roman" w:hAnsi="Times New Roman"/>
          <w:noProof/>
          <w:sz w:val="24"/>
        </w:rPr>
        <w:t>issante que les modèles ordinaires en passant par la mise au point d’autobus équipés d’une pile à combustible à hydrogène pour nos villes, la recherche et l’innovation sont partout autour de nous.</w:t>
      </w:r>
    </w:p>
    <w:p w:rsidR="00612B3C" w:rsidRDefault="00416A72">
      <w:pPr>
        <w:spacing w:line="264" w:lineRule="auto"/>
        <w:jc w:val="both"/>
        <w:rPr>
          <w:rFonts w:ascii="Times New Roman" w:hAnsi="Times New Roman" w:cs="Times New Roman"/>
          <w:noProof/>
          <w:sz w:val="24"/>
          <w:szCs w:val="24"/>
        </w:rPr>
      </w:pPr>
      <w:r>
        <w:rPr>
          <w:rFonts w:ascii="Times New Roman" w:hAnsi="Times New Roman"/>
          <w:noProof/>
          <w:sz w:val="24"/>
        </w:rPr>
        <w:t>En effet, la société ne peut progresser qu’au rythme de ses</w:t>
      </w:r>
      <w:r>
        <w:rPr>
          <w:rFonts w:ascii="Times New Roman" w:hAnsi="Times New Roman"/>
          <w:noProof/>
          <w:sz w:val="24"/>
        </w:rPr>
        <w:t xml:space="preserve"> innovations. Elle ne peut assurer une prospérité durable que si elle tire le meilleur parti des connaissances, de l’esprit d’entreprise et de la productivité de ses citoyens. Ce constat révèle aussi qu’une économie peut seulement devancer la concurrence s</w:t>
      </w:r>
      <w:r>
        <w:rPr>
          <w:rFonts w:ascii="Times New Roman" w:hAnsi="Times New Roman"/>
          <w:noProof/>
          <w:sz w:val="24"/>
        </w:rPr>
        <w:t xml:space="preserve">i elle demeure à la pointe de la recherche et de l’innovation. </w:t>
      </w:r>
    </w:p>
    <w:p w:rsidR="00612B3C" w:rsidRDefault="00416A72">
      <w:pPr>
        <w:spacing w:line="264" w:lineRule="auto"/>
        <w:jc w:val="both"/>
        <w:rPr>
          <w:rFonts w:ascii="Times New Roman" w:hAnsi="Times New Roman" w:cs="Times New Roman"/>
          <w:noProof/>
          <w:sz w:val="24"/>
          <w:szCs w:val="24"/>
        </w:rPr>
      </w:pPr>
      <w:r>
        <w:rPr>
          <w:rFonts w:ascii="Times New Roman" w:hAnsi="Times New Roman"/>
          <w:noProof/>
          <w:sz w:val="24"/>
        </w:rPr>
        <w:t>Tel est le défi auquel doit faire face l’Union aujourd’hui, à l’heure où l’Europe cherche à maintenir et à améliorer son mode de vie. Il est temps d’investir dans l’avenir. Des innovations fon</w:t>
      </w:r>
      <w:r>
        <w:rPr>
          <w:rFonts w:ascii="Times New Roman" w:hAnsi="Times New Roman"/>
          <w:noProof/>
          <w:sz w:val="24"/>
        </w:rPr>
        <w:t>dées sur les technologies, la numérisation croissante de l’ensemble des secteurs et de grandes tendances mondiales sont en train de modifier notre manière de vivre en créant d’énormes opportunités, mais aussi en posant de nouveaux défis. Au fur et à mesure</w:t>
      </w:r>
      <w:r>
        <w:rPr>
          <w:rFonts w:ascii="Times New Roman" w:hAnsi="Times New Roman"/>
          <w:noProof/>
          <w:sz w:val="24"/>
        </w:rPr>
        <w:t xml:space="preserve"> que ce mouvement s’accélèrera, le besoin d’innover se fera de plus en plus pressant. Dans le monde entier, les pays investissent massivement dans la recherche et l’innovation dans tous les secteurs de l’économie. La concurrence mondiale en devient plus fo</w:t>
      </w:r>
      <w:r>
        <w:rPr>
          <w:rFonts w:ascii="Times New Roman" w:hAnsi="Times New Roman"/>
          <w:noProof/>
          <w:sz w:val="24"/>
        </w:rPr>
        <w:t>rte et la position concurrentielle de premier plan de l’Europe dans des secteurs industriels clés est menacée.  Il est dès lors indispensable pour notre prospérité future d’augmenter la capacité d’innovation de l’Europe, de garantir les investissements néc</w:t>
      </w:r>
      <w:r>
        <w:rPr>
          <w:rFonts w:ascii="Times New Roman" w:hAnsi="Times New Roman"/>
          <w:noProof/>
          <w:sz w:val="24"/>
        </w:rPr>
        <w:t>essaires et d’accélérer la diffusion de l’innovation dans toute l’Europe.</w:t>
      </w:r>
    </w:p>
    <w:p w:rsidR="00612B3C" w:rsidRDefault="00416A72">
      <w:pPr>
        <w:spacing w:line="264" w:lineRule="auto"/>
        <w:jc w:val="both"/>
        <w:rPr>
          <w:rFonts w:ascii="Times New Roman" w:hAnsi="Times New Roman" w:cs="Times New Roman"/>
          <w:noProof/>
          <w:sz w:val="24"/>
          <w:szCs w:val="24"/>
        </w:rPr>
      </w:pPr>
      <w:r>
        <w:rPr>
          <w:rFonts w:ascii="Times New Roman" w:hAnsi="Times New Roman"/>
          <w:noProof/>
          <w:sz w:val="24"/>
        </w:rPr>
        <w:t>Les enjeux sont importants, tout comme le potentiel de l’Europe. La prochaine vague d’innovation, combinant le physique et le numérique, s’ancrera dans les sciences, les technologies</w:t>
      </w:r>
      <w:r>
        <w:rPr>
          <w:rFonts w:ascii="Times New Roman" w:hAnsi="Times New Roman"/>
          <w:noProof/>
          <w:sz w:val="24"/>
        </w:rPr>
        <w:t xml:space="preserve"> et l’ingénierie, secteurs dans lesquels l’Europe possède et doit conserver un avantage concurrentiel. Comptant 7 % de la population mondiale, l’Europe contribue à hauteur de 20 % aux investissements mondiaux en faveur de la recherche et du développement e</w:t>
      </w:r>
      <w:r>
        <w:rPr>
          <w:rFonts w:ascii="Times New Roman" w:hAnsi="Times New Roman"/>
          <w:noProof/>
          <w:sz w:val="24"/>
        </w:rPr>
        <w:t>t pour environ un tiers de l’ensemble des publications scientifiques de haut niveau</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L’Europe compte également sur son territoire une base industrielle solide.</w:t>
      </w:r>
    </w:p>
    <w:p w:rsidR="00612B3C" w:rsidRDefault="00416A72">
      <w:pPr>
        <w:spacing w:line="264" w:lineRule="auto"/>
        <w:jc w:val="both"/>
        <w:rPr>
          <w:rFonts w:ascii="Times New Roman" w:hAnsi="Times New Roman" w:cs="Times New Roman"/>
          <w:noProof/>
          <w:sz w:val="24"/>
          <w:szCs w:val="24"/>
        </w:rPr>
      </w:pPr>
      <w:r>
        <w:rPr>
          <w:rFonts w:ascii="Times New Roman" w:hAnsi="Times New Roman"/>
          <w:noProof/>
          <w:sz w:val="24"/>
        </w:rPr>
        <w:lastRenderedPageBreak/>
        <w:t>L’Europe doit s’appuyer sur ces atouts et sur ses valeurs pour mettre au point son propre modèl</w:t>
      </w:r>
      <w:r>
        <w:rPr>
          <w:rFonts w:ascii="Times New Roman" w:hAnsi="Times New Roman"/>
          <w:noProof/>
          <w:sz w:val="24"/>
        </w:rPr>
        <w:t xml:space="preserve">e d’innovation. Elle devrait tirer le meilleur parti de sa culture de collaboration et de partenariat qui contribue à promouvoir l’innovation dans l’ensemble de l’Union. Ce faisant, elle doit garantir que le niveau élevé européen de protection des données </w:t>
      </w:r>
      <w:r>
        <w:rPr>
          <w:rFonts w:ascii="Times New Roman" w:hAnsi="Times New Roman"/>
          <w:noProof/>
          <w:sz w:val="24"/>
        </w:rPr>
        <w:t>et de la vie privée des citoyens - qui constitue désormais la référence mondiale - devienne une source d’avantage concurrentiel s’agissant des nouvelles technologies comme l’intelligence artificielle ou les mégadonnées</w:t>
      </w:r>
      <w:r>
        <w:rPr>
          <w:rStyle w:val="FootnoteReference"/>
          <w:rFonts w:ascii="Times New Roman" w:hAnsi="Times New Roman"/>
          <w:noProof/>
          <w:sz w:val="24"/>
        </w:rPr>
        <w:footnoteReference w:id="3"/>
      </w:r>
      <w:r>
        <w:rPr>
          <w:rFonts w:ascii="Times New Roman" w:hAnsi="Times New Roman"/>
          <w:noProof/>
          <w:sz w:val="24"/>
        </w:rPr>
        <w:t xml:space="preserve">. </w:t>
      </w:r>
    </w:p>
    <w:p w:rsidR="00612B3C" w:rsidRDefault="00416A72">
      <w:pPr>
        <w:spacing w:line="264" w:lineRule="auto"/>
        <w:jc w:val="both"/>
        <w:rPr>
          <w:rFonts w:ascii="Times New Roman" w:hAnsi="Times New Roman" w:cs="Times New Roman"/>
          <w:noProof/>
          <w:sz w:val="24"/>
          <w:szCs w:val="24"/>
        </w:rPr>
      </w:pPr>
      <w:r>
        <w:rPr>
          <w:rFonts w:ascii="Times New Roman" w:hAnsi="Times New Roman"/>
          <w:noProof/>
          <w:sz w:val="24"/>
        </w:rPr>
        <w:t xml:space="preserve">L’UE est l’espace de recherche et </w:t>
      </w:r>
      <w:r>
        <w:rPr>
          <w:rFonts w:ascii="Times New Roman" w:hAnsi="Times New Roman"/>
          <w:noProof/>
          <w:sz w:val="24"/>
        </w:rPr>
        <w:t xml:space="preserve">d’innovation le plus ouvert du monde: non seulement elle accueille des organismes de recherche du monde entier dans ses projets, mais elle collabore aussi énormément avec des partenaires internationaux dans des programmes conjoints. Afin de promouvoir des </w:t>
      </w:r>
      <w:r>
        <w:rPr>
          <w:rFonts w:ascii="Times New Roman" w:hAnsi="Times New Roman"/>
          <w:noProof/>
          <w:sz w:val="24"/>
        </w:rPr>
        <w:t>conditions équitables, elle devrait favoriser de nouveaux débouchés commerciaux pour les biens et services innovants. L’UE devrait également encourager les synergies et l’investissement transfrontière dans la recherche et l’innovation, qui apportent des av</w:t>
      </w:r>
      <w:r>
        <w:rPr>
          <w:rFonts w:ascii="Times New Roman" w:hAnsi="Times New Roman"/>
          <w:noProof/>
          <w:sz w:val="24"/>
        </w:rPr>
        <w:t>antages à la fois aux citoyens et aux entreprises,</w:t>
      </w:r>
      <w:r>
        <w:rPr>
          <w:rStyle w:val="FootnoteReference"/>
          <w:rFonts w:ascii="Times New Roman" w:hAnsi="Times New Roman"/>
          <w:noProof/>
          <w:sz w:val="24"/>
        </w:rPr>
        <w:footnoteReference w:id="4"/>
      </w:r>
      <w:r>
        <w:rPr>
          <w:rFonts w:ascii="Times New Roman" w:hAnsi="Times New Roman"/>
          <w:noProof/>
          <w:sz w:val="24"/>
        </w:rPr>
        <w:t xml:space="preserve"> tout en garantissant qu’elle peut défendre ses intérêts dans des secteurs stratégiques.</w:t>
      </w:r>
    </w:p>
    <w:p w:rsidR="00612B3C" w:rsidRDefault="00416A72">
      <w:pPr>
        <w:spacing w:line="264" w:lineRule="auto"/>
        <w:jc w:val="both"/>
        <w:rPr>
          <w:rFonts w:ascii="Times New Roman" w:hAnsi="Times New Roman" w:cs="Times New Roman"/>
          <w:noProof/>
          <w:sz w:val="24"/>
          <w:szCs w:val="24"/>
        </w:rPr>
      </w:pPr>
      <w:r>
        <w:rPr>
          <w:rFonts w:ascii="Times New Roman" w:hAnsi="Times New Roman"/>
          <w:noProof/>
          <w:sz w:val="24"/>
        </w:rPr>
        <w:t xml:space="preserve">Dans d’autres domaines, l’Europe connaît néanmoins un déficit d’innovation, qui n’est pas dû à un manque d’idées ou </w:t>
      </w:r>
      <w:r>
        <w:rPr>
          <w:rFonts w:ascii="Times New Roman" w:hAnsi="Times New Roman"/>
          <w:noProof/>
          <w:sz w:val="24"/>
        </w:rPr>
        <w:t>de nouvelles jeunes pousses (start-ups): le problème provient plutôt de l’absence de développement et de diffusion, les innovations ne se traduisant pas toujours en nouveaux débouchés et possibilités de croissance. De plus, il est nécessaire que les invest</w:t>
      </w:r>
      <w:r>
        <w:rPr>
          <w:rFonts w:ascii="Times New Roman" w:hAnsi="Times New Roman"/>
          <w:noProof/>
          <w:sz w:val="24"/>
        </w:rPr>
        <w:t>issements de l'industrie dans la recherche et l’innovation s’intensifient. L’UE est actuellement dépassée par la Chine et les États-Unis en ce qui concerne les niveaux des investissements dans les technologies qui sont appelées à dominer le monde de demain</w:t>
      </w:r>
      <w:r>
        <w:rPr>
          <w:rFonts w:ascii="Times New Roman" w:hAnsi="Times New Roman"/>
          <w:noProof/>
          <w:sz w:val="24"/>
        </w:rPr>
        <w:t xml:space="preserve">. </w:t>
      </w:r>
    </w:p>
    <w:p w:rsidR="00612B3C" w:rsidRDefault="00416A72">
      <w:pPr>
        <w:spacing w:line="264" w:lineRule="auto"/>
        <w:jc w:val="both"/>
        <w:rPr>
          <w:rFonts w:ascii="Times New Roman" w:hAnsi="Times New Roman" w:cs="Times New Roman"/>
          <w:noProof/>
          <w:sz w:val="24"/>
          <w:szCs w:val="24"/>
        </w:rPr>
      </w:pPr>
      <w:r>
        <w:rPr>
          <w:rFonts w:ascii="Times New Roman" w:hAnsi="Times New Roman"/>
          <w:noProof/>
          <w:sz w:val="24"/>
        </w:rPr>
        <w:t>Pour profiter pleinement de son potentiel et surmonter les obstacles auxquels elle doit faire face, l’Europe doit déployer son approche sur trois niveaux. Premièrement, des investissements considérables sont nécessaires dans la recherche scientifique et</w:t>
      </w:r>
      <w:r>
        <w:rPr>
          <w:rFonts w:ascii="Times New Roman" w:hAnsi="Times New Roman"/>
          <w:noProof/>
          <w:sz w:val="24"/>
        </w:rPr>
        <w:t xml:space="preserve"> technologique, qui mettent l’accent sur les grands défis sociétaux et industriels comme la sécurité, le changement climatique et l’impact d’une population vieillissante. Deuxièmement, l’environnement des entreprises doit devenir plus favorable à l’innovat</w:t>
      </w:r>
      <w:r>
        <w:rPr>
          <w:rFonts w:ascii="Times New Roman" w:hAnsi="Times New Roman"/>
          <w:noProof/>
          <w:sz w:val="24"/>
        </w:rPr>
        <w:t>ion et moins frileux face au risque. Troisièmement, les citoyens européens doivent être soutenus tout au long de ce qui sera une transition rapide, voire, pour certains, tumultueuse.</w:t>
      </w:r>
    </w:p>
    <w:p w:rsidR="00612B3C" w:rsidRDefault="00416A72">
      <w:pPr>
        <w:spacing w:line="264" w:lineRule="auto"/>
        <w:jc w:val="both"/>
        <w:rPr>
          <w:rFonts w:ascii="Times New Roman" w:hAnsi="Times New Roman" w:cs="Times New Roman"/>
          <w:noProof/>
          <w:sz w:val="24"/>
          <w:szCs w:val="24"/>
        </w:rPr>
      </w:pPr>
      <w:r>
        <w:rPr>
          <w:rFonts w:ascii="Times New Roman" w:hAnsi="Times New Roman"/>
          <w:noProof/>
          <w:sz w:val="24"/>
        </w:rPr>
        <w:t xml:space="preserve">La possibilité pour l’Europe de mener la prochaine vague d’innovation </w:t>
      </w:r>
      <w:r>
        <w:rPr>
          <w:rFonts w:ascii="Times New Roman" w:hAnsi="Times New Roman"/>
          <w:noProof/>
          <w:sz w:val="24"/>
        </w:rPr>
        <w:t>dépendra de notre capacité à trouver la bonne combinaison de politiques et d’instruments. Il est essentiel que l’Europe soutienne le développement concurrentiel des chaînes de valeur stratégiques de demain</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Le marché unique numérique</w:t>
      </w:r>
      <w:r>
        <w:rPr>
          <w:rStyle w:val="FootnoteReference"/>
          <w:rFonts w:ascii="Times New Roman" w:hAnsi="Times New Roman"/>
          <w:noProof/>
          <w:sz w:val="24"/>
        </w:rPr>
        <w:footnoteReference w:id="6"/>
      </w:r>
      <w:r>
        <w:rPr>
          <w:rFonts w:ascii="Times New Roman" w:hAnsi="Times New Roman"/>
          <w:noProof/>
          <w:sz w:val="24"/>
        </w:rPr>
        <w:t>, l’union de l’énergi</w:t>
      </w:r>
      <w:r>
        <w:rPr>
          <w:rFonts w:ascii="Times New Roman" w:hAnsi="Times New Roman"/>
          <w:noProof/>
          <w:sz w:val="24"/>
        </w:rPr>
        <w:t>e</w:t>
      </w:r>
      <w:r>
        <w:rPr>
          <w:rStyle w:val="FootnoteReference"/>
          <w:rFonts w:ascii="Times New Roman" w:hAnsi="Times New Roman"/>
          <w:noProof/>
          <w:sz w:val="24"/>
        </w:rPr>
        <w:footnoteReference w:id="7"/>
      </w:r>
      <w:r>
        <w:rPr>
          <w:rFonts w:ascii="Times New Roman" w:hAnsi="Times New Roman"/>
          <w:noProof/>
          <w:sz w:val="24"/>
        </w:rPr>
        <w:t>, les stratégies industrielles</w:t>
      </w:r>
      <w:r>
        <w:rPr>
          <w:rStyle w:val="FootnoteReference"/>
          <w:rFonts w:ascii="Times New Roman" w:hAnsi="Times New Roman"/>
          <w:noProof/>
          <w:sz w:val="24"/>
        </w:rPr>
        <w:footnoteReference w:id="8"/>
      </w:r>
      <w:r>
        <w:rPr>
          <w:rFonts w:ascii="Times New Roman" w:hAnsi="Times New Roman"/>
          <w:noProof/>
          <w:sz w:val="24"/>
        </w:rPr>
        <w:t xml:space="preserve"> et notre politique de concurrence offrent un cadre solide. Des outils tels que le plan d’investissement</w:t>
      </w:r>
      <w:r>
        <w:rPr>
          <w:rStyle w:val="FootnoteReference"/>
          <w:rFonts w:ascii="Times New Roman" w:hAnsi="Times New Roman"/>
          <w:noProof/>
          <w:sz w:val="24"/>
        </w:rPr>
        <w:footnoteReference w:id="9"/>
      </w:r>
      <w:r>
        <w:rPr>
          <w:rFonts w:ascii="Times New Roman" w:hAnsi="Times New Roman"/>
          <w:noProof/>
          <w:sz w:val="24"/>
        </w:rPr>
        <w:t>, le programme Horizon 2020 pour la recherche et l’innovation</w:t>
      </w:r>
      <w:r>
        <w:rPr>
          <w:rStyle w:val="FootnoteReference"/>
          <w:rFonts w:ascii="Times New Roman" w:hAnsi="Times New Roman"/>
          <w:noProof/>
          <w:sz w:val="24"/>
        </w:rPr>
        <w:footnoteReference w:id="10"/>
      </w:r>
      <w:r>
        <w:rPr>
          <w:rFonts w:ascii="Times New Roman" w:hAnsi="Times New Roman"/>
          <w:noProof/>
          <w:sz w:val="24"/>
        </w:rPr>
        <w:t xml:space="preserve"> et les Fonds structurels et d’investissement européens</w:t>
      </w:r>
      <w:r>
        <w:rPr>
          <w:rStyle w:val="FootnoteReference"/>
          <w:rFonts w:ascii="Times New Roman" w:hAnsi="Times New Roman"/>
          <w:noProof/>
          <w:sz w:val="24"/>
        </w:rPr>
        <w:footnoteReference w:id="11"/>
      </w:r>
      <w:r>
        <w:rPr>
          <w:rFonts w:ascii="Times New Roman" w:hAnsi="Times New Roman"/>
          <w:noProof/>
          <w:sz w:val="24"/>
        </w:rPr>
        <w:t xml:space="preserve"> ont démontré leur efficacité. Ce socle a permis à l’Europe d’être à l’avant-plan dans de nombreux domaines scientifiques et technologiques mondiaux et a créé de meilleures conditions pour que les entreprises innovent et rivalisent avec la concurrence. </w:t>
      </w:r>
    </w:p>
    <w:p w:rsidR="00612B3C" w:rsidRDefault="00416A72">
      <w:pPr>
        <w:spacing w:after="240" w:line="264" w:lineRule="auto"/>
        <w:jc w:val="both"/>
        <w:rPr>
          <w:rFonts w:ascii="Times New Roman" w:hAnsi="Times New Roman" w:cs="Times New Roman"/>
          <w:noProof/>
          <w:sz w:val="24"/>
          <w:szCs w:val="24"/>
        </w:rPr>
      </w:pPr>
      <w:r>
        <w:rPr>
          <w:rFonts w:ascii="Times New Roman" w:hAnsi="Times New Roman"/>
          <w:noProof/>
          <w:sz w:val="24"/>
        </w:rPr>
        <w:t>Il</w:t>
      </w:r>
      <w:r>
        <w:rPr>
          <w:rFonts w:ascii="Times New Roman" w:hAnsi="Times New Roman"/>
          <w:noProof/>
          <w:sz w:val="24"/>
        </w:rPr>
        <w:t xml:space="preserve"> est temps à présent de passer à l’étape suivante, qui sera réalisable uniquement si nous adoptons une approche véritablement européenne, en collaborant au-delà des frontières et en agissant à l’échelle de l’Union. La réussite dépendra de notre capacité à </w:t>
      </w:r>
      <w:r>
        <w:rPr>
          <w:rFonts w:ascii="Times New Roman" w:hAnsi="Times New Roman"/>
          <w:noProof/>
          <w:sz w:val="24"/>
        </w:rPr>
        <w:t>associer les investissements privés et publics efficacement. Elle dépendra des cadres réglementaires européens et nationaux, qui devront être capables de résister face aux défis de demain et favorables à l’innovation. Elle dépendra de l’existence d’un marc</w:t>
      </w:r>
      <w:r>
        <w:rPr>
          <w:rFonts w:ascii="Times New Roman" w:hAnsi="Times New Roman"/>
          <w:noProof/>
          <w:sz w:val="24"/>
        </w:rPr>
        <w:t>hé unique où la concurrence effective et équitable récompense et encourage les investissements privés dans l’innovation. Elle dépendra des moyens déployés pour que les universités européennes développent une démarche entrepreneuriale. Elle dépendra du fait</w:t>
      </w:r>
      <w:r>
        <w:rPr>
          <w:rFonts w:ascii="Times New Roman" w:hAnsi="Times New Roman"/>
          <w:noProof/>
          <w:sz w:val="24"/>
        </w:rPr>
        <w:t xml:space="preserve"> que chaque État membre et chaque région en Europe soient en mesure de contribuer à une vague croissante d’excellence dans le domaine des sciences et de l'innovation. Tous ces facteurs se trouvent sous le contrôle collectif de notre Union, le moment est dé</w:t>
      </w:r>
      <w:r>
        <w:rPr>
          <w:rFonts w:ascii="Times New Roman" w:hAnsi="Times New Roman"/>
          <w:noProof/>
          <w:sz w:val="24"/>
        </w:rPr>
        <w:t>sormais venu de prendre notre avenir en main.</w:t>
      </w:r>
    </w:p>
    <w:p w:rsidR="00612B3C" w:rsidRDefault="00416A72">
      <w:pPr>
        <w:keepNext/>
        <w:spacing w:before="240" w:line="240" w:lineRule="auto"/>
        <w:rPr>
          <w:b/>
          <w:noProof/>
        </w:rPr>
      </w:pPr>
      <w:r>
        <w:rPr>
          <w:rFonts w:ascii="Times New Roman" w:hAnsi="Times New Roman"/>
          <w:b/>
          <w:noProof/>
          <w:sz w:val="24"/>
        </w:rPr>
        <w:t>2. Un agenda renouvelé pour un écosystème européen de recherche et d’innovation plus fort</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La recherche et l’innovation concernent l’ensemble de notre société: différents acteurs, instruments et politiques inter</w:t>
      </w:r>
      <w:r>
        <w:rPr>
          <w:rFonts w:ascii="Times New Roman" w:hAnsi="Times New Roman"/>
          <w:noProof/>
          <w:sz w:val="24"/>
        </w:rPr>
        <w:t>viennent aux niveaux local, national et européen. Il est nécessaire que l’Europe rapproche ces divers vecteurs et niveaux de gouvernance afin de créer un environnement propice à la recherche et à l’innovation, notamment en connectant les différents écosyst</w:t>
      </w:r>
      <w:r>
        <w:rPr>
          <w:rFonts w:ascii="Times New Roman" w:hAnsi="Times New Roman"/>
          <w:noProof/>
          <w:sz w:val="24"/>
        </w:rPr>
        <w:t>èmes de recherche et d’innovation locaux et régionaux afin de favoriser l’innovation dans l’ensemble des chaînes de valeur européennes.</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À l’échelle européenne, la réglementation, la coopération transfrontière et le budget de l’UE peuvent tous être des levi</w:t>
      </w:r>
      <w:r>
        <w:rPr>
          <w:rFonts w:ascii="Times New Roman" w:hAnsi="Times New Roman"/>
          <w:noProof/>
          <w:sz w:val="24"/>
        </w:rPr>
        <w:t>ers stratégiques efficaces. Les politiques dans des domaines tels que l’énergie, le transport et l’industrie contribuent à une économie sobre en carbone et durable. Le développement économique par l’innovation est solidement intégré dans les politiques agr</w:t>
      </w:r>
      <w:r>
        <w:rPr>
          <w:rFonts w:ascii="Times New Roman" w:hAnsi="Times New Roman"/>
          <w:noProof/>
          <w:sz w:val="24"/>
        </w:rPr>
        <w:t xml:space="preserve">icole et de cohésion. Des programmes spécifiques ont été mis en place afin de stimuler la révolution numérique dans l’UE. La recherche et l’innovation sont au cœur de toutes les politiques en matière d’éducation et de formation. Le marché intérieur et les </w:t>
      </w:r>
      <w:r>
        <w:rPr>
          <w:rFonts w:ascii="Times New Roman" w:hAnsi="Times New Roman"/>
          <w:noProof/>
          <w:sz w:val="24"/>
        </w:rPr>
        <w:t>politiques de concurrence sont conçus pour soutenir les entreprises innovantes et leur donner des moyens d’action, notamment les petites et moyennes entreprises, et pour les aider à grandir et à développer de nouveaux marchés.</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Toutefois, il existe des lacu</w:t>
      </w:r>
      <w:r>
        <w:rPr>
          <w:rFonts w:ascii="Times New Roman" w:hAnsi="Times New Roman"/>
          <w:noProof/>
          <w:sz w:val="24"/>
        </w:rPr>
        <w:t>nes et des problèmes nouveaux sur lesquels l’Europe peut et devrait se pencher. La présente communication met en avant les progrès accomplis et propose de nouvelles actions pour lesquelles l’Union européenne peut faire la différence.</w:t>
      </w:r>
    </w:p>
    <w:p w:rsidR="00612B3C" w:rsidRDefault="00416A72">
      <w:pPr>
        <w:keepNext/>
        <w:spacing w:line="240" w:lineRule="auto"/>
        <w:rPr>
          <w:rFonts w:ascii="Times New Roman" w:hAnsi="Times New Roman" w:cs="Times New Roman"/>
          <w:b/>
          <w:noProof/>
          <w:sz w:val="24"/>
          <w:szCs w:val="24"/>
        </w:rPr>
      </w:pPr>
      <w:r>
        <w:rPr>
          <w:rFonts w:ascii="Times New Roman" w:hAnsi="Times New Roman"/>
          <w:b/>
          <w:noProof/>
          <w:sz w:val="24"/>
        </w:rPr>
        <w:t>2.1 Garantir les inves</w:t>
      </w:r>
      <w:r>
        <w:rPr>
          <w:rFonts w:ascii="Times New Roman" w:hAnsi="Times New Roman"/>
          <w:b/>
          <w:noProof/>
          <w:sz w:val="24"/>
        </w:rPr>
        <w:t>tissements publics essentiels et stimuler les investissements privés</w:t>
      </w:r>
    </w:p>
    <w:p w:rsidR="00612B3C" w:rsidRDefault="00416A72">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Des éléments probants confirment que l’ampleur des investissements privés et publics dans la recherche et l’innovation a un effet stimulant direct sur la productivité et la compétitivité </w:t>
      </w:r>
      <w:r>
        <w:rPr>
          <w:rFonts w:ascii="Times New Roman" w:hAnsi="Times New Roman"/>
          <w:noProof/>
          <w:sz w:val="24"/>
        </w:rPr>
        <w:t>mondiale</w:t>
      </w:r>
      <w:r>
        <w:rPr>
          <w:rStyle w:val="FootnoteReference"/>
          <w:rFonts w:ascii="Times New Roman" w:hAnsi="Times New Roman"/>
          <w:noProof/>
          <w:sz w:val="24"/>
        </w:rPr>
        <w:footnoteReference w:id="12"/>
      </w:r>
      <w:r>
        <w:rPr>
          <w:rFonts w:ascii="Times New Roman" w:hAnsi="Times New Roman"/>
          <w:noProof/>
          <w:sz w:val="24"/>
        </w:rPr>
        <w:t>. Toutefois, l’UE est loin de l’objectif global de 3 % du produit intérieur brut investi dans la recherche et le développement</w:t>
      </w:r>
      <w:r>
        <w:rPr>
          <w:rStyle w:val="FootnoteReference"/>
          <w:rFonts w:ascii="Times New Roman" w:hAnsi="Times New Roman"/>
          <w:noProof/>
          <w:sz w:val="24"/>
        </w:rPr>
        <w:footnoteReference w:id="13"/>
      </w:r>
      <w:r>
        <w:rPr>
          <w:rFonts w:ascii="Times New Roman" w:hAnsi="Times New Roman"/>
          <w:noProof/>
          <w:sz w:val="24"/>
        </w:rPr>
        <w:t>.</w:t>
      </w:r>
    </w:p>
    <w:p w:rsidR="00612B3C" w:rsidRDefault="00416A72">
      <w:pPr>
        <w:keepNext/>
        <w:spacing w:after="120" w:line="240" w:lineRule="auto"/>
        <w:jc w:val="center"/>
        <w:rPr>
          <w:rFonts w:ascii="Times New Roman" w:hAnsi="Times New Roman" w:cs="Times New Roman"/>
          <w:b/>
          <w:noProof/>
          <w:sz w:val="24"/>
          <w:szCs w:val="24"/>
        </w:rPr>
      </w:pPr>
      <w:r>
        <w:rPr>
          <w:rFonts w:ascii="Times New Roman" w:hAnsi="Times New Roman"/>
          <w:b/>
          <w:noProof/>
        </w:rPr>
        <w:t>Intensité de recherche et développement 2016</w:t>
      </w:r>
      <w:r>
        <w:rPr>
          <w:rStyle w:val="FootnoteReference"/>
          <w:rFonts w:ascii="Times New Roman" w:hAnsi="Times New Roman"/>
          <w:noProof/>
          <w:sz w:val="24"/>
        </w:rPr>
        <w:footnoteReference w:id="14"/>
      </w:r>
    </w:p>
    <w:p w:rsidR="00612B3C" w:rsidRDefault="00416A72">
      <w:pPr>
        <w:spacing w:line="240" w:lineRule="auto"/>
        <w:jc w:val="both"/>
        <w:rPr>
          <w:rFonts w:ascii="Times New Roman" w:hAnsi="Times New Roman" w:cs="Times New Roman"/>
          <w:noProof/>
        </w:rPr>
      </w:pPr>
      <w:r>
        <w:rPr>
          <w:noProof/>
          <w:lang w:val="en-GB" w:eastAsia="en-GB" w:bidi="ar-SA"/>
        </w:rPr>
        <w:drawing>
          <wp:inline distT="0" distB="0" distL="0" distR="0" wp14:anchorId="11C1AE0F" wp14:editId="4E3F240E">
            <wp:extent cx="5760720" cy="2512889"/>
            <wp:effectExtent l="0" t="0" r="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2B3C" w:rsidRDefault="00416A72">
      <w:pPr>
        <w:keepNext/>
        <w:spacing w:before="240" w:line="240" w:lineRule="auto"/>
        <w:jc w:val="both"/>
        <w:rPr>
          <w:rFonts w:ascii="Times New Roman" w:hAnsi="Times New Roman" w:cs="Times New Roman"/>
          <w:i/>
          <w:noProof/>
          <w:sz w:val="24"/>
          <w:szCs w:val="24"/>
        </w:rPr>
      </w:pPr>
      <w:r>
        <w:rPr>
          <w:rFonts w:ascii="Times New Roman" w:hAnsi="Times New Roman"/>
          <w:i/>
          <w:noProof/>
          <w:sz w:val="24"/>
        </w:rPr>
        <w:t>Investissements publics</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La très grande majorité des investissements pu</w:t>
      </w:r>
      <w:r>
        <w:rPr>
          <w:rFonts w:ascii="Times New Roman" w:hAnsi="Times New Roman"/>
          <w:noProof/>
          <w:sz w:val="24"/>
        </w:rPr>
        <w:t>blics dans la recherche et l’innovation dans l’UE – environ 85 % – provient de financements nationaux. Alors que le financement public consacré à la recherche et au développement dans l’UE et ses États membres est globalement comparable aux dépenses améric</w:t>
      </w:r>
      <w:r>
        <w:rPr>
          <w:rFonts w:ascii="Times New Roman" w:hAnsi="Times New Roman"/>
          <w:noProof/>
          <w:sz w:val="24"/>
        </w:rPr>
        <w:t>aines en la matière, il existe de fortes disparités entre les États membres. Il est crucial de stimuler les investissements publics dans la recherche et l’innovation dans les États membres qui y consacrent moins de fonds afin de maximiser le potentiel d’in</w:t>
      </w:r>
      <w:r>
        <w:rPr>
          <w:rFonts w:ascii="Times New Roman" w:hAnsi="Times New Roman"/>
          <w:noProof/>
          <w:sz w:val="24"/>
        </w:rPr>
        <w:t xml:space="preserve">novation de l’UE.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 xml:space="preserve">Au niveau européen, l’actuel programme de recherche et d’innovation de l’UE </w:t>
      </w:r>
      <w:r>
        <w:rPr>
          <w:rFonts w:ascii="Times New Roman" w:hAnsi="Times New Roman"/>
          <w:b/>
          <w:noProof/>
          <w:sz w:val="24"/>
        </w:rPr>
        <w:t>Horizon 2020</w:t>
      </w:r>
      <w:r>
        <w:rPr>
          <w:rFonts w:ascii="Times New Roman" w:hAnsi="Times New Roman"/>
          <w:noProof/>
          <w:sz w:val="24"/>
        </w:rPr>
        <w:t xml:space="preserve"> connaît un succès important - plaçant l’UE au premier plan mondial dans de nombreux domaines de la science et de la technologie</w:t>
      </w:r>
      <w:r>
        <w:rPr>
          <w:rStyle w:val="FootnoteReference"/>
          <w:rFonts w:ascii="Times New Roman" w:hAnsi="Times New Roman"/>
          <w:noProof/>
          <w:sz w:val="24"/>
        </w:rPr>
        <w:footnoteReference w:id="15"/>
      </w:r>
      <w:r>
        <w:rPr>
          <w:rFonts w:ascii="Times New Roman" w:hAnsi="Times New Roman"/>
          <w:noProof/>
          <w:sz w:val="24"/>
        </w:rPr>
        <w:t>. Doté d’un budget t</w:t>
      </w:r>
      <w:r>
        <w:rPr>
          <w:rFonts w:ascii="Times New Roman" w:hAnsi="Times New Roman"/>
          <w:noProof/>
          <w:sz w:val="24"/>
        </w:rPr>
        <w:t xml:space="preserve">otal de plus de 13,1 milliards d’EUR pour la période 2014-2020, le </w:t>
      </w:r>
      <w:r>
        <w:rPr>
          <w:rFonts w:ascii="Times New Roman" w:hAnsi="Times New Roman"/>
          <w:b/>
          <w:noProof/>
          <w:sz w:val="24"/>
        </w:rPr>
        <w:t>Conseil européen de la recherche</w:t>
      </w:r>
      <w:r>
        <w:rPr>
          <w:rStyle w:val="FootnoteReference"/>
          <w:rFonts w:ascii="Times New Roman" w:hAnsi="Times New Roman"/>
          <w:noProof/>
          <w:sz w:val="24"/>
        </w:rPr>
        <w:footnoteReference w:id="16"/>
      </w:r>
      <w:r>
        <w:rPr>
          <w:rFonts w:ascii="Times New Roman" w:hAnsi="Times New Roman"/>
          <w:noProof/>
          <w:sz w:val="24"/>
        </w:rPr>
        <w:t xml:space="preserve"> a aidé à favoriser l’excellence scientifique dans la recherche exploratoire et à attirer certains des plus grands talents en Europe</w:t>
      </w:r>
      <w:r>
        <w:rPr>
          <w:rStyle w:val="FootnoteReference"/>
          <w:rFonts w:ascii="Times New Roman" w:hAnsi="Times New Roman"/>
          <w:noProof/>
          <w:sz w:val="24"/>
        </w:rPr>
        <w:footnoteReference w:id="17"/>
      </w:r>
      <w:r>
        <w:rPr>
          <w:rFonts w:ascii="Times New Roman" w:hAnsi="Times New Roman"/>
          <w:noProof/>
          <w:sz w:val="24"/>
        </w:rPr>
        <w:t>. Fortes d’un budget de</w:t>
      </w:r>
      <w:r>
        <w:rPr>
          <w:rFonts w:ascii="Times New Roman" w:hAnsi="Times New Roman"/>
          <w:noProof/>
          <w:sz w:val="24"/>
        </w:rPr>
        <w:t xml:space="preserve"> 6,2 milliards d’EUR, les </w:t>
      </w:r>
      <w:r>
        <w:rPr>
          <w:rFonts w:ascii="Times New Roman" w:hAnsi="Times New Roman"/>
          <w:b/>
          <w:noProof/>
          <w:sz w:val="24"/>
        </w:rPr>
        <w:t>actions Marie Skłodowska-Curie</w:t>
      </w:r>
      <w:r>
        <w:rPr>
          <w:rFonts w:ascii="Times New Roman" w:hAnsi="Times New Roman"/>
          <w:noProof/>
          <w:sz w:val="24"/>
        </w:rPr>
        <w:t xml:space="preserve"> ont soutenu des chercheurs de haut niveau tout au long de leur carrière</w:t>
      </w:r>
      <w:r>
        <w:rPr>
          <w:rStyle w:val="FootnoteReference"/>
          <w:rFonts w:ascii="Times New Roman" w:hAnsi="Times New Roman"/>
          <w:noProof/>
          <w:sz w:val="24"/>
        </w:rPr>
        <w:footnoteReference w:id="18"/>
      </w:r>
      <w:r>
        <w:rPr>
          <w:rFonts w:ascii="Times New Roman" w:hAnsi="Times New Roman"/>
          <w:noProof/>
          <w:sz w:val="24"/>
        </w:rPr>
        <w:t xml:space="preserve">.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plan d’investissement pour l’Europe</w:t>
      </w:r>
      <w:r>
        <w:rPr>
          <w:rFonts w:ascii="Times New Roman" w:hAnsi="Times New Roman"/>
          <w:noProof/>
          <w:sz w:val="24"/>
        </w:rPr>
        <w:t xml:space="preserve"> soutient des projets innovants et des petites et moyennes entreprises en particulier</w:t>
      </w:r>
      <w:r>
        <w:rPr>
          <w:rStyle w:val="FootnoteReference"/>
          <w:rFonts w:ascii="Times New Roman" w:hAnsi="Times New Roman"/>
          <w:noProof/>
          <w:sz w:val="24"/>
        </w:rPr>
        <w:footnoteReference w:id="19"/>
      </w:r>
      <w:r>
        <w:rPr>
          <w:rFonts w:ascii="Times New Roman" w:hAnsi="Times New Roman"/>
          <w:noProof/>
          <w:sz w:val="24"/>
        </w:rPr>
        <w:t xml:space="preserve">. Les </w:t>
      </w:r>
      <w:r>
        <w:rPr>
          <w:rFonts w:ascii="Times New Roman" w:hAnsi="Times New Roman"/>
          <w:b/>
          <w:noProof/>
          <w:sz w:val="24"/>
        </w:rPr>
        <w:t>Fonds structurels et d’investissement européens</w:t>
      </w:r>
      <w:r>
        <w:rPr>
          <w:rFonts w:ascii="Times New Roman" w:hAnsi="Times New Roman"/>
          <w:noProof/>
          <w:sz w:val="24"/>
        </w:rPr>
        <w:t xml:space="preserve"> ont joué un rôle vital pour les investissements publics dans la recherche et l’innovation et pour leur répartition régionale</w:t>
      </w:r>
      <w:r>
        <w:rPr>
          <w:rStyle w:val="FootnoteReference"/>
          <w:rFonts w:ascii="Times New Roman" w:hAnsi="Times New Roman"/>
          <w:noProof/>
          <w:sz w:val="24"/>
        </w:rPr>
        <w:footnoteReference w:id="20"/>
      </w:r>
      <w:r>
        <w:rPr>
          <w:rFonts w:ascii="Times New Roman" w:hAnsi="Times New Roman"/>
          <w:noProof/>
          <w:sz w:val="24"/>
        </w:rPr>
        <w:t>.</w:t>
      </w:r>
    </w:p>
    <w:p w:rsidR="00612B3C" w:rsidRDefault="00416A72">
      <w:pPr>
        <w:spacing w:line="240" w:lineRule="auto"/>
        <w:jc w:val="both"/>
        <w:rPr>
          <w:rFonts w:ascii="Times New Roman" w:hAnsi="Times New Roman"/>
          <w:noProof/>
          <w:sz w:val="24"/>
          <w:szCs w:val="24"/>
        </w:rPr>
      </w:pPr>
      <w:r>
        <w:rPr>
          <w:rFonts w:ascii="Times New Roman" w:hAnsi="Times New Roman"/>
          <w:noProof/>
          <w:sz w:val="24"/>
        </w:rPr>
        <w:t xml:space="preserve">Dans sa proposition relative au </w:t>
      </w:r>
      <w:r>
        <w:rPr>
          <w:rFonts w:ascii="Times New Roman" w:hAnsi="Times New Roman"/>
          <w:b/>
          <w:noProof/>
          <w:sz w:val="24"/>
        </w:rPr>
        <w:t>cadre financier pluriannuel 2021-2027</w:t>
      </w:r>
      <w:r>
        <w:rPr>
          <w:rFonts w:ascii="Times New Roman" w:hAnsi="Times New Roman"/>
          <w:noProof/>
          <w:sz w:val="24"/>
        </w:rPr>
        <w:t xml:space="preserve"> du 2 mai 2018</w:t>
      </w:r>
      <w:r>
        <w:rPr>
          <w:rStyle w:val="FootnoteReference"/>
          <w:rFonts w:ascii="Times New Roman" w:hAnsi="Times New Roman"/>
          <w:noProof/>
          <w:sz w:val="24"/>
        </w:rPr>
        <w:footnoteReference w:id="21"/>
      </w:r>
      <w:r>
        <w:rPr>
          <w:rFonts w:ascii="Times New Roman" w:hAnsi="Times New Roman"/>
          <w:noProof/>
          <w:sz w:val="24"/>
        </w:rPr>
        <w:t>, la Commission a clairement indiqué que la recherche et l’innovation doivent continuer d’être une priorité fondamentale de l’Union. La Commission a proposé d’augmenter les investissements dans la recherche et l’innovation en allouant 100 mi</w:t>
      </w:r>
      <w:r>
        <w:rPr>
          <w:rFonts w:ascii="Times New Roman" w:hAnsi="Times New Roman"/>
          <w:noProof/>
          <w:sz w:val="24"/>
        </w:rPr>
        <w:t xml:space="preserve">lliards d’EUR au futur programme </w:t>
      </w:r>
      <w:r>
        <w:rPr>
          <w:rFonts w:ascii="Times New Roman" w:hAnsi="Times New Roman"/>
          <w:b/>
          <w:noProof/>
          <w:sz w:val="24"/>
        </w:rPr>
        <w:t>Horizon Europe</w:t>
      </w:r>
      <w:r>
        <w:rPr>
          <w:rFonts w:ascii="Times New Roman" w:hAnsi="Times New Roman"/>
          <w:noProof/>
          <w:sz w:val="24"/>
        </w:rPr>
        <w:t xml:space="preserve"> et au </w:t>
      </w:r>
      <w:r>
        <w:rPr>
          <w:rFonts w:ascii="Times New Roman" w:hAnsi="Times New Roman"/>
          <w:b/>
          <w:noProof/>
          <w:sz w:val="24"/>
        </w:rPr>
        <w:t>programme Euratom de recherche et de formation</w:t>
      </w:r>
      <w:r>
        <w:rPr>
          <w:rFonts w:ascii="Times New Roman" w:hAnsi="Times New Roman"/>
          <w:noProof/>
          <w:sz w:val="24"/>
        </w:rPr>
        <w:t>. De même, la Commission a proposé de mobiliser environ 11 milliards d’EUR pour des instruments fondés sur le marché, notamment des instruments financiers e</w:t>
      </w:r>
      <w:r>
        <w:rPr>
          <w:rFonts w:ascii="Times New Roman" w:hAnsi="Times New Roman"/>
          <w:noProof/>
          <w:sz w:val="24"/>
        </w:rPr>
        <w:t xml:space="preserve">t des garanties budgétaires, dans un volet spécifique au titre du </w:t>
      </w:r>
      <w:r>
        <w:rPr>
          <w:rFonts w:ascii="Times New Roman" w:hAnsi="Times New Roman"/>
          <w:b/>
          <w:noProof/>
          <w:sz w:val="24"/>
        </w:rPr>
        <w:t>Fonds InvestEU</w:t>
      </w:r>
      <w:r>
        <w:rPr>
          <w:rFonts w:ascii="Times New Roman" w:hAnsi="Times New Roman"/>
          <w:noProof/>
          <w:sz w:val="24"/>
        </w:rPr>
        <w:t>, ce qui permettra à son tour de mobiliser 200 milliards d’EUR d’investissements privés en faveur de la recherche et de l’innovation</w:t>
      </w:r>
      <w:r>
        <w:rPr>
          <w:rStyle w:val="FootnoteReference"/>
          <w:rFonts w:ascii="Times New Roman" w:hAnsi="Times New Roman"/>
          <w:noProof/>
          <w:sz w:val="24"/>
        </w:rPr>
        <w:footnoteReference w:id="22"/>
      </w:r>
      <w:r>
        <w:rPr>
          <w:rFonts w:ascii="Times New Roman" w:hAnsi="Times New Roman"/>
          <w:noProof/>
          <w:sz w:val="24"/>
        </w:rPr>
        <w:t>. Ces propositions reflètent le consensus s</w:t>
      </w:r>
      <w:r>
        <w:rPr>
          <w:rFonts w:ascii="Times New Roman" w:hAnsi="Times New Roman"/>
          <w:noProof/>
          <w:sz w:val="24"/>
        </w:rPr>
        <w:t>elon lequel les investissements dans la recherche et l’innovation sont non seulement essentiels pour les emplois et la croissance de l’UE, mais aussi qu’il s’agit d’un secteur à très forte valeur ajoutée européenne.</w:t>
      </w:r>
    </w:p>
    <w:p w:rsidR="00612B3C" w:rsidRDefault="00416A72">
      <w:pPr>
        <w:spacing w:line="240" w:lineRule="auto"/>
        <w:jc w:val="both"/>
        <w:rPr>
          <w:rFonts w:ascii="Times New Roman" w:hAnsi="Times New Roman"/>
          <w:noProof/>
          <w:sz w:val="24"/>
          <w:szCs w:val="24"/>
        </w:rPr>
      </w:pPr>
      <w:r>
        <w:rPr>
          <w:rFonts w:ascii="Times New Roman" w:hAnsi="Times New Roman"/>
          <w:noProof/>
          <w:sz w:val="24"/>
        </w:rPr>
        <w:t>L’innovation doit être un moteur central</w:t>
      </w:r>
      <w:r>
        <w:rPr>
          <w:rFonts w:ascii="Times New Roman" w:hAnsi="Times New Roman"/>
          <w:noProof/>
          <w:sz w:val="24"/>
        </w:rPr>
        <w:t xml:space="preserve"> pour les politiques et les programmes de l’UE pour 2021-2027. Les complémentarités et les synergies avec les programmes de financement de l’UE seront pleinement exploitées de sorte que le financement soit rationalisé et coordonné au profit d’une améliorat</w:t>
      </w:r>
      <w:r>
        <w:rPr>
          <w:rFonts w:ascii="Times New Roman" w:hAnsi="Times New Roman"/>
          <w:noProof/>
          <w:sz w:val="24"/>
        </w:rPr>
        <w:t>ion des activités de recherche et d’innovation. De cette manière, outre le programme Horizon Europe, d’autres programmes de financement importants tels que le mécanisme pour l’interconnexion en Europe, le Fonds européen de développement régional et le Fond</w:t>
      </w:r>
      <w:r>
        <w:rPr>
          <w:rFonts w:ascii="Times New Roman" w:hAnsi="Times New Roman"/>
          <w:noProof/>
          <w:sz w:val="24"/>
        </w:rPr>
        <w:t xml:space="preserve">s de cohésion, le programme pour une Europe numérique, le Fonds européen de défense, la politique agricole commune et le programme spatial stimuleront aussi considérablement l’innovation. </w:t>
      </w:r>
    </w:p>
    <w:p w:rsidR="00612B3C" w:rsidRDefault="00416A72">
      <w:pPr>
        <w:keepNext/>
        <w:spacing w:line="240" w:lineRule="auto"/>
        <w:jc w:val="both"/>
        <w:rPr>
          <w:rFonts w:ascii="Times New Roman" w:hAnsi="Times New Roman" w:cs="Times New Roman"/>
          <w:i/>
          <w:noProof/>
          <w:sz w:val="24"/>
          <w:szCs w:val="24"/>
        </w:rPr>
      </w:pPr>
      <w:r>
        <w:rPr>
          <w:rFonts w:ascii="Times New Roman" w:hAnsi="Times New Roman"/>
          <w:i/>
          <w:noProof/>
          <w:sz w:val="24"/>
        </w:rPr>
        <w:t>Investissements privés</w:t>
      </w:r>
    </w:p>
    <w:p w:rsidR="00612B3C" w:rsidRDefault="00416A72">
      <w:pPr>
        <w:spacing w:line="240" w:lineRule="auto"/>
        <w:jc w:val="both"/>
        <w:rPr>
          <w:rFonts w:ascii="Times New Roman" w:hAnsi="Times New Roman" w:cs="Times New Roman"/>
          <w:noProof/>
          <w:sz w:val="24"/>
          <w:szCs w:val="24"/>
        </w:rPr>
      </w:pPr>
      <w:r>
        <w:rPr>
          <w:rFonts w:ascii="Times New Roman" w:hAnsi="Times New Roman"/>
          <w:b/>
          <w:noProof/>
          <w:sz w:val="24"/>
        </w:rPr>
        <w:t>La faiblesse des investissements privés dans</w:t>
      </w:r>
      <w:r>
        <w:rPr>
          <w:rFonts w:ascii="Times New Roman" w:hAnsi="Times New Roman"/>
          <w:b/>
          <w:noProof/>
          <w:sz w:val="24"/>
        </w:rPr>
        <w:t xml:space="preserve"> l’innovation constitue une fragilité persistante en Europe.</w:t>
      </w:r>
      <w:r>
        <w:rPr>
          <w:rFonts w:ascii="Times New Roman" w:hAnsi="Times New Roman"/>
          <w:noProof/>
          <w:sz w:val="24"/>
        </w:rPr>
        <w:t xml:space="preserve"> Dans l’UE, les investissements des entreprises dans la recherche et l’innovation s’élèvent à 1,3 % du produit intérieur brut. Ce chiffre est dérisoire comparé aux investissements consentis en Chi</w:t>
      </w:r>
      <w:r>
        <w:rPr>
          <w:rFonts w:ascii="Times New Roman" w:hAnsi="Times New Roman"/>
          <w:noProof/>
          <w:sz w:val="24"/>
        </w:rPr>
        <w:t>ne (1,6 %), aux États-Unis (2 %), au Japon (2,6 %) ou en Corée du Sud (3,3 %)</w:t>
      </w:r>
      <w:r>
        <w:rPr>
          <w:rStyle w:val="FootnoteReference"/>
          <w:rFonts w:ascii="Times New Roman" w:hAnsi="Times New Roman"/>
          <w:noProof/>
          <w:sz w:val="24"/>
        </w:rPr>
        <w:footnoteReference w:id="23"/>
      </w:r>
      <w:r>
        <w:rPr>
          <w:rFonts w:ascii="Times New Roman" w:hAnsi="Times New Roman"/>
          <w:noProof/>
          <w:sz w:val="24"/>
        </w:rPr>
        <w:t>.</w:t>
      </w:r>
    </w:p>
    <w:p w:rsidR="00612B3C" w:rsidRDefault="00416A72">
      <w:pPr>
        <w:keepNext/>
        <w:spacing w:after="0" w:line="240" w:lineRule="auto"/>
        <w:jc w:val="center"/>
        <w:rPr>
          <w:rFonts w:ascii="Times New Roman" w:hAnsi="Times New Roman" w:cs="Times New Roman"/>
          <w:b/>
          <w:noProof/>
          <w:sz w:val="24"/>
          <w:szCs w:val="24"/>
        </w:rPr>
      </w:pPr>
      <w:r>
        <w:rPr>
          <w:rFonts w:ascii="Times New Roman" w:hAnsi="Times New Roman"/>
          <w:b/>
          <w:noProof/>
        </w:rPr>
        <w:t>Les entreprises de l’UE dépensent moins dans la recherche et le développement que leurs concurrentes</w:t>
      </w:r>
      <w:r>
        <w:rPr>
          <w:rStyle w:val="FootnoteReference"/>
          <w:rFonts w:ascii="Times New Roman" w:hAnsi="Times New Roman"/>
          <w:noProof/>
        </w:rPr>
        <w:footnoteReference w:id="24"/>
      </w:r>
    </w:p>
    <w:p w:rsidR="00612B3C" w:rsidRDefault="00416A72">
      <w:pPr>
        <w:keepNext/>
        <w:spacing w:after="0" w:line="240" w:lineRule="auto"/>
        <w:jc w:val="center"/>
        <w:rPr>
          <w:rFonts w:ascii="Times New Roman" w:hAnsi="Times New Roman" w:cs="Times New Roman"/>
          <w:noProof/>
          <w:szCs w:val="24"/>
        </w:rPr>
      </w:pPr>
      <w:r>
        <w:rPr>
          <w:rFonts w:ascii="Times New Roman" w:hAnsi="Times New Roman"/>
          <w:noProof/>
        </w:rPr>
        <w:t>Évolution de l’intensité de R&amp;D dans les entreprises, 2000-2016</w:t>
      </w:r>
    </w:p>
    <w:p w:rsidR="00612B3C" w:rsidRDefault="00416A72">
      <w:pPr>
        <w:spacing w:line="240" w:lineRule="auto"/>
        <w:jc w:val="both"/>
        <w:rPr>
          <w:rFonts w:ascii="Times New Roman" w:hAnsi="Times New Roman" w:cs="Times New Roman"/>
          <w:noProof/>
          <w:sz w:val="24"/>
          <w:szCs w:val="24"/>
        </w:rPr>
      </w:pPr>
      <w:r>
        <w:rPr>
          <w:noProof/>
          <w:lang w:val="en-GB" w:eastAsia="en-GB" w:bidi="ar-SA"/>
        </w:rPr>
        <w:drawing>
          <wp:inline distT="0" distB="0" distL="0" distR="0" wp14:anchorId="6757062C" wp14:editId="1094C511">
            <wp:extent cx="5760720" cy="3644087"/>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2B3C" w:rsidRDefault="00416A72">
      <w:pPr>
        <w:spacing w:after="0" w:line="240" w:lineRule="auto"/>
        <w:jc w:val="both"/>
        <w:rPr>
          <w:rFonts w:ascii="Times New Roman" w:hAnsi="Times New Roman" w:cs="Times New Roman"/>
          <w:noProof/>
          <w:sz w:val="24"/>
          <w:szCs w:val="24"/>
        </w:rPr>
      </w:pPr>
      <w:r>
        <w:rPr>
          <w:rFonts w:ascii="Times New Roman" w:hAnsi="Times New Roman"/>
          <w:noProof/>
          <w:sz w:val="24"/>
        </w:rPr>
        <w:t>L’Europe</w:t>
      </w:r>
      <w:r>
        <w:rPr>
          <w:rFonts w:ascii="Times New Roman" w:hAnsi="Times New Roman"/>
          <w:noProof/>
          <w:sz w:val="24"/>
        </w:rPr>
        <w:t xml:space="preserve"> a besoin d’une industrie qui innove et investit dans l’innovation. Afin de renforcer les investissements privés, l’Europe a besoin d’un meilleur environnement pour les entreprises assorti d’un cadre réglementaire simple, clair et efficace. Elle doit assur</w:t>
      </w:r>
      <w:r>
        <w:rPr>
          <w:rFonts w:ascii="Times New Roman" w:hAnsi="Times New Roman"/>
          <w:noProof/>
          <w:sz w:val="24"/>
        </w:rPr>
        <w:t>er des marchés ouverts et concurrentiels, et offrir les incitations adéquates à l’investissement ainsi qu’un accès plus aisé aux financements, en particulier aux petites et moyennes entreprises. Le financement de la recherche industrielle, notamment au moy</w:t>
      </w:r>
      <w:r>
        <w:rPr>
          <w:rFonts w:ascii="Times New Roman" w:hAnsi="Times New Roman"/>
          <w:noProof/>
          <w:sz w:val="24"/>
        </w:rPr>
        <w:t>en de partenariats public-privé, revêt également une importance particulière pour faire face à la concurrence mondiale.</w:t>
      </w:r>
    </w:p>
    <w:p w:rsidR="00612B3C" w:rsidRDefault="00612B3C">
      <w:pPr>
        <w:spacing w:after="0" w:line="240" w:lineRule="auto"/>
        <w:jc w:val="both"/>
        <w:rPr>
          <w:rFonts w:ascii="Times New Roman" w:hAnsi="Times New Roman" w:cs="Times New Roman"/>
          <w:noProof/>
          <w:sz w:val="24"/>
          <w:szCs w:val="24"/>
        </w:rPr>
      </w:pPr>
    </w:p>
    <w:p w:rsidR="00612B3C" w:rsidRDefault="00416A72">
      <w:pPr>
        <w:spacing w:after="0" w:line="240" w:lineRule="auto"/>
        <w:jc w:val="both"/>
        <w:rPr>
          <w:rFonts w:ascii="Times New Roman" w:hAnsi="Times New Roman" w:cs="Times New Roman"/>
          <w:b/>
          <w:noProof/>
          <w:sz w:val="24"/>
          <w:szCs w:val="24"/>
        </w:rPr>
      </w:pPr>
      <w:r>
        <w:rPr>
          <w:rFonts w:ascii="Times New Roman" w:hAnsi="Times New Roman"/>
          <w:noProof/>
          <w:sz w:val="24"/>
        </w:rPr>
        <w:t xml:space="preserve">La </w:t>
      </w:r>
      <w:r>
        <w:rPr>
          <w:rFonts w:ascii="Times New Roman" w:hAnsi="Times New Roman"/>
          <w:b/>
          <w:noProof/>
          <w:sz w:val="24"/>
        </w:rPr>
        <w:t>stratégie pour la politique industrielle de l'UE</w:t>
      </w:r>
      <w:r>
        <w:rPr>
          <w:rFonts w:ascii="Times New Roman" w:hAnsi="Times New Roman"/>
          <w:noProof/>
          <w:sz w:val="24"/>
        </w:rPr>
        <w:t xml:space="preserve"> vise à améliorer les conditions économiques générales pour les investissements priv</w:t>
      </w:r>
      <w:r>
        <w:rPr>
          <w:rFonts w:ascii="Times New Roman" w:hAnsi="Times New Roman"/>
          <w:noProof/>
          <w:sz w:val="24"/>
        </w:rPr>
        <w:t>és dans l’innovation, y compris en facilitant la passation de marchés pour des solutions innovantes. Pour ce faire,</w:t>
      </w:r>
      <w:r>
        <w:rPr>
          <w:rStyle w:val="FootnoteReference"/>
          <w:rFonts w:ascii="Times New Roman" w:hAnsi="Times New Roman"/>
          <w:noProof/>
          <w:sz w:val="24"/>
        </w:rPr>
        <w:t xml:space="preserve"> </w:t>
      </w:r>
      <w:r>
        <w:rPr>
          <w:rFonts w:ascii="Times New Roman" w:hAnsi="Times New Roman"/>
          <w:noProof/>
          <w:sz w:val="24"/>
        </w:rPr>
        <w:t>elle expose un ensemble complet d’actions allant de la modernisation des cadres en matière de propriété intellectuelle à l’adoption d’initia</w:t>
      </w:r>
      <w:r>
        <w:rPr>
          <w:rFonts w:ascii="Times New Roman" w:hAnsi="Times New Roman"/>
          <w:noProof/>
          <w:sz w:val="24"/>
        </w:rPr>
        <w:t>tives relatives au marché unique numérique comme la réglementation sur la cybersécurité et les flux de données</w:t>
      </w:r>
      <w:r>
        <w:rPr>
          <w:rStyle w:val="FootnoteReference"/>
          <w:rFonts w:ascii="Times New Roman" w:hAnsi="Times New Roman"/>
          <w:noProof/>
          <w:sz w:val="24"/>
        </w:rPr>
        <w:footnoteReference w:id="25"/>
      </w:r>
      <w:r>
        <w:rPr>
          <w:rFonts w:ascii="Times New Roman" w:hAnsi="Times New Roman"/>
          <w:noProof/>
          <w:sz w:val="24"/>
        </w:rPr>
        <w:t xml:space="preserve">. Elle complète le </w:t>
      </w:r>
      <w:r>
        <w:rPr>
          <w:rFonts w:ascii="Times New Roman" w:hAnsi="Times New Roman"/>
          <w:b/>
          <w:noProof/>
          <w:sz w:val="24"/>
        </w:rPr>
        <w:t>programme de l’UE pour une meilleure réglementation</w:t>
      </w:r>
      <w:r>
        <w:rPr>
          <w:rFonts w:ascii="Times New Roman" w:hAnsi="Times New Roman"/>
          <w:noProof/>
          <w:sz w:val="24"/>
        </w:rPr>
        <w:t xml:space="preserve"> qui garantit que les politiques et la législation de l’UE sont aussi effic</w:t>
      </w:r>
      <w:r>
        <w:rPr>
          <w:rFonts w:ascii="Times New Roman" w:hAnsi="Times New Roman"/>
          <w:noProof/>
          <w:sz w:val="24"/>
        </w:rPr>
        <w:t>aces et efficientes que possible par la consultation systématique des parties prenantes, des évaluations et des analyses d'impact</w:t>
      </w:r>
      <w:r>
        <w:rPr>
          <w:rStyle w:val="FootnoteReference"/>
          <w:rFonts w:ascii="Times New Roman" w:hAnsi="Times New Roman"/>
          <w:noProof/>
          <w:sz w:val="24"/>
        </w:rPr>
        <w:footnoteReference w:id="26"/>
      </w:r>
      <w:r>
        <w:rPr>
          <w:rFonts w:ascii="Times New Roman" w:hAnsi="Times New Roman"/>
          <w:noProof/>
          <w:sz w:val="24"/>
        </w:rPr>
        <w:t>. Des initiatives récentes sur l’</w:t>
      </w:r>
      <w:r>
        <w:rPr>
          <w:rFonts w:ascii="Times New Roman" w:hAnsi="Times New Roman"/>
          <w:b/>
          <w:noProof/>
          <w:sz w:val="24"/>
        </w:rPr>
        <w:t>intelligence artificielle</w:t>
      </w:r>
      <w:r>
        <w:rPr>
          <w:rFonts w:ascii="Times New Roman" w:hAnsi="Times New Roman"/>
          <w:noProof/>
          <w:sz w:val="24"/>
        </w:rPr>
        <w:t xml:space="preserve">, le </w:t>
      </w:r>
      <w:r>
        <w:rPr>
          <w:rFonts w:ascii="Times New Roman" w:hAnsi="Times New Roman"/>
          <w:b/>
          <w:noProof/>
          <w:sz w:val="24"/>
        </w:rPr>
        <w:t>calcul à haute performance</w:t>
      </w:r>
      <w:r>
        <w:rPr>
          <w:rFonts w:ascii="Times New Roman" w:hAnsi="Times New Roman"/>
          <w:noProof/>
          <w:sz w:val="24"/>
        </w:rPr>
        <w:t xml:space="preserve"> et l’</w:t>
      </w:r>
      <w:r>
        <w:rPr>
          <w:rFonts w:ascii="Times New Roman" w:hAnsi="Times New Roman"/>
          <w:b/>
          <w:noProof/>
          <w:sz w:val="24"/>
        </w:rPr>
        <w:t>économie fondée sur les données</w:t>
      </w:r>
      <w:r>
        <w:rPr>
          <w:rFonts w:ascii="Times New Roman" w:hAnsi="Times New Roman"/>
          <w:noProof/>
          <w:sz w:val="24"/>
        </w:rPr>
        <w:t>, entre autres, contribueront à mettre l’Europe à l’avant-plan de la prochaine vague d’innovation</w:t>
      </w:r>
      <w:r>
        <w:rPr>
          <w:rFonts w:ascii="Times New Roman" w:hAnsi="Times New Roman"/>
          <w:noProof/>
          <w:sz w:val="24"/>
          <w:vertAlign w:val="superscript"/>
        </w:rPr>
        <w:footnoteReference w:id="27"/>
      </w:r>
      <w:r>
        <w:rPr>
          <w:rFonts w:ascii="Times New Roman" w:hAnsi="Times New Roman"/>
          <w:noProof/>
          <w:sz w:val="24"/>
        </w:rPr>
        <w:t xml:space="preserve">. Le </w:t>
      </w:r>
      <w:r>
        <w:rPr>
          <w:rFonts w:ascii="Times New Roman" w:hAnsi="Times New Roman"/>
          <w:b/>
          <w:noProof/>
          <w:sz w:val="24"/>
        </w:rPr>
        <w:t>plan d’investissement pour l’Europe</w:t>
      </w:r>
      <w:r>
        <w:rPr>
          <w:rFonts w:ascii="Times New Roman" w:hAnsi="Times New Roman"/>
          <w:noProof/>
          <w:sz w:val="24"/>
        </w:rPr>
        <w:t xml:space="preserve"> supprime les obstacles à l’investissement, apporte de la visibilité et une assistance technique aux projets d’investi</w:t>
      </w:r>
      <w:r>
        <w:rPr>
          <w:rFonts w:ascii="Times New Roman" w:hAnsi="Times New Roman"/>
          <w:noProof/>
          <w:sz w:val="24"/>
        </w:rPr>
        <w:t>ssement et fait un usage plus judicieux des ressources financières</w:t>
      </w:r>
      <w:r>
        <w:rPr>
          <w:rStyle w:val="FootnoteReference"/>
          <w:rFonts w:ascii="Times New Roman" w:hAnsi="Times New Roman"/>
          <w:noProof/>
          <w:sz w:val="24"/>
        </w:rPr>
        <w:footnoteReference w:id="28"/>
      </w:r>
      <w:r>
        <w:rPr>
          <w:rFonts w:ascii="Times New Roman" w:hAnsi="Times New Roman"/>
          <w:noProof/>
          <w:sz w:val="24"/>
        </w:rPr>
        <w:t xml:space="preserve">. </w:t>
      </w:r>
    </w:p>
    <w:p w:rsidR="00612B3C" w:rsidRDefault="00416A72">
      <w:pPr>
        <w:spacing w:before="240" w:after="240" w:line="240" w:lineRule="auto"/>
        <w:jc w:val="both"/>
        <w:rPr>
          <w:rFonts w:ascii="Times New Roman" w:hAnsi="Times New Roman"/>
          <w:i/>
          <w:noProof/>
        </w:rPr>
      </w:pPr>
      <w:r>
        <w:rPr>
          <w:rFonts w:ascii="Times New Roman" w:hAnsi="Times New Roman"/>
          <w:noProof/>
          <w:sz w:val="24"/>
        </w:rPr>
        <w:t xml:space="preserve">Le </w:t>
      </w:r>
      <w:r>
        <w:rPr>
          <w:rFonts w:ascii="Times New Roman" w:hAnsi="Times New Roman"/>
          <w:b/>
          <w:noProof/>
          <w:sz w:val="24"/>
        </w:rPr>
        <w:t>capital-risque</w:t>
      </w:r>
      <w:r>
        <w:rPr>
          <w:rFonts w:ascii="Times New Roman" w:hAnsi="Times New Roman"/>
          <w:noProof/>
          <w:sz w:val="24"/>
        </w:rPr>
        <w:t xml:space="preserve">, source de financement majeure pour les start-ups innovantes, constitue un </w:t>
      </w:r>
      <w:r>
        <w:rPr>
          <w:rFonts w:ascii="Times New Roman" w:hAnsi="Times New Roman"/>
          <w:b/>
          <w:noProof/>
          <w:sz w:val="24"/>
        </w:rPr>
        <w:t>point faible spécifique à l’Europe</w:t>
      </w:r>
      <w:r>
        <w:rPr>
          <w:rFonts w:ascii="Times New Roman" w:hAnsi="Times New Roman"/>
          <w:noProof/>
          <w:sz w:val="24"/>
        </w:rPr>
        <w:t xml:space="preserve">. Les investissements en capital-risque dans leur ensemble </w:t>
      </w:r>
      <w:r>
        <w:rPr>
          <w:rFonts w:ascii="Times New Roman" w:hAnsi="Times New Roman"/>
          <w:noProof/>
          <w:sz w:val="24"/>
        </w:rPr>
        <w:t>ne représentent qu’un cinquième du niveau atteint aux États-Unis</w:t>
      </w:r>
      <w:r>
        <w:rPr>
          <w:rStyle w:val="FootnoteReference"/>
          <w:rFonts w:ascii="Times New Roman" w:hAnsi="Times New Roman"/>
          <w:noProof/>
        </w:rPr>
        <w:footnoteReference w:id="29"/>
      </w:r>
      <w:r>
        <w:rPr>
          <w:rFonts w:ascii="Times New Roman" w:hAnsi="Times New Roman"/>
          <w:noProof/>
          <w:sz w:val="24"/>
        </w:rPr>
        <w:t>. La taille moyenne de ces fonds en Europe est trop petite pour attirer les grands investisseurs institutionnels et privés, ce qui crée un déficit dans le financement des entreprises lorsqu’e</w:t>
      </w:r>
      <w:r>
        <w:rPr>
          <w:rFonts w:ascii="Times New Roman" w:hAnsi="Times New Roman"/>
          <w:noProof/>
          <w:sz w:val="24"/>
        </w:rPr>
        <w:t xml:space="preserve">lles se développent et une dépendance excessive vis-à-vis des fonds publics. </w:t>
      </w:r>
    </w:p>
    <w:p w:rsidR="00612B3C" w:rsidRDefault="00416A72">
      <w:pPr>
        <w:keepNext/>
        <w:spacing w:before="240" w:after="240" w:line="240" w:lineRule="auto"/>
        <w:jc w:val="center"/>
        <w:rPr>
          <w:rFonts w:ascii="Times New Roman" w:hAnsi="Times New Roman" w:cs="Times New Roman"/>
          <w:b/>
          <w:noProof/>
          <w:sz w:val="24"/>
          <w:szCs w:val="24"/>
        </w:rPr>
      </w:pPr>
      <w:r>
        <w:rPr>
          <w:rFonts w:ascii="Times New Roman" w:hAnsi="Times New Roman"/>
          <w:b/>
          <w:noProof/>
        </w:rPr>
        <w:t>Fonds de capital-risque levés (en milliards d’EUR) dans l’UE et aux États-Unis, 2007-2016</w:t>
      </w:r>
      <w:r>
        <w:rPr>
          <w:rStyle w:val="FootnoteReference"/>
          <w:rFonts w:ascii="Times New Roman" w:hAnsi="Times New Roman"/>
          <w:noProof/>
        </w:rPr>
        <w:footnoteReference w:id="30"/>
      </w:r>
    </w:p>
    <w:p w:rsidR="00612B3C" w:rsidRDefault="00416A72">
      <w:pPr>
        <w:spacing w:before="240" w:after="240" w:line="240" w:lineRule="auto"/>
        <w:jc w:val="both"/>
        <w:rPr>
          <w:rFonts w:ascii="Times New Roman" w:hAnsi="Times New Roman" w:cs="Times New Roman"/>
          <w:i/>
          <w:noProof/>
          <w:szCs w:val="20"/>
        </w:rPr>
      </w:pPr>
      <w:r>
        <w:rPr>
          <w:noProof/>
          <w:lang w:val="en-GB" w:eastAsia="en-GB" w:bidi="ar-SA"/>
        </w:rPr>
        <w:drawing>
          <wp:inline distT="0" distB="0" distL="0" distR="0" wp14:anchorId="3658D30D" wp14:editId="08A56435">
            <wp:extent cx="5760720" cy="341564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2B3C" w:rsidRDefault="00612B3C">
      <w:pPr>
        <w:spacing w:line="240" w:lineRule="auto"/>
        <w:jc w:val="center"/>
        <w:rPr>
          <w:rFonts w:ascii="Times New Roman" w:hAnsi="Times New Roman" w:cs="Times New Roman"/>
          <w:noProof/>
          <w:sz w:val="24"/>
          <w:szCs w:val="24"/>
        </w:rPr>
      </w:pPr>
    </w:p>
    <w:p w:rsidR="00612B3C" w:rsidRDefault="00416A72">
      <w:pPr>
        <w:spacing w:line="240" w:lineRule="auto"/>
        <w:jc w:val="both"/>
        <w:rPr>
          <w:rFonts w:ascii="Times New Roman" w:hAnsi="Times New Roman" w:cs="Times New Roman"/>
          <w:noProof/>
          <w:sz w:val="24"/>
          <w:szCs w:val="24"/>
        </w:rPr>
      </w:pPr>
      <w:r>
        <w:rPr>
          <w:rFonts w:ascii="Times New Roman" w:hAnsi="Times New Roman"/>
          <w:b/>
          <w:noProof/>
          <w:sz w:val="24"/>
        </w:rPr>
        <w:t>Le Fonds européen pour les investissements stratégiques</w:t>
      </w:r>
      <w:r>
        <w:rPr>
          <w:rFonts w:ascii="Times New Roman" w:hAnsi="Times New Roman"/>
          <w:noProof/>
          <w:sz w:val="24"/>
        </w:rPr>
        <w:t xml:space="preserve"> a réactivé les investissements dans les projets stratégiques, et un tiers de l’investissement total attendu, qui s’élève à plus de 500 milliards d’EUR, devrait être orienté vers la recherche et l’innovation. </w:t>
      </w:r>
    </w:p>
    <w:p w:rsidR="00612B3C" w:rsidRDefault="00416A72">
      <w:pPr>
        <w:spacing w:line="240" w:lineRule="auto"/>
        <w:jc w:val="both"/>
        <w:rPr>
          <w:rFonts w:ascii="Times New Roman" w:eastAsia="Calibri" w:hAnsi="Times New Roman" w:cs="Times New Roman"/>
          <w:b/>
          <w:bCs/>
          <w:i/>
          <w:iCs/>
          <w:noProof/>
          <w:sz w:val="24"/>
          <w:szCs w:val="24"/>
          <w:u w:val="single"/>
        </w:rPr>
      </w:pPr>
      <w:r>
        <w:rPr>
          <w:rFonts w:ascii="Times New Roman" w:hAnsi="Times New Roman"/>
          <w:noProof/>
          <w:sz w:val="24"/>
        </w:rPr>
        <w:t>La Commission a mis l’accent sur un accès plus</w:t>
      </w:r>
      <w:r>
        <w:rPr>
          <w:rFonts w:ascii="Times New Roman" w:hAnsi="Times New Roman"/>
          <w:noProof/>
          <w:sz w:val="24"/>
        </w:rPr>
        <w:t xml:space="preserve"> aisé au financement pour l’innovation en phase de démarrage ou de croissance, et ce, au moyen des instruments de financement InnovFin dans le cadre d’«Horizon 2020» (investissements attendus de 30 milliards d’EUR) et du programme pour la compétitivité des</w:t>
      </w:r>
      <w:r>
        <w:rPr>
          <w:rFonts w:ascii="Times New Roman" w:hAnsi="Times New Roman"/>
          <w:noProof/>
          <w:sz w:val="24"/>
        </w:rPr>
        <w:t xml:space="preserve"> entreprises et des petites et moyennes entreprises (investissements attendus de 40 milliards d’EUR). Les petites et moyennes entreprises peuvent également accéder à un financement pour l’innovation à travers des instruments financiers soutenus par le Fond</w:t>
      </w:r>
      <w:r>
        <w:rPr>
          <w:rFonts w:ascii="Times New Roman" w:hAnsi="Times New Roman"/>
          <w:noProof/>
          <w:sz w:val="24"/>
        </w:rPr>
        <w:t>s européen de développement régional</w:t>
      </w:r>
      <w:r>
        <w:rPr>
          <w:rStyle w:val="FootnoteReference"/>
          <w:rFonts w:ascii="Times New Roman" w:hAnsi="Times New Roman"/>
          <w:noProof/>
          <w:sz w:val="24"/>
        </w:rPr>
        <w:footnoteReference w:id="31"/>
      </w:r>
      <w:r>
        <w:rPr>
          <w:rFonts w:ascii="Times New Roman" w:hAnsi="Times New Roman"/>
          <w:noProof/>
          <w:sz w:val="24"/>
        </w:rPr>
        <w:t>.</w:t>
      </w:r>
      <w:r>
        <w:rPr>
          <w:rFonts w:ascii="Times New Roman" w:hAnsi="Times New Roman"/>
          <w:b/>
          <w:noProof/>
          <w:sz w:val="24"/>
        </w:rPr>
        <w:t xml:space="preserve">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À l’avenir, il nous faudra «faire plus avec moins» en utilisant les instruments financiers de manière intelligente et efficace afin d’attirer et de cibler une masse critique d’investissement privé. De plus, il nous f</w:t>
      </w:r>
      <w:r>
        <w:rPr>
          <w:rFonts w:ascii="Times New Roman" w:hAnsi="Times New Roman"/>
          <w:noProof/>
          <w:sz w:val="24"/>
        </w:rPr>
        <w:t xml:space="preserve">audra aussi un </w:t>
      </w:r>
      <w:r>
        <w:rPr>
          <w:rFonts w:ascii="Times New Roman" w:hAnsi="Times New Roman"/>
          <w:b/>
          <w:noProof/>
          <w:sz w:val="24"/>
        </w:rPr>
        <w:t>système fiscal qui encourage l’innovation</w:t>
      </w:r>
      <w:r>
        <w:rPr>
          <w:rFonts w:ascii="Times New Roman" w:hAnsi="Times New Roman"/>
          <w:noProof/>
          <w:sz w:val="24"/>
        </w:rPr>
        <w:t xml:space="preserve"> en permettant des déductions fiscales concernant les coûts des investissements dans la recherche et l’innovation, assorties d’abattements supplémentaires pour les jeunes entreprises. La proposition d</w:t>
      </w:r>
      <w:r>
        <w:rPr>
          <w:rFonts w:ascii="Times New Roman" w:hAnsi="Times New Roman"/>
          <w:noProof/>
          <w:sz w:val="24"/>
        </w:rPr>
        <w:t xml:space="preserve">e la Commission relative à une </w:t>
      </w:r>
      <w:r>
        <w:rPr>
          <w:rFonts w:ascii="Times New Roman" w:hAnsi="Times New Roman"/>
          <w:b/>
          <w:noProof/>
          <w:sz w:val="24"/>
        </w:rPr>
        <w:t>assiette commune consolidée pour l'impôt sur les sociétés</w:t>
      </w:r>
      <w:r>
        <w:rPr>
          <w:rFonts w:ascii="Times New Roman" w:hAnsi="Times New Roman"/>
          <w:noProof/>
          <w:sz w:val="24"/>
        </w:rPr>
        <w:t xml:space="preserve"> vise à rendre cela possible. Il est à présent essentiel que le Parlement européen et le Conseil adoptent rapidement cette proposition afin que les États membres puisse</w:t>
      </w:r>
      <w:r>
        <w:rPr>
          <w:rFonts w:ascii="Times New Roman" w:hAnsi="Times New Roman"/>
          <w:noProof/>
          <w:sz w:val="24"/>
        </w:rPr>
        <w:t>nt pleinement utiliser cet instrument clé pour faciliter les investissements privés dans la recherche et l’innovation</w:t>
      </w:r>
      <w:r>
        <w:rPr>
          <w:rStyle w:val="FootnoteReference"/>
          <w:rFonts w:ascii="Times New Roman" w:hAnsi="Times New Roman"/>
          <w:noProof/>
          <w:sz w:val="24"/>
        </w:rPr>
        <w:footnoteReference w:id="32"/>
      </w:r>
      <w:r>
        <w:rPr>
          <w:rFonts w:ascii="Times New Roman" w:hAnsi="Times New Roman"/>
          <w:noProof/>
          <w:sz w:val="24"/>
        </w:rPr>
        <w:t>.</w:t>
      </w:r>
    </w:p>
    <w:p w:rsidR="00612B3C" w:rsidRDefault="00416A72">
      <w:pPr>
        <w:spacing w:line="240" w:lineRule="auto"/>
        <w:jc w:val="both"/>
        <w:rPr>
          <w:rFonts w:ascii="Times New Roman" w:hAnsi="Times New Roman"/>
          <w:noProof/>
          <w:sz w:val="24"/>
        </w:rPr>
      </w:pPr>
      <w:r>
        <w:rPr>
          <w:rFonts w:ascii="Times New Roman" w:hAnsi="Times New Roman"/>
          <w:noProof/>
          <w:sz w:val="24"/>
        </w:rPr>
        <w:t>Une nouvelle initiative de grande ampleur regroupe «Horizon 2020», le Fonds européen pour les investissements stratégiques et le program</w:t>
      </w:r>
      <w:r>
        <w:rPr>
          <w:rFonts w:ascii="Times New Roman" w:hAnsi="Times New Roman"/>
          <w:noProof/>
          <w:sz w:val="24"/>
        </w:rPr>
        <w:t xml:space="preserve">me pour la compétitivité des entreprises et des petites et moyennes entreprises afin de lancer </w:t>
      </w:r>
      <w:r>
        <w:rPr>
          <w:rFonts w:ascii="Times New Roman" w:hAnsi="Times New Roman"/>
          <w:b/>
          <w:noProof/>
          <w:sz w:val="24"/>
        </w:rPr>
        <w:t>VentureEU</w:t>
      </w:r>
      <w:r>
        <w:rPr>
          <w:rFonts w:ascii="Times New Roman" w:hAnsi="Times New Roman"/>
          <w:noProof/>
          <w:sz w:val="24"/>
        </w:rPr>
        <w:t xml:space="preserve">. Cette initiative a pour objectif de promouvoir le </w:t>
      </w:r>
      <w:r>
        <w:rPr>
          <w:rFonts w:ascii="Times New Roman" w:hAnsi="Times New Roman"/>
          <w:b/>
          <w:noProof/>
          <w:sz w:val="24"/>
        </w:rPr>
        <w:t>capital-risque en Europe</w:t>
      </w:r>
      <w:r>
        <w:rPr>
          <w:rFonts w:ascii="Times New Roman" w:hAnsi="Times New Roman"/>
          <w:noProof/>
          <w:sz w:val="24"/>
        </w:rPr>
        <w:t>; elle sera menée par des gestionnaires privés et financée majoritairement p</w:t>
      </w:r>
      <w:r>
        <w:rPr>
          <w:rFonts w:ascii="Times New Roman" w:hAnsi="Times New Roman"/>
          <w:noProof/>
          <w:sz w:val="24"/>
        </w:rPr>
        <w:t>ar des investissements privés</w:t>
      </w:r>
      <w:r>
        <w:rPr>
          <w:rStyle w:val="FootnoteReference"/>
          <w:rFonts w:ascii="Times New Roman" w:hAnsi="Times New Roman"/>
          <w:noProof/>
          <w:sz w:val="24"/>
        </w:rPr>
        <w:footnoteReference w:id="33"/>
      </w:r>
      <w:r>
        <w:rPr>
          <w:rFonts w:ascii="Times New Roman" w:hAnsi="Times New Roman"/>
          <w:noProof/>
          <w:sz w:val="24"/>
        </w:rPr>
        <w:t xml:space="preserve">. VentureEU devrait encourager les investisseurs institutionnels et inciter davantage de gestionnaires de fonds à entrer sur le marché européen et à exercer des activités transfrontières afin de combler les déficits existants </w:t>
      </w:r>
      <w:r>
        <w:rPr>
          <w:rFonts w:ascii="Times New Roman" w:hAnsi="Times New Roman"/>
          <w:noProof/>
          <w:sz w:val="24"/>
        </w:rPr>
        <w:t>dans le financement à long terme. Avec des investissements de l’UE s’élevant à 410 millions d’EUR, l’objectif initial est de lever plus de 2,1 milliards d’EUR au cours des 12 prochains mois, entraînant des investissements attendus de 6,5 milliards d’EUR da</w:t>
      </w:r>
      <w:r>
        <w:rPr>
          <w:rFonts w:ascii="Times New Roman" w:hAnsi="Times New Roman"/>
          <w:noProof/>
          <w:sz w:val="24"/>
        </w:rPr>
        <w:t xml:space="preserve">ns environ 1 500 jeunes entreprises (start-ups) et entreprises en expansion (scale-ups) européennes. </w:t>
      </w:r>
      <w:r>
        <w:rPr>
          <w:rFonts w:ascii="Times New Roman" w:hAnsi="Times New Roman"/>
          <w:b/>
          <w:noProof/>
          <w:sz w:val="24"/>
        </w:rPr>
        <w:t xml:space="preserve">VentureEU est susceptible de doubler les investissements de capital-risque en Europe. </w:t>
      </w:r>
      <w:r>
        <w:rPr>
          <w:rFonts w:ascii="Times New Roman" w:hAnsi="Times New Roman"/>
          <w:noProof/>
          <w:sz w:val="24"/>
        </w:rPr>
        <w:t>Par ailleurs, la Commission met actuellement au point le concept de l</w:t>
      </w:r>
      <w:r>
        <w:rPr>
          <w:rFonts w:ascii="Times New Roman" w:hAnsi="Times New Roman"/>
          <w:noProof/>
          <w:sz w:val="24"/>
        </w:rPr>
        <w:t>’initiative Escalar, dont l’objectif serait d’aider les fonds de capital-risque à grandir plus vite en mobilisant des fonds privés importants, comme les fonds de pension ou d’assurance.</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Afin d’aller dans ce sens, les initiatives lancées dans le cadre de l’</w:t>
      </w:r>
      <w:r>
        <w:rPr>
          <w:rFonts w:ascii="Times New Roman" w:hAnsi="Times New Roman"/>
          <w:b/>
          <w:noProof/>
          <w:sz w:val="24"/>
        </w:rPr>
        <w:t>union des marchés des capitaux</w:t>
      </w:r>
      <w:r>
        <w:rPr>
          <w:rFonts w:ascii="Times New Roman" w:hAnsi="Times New Roman"/>
          <w:noProof/>
          <w:sz w:val="24"/>
        </w:rPr>
        <w:t xml:space="preserve"> simplifient les cadres réglementaires pour lever et gérer les fonds de capital-risque en Europe. Cela permettra in fine de rendre le capital-risque plus facilement accessible. Cependant, des efforts supplémentaires sont néces</w:t>
      </w:r>
      <w:r>
        <w:rPr>
          <w:rFonts w:ascii="Times New Roman" w:hAnsi="Times New Roman"/>
          <w:noProof/>
          <w:sz w:val="24"/>
        </w:rPr>
        <w:t>saires pour atteindre un niveau correspondant au poids économique de l’Europe.</w:t>
      </w:r>
    </w:p>
    <w:p w:rsidR="00612B3C" w:rsidRDefault="00416A72">
      <w:pPr>
        <w:pStyle w:val="ListParagraph"/>
        <w:keepNext/>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cs="Times New Roman"/>
          <w:i/>
          <w:noProof/>
          <w:sz w:val="24"/>
          <w:szCs w:val="24"/>
        </w:rPr>
      </w:pPr>
      <w:r>
        <w:rPr>
          <w:rFonts w:ascii="Times New Roman" w:hAnsi="Times New Roman"/>
          <w:i/>
          <w:noProof/>
          <w:sz w:val="24"/>
        </w:rPr>
        <w:t xml:space="preserve">Étapes clés </w:t>
      </w:r>
    </w:p>
    <w:p w:rsidR="00612B3C" w:rsidRDefault="00612B3C">
      <w:pPr>
        <w:pStyle w:val="ListParagraph"/>
        <w:keepNext/>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cs="Times New Roman"/>
          <w:i/>
          <w:noProof/>
          <w:sz w:val="24"/>
          <w:szCs w:val="24"/>
        </w:rPr>
      </w:pPr>
    </w:p>
    <w:p w:rsidR="00612B3C" w:rsidRDefault="00416A72">
      <w:pPr>
        <w:pStyle w:val="ListParagraph"/>
        <w:pBdr>
          <w:top w:val="single" w:sz="4" w:space="1" w:color="auto"/>
          <w:left w:val="single" w:sz="4" w:space="4" w:color="auto"/>
          <w:bottom w:val="single" w:sz="4" w:space="1" w:color="auto"/>
          <w:right w:val="single" w:sz="4" w:space="4" w:color="auto"/>
        </w:pBdr>
        <w:spacing w:before="240" w:line="240" w:lineRule="auto"/>
        <w:ind w:left="284" w:hanging="284"/>
        <w:jc w:val="both"/>
        <w:rPr>
          <w:rFonts w:ascii="Times New Roman" w:hAnsi="Times New Roman"/>
          <w:noProof/>
          <w:sz w:val="24"/>
          <w:szCs w:val="24"/>
        </w:rPr>
      </w:pPr>
      <w:r>
        <w:rPr>
          <w:rFonts w:ascii="Times New Roman" w:hAnsi="Times New Roman"/>
          <w:noProof/>
          <w:sz w:val="24"/>
        </w:rPr>
        <w:t xml:space="preserve">-  </w:t>
      </w:r>
      <w:r>
        <w:rPr>
          <w:noProof/>
        </w:rPr>
        <w:tab/>
      </w:r>
      <w:r>
        <w:rPr>
          <w:rFonts w:ascii="Times New Roman" w:hAnsi="Times New Roman"/>
          <w:b/>
          <w:noProof/>
          <w:sz w:val="24"/>
        </w:rPr>
        <w:t xml:space="preserve">Adopter rapidement le prochain cadre financier pluriannuel pour garantir que la recherche et l’innovation continuent d’être à l’avenir l’une des principales </w:t>
      </w:r>
      <w:r>
        <w:rPr>
          <w:rFonts w:ascii="Times New Roman" w:hAnsi="Times New Roman"/>
          <w:b/>
          <w:noProof/>
          <w:sz w:val="24"/>
        </w:rPr>
        <w:t>priorités de l’UE sur les plans politique et du financement, au travers de différents instruments budgétaires.</w:t>
      </w:r>
    </w:p>
    <w:p w:rsidR="00612B3C" w:rsidRDefault="00416A72">
      <w:pPr>
        <w:pStyle w:val="ListParagraph"/>
        <w:pBdr>
          <w:top w:val="single" w:sz="4" w:space="1" w:color="auto"/>
          <w:left w:val="single" w:sz="4" w:space="4" w:color="auto"/>
          <w:bottom w:val="single" w:sz="4" w:space="1" w:color="auto"/>
          <w:right w:val="single" w:sz="4" w:space="4" w:color="auto"/>
        </w:pBdr>
        <w:spacing w:before="240" w:line="240" w:lineRule="auto"/>
        <w:ind w:left="284" w:hanging="284"/>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b/>
          <w:noProof/>
          <w:sz w:val="24"/>
        </w:rPr>
        <w:t xml:space="preserve">Faire en sorte que les États membres prennent les mesures nécessaires pour maximiser leurs investissements dans la recherche et l’innovation afin d’atteindre l’objectif de 3 % du produit intérieur brut. </w:t>
      </w:r>
    </w:p>
    <w:p w:rsidR="00612B3C" w:rsidRDefault="00416A72">
      <w:pPr>
        <w:pStyle w:val="ListParagraph"/>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b/>
          <w:noProof/>
          <w:sz w:val="24"/>
        </w:rPr>
        <w:t>Augmenter l’investissement privé dans la recherche</w:t>
      </w:r>
      <w:r>
        <w:rPr>
          <w:rFonts w:ascii="Times New Roman" w:hAnsi="Times New Roman"/>
          <w:b/>
          <w:noProof/>
          <w:sz w:val="24"/>
        </w:rPr>
        <w:t xml:space="preserve"> et l’innovation et donner une ampleur accrue à des initiatives telles que VentureEU afin d’accroître l’investissement privé et le «capital patient».</w:t>
      </w:r>
    </w:p>
    <w:p w:rsidR="00612B3C" w:rsidRDefault="00612B3C">
      <w:pPr>
        <w:pStyle w:val="ListParagraph"/>
        <w:spacing w:line="240" w:lineRule="auto"/>
        <w:ind w:left="0"/>
        <w:jc w:val="both"/>
        <w:rPr>
          <w:rFonts w:ascii="Times New Roman" w:hAnsi="Times New Roman" w:cs="Times New Roman"/>
          <w:b/>
          <w:noProof/>
          <w:sz w:val="24"/>
          <w:szCs w:val="24"/>
        </w:rPr>
      </w:pPr>
    </w:p>
    <w:p w:rsidR="00612B3C" w:rsidRDefault="00416A72">
      <w:pPr>
        <w:pStyle w:val="ListParagraph"/>
        <w:keepNext/>
        <w:spacing w:line="240" w:lineRule="auto"/>
        <w:ind w:left="0"/>
        <w:jc w:val="both"/>
        <w:rPr>
          <w:rFonts w:ascii="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 xml:space="preserve">Rendre les cadres réglementaires favorables à l’innovation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Des marchés performants qui favorisent l</w:t>
      </w:r>
      <w:r>
        <w:rPr>
          <w:rFonts w:ascii="Times New Roman" w:hAnsi="Times New Roman"/>
          <w:noProof/>
          <w:sz w:val="24"/>
        </w:rPr>
        <w:t xml:space="preserve">a concurrence et l’innovation créent des emplois et de la croissance. L’économie européenne a besoin d’un </w:t>
      </w:r>
      <w:r>
        <w:rPr>
          <w:rFonts w:ascii="Times New Roman" w:hAnsi="Times New Roman"/>
          <w:b/>
          <w:noProof/>
          <w:sz w:val="24"/>
        </w:rPr>
        <w:t>cadre réglementaire</w:t>
      </w:r>
      <w:r>
        <w:rPr>
          <w:rFonts w:ascii="Times New Roman" w:hAnsi="Times New Roman"/>
          <w:noProof/>
          <w:sz w:val="24"/>
        </w:rPr>
        <w:t xml:space="preserve"> axé sur l’innovation et capable de s’adapter à une industrie et une société qui évoluent rapidement. La réglementation et l’applic</w:t>
      </w:r>
      <w:r>
        <w:rPr>
          <w:rFonts w:ascii="Times New Roman" w:hAnsi="Times New Roman"/>
          <w:noProof/>
          <w:sz w:val="24"/>
        </w:rPr>
        <w:t>ation des règles de concurrence jouent un rôle crucial pour créer des conditions équitables pour les nouveaux entrants sur le marché et encourager l’innovation. Des normes communes et des règles d’interopérabilité facilitent l’adoption et le déploiement su</w:t>
      </w:r>
      <w:r>
        <w:rPr>
          <w:rFonts w:ascii="Times New Roman" w:hAnsi="Times New Roman"/>
          <w:noProof/>
          <w:sz w:val="24"/>
        </w:rPr>
        <w:t>r le marché de solutions innovantes. La réglementation, au niveau européen et au niveau des États membres, devrait par conséquent instaurer un équilibre entre prévisibilité et flexibilité. Elle devrait assurer une concurrence équitable sans sanctionner l’é</w:t>
      </w:r>
      <w:r>
        <w:rPr>
          <w:rFonts w:ascii="Times New Roman" w:hAnsi="Times New Roman"/>
          <w:noProof/>
          <w:sz w:val="24"/>
        </w:rPr>
        <w:t xml:space="preserve">chec ou la prise de risque.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 xml:space="preserve">Dans le contexte du nouveau cadre financier pluriannuel, la Commission simplifiera davantage ses </w:t>
      </w:r>
      <w:r>
        <w:rPr>
          <w:rFonts w:ascii="Times New Roman" w:hAnsi="Times New Roman"/>
          <w:b/>
          <w:noProof/>
          <w:sz w:val="24"/>
        </w:rPr>
        <w:t>règles en matière d’aides d’État</w:t>
      </w:r>
      <w:r>
        <w:rPr>
          <w:rFonts w:ascii="Times New Roman" w:hAnsi="Times New Roman"/>
          <w:noProof/>
          <w:sz w:val="24"/>
        </w:rPr>
        <w:t xml:space="preserve"> afin de renforcer les synergies et de soutenir le financement public de projets innovants. Elle f</w:t>
      </w:r>
      <w:r>
        <w:rPr>
          <w:rFonts w:ascii="Times New Roman" w:hAnsi="Times New Roman"/>
          <w:noProof/>
          <w:sz w:val="24"/>
        </w:rPr>
        <w:t>acilitera la combinaison de fonds de l’UE et de fonds nationaux. Elle permettra également que les projets Horizon Europe ayant le «label d’excellence» d’être facilement financés au niveau régional dans le cadre des Fonds structurels et d’investissement eur</w:t>
      </w:r>
      <w:r>
        <w:rPr>
          <w:rFonts w:ascii="Times New Roman" w:hAnsi="Times New Roman"/>
          <w:noProof/>
          <w:sz w:val="24"/>
        </w:rPr>
        <w:t>opéens</w:t>
      </w:r>
      <w:r>
        <w:rPr>
          <w:rStyle w:val="FootnoteReference"/>
          <w:rFonts w:ascii="Times New Roman" w:hAnsi="Times New Roman"/>
          <w:noProof/>
          <w:sz w:val="24"/>
        </w:rPr>
        <w:footnoteReference w:id="34"/>
      </w:r>
      <w:r>
        <w:rPr>
          <w:rFonts w:ascii="Times New Roman" w:hAnsi="Times New Roman"/>
          <w:noProof/>
          <w:sz w:val="24"/>
        </w:rPr>
        <w:t>.</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Les autorités de réglementation sont des acteurs clés en ce qui concerne l’innovation: elles créent les conditions adéquates et veillent à ce que la réglementation innove aussi rapidement que les produits et les services. Afin de garantir que les politique</w:t>
      </w:r>
      <w:r>
        <w:rPr>
          <w:rFonts w:ascii="Times New Roman" w:hAnsi="Times New Roman"/>
          <w:noProof/>
          <w:sz w:val="24"/>
        </w:rPr>
        <w:t xml:space="preserve">s européennes soient élaborées avec une dimension d’innovation, la Commission européenne applique déjà le </w:t>
      </w:r>
      <w:r>
        <w:rPr>
          <w:rFonts w:ascii="Times New Roman" w:hAnsi="Times New Roman"/>
          <w:b/>
          <w:noProof/>
          <w:sz w:val="24"/>
        </w:rPr>
        <w:t>principe d’innovation</w:t>
      </w:r>
      <w:r>
        <w:rPr>
          <w:rStyle w:val="FootnoteReference"/>
          <w:rFonts w:ascii="Times New Roman" w:hAnsi="Times New Roman"/>
          <w:noProof/>
          <w:sz w:val="24"/>
        </w:rPr>
        <w:footnoteReference w:id="35"/>
      </w:r>
      <w:r>
        <w:rPr>
          <w:rFonts w:ascii="Times New Roman" w:hAnsi="Times New Roman"/>
          <w:noProof/>
          <w:sz w:val="24"/>
        </w:rPr>
        <w:t xml:space="preserve"> lorsqu’elle prépare des initiatives législatives majeures. Les États membres devraient redoubler d’efforts dans ce sens. Les ca</w:t>
      </w:r>
      <w:r>
        <w:rPr>
          <w:rFonts w:ascii="Times New Roman" w:hAnsi="Times New Roman"/>
          <w:noProof/>
          <w:sz w:val="24"/>
        </w:rPr>
        <w:t xml:space="preserve">dres réglementaires doivent permettre davantage les essais, l’apprentissage, l’adaptation et les politiques publiques afin que toutes les données et analyses existantes soient mieux utilisées.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Afin que l’application des exigences réglementaires existantes</w:t>
      </w:r>
      <w:r>
        <w:rPr>
          <w:rFonts w:ascii="Times New Roman" w:hAnsi="Times New Roman"/>
          <w:noProof/>
          <w:sz w:val="24"/>
        </w:rPr>
        <w:t xml:space="preserve"> aux idées innovantes soit plus claire, la Commission pilote des </w:t>
      </w:r>
      <w:r>
        <w:rPr>
          <w:rFonts w:ascii="Times New Roman" w:hAnsi="Times New Roman"/>
          <w:b/>
          <w:noProof/>
          <w:sz w:val="24"/>
        </w:rPr>
        <w:t>accords d’innovation</w:t>
      </w:r>
      <w:r>
        <w:rPr>
          <w:rFonts w:ascii="Times New Roman" w:hAnsi="Times New Roman"/>
          <w:noProof/>
          <w:sz w:val="24"/>
        </w:rPr>
        <w:t xml:space="preserve"> pour aider les innovateurs à surmonter les difficultés qu’ils perçoivent comme des obstacles réglementaires de l’UE. Les premiers résultats d’essais pilotes sur des batte</w:t>
      </w:r>
      <w:r>
        <w:rPr>
          <w:rFonts w:ascii="Times New Roman" w:hAnsi="Times New Roman"/>
          <w:noProof/>
          <w:sz w:val="24"/>
        </w:rPr>
        <w:t>ries et la réutilisation de l’eau indiquent que l’expérience peut fournir des retours d’information utiles pour améliorer la réglementation et encourager l’innovation.</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Une réglementation effective au niveau national est également cruciale pour favoriser un</w:t>
      </w:r>
      <w:r>
        <w:rPr>
          <w:rFonts w:ascii="Times New Roman" w:hAnsi="Times New Roman"/>
          <w:noProof/>
          <w:sz w:val="24"/>
        </w:rPr>
        <w:t xml:space="preserve">e culture d’expérimentation et de prise de risque. Dans cette optique, la Commission a proposé une </w:t>
      </w:r>
      <w:r>
        <w:rPr>
          <w:rFonts w:ascii="Times New Roman" w:hAnsi="Times New Roman"/>
          <w:b/>
          <w:noProof/>
          <w:sz w:val="24"/>
        </w:rPr>
        <w:t>nouvelle législation en matière d’insolvabilité</w:t>
      </w:r>
      <w:r>
        <w:rPr>
          <w:rFonts w:ascii="Times New Roman" w:hAnsi="Times New Roman"/>
          <w:noProof/>
          <w:sz w:val="24"/>
        </w:rPr>
        <w:t xml:space="preserve"> qui permet aux entreprises en difficulté de se restructurer à un stade précoce et d’éviter la faillite. Cette</w:t>
      </w:r>
      <w:r>
        <w:rPr>
          <w:rFonts w:ascii="Times New Roman" w:hAnsi="Times New Roman"/>
          <w:noProof/>
          <w:sz w:val="24"/>
        </w:rPr>
        <w:t xml:space="preserve"> législation offrirait une seconde chance aux innovateurs et entrepreneurs honnêtes en les libérant entièrement au bout d'une période de trois ans des dettes découlant de précédents projets entrepreneuriaux, des restrictions appropriées étant prévues afin </w:t>
      </w:r>
      <w:r>
        <w:rPr>
          <w:rFonts w:ascii="Times New Roman" w:hAnsi="Times New Roman"/>
          <w:noProof/>
          <w:sz w:val="24"/>
        </w:rPr>
        <w:t>de protéger des intérêts généraux dûment justifiés</w:t>
      </w:r>
      <w:r>
        <w:rPr>
          <w:rStyle w:val="FootnoteReference"/>
          <w:rFonts w:ascii="Times New Roman" w:hAnsi="Times New Roman"/>
          <w:noProof/>
          <w:sz w:val="24"/>
        </w:rPr>
        <w:footnoteReference w:id="36"/>
      </w:r>
      <w:r>
        <w:rPr>
          <w:rFonts w:ascii="Times New Roman" w:hAnsi="Times New Roman"/>
          <w:noProof/>
          <w:sz w:val="24"/>
        </w:rPr>
        <w:t>.</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 xml:space="preserve">Afin de créer et de stimuler la demande de solutions innovantes de la part des autorités publiques, la Commission a publié aujourd’hui des </w:t>
      </w:r>
      <w:r>
        <w:rPr>
          <w:rFonts w:ascii="Times New Roman" w:hAnsi="Times New Roman"/>
          <w:b/>
          <w:noProof/>
          <w:sz w:val="24"/>
        </w:rPr>
        <w:t>orientations relatives à la passation de marchés à visée innovan</w:t>
      </w:r>
      <w:r>
        <w:rPr>
          <w:rFonts w:ascii="Times New Roman" w:hAnsi="Times New Roman"/>
          <w:b/>
          <w:noProof/>
          <w:sz w:val="24"/>
        </w:rPr>
        <w:t>te</w:t>
      </w:r>
      <w:r>
        <w:rPr>
          <w:rFonts w:ascii="Times New Roman" w:hAnsi="Times New Roman"/>
          <w:noProof/>
          <w:sz w:val="24"/>
        </w:rPr>
        <w:t xml:space="preserve"> qui expliquent la mise en œuvre de ces marchés à visée innovante et donnent de nombreux exemples concrets de bonnes pratiques</w:t>
      </w:r>
      <w:r>
        <w:rPr>
          <w:rFonts w:ascii="Times New Roman" w:hAnsi="Times New Roman"/>
          <w:noProof/>
          <w:sz w:val="24"/>
          <w:vertAlign w:val="superscript"/>
        </w:rPr>
        <w:footnoteReference w:id="37"/>
      </w:r>
      <w:r>
        <w:rPr>
          <w:rFonts w:ascii="Times New Roman" w:hAnsi="Times New Roman"/>
          <w:noProof/>
          <w:sz w:val="24"/>
        </w:rPr>
        <w:t>.</w:t>
      </w:r>
    </w:p>
    <w:p w:rsidR="00612B3C" w:rsidRDefault="00612B3C">
      <w:pPr>
        <w:keepNext/>
        <w:keepLines/>
        <w:spacing w:before="120" w:after="120" w:line="240" w:lineRule="auto"/>
        <w:jc w:val="both"/>
        <w:outlineLvl w:val="2"/>
        <w:rPr>
          <w:rFonts w:ascii="Times New Roman" w:eastAsia="Times New Roman" w:hAnsi="Times New Roman" w:cs="Times New Roman"/>
          <w:noProof/>
          <w:sz w:val="24"/>
          <w:szCs w:val="24"/>
        </w:rPr>
      </w:pPr>
    </w:p>
    <w:p w:rsidR="00612B3C" w:rsidRDefault="00416A72">
      <w:pPr>
        <w:pStyle w:val="ListParagraph"/>
        <w:keepNext/>
        <w:pBdr>
          <w:top w:val="single" w:sz="4" w:space="0" w:color="auto"/>
          <w:left w:val="single" w:sz="4" w:space="4" w:color="auto"/>
          <w:bottom w:val="single" w:sz="4" w:space="0" w:color="auto"/>
          <w:right w:val="single" w:sz="4" w:space="4" w:color="auto"/>
        </w:pBdr>
        <w:spacing w:before="120" w:line="240" w:lineRule="auto"/>
        <w:ind w:left="0"/>
        <w:jc w:val="both"/>
        <w:rPr>
          <w:rFonts w:ascii="Times New Roman" w:hAnsi="Times New Roman" w:cs="Times New Roman"/>
          <w:i/>
          <w:noProof/>
          <w:sz w:val="24"/>
          <w:szCs w:val="24"/>
        </w:rPr>
      </w:pPr>
      <w:r>
        <w:rPr>
          <w:rFonts w:ascii="Times New Roman" w:hAnsi="Times New Roman"/>
          <w:i/>
          <w:noProof/>
          <w:sz w:val="24"/>
        </w:rPr>
        <w:t>Étapes clés</w:t>
      </w:r>
    </w:p>
    <w:p w:rsidR="00612B3C" w:rsidRDefault="00612B3C">
      <w:pPr>
        <w:pStyle w:val="ListParagraph"/>
        <w:keepNext/>
        <w:pBdr>
          <w:top w:val="single" w:sz="4" w:space="0" w:color="auto"/>
          <w:left w:val="single" w:sz="4" w:space="4" w:color="auto"/>
          <w:bottom w:val="single" w:sz="4" w:space="0" w:color="auto"/>
          <w:right w:val="single" w:sz="4" w:space="4" w:color="auto"/>
        </w:pBdr>
        <w:spacing w:before="120" w:line="240" w:lineRule="auto"/>
        <w:ind w:left="0"/>
        <w:jc w:val="both"/>
        <w:rPr>
          <w:rFonts w:ascii="Times New Roman" w:hAnsi="Times New Roman" w:cs="Times New Roman"/>
          <w:i/>
          <w:noProof/>
          <w:sz w:val="24"/>
          <w:szCs w:val="24"/>
        </w:rPr>
      </w:pPr>
    </w:p>
    <w:p w:rsidR="00612B3C" w:rsidRDefault="00416A72">
      <w:pPr>
        <w:pStyle w:val="ListParagraph"/>
        <w:pBdr>
          <w:top w:val="single" w:sz="4" w:space="0" w:color="auto"/>
          <w:left w:val="single" w:sz="4" w:space="4" w:color="auto"/>
          <w:bottom w:val="single" w:sz="4" w:space="0" w:color="auto"/>
          <w:right w:val="single" w:sz="4" w:space="4" w:color="auto"/>
        </w:pBdr>
        <w:spacing w:before="24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b/>
          <w:noProof/>
          <w:sz w:val="24"/>
        </w:rPr>
        <w:t>Créer, à l'échelon national et de l’UE, des cadres réglementaires à l’épreuve du futur appliquant le principe</w:t>
      </w:r>
      <w:r>
        <w:rPr>
          <w:rFonts w:ascii="Times New Roman" w:hAnsi="Times New Roman"/>
          <w:b/>
          <w:noProof/>
          <w:sz w:val="24"/>
        </w:rPr>
        <w:t xml:space="preserve"> d’innovation</w:t>
      </w:r>
      <w:r>
        <w:rPr>
          <w:rFonts w:ascii="Times New Roman" w:hAnsi="Times New Roman"/>
          <w:noProof/>
          <w:sz w:val="24"/>
        </w:rPr>
        <w:t xml:space="preserve">, </w:t>
      </w:r>
      <w:r>
        <w:rPr>
          <w:rFonts w:ascii="Times New Roman" w:hAnsi="Times New Roman"/>
          <w:b/>
          <w:noProof/>
          <w:sz w:val="24"/>
        </w:rPr>
        <w:t>garantissant que, chaque fois que des politiques et mesures législatives sont réexaminées, conçues ou mises en œuvre, leur incidence sur l’innovation sera pleinement évaluée.</w:t>
      </w:r>
    </w:p>
    <w:p w:rsidR="00612B3C" w:rsidRDefault="00416A72">
      <w:pPr>
        <w:pStyle w:val="ListParagraph"/>
        <w:pBdr>
          <w:top w:val="single" w:sz="4" w:space="0" w:color="auto"/>
          <w:left w:val="single" w:sz="4" w:space="4" w:color="auto"/>
          <w:bottom w:val="single" w:sz="4" w:space="0" w:color="auto"/>
          <w:right w:val="single" w:sz="4" w:space="4" w:color="auto"/>
        </w:pBdr>
        <w:spacing w:before="24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b/>
          <w:noProof/>
          <w:sz w:val="24"/>
        </w:rPr>
        <w:t>Donner la priorité à la transposition de la directive relative a</w:t>
      </w:r>
      <w:r>
        <w:rPr>
          <w:rFonts w:ascii="Times New Roman" w:hAnsi="Times New Roman"/>
          <w:b/>
          <w:noProof/>
          <w:sz w:val="24"/>
        </w:rPr>
        <w:t>ux cadres de restructuration préventifs, à la seconde chance et aux mesures à prendre pour augmenter l’efficience des procédures de restructuration, d’insolvabilité et d’apurement.</w:t>
      </w:r>
    </w:p>
    <w:p w:rsidR="00612B3C" w:rsidRDefault="00416A72">
      <w:pPr>
        <w:pStyle w:val="ListParagraph"/>
        <w:pBdr>
          <w:top w:val="single" w:sz="4" w:space="0" w:color="auto"/>
          <w:left w:val="single" w:sz="4" w:space="4" w:color="auto"/>
          <w:bottom w:val="single" w:sz="4" w:space="0" w:color="auto"/>
          <w:right w:val="single" w:sz="4" w:space="4" w:color="auto"/>
        </w:pBdr>
        <w:spacing w:before="240" w:line="240" w:lineRule="auto"/>
        <w:ind w:left="284" w:hanging="284"/>
        <w:jc w:val="both"/>
        <w:rPr>
          <w:rFonts w:ascii="Times New Roman" w:hAnsi="Times New Roman" w:cs="Times New Roman"/>
          <w:b/>
          <w:noProof/>
          <w:sz w:val="24"/>
          <w:szCs w:val="24"/>
        </w:rPr>
      </w:pPr>
      <w:r>
        <w:rPr>
          <w:rFonts w:ascii="Times New Roman" w:hAnsi="Times New Roman"/>
          <w:b/>
          <w:noProof/>
          <w:sz w:val="24"/>
        </w:rPr>
        <w:t>-</w:t>
      </w:r>
      <w:r>
        <w:rPr>
          <w:noProof/>
        </w:rPr>
        <w:tab/>
      </w:r>
      <w:r>
        <w:rPr>
          <w:rFonts w:ascii="Times New Roman" w:hAnsi="Times New Roman"/>
          <w:b/>
          <w:noProof/>
          <w:sz w:val="24"/>
        </w:rPr>
        <w:t>La Commission simplifiera davantage ses règles en matière d’aides d’État,</w:t>
      </w:r>
      <w:r>
        <w:rPr>
          <w:rFonts w:ascii="Times New Roman" w:hAnsi="Times New Roman"/>
          <w:b/>
          <w:noProof/>
          <w:sz w:val="24"/>
        </w:rPr>
        <w:t xml:space="preserve"> ce qui contribuera à faciliter l’association harmonieuse de différentes ressources financières et à améliorer l’utilisation des normes communes d'évaluation des projets de recherche et d’innovation. </w:t>
      </w:r>
    </w:p>
    <w:p w:rsidR="00612B3C" w:rsidRDefault="00416A72">
      <w:pPr>
        <w:keepNext/>
        <w:spacing w:before="360" w:after="240" w:line="240" w:lineRule="auto"/>
        <w:rPr>
          <w:rFonts w:ascii="Times New Roman" w:hAnsi="Times New Roman" w:cs="Times New Roman"/>
          <w:b/>
          <w:noProof/>
          <w:sz w:val="24"/>
          <w:szCs w:val="24"/>
        </w:rPr>
      </w:pPr>
      <w:r>
        <w:rPr>
          <w:rFonts w:ascii="Times New Roman" w:hAnsi="Times New Roman"/>
          <w:b/>
          <w:noProof/>
          <w:sz w:val="24"/>
        </w:rPr>
        <w:t>2.3 Faire de l’Europe un précurseur en matière d'innova</w:t>
      </w:r>
      <w:r>
        <w:rPr>
          <w:rFonts w:ascii="Times New Roman" w:hAnsi="Times New Roman"/>
          <w:b/>
          <w:noProof/>
          <w:sz w:val="24"/>
        </w:rPr>
        <w:t>tion créatrice de marchés</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L’Europe est un acteur mondial de premier plan dans le domaine des sciences. Elle abrite certaines des esprits les plus créatifs et entreprenants ainsi que certaines des idées les plus innovantes du monde. La route est longue, mai</w:t>
      </w:r>
      <w:r>
        <w:rPr>
          <w:rFonts w:ascii="Times New Roman" w:hAnsi="Times New Roman"/>
          <w:noProof/>
          <w:sz w:val="24"/>
        </w:rPr>
        <w:t xml:space="preserve">s nous nous employons pourtant à assurer la commercialisation des innovations. </w:t>
      </w:r>
    </w:p>
    <w:p w:rsidR="00612B3C" w:rsidRDefault="00416A72">
      <w:pPr>
        <w:tabs>
          <w:tab w:val="left" w:pos="284"/>
        </w:tabs>
        <w:spacing w:line="240" w:lineRule="auto"/>
        <w:jc w:val="both"/>
        <w:rPr>
          <w:rFonts w:ascii="Times New Roman" w:hAnsi="Times New Roman" w:cs="Times New Roman"/>
          <w:noProof/>
          <w:sz w:val="24"/>
          <w:szCs w:val="24"/>
        </w:rPr>
      </w:pPr>
      <w:r>
        <w:rPr>
          <w:rFonts w:ascii="Times New Roman" w:hAnsi="Times New Roman"/>
          <w:noProof/>
          <w:sz w:val="24"/>
        </w:rPr>
        <w:t xml:space="preserve">L’Europe est relativement forte en matière d’innovation incrémentale, qui désigne le maintien de la valeur de produits, services et procédés existants, ou l’ajout d’une telle </w:t>
      </w:r>
      <w:r>
        <w:rPr>
          <w:rFonts w:ascii="Times New Roman" w:hAnsi="Times New Roman"/>
          <w:noProof/>
          <w:sz w:val="24"/>
        </w:rPr>
        <w:t xml:space="preserve">valeur. En témoignent des secteurs aussi variés que le spatial, l’aéronautique, le pharmaceutique, l’électronique, les énergies renouvelables, les bio-industries et la fabrication avancée. Nous avons également connu des avancées considérables en soutenant </w:t>
      </w:r>
      <w:r>
        <w:rPr>
          <w:rFonts w:ascii="Times New Roman" w:hAnsi="Times New Roman"/>
          <w:noProof/>
          <w:sz w:val="24"/>
        </w:rPr>
        <w:t>l’innovation au moyen des technologies clés génériques comme la robotique, la photonique et la biotechnologie</w:t>
      </w:r>
      <w:r>
        <w:rPr>
          <w:rStyle w:val="FootnoteReference"/>
          <w:rFonts w:ascii="Times New Roman" w:hAnsi="Times New Roman"/>
          <w:noProof/>
          <w:sz w:val="24"/>
        </w:rPr>
        <w:footnoteReference w:id="38"/>
      </w:r>
      <w:r>
        <w:rPr>
          <w:rFonts w:ascii="Times New Roman" w:hAnsi="Times New Roman"/>
          <w:noProof/>
          <w:sz w:val="24"/>
        </w:rPr>
        <w:t>. Ces technologies peuvent être utilisées et appliquées dans de nombreux secteurs, elles génèrent de nouvelles connaissances et de nouvelles forme</w:t>
      </w:r>
      <w:r>
        <w:rPr>
          <w:rFonts w:ascii="Times New Roman" w:hAnsi="Times New Roman"/>
          <w:noProof/>
          <w:sz w:val="24"/>
        </w:rPr>
        <w:t>s de participation et sont incontournables pour relever les grands défis de société tout en favorisant le rôle moteur de l’UE sur le plan industriel</w:t>
      </w:r>
      <w:r>
        <w:rPr>
          <w:rStyle w:val="FootnoteReference"/>
          <w:rFonts w:ascii="Times New Roman" w:hAnsi="Times New Roman"/>
          <w:noProof/>
          <w:sz w:val="24"/>
        </w:rPr>
        <w:footnoteReference w:id="39"/>
      </w:r>
      <w:r>
        <w:rPr>
          <w:rFonts w:ascii="Times New Roman" w:hAnsi="Times New Roman"/>
          <w:noProof/>
          <w:sz w:val="24"/>
        </w:rPr>
        <w:t>.</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 xml:space="preserve">Toutefois, l’Europe doit faire mieux en ce qui concerne les innovations radicales et de rupture.  </w:t>
      </w:r>
    </w:p>
    <w:p w:rsidR="00612B3C" w:rsidRDefault="00416A72">
      <w:pPr>
        <w:spacing w:after="0" w:line="240" w:lineRule="auto"/>
        <w:jc w:val="both"/>
        <w:rPr>
          <w:rFonts w:ascii="Calibri" w:eastAsia="Calibri" w:hAnsi="Calibri" w:cs="Times New Roman"/>
          <w:noProof/>
          <w:color w:val="1F497D"/>
          <w:sz w:val="24"/>
        </w:rPr>
      </w:pPr>
      <w:r>
        <w:rPr>
          <w:rFonts w:ascii="Times New Roman" w:hAnsi="Times New Roman"/>
          <w:noProof/>
          <w:sz w:val="24"/>
          <w:highlight w:val="lightGray"/>
        </w:rPr>
        <w:t xml:space="preserve">Les </w:t>
      </w:r>
      <w:r>
        <w:rPr>
          <w:rFonts w:ascii="Times New Roman" w:hAnsi="Times New Roman"/>
          <w:i/>
          <w:noProof/>
          <w:sz w:val="24"/>
          <w:highlight w:val="lightGray"/>
        </w:rPr>
        <w:t>in</w:t>
      </w:r>
      <w:r>
        <w:rPr>
          <w:rFonts w:ascii="Times New Roman" w:hAnsi="Times New Roman"/>
          <w:i/>
          <w:noProof/>
          <w:sz w:val="24"/>
          <w:highlight w:val="lightGray"/>
        </w:rPr>
        <w:t>novations radicales</w:t>
      </w:r>
      <w:r>
        <w:rPr>
          <w:rFonts w:ascii="Times New Roman" w:hAnsi="Times New Roman"/>
          <w:noProof/>
          <w:sz w:val="24"/>
          <w:highlight w:val="lightGray"/>
        </w:rPr>
        <w:t xml:space="preserve"> créent des produits, services ou procédés entièrement nouveaux ou apportent des améliorations considérables à la qualité de produits, services ou procédés existants, par exemple, doubler la densité d’énergie d’une batterie de voiture él</w:t>
      </w:r>
      <w:r>
        <w:rPr>
          <w:rFonts w:ascii="Times New Roman" w:hAnsi="Times New Roman"/>
          <w:noProof/>
          <w:sz w:val="24"/>
          <w:highlight w:val="lightGray"/>
        </w:rPr>
        <w:t>ectrique. Elles ouvrent à des modèles d’entreprises et des débouchés commerciaux totalement neufs.</w:t>
      </w:r>
      <w:r>
        <w:rPr>
          <w:rFonts w:ascii="Calibri" w:hAnsi="Calibri"/>
          <w:noProof/>
          <w:color w:val="1F497D"/>
          <w:sz w:val="24"/>
          <w:highlight w:val="lightGray"/>
        </w:rPr>
        <w:t xml:space="preserve"> </w:t>
      </w:r>
      <w:r>
        <w:rPr>
          <w:rFonts w:ascii="Times New Roman" w:hAnsi="Times New Roman"/>
          <w:noProof/>
          <w:sz w:val="24"/>
          <w:highlight w:val="lightGray"/>
        </w:rPr>
        <w:t xml:space="preserve">Comparées aux innovations incrémentales, les innovations radicales ont tendance à être le fruit de nouveaux entrants, souvent des start-ups qui ne disposent </w:t>
      </w:r>
      <w:r>
        <w:rPr>
          <w:rFonts w:ascii="Times New Roman" w:hAnsi="Times New Roman"/>
          <w:noProof/>
          <w:sz w:val="24"/>
          <w:highlight w:val="lightGray"/>
        </w:rPr>
        <w:t xml:space="preserve">pas d’actifs ou de flux de trésorerie existants. Elles comportent généralement des risques plus élevés, en termes de technologie, de marché et de réglementation. Les </w:t>
      </w:r>
      <w:r>
        <w:rPr>
          <w:rFonts w:ascii="Times New Roman" w:hAnsi="Times New Roman"/>
          <w:i/>
          <w:noProof/>
          <w:sz w:val="24"/>
          <w:highlight w:val="lightGray"/>
        </w:rPr>
        <w:t>innovations de rupture</w:t>
      </w:r>
      <w:r>
        <w:rPr>
          <w:rFonts w:ascii="Times New Roman" w:hAnsi="Times New Roman"/>
          <w:noProof/>
          <w:sz w:val="24"/>
          <w:highlight w:val="lightGray"/>
        </w:rPr>
        <w:t xml:space="preserve"> menacent de rendre obsolète une solution ou un secteur existant.  P</w:t>
      </w:r>
      <w:r>
        <w:rPr>
          <w:rFonts w:ascii="Times New Roman" w:hAnsi="Times New Roman"/>
          <w:noProof/>
          <w:sz w:val="24"/>
          <w:highlight w:val="lightGray"/>
        </w:rPr>
        <w:t>armi les exemples classiques, citons le smartphone et les services de musique et de vidéo en ligne. Les innovations de rupture créent des produits et services entièrement nouveaux ainsi que de nouveaux modèles d’entreprises voire, dans certains cas, de nou</w:t>
      </w:r>
      <w:r>
        <w:rPr>
          <w:rFonts w:ascii="Times New Roman" w:hAnsi="Times New Roman"/>
          <w:noProof/>
          <w:sz w:val="24"/>
          <w:highlight w:val="lightGray"/>
        </w:rPr>
        <w:t>veaux marchés.</w:t>
      </w:r>
    </w:p>
    <w:p w:rsidR="00612B3C" w:rsidRDefault="00612B3C">
      <w:pPr>
        <w:tabs>
          <w:tab w:val="left" w:pos="426"/>
        </w:tabs>
        <w:spacing w:after="0" w:line="240" w:lineRule="auto"/>
        <w:jc w:val="both"/>
        <w:rPr>
          <w:rFonts w:ascii="Times New Roman" w:hAnsi="Times New Roman" w:cs="Times New Roman"/>
          <w:noProof/>
          <w:sz w:val="24"/>
          <w:szCs w:val="24"/>
        </w:rPr>
      </w:pPr>
    </w:p>
    <w:p w:rsidR="00612B3C" w:rsidRDefault="00416A72">
      <w:pPr>
        <w:tabs>
          <w:tab w:val="left" w:pos="426"/>
        </w:tabs>
        <w:spacing w:after="240" w:line="240" w:lineRule="auto"/>
        <w:jc w:val="both"/>
        <w:rPr>
          <w:rFonts w:ascii="Times New Roman" w:hAnsi="Times New Roman"/>
          <w:noProof/>
          <w:sz w:val="24"/>
        </w:rPr>
      </w:pPr>
      <w:r>
        <w:rPr>
          <w:rFonts w:ascii="Times New Roman" w:hAnsi="Times New Roman"/>
          <w:noProof/>
          <w:sz w:val="24"/>
        </w:rPr>
        <w:t xml:space="preserve">Les innovations radicales et les innovations de rupture restent trop rares en Europe. Une série de facteurs expliquent cet état de fait: un manque de capital-risque, une profonde aversion pour le risque, l’absence de transfert de nouvelles </w:t>
      </w:r>
      <w:r>
        <w:rPr>
          <w:rFonts w:ascii="Times New Roman" w:hAnsi="Times New Roman"/>
          <w:noProof/>
          <w:sz w:val="24"/>
        </w:rPr>
        <w:t>technologies depuis la base de recherche et une incapacité à exploiter la dimension de l’Union. Trop peu de start-ups européennes survivent à la phase initiale critique de deux ou trois ans. Parmi celles qui dépassent cette phase, trop peu parviennent à de</w:t>
      </w:r>
      <w:r>
        <w:rPr>
          <w:rFonts w:ascii="Times New Roman" w:hAnsi="Times New Roman"/>
          <w:noProof/>
          <w:sz w:val="24"/>
        </w:rPr>
        <w:t>venir des entreprises plus grandes et à opérer à l’échelle mondiale</w:t>
      </w:r>
      <w:r>
        <w:rPr>
          <w:rStyle w:val="FootnoteReference"/>
          <w:rFonts w:ascii="Times New Roman" w:hAnsi="Times New Roman"/>
          <w:noProof/>
          <w:sz w:val="24"/>
        </w:rPr>
        <w:footnoteReference w:id="40"/>
      </w:r>
      <w:r>
        <w:rPr>
          <w:rFonts w:ascii="Times New Roman" w:hAnsi="Times New Roman"/>
          <w:noProof/>
          <w:sz w:val="24"/>
        </w:rPr>
        <w:t>. Moins de 5 % des petites et moyennes entreprises européennes se développent à l’échelle internationale</w:t>
      </w:r>
      <w:r>
        <w:rPr>
          <w:rStyle w:val="FootnoteReference"/>
          <w:rFonts w:ascii="Times New Roman" w:hAnsi="Times New Roman"/>
          <w:noProof/>
          <w:sz w:val="24"/>
        </w:rPr>
        <w:footnoteReference w:id="41"/>
      </w:r>
      <w:r>
        <w:rPr>
          <w:rFonts w:ascii="Times New Roman" w:hAnsi="Times New Roman"/>
          <w:noProof/>
          <w:sz w:val="24"/>
        </w:rPr>
        <w:t>.</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Afin de contribuer à favoriser les grandes innovations radicales en Europe, la Co</w:t>
      </w:r>
      <w:r>
        <w:rPr>
          <w:rFonts w:ascii="Times New Roman" w:hAnsi="Times New Roman"/>
          <w:noProof/>
          <w:sz w:val="24"/>
        </w:rPr>
        <w:t xml:space="preserve">mmission propose de créer un </w:t>
      </w:r>
      <w:r>
        <w:rPr>
          <w:rFonts w:ascii="Times New Roman" w:hAnsi="Times New Roman"/>
          <w:b/>
          <w:noProof/>
          <w:sz w:val="24"/>
        </w:rPr>
        <w:t xml:space="preserve">Conseil européen de l’innovation. </w:t>
      </w:r>
      <w:r>
        <w:rPr>
          <w:rFonts w:ascii="Times New Roman" w:hAnsi="Times New Roman"/>
          <w:noProof/>
          <w:sz w:val="24"/>
        </w:rPr>
        <w:t>Ce Conseil européen de l’innovation fournira un guichet unique pour les technologies à haut potentiel et les innovations radicales, et pour les entreprises innovantes qui présentent un potentie</w:t>
      </w:r>
      <w:r>
        <w:rPr>
          <w:rFonts w:ascii="Times New Roman" w:hAnsi="Times New Roman"/>
          <w:noProof/>
          <w:sz w:val="24"/>
        </w:rPr>
        <w:t>l d’expansion. Il soutiendra la chaîne de commercialisation des idées prometteuses, facilitant le passage de la recherche à l’industrie. Cela se fera par l’intermédiaire de start-ups, d’entreprises issues de l’essaimage (</w:t>
      </w:r>
      <w:r>
        <w:rPr>
          <w:rFonts w:ascii="Times New Roman" w:hAnsi="Times New Roman"/>
          <w:i/>
          <w:noProof/>
          <w:sz w:val="24"/>
        </w:rPr>
        <w:t>spin-outs</w:t>
      </w:r>
      <w:r>
        <w:rPr>
          <w:rFonts w:ascii="Times New Roman" w:hAnsi="Times New Roman"/>
          <w:noProof/>
          <w:sz w:val="24"/>
        </w:rPr>
        <w:t>) ou de transferts vers l’</w:t>
      </w:r>
      <w:r>
        <w:rPr>
          <w:rFonts w:ascii="Times New Roman" w:hAnsi="Times New Roman"/>
          <w:noProof/>
          <w:sz w:val="24"/>
        </w:rPr>
        <w:t>industrie. Il apportera son soutien au renforcement de l’innovation dans la phase de démarrage afin de veiller à ce qu’elle se traduise par davantage de croissance et d’emplois</w:t>
      </w:r>
      <w:r>
        <w:rPr>
          <w:rFonts w:ascii="Times New Roman" w:hAnsi="Times New Roman"/>
          <w:noProof/>
          <w:sz w:val="24"/>
          <w:vertAlign w:val="superscript"/>
        </w:rPr>
        <w:footnoteReference w:id="42"/>
      </w:r>
      <w:r>
        <w:rPr>
          <w:rFonts w:ascii="Times New Roman" w:hAnsi="Times New Roman"/>
          <w:noProof/>
          <w:sz w:val="24"/>
        </w:rPr>
        <w:t>. Ce soutien sera apporté en modernisant, en rationalisant et en simplifiant le</w:t>
      </w:r>
      <w:r>
        <w:rPr>
          <w:rFonts w:ascii="Times New Roman" w:hAnsi="Times New Roman"/>
          <w:noProof/>
          <w:sz w:val="24"/>
        </w:rPr>
        <w:t>s structures existantes. Le Conseil européen de l’innovation travaillera en complémentarité avec l’</w:t>
      </w:r>
      <w:r>
        <w:rPr>
          <w:rFonts w:ascii="Times New Roman" w:hAnsi="Times New Roman"/>
          <w:b/>
          <w:noProof/>
          <w:sz w:val="24"/>
        </w:rPr>
        <w:t>Institut européen d’innovation et de technologie</w:t>
      </w:r>
      <w:r>
        <w:rPr>
          <w:rFonts w:ascii="Times New Roman" w:hAnsi="Times New Roman"/>
          <w:noProof/>
          <w:sz w:val="24"/>
        </w:rPr>
        <w:t>.</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Un projet pilote a déjà été lancé; il regroupe les systèmes existants en la matière et introduit les premiè</w:t>
      </w:r>
      <w:r>
        <w:rPr>
          <w:rFonts w:ascii="Times New Roman" w:hAnsi="Times New Roman"/>
          <w:noProof/>
          <w:sz w:val="24"/>
        </w:rPr>
        <w:t>res réformes dans le cadre d’Horizon 2020. Un montant de 2,7 milliards d’EUR a été réservé à cet égard entre 2018 et 2020. Une fois totalement mis en place, le futur Conseil européen de l’innovation sera géré de manière à permettre des investissements dans</w:t>
      </w:r>
      <w:r>
        <w:rPr>
          <w:rFonts w:ascii="Times New Roman" w:hAnsi="Times New Roman"/>
          <w:noProof/>
          <w:sz w:val="24"/>
        </w:rPr>
        <w:t xml:space="preserve"> des projets à plus haut risque. En se fondant sur les conseils stratégiques d’innovateurs de premier plan, il établira des priorités en matière d’excellence et d’échelle d’incidence. Il devrait accélérer la commercialisation et l’expansion d’innovations m</w:t>
      </w:r>
      <w:r>
        <w:rPr>
          <w:rFonts w:ascii="Times New Roman" w:hAnsi="Times New Roman"/>
          <w:noProof/>
          <w:sz w:val="24"/>
        </w:rPr>
        <w:t>ises au point par des  start-ups et issues de projets Horizon Europe. Il devrait également fournir des conseils relatifs aux programmes de financement de la recherche et de l’innovation afin de garantir l’orientation, l'échelle et les résultats des priorit</w:t>
      </w:r>
      <w:r>
        <w:rPr>
          <w:rFonts w:ascii="Times New Roman" w:hAnsi="Times New Roman"/>
          <w:noProof/>
          <w:sz w:val="24"/>
        </w:rPr>
        <w:t xml:space="preserve">és politiques européennes.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La Commission complétera cette mesure par l’initiative</w:t>
      </w:r>
      <w:r>
        <w:rPr>
          <w:rFonts w:ascii="Times New Roman" w:hAnsi="Times New Roman"/>
          <w:b/>
          <w:noProof/>
          <w:sz w:val="24"/>
        </w:rPr>
        <w:t> «radar de l’innovation»,</w:t>
      </w:r>
      <w:r>
        <w:rPr>
          <w:rFonts w:ascii="Times New Roman" w:hAnsi="Times New Roman"/>
          <w:noProof/>
          <w:sz w:val="24"/>
        </w:rPr>
        <w:t xml:space="preserve"> un instrument permettant de détecter les innovations dotées d’un potentiel de marché, financé par le budget de l’UE.</w:t>
      </w:r>
    </w:p>
    <w:p w:rsidR="00612B3C" w:rsidRDefault="00416A72">
      <w:pPr>
        <w:pStyle w:val="ListParagraph"/>
        <w:keepNext/>
        <w:pBdr>
          <w:top w:val="single" w:sz="4" w:space="1" w:color="auto"/>
          <w:left w:val="single" w:sz="4" w:space="4" w:color="auto"/>
          <w:bottom w:val="single" w:sz="4" w:space="1" w:color="auto"/>
          <w:right w:val="single" w:sz="4" w:space="4" w:color="auto"/>
        </w:pBdr>
        <w:spacing w:before="240" w:line="240" w:lineRule="auto"/>
        <w:ind w:left="0"/>
        <w:jc w:val="both"/>
        <w:rPr>
          <w:rFonts w:ascii="Times New Roman" w:hAnsi="Times New Roman" w:cs="Times New Roman"/>
          <w:i/>
          <w:noProof/>
          <w:sz w:val="24"/>
          <w:szCs w:val="24"/>
        </w:rPr>
      </w:pPr>
      <w:r>
        <w:rPr>
          <w:rFonts w:ascii="Times New Roman" w:hAnsi="Times New Roman"/>
          <w:i/>
          <w:noProof/>
          <w:sz w:val="24"/>
        </w:rPr>
        <w:t>Étapes clés</w:t>
      </w:r>
    </w:p>
    <w:p w:rsidR="00612B3C" w:rsidRDefault="00612B3C">
      <w:pPr>
        <w:pStyle w:val="ListParagraph"/>
        <w:keepNext/>
        <w:pBdr>
          <w:top w:val="single" w:sz="4" w:space="1" w:color="auto"/>
          <w:left w:val="single" w:sz="4" w:space="4" w:color="auto"/>
          <w:bottom w:val="single" w:sz="4" w:space="1" w:color="auto"/>
          <w:right w:val="single" w:sz="4" w:space="4" w:color="auto"/>
        </w:pBdr>
        <w:spacing w:before="240" w:line="240" w:lineRule="auto"/>
        <w:ind w:left="0"/>
        <w:jc w:val="both"/>
        <w:rPr>
          <w:rFonts w:ascii="Times New Roman" w:hAnsi="Times New Roman" w:cs="Times New Roman"/>
          <w:i/>
          <w:noProof/>
          <w:sz w:val="24"/>
          <w:szCs w:val="24"/>
        </w:rPr>
      </w:pPr>
    </w:p>
    <w:p w:rsidR="00612B3C" w:rsidRDefault="00416A72">
      <w:pPr>
        <w:pStyle w:val="ListParagraph"/>
        <w:pBdr>
          <w:top w:val="single" w:sz="4" w:space="1" w:color="auto"/>
          <w:left w:val="single" w:sz="4" w:space="4" w:color="auto"/>
          <w:bottom w:val="single" w:sz="4" w:space="1" w:color="auto"/>
          <w:right w:val="single" w:sz="4" w:space="4" w:color="auto"/>
        </w:pBdr>
        <w:spacing w:before="240" w:line="240" w:lineRule="auto"/>
        <w:ind w:left="284" w:hanging="284"/>
        <w:jc w:val="both"/>
        <w:rPr>
          <w:noProof/>
        </w:rPr>
      </w:pPr>
      <w:r>
        <w:rPr>
          <w:rFonts w:ascii="Times New Roman" w:hAnsi="Times New Roman"/>
          <w:noProof/>
          <w:sz w:val="24"/>
        </w:rPr>
        <w:t>-</w:t>
      </w:r>
      <w:r>
        <w:rPr>
          <w:noProof/>
        </w:rPr>
        <w:tab/>
      </w:r>
      <w:r>
        <w:rPr>
          <w:rFonts w:ascii="Times New Roman" w:hAnsi="Times New Roman"/>
          <w:b/>
          <w:noProof/>
          <w:sz w:val="24"/>
        </w:rPr>
        <w:t xml:space="preserve">Mettre en place </w:t>
      </w:r>
      <w:r>
        <w:rPr>
          <w:rFonts w:ascii="Times New Roman" w:hAnsi="Times New Roman"/>
          <w:b/>
          <w:noProof/>
          <w:sz w:val="24"/>
        </w:rPr>
        <w:t>un Conseil européen de l’innovation afin de recenser et de renforcer les innovations radicales et de rupture.  L'accent sera mis sur</w:t>
      </w:r>
      <w:r>
        <w:rPr>
          <w:rFonts w:ascii="Times New Roman" w:hAnsi="Times New Roman"/>
          <w:noProof/>
          <w:sz w:val="24"/>
        </w:rPr>
        <w:t xml:space="preserve"> </w:t>
      </w:r>
      <w:r>
        <w:rPr>
          <w:rFonts w:ascii="Times New Roman" w:hAnsi="Times New Roman"/>
          <w:b/>
          <w:noProof/>
          <w:sz w:val="24"/>
        </w:rPr>
        <w:t>les innovations rapides et à haut risque présentant un fort potentiel de création de marchés entièrement nouveaux.</w:t>
      </w:r>
      <w:r>
        <w:rPr>
          <w:rFonts w:ascii="Arial" w:hAnsi="Arial"/>
          <w:b/>
          <w:noProof/>
        </w:rPr>
        <w:t xml:space="preserve"> </w:t>
      </w:r>
    </w:p>
    <w:p w:rsidR="00612B3C" w:rsidRDefault="00612B3C">
      <w:pPr>
        <w:pStyle w:val="ListParagraph"/>
        <w:spacing w:line="240" w:lineRule="auto"/>
        <w:ind w:left="0"/>
        <w:rPr>
          <w:rFonts w:ascii="Times New Roman" w:hAnsi="Times New Roman" w:cs="Times New Roman"/>
          <w:b/>
          <w:i/>
          <w:noProof/>
          <w:sz w:val="24"/>
          <w:szCs w:val="24"/>
        </w:rPr>
      </w:pPr>
    </w:p>
    <w:p w:rsidR="00612B3C" w:rsidRDefault="00612B3C">
      <w:pPr>
        <w:pStyle w:val="ListParagraph"/>
        <w:spacing w:line="240" w:lineRule="auto"/>
        <w:ind w:left="0"/>
        <w:rPr>
          <w:rFonts w:ascii="Times New Roman" w:hAnsi="Times New Roman" w:cs="Times New Roman"/>
          <w:b/>
          <w:i/>
          <w:noProof/>
          <w:sz w:val="24"/>
          <w:szCs w:val="24"/>
        </w:rPr>
      </w:pPr>
    </w:p>
    <w:p w:rsidR="00612B3C" w:rsidRDefault="00416A72">
      <w:pPr>
        <w:pStyle w:val="ListParagraph"/>
        <w:keepNext/>
        <w:spacing w:line="240" w:lineRule="auto"/>
        <w:ind w:left="0"/>
        <w:jc w:val="both"/>
        <w:rPr>
          <w:rFonts w:ascii="Times New Roman" w:hAnsi="Times New Roman" w:cs="Times New Roman"/>
          <w:b/>
          <w:noProof/>
          <w:sz w:val="24"/>
          <w:szCs w:val="24"/>
        </w:rPr>
      </w:pPr>
      <w:r>
        <w:rPr>
          <w:rFonts w:ascii="Times New Roman" w:hAnsi="Times New Roman"/>
          <w:b/>
          <w:noProof/>
          <w:sz w:val="24"/>
        </w:rPr>
        <w:t xml:space="preserve">2.4 </w:t>
      </w:r>
      <w:r>
        <w:rPr>
          <w:noProof/>
        </w:rPr>
        <w:tab/>
      </w:r>
      <w:r>
        <w:rPr>
          <w:rFonts w:ascii="Times New Roman" w:hAnsi="Times New Roman"/>
          <w:b/>
          <w:noProof/>
          <w:sz w:val="24"/>
        </w:rPr>
        <w:t xml:space="preserve">Définition de missions à l'échelle de l’UE en matière de recherche et d'innovation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Le soutien européen à la recherche et à l’innovation aide l’UE à honorer ses priorités, permet de simplifier la vie quotidienne des citoyens et contribue à la réalisation d</w:t>
      </w:r>
      <w:r>
        <w:rPr>
          <w:rFonts w:ascii="Times New Roman" w:hAnsi="Times New Roman"/>
          <w:noProof/>
          <w:sz w:val="24"/>
        </w:rPr>
        <w:t>’avancées majeures qui auront une incidence sur des millions de personnes à travers le monde. Qu'il s'agisse de respecter les engagements pris en matière de changement climatique au titre de l’accord de Paris, de découvrir de nouvelles planètes ou de réali</w:t>
      </w:r>
      <w:r>
        <w:rPr>
          <w:rFonts w:ascii="Times New Roman" w:hAnsi="Times New Roman"/>
          <w:noProof/>
          <w:sz w:val="24"/>
        </w:rPr>
        <w:t xml:space="preserve">ser des progrès essentiels concernant les traitements contre le cancer, la valeur ajoutée du financement apporté par l’UE à la recherche et à l’innovation est réelle et peut être démontrée. À l’avenir, le financement de l’UE pourrait même permettre à tout </w:t>
      </w:r>
      <w:r>
        <w:rPr>
          <w:rFonts w:ascii="Times New Roman" w:hAnsi="Times New Roman"/>
          <w:noProof/>
          <w:sz w:val="24"/>
        </w:rPr>
        <w:t>un chacun d’imprimer en 3D la maison de ses rêves.</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L’Europe peut encore accroître la valeur ajoutée et les retombées de ce financement en définissant des missions à l'échelle de l’UE dans le domaine de la recherche et de l'innovation. Ces missions permettr</w:t>
      </w:r>
      <w:r>
        <w:rPr>
          <w:rFonts w:ascii="Times New Roman" w:hAnsi="Times New Roman"/>
          <w:noProof/>
          <w:sz w:val="24"/>
        </w:rPr>
        <w:t>aient de fixer des objectifs ambitieux qui repousseraient les limites de la recherche et de l’innovation, de constituer un stimulant pour notre stratégie relative à l’emploi, à la croissance et à la compétitivité et de contribuer à résoudre certains des pr</w:t>
      </w:r>
      <w:r>
        <w:rPr>
          <w:rFonts w:ascii="Times New Roman" w:hAnsi="Times New Roman"/>
          <w:noProof/>
          <w:sz w:val="24"/>
        </w:rPr>
        <w:t>incipaux défis sociétaux. Ces missions pourraient être définies en étroite coopération avec les États membres, les parties prenantes et les citoyens. Elles pourraient porter sur des sujets allant de la lutte contre la maladie aux transports non polluants e</w:t>
      </w:r>
      <w:r>
        <w:rPr>
          <w:rFonts w:ascii="Times New Roman" w:hAnsi="Times New Roman"/>
          <w:noProof/>
          <w:sz w:val="24"/>
        </w:rPr>
        <w:t xml:space="preserve">n passant par la déplastification des océans.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Conformément à l'adage selon lequel «pour que les choses se fassent, il faut en mesurer les résultats», ces missions devraient définir des objectifs ambitieux, ciblés et assortis d’échéances.  Si l’on prend l’</w:t>
      </w:r>
      <w:r>
        <w:rPr>
          <w:rFonts w:ascii="Times New Roman" w:hAnsi="Times New Roman"/>
          <w:noProof/>
          <w:sz w:val="24"/>
        </w:rPr>
        <w:t>exemple de la déplastification des océans, ces objectifs pourraient ainsi prévoir de réduire de 90 % la quantité de plastiques pénétrant dans l’environnement marin et de ramasser d’ici 2025 plus de la moitié des plastiques se trouvant dans nos océans.</w:t>
      </w:r>
    </w:p>
    <w:p w:rsidR="00612B3C" w:rsidRDefault="00416A72">
      <w:pPr>
        <w:spacing w:line="240" w:lineRule="auto"/>
        <w:jc w:val="both"/>
        <w:rPr>
          <w:rFonts w:ascii="Times New Roman" w:hAnsi="Times New Roman" w:cs="Times New Roman"/>
          <w:b/>
          <w:noProof/>
          <w:sz w:val="24"/>
          <w:szCs w:val="24"/>
        </w:rPr>
      </w:pPr>
      <w:r>
        <w:rPr>
          <w:rFonts w:ascii="Times New Roman" w:hAnsi="Times New Roman"/>
          <w:noProof/>
          <w:sz w:val="24"/>
        </w:rPr>
        <w:t xml:space="preserve">Les </w:t>
      </w:r>
      <w:r>
        <w:rPr>
          <w:rFonts w:ascii="Times New Roman" w:hAnsi="Times New Roman"/>
          <w:noProof/>
          <w:sz w:val="24"/>
        </w:rPr>
        <w:t>missions fixées encourageront les investissements et la participation dans de multiples secteurs à travers les chaînes de valeurs, les domaines politiques (comme l’énergie et le climat, les transports, la fabrication avancée, la santé et la nutrition et le</w:t>
      </w:r>
      <w:r>
        <w:rPr>
          <w:rFonts w:ascii="Times New Roman" w:hAnsi="Times New Roman"/>
          <w:noProof/>
          <w:sz w:val="24"/>
        </w:rPr>
        <w:t xml:space="preserve"> numérique), les disciplines scientifiques (y compris les sciences sociales et humaines), ainsi qu’en impliquant différents acteurs et parties prenantes</w:t>
      </w:r>
      <w:r>
        <w:rPr>
          <w:rFonts w:ascii="Times New Roman" w:hAnsi="Times New Roman"/>
          <w:b/>
          <w:noProof/>
          <w:sz w:val="24"/>
        </w:rPr>
        <w:t xml:space="preserve">. </w:t>
      </w:r>
      <w:r>
        <w:rPr>
          <w:rFonts w:ascii="Times New Roman" w:hAnsi="Times New Roman"/>
          <w:noProof/>
          <w:sz w:val="24"/>
        </w:rPr>
        <w:t xml:space="preserve">La définition de ces missions passe par un processus global, recensant les domaines qui présentent le </w:t>
      </w:r>
      <w:r>
        <w:rPr>
          <w:rFonts w:ascii="Times New Roman" w:hAnsi="Times New Roman"/>
          <w:noProof/>
          <w:sz w:val="24"/>
        </w:rPr>
        <w:t>potentiel le plus élevé en termes de retombées économiques, d’une part, et apportant des réponses aux défis sociétaux, d’autre part. Ces missions</w:t>
      </w:r>
      <w:r>
        <w:rPr>
          <w:rFonts w:ascii="Times New Roman" w:hAnsi="Times New Roman"/>
          <w:b/>
          <w:noProof/>
          <w:sz w:val="24"/>
        </w:rPr>
        <w:t xml:space="preserve"> </w:t>
      </w:r>
      <w:r>
        <w:rPr>
          <w:rFonts w:ascii="Times New Roman" w:hAnsi="Times New Roman"/>
          <w:noProof/>
          <w:sz w:val="24"/>
        </w:rPr>
        <w:t>pourraient mettre l'accent sur l’aspect sociétal, scientifique ou technologique et</w:t>
      </w:r>
      <w:r>
        <w:rPr>
          <w:rFonts w:ascii="Times New Roman" w:hAnsi="Times New Roman"/>
          <w:b/>
          <w:noProof/>
          <w:sz w:val="24"/>
        </w:rPr>
        <w:t xml:space="preserve"> </w:t>
      </w:r>
      <w:r>
        <w:rPr>
          <w:rFonts w:ascii="Times New Roman" w:hAnsi="Times New Roman"/>
          <w:noProof/>
          <w:sz w:val="24"/>
        </w:rPr>
        <w:t>devraient créer des synergi</w:t>
      </w:r>
      <w:r>
        <w:rPr>
          <w:rFonts w:ascii="Times New Roman" w:hAnsi="Times New Roman"/>
          <w:noProof/>
          <w:sz w:val="24"/>
        </w:rPr>
        <w:t xml:space="preserve">es avec les stratégies dans le domaine de la recherche et de l’innovation au niveau des États membres et à l'échelon régional et local.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 xml:space="preserve">Ces missions devraient encourager, voire exiger l’expérimentation et la prise de risque. Elles pourront tirer parti de </w:t>
      </w:r>
      <w:r>
        <w:rPr>
          <w:rFonts w:ascii="Times New Roman" w:hAnsi="Times New Roman"/>
          <w:noProof/>
          <w:sz w:val="24"/>
        </w:rPr>
        <w:t>l’expérience acquise dans le cadre des projets phares «Graphène» et «Cerveau humain»</w:t>
      </w:r>
      <w:r>
        <w:rPr>
          <w:rStyle w:val="FootnoteReference"/>
          <w:rFonts w:ascii="Times New Roman" w:hAnsi="Times New Roman"/>
          <w:noProof/>
          <w:sz w:val="24"/>
        </w:rPr>
        <w:footnoteReference w:id="43"/>
      </w:r>
      <w:r>
        <w:rPr>
          <w:rFonts w:ascii="Times New Roman" w:hAnsi="Times New Roman"/>
          <w:noProof/>
          <w:sz w:val="24"/>
        </w:rPr>
        <w:t xml:space="preserve"> et, plus récemment, du projet «Quantum», trois projets pour lesquels il a été fait preuve d’ambition et d’une solide approche axée sur la technologie et fondée sur des re</w:t>
      </w:r>
      <w:r>
        <w:rPr>
          <w:rFonts w:ascii="Times New Roman" w:hAnsi="Times New Roman"/>
          <w:noProof/>
          <w:sz w:val="24"/>
        </w:rPr>
        <w:t xml:space="preserve">cherches pluridisciplinaires, et poursuivre l'expérience dans ce cadre. </w:t>
      </w:r>
    </w:p>
    <w:p w:rsidR="00612B3C" w:rsidRDefault="00416A72">
      <w:pPr>
        <w:pStyle w:val="ListParagraph"/>
        <w:keepNext/>
        <w:pBdr>
          <w:top w:val="single" w:sz="4" w:space="1" w:color="auto"/>
          <w:left w:val="single" w:sz="4" w:space="4" w:color="auto"/>
          <w:bottom w:val="single" w:sz="4" w:space="1" w:color="auto"/>
          <w:right w:val="single" w:sz="4" w:space="4" w:color="auto"/>
        </w:pBdr>
        <w:spacing w:after="240" w:line="240" w:lineRule="auto"/>
        <w:ind w:left="0"/>
        <w:jc w:val="both"/>
        <w:rPr>
          <w:rFonts w:ascii="Times New Roman" w:hAnsi="Times New Roman" w:cs="Times New Roman"/>
          <w:i/>
          <w:noProof/>
          <w:sz w:val="24"/>
          <w:szCs w:val="24"/>
        </w:rPr>
      </w:pPr>
      <w:r>
        <w:rPr>
          <w:rFonts w:ascii="Times New Roman" w:hAnsi="Times New Roman"/>
          <w:i/>
          <w:noProof/>
          <w:sz w:val="24"/>
        </w:rPr>
        <w:t>Étapes clés</w:t>
      </w:r>
    </w:p>
    <w:p w:rsidR="00612B3C" w:rsidRDefault="00612B3C">
      <w:pPr>
        <w:pStyle w:val="ListParagraph"/>
        <w:keepNext/>
        <w:pBdr>
          <w:top w:val="single" w:sz="4" w:space="1" w:color="auto"/>
          <w:left w:val="single" w:sz="4" w:space="4" w:color="auto"/>
          <w:bottom w:val="single" w:sz="4" w:space="1" w:color="auto"/>
          <w:right w:val="single" w:sz="4" w:space="4" w:color="auto"/>
        </w:pBdr>
        <w:spacing w:after="240" w:line="240" w:lineRule="auto"/>
        <w:ind w:left="0"/>
        <w:jc w:val="both"/>
        <w:rPr>
          <w:rFonts w:ascii="Times New Roman" w:hAnsi="Times New Roman" w:cs="Times New Roman"/>
          <w:i/>
          <w:noProof/>
          <w:sz w:val="24"/>
          <w:szCs w:val="24"/>
        </w:rPr>
      </w:pPr>
    </w:p>
    <w:p w:rsidR="00612B3C" w:rsidRDefault="00416A72">
      <w:pPr>
        <w:pStyle w:val="ListParagraph"/>
        <w:pBdr>
          <w:top w:val="single" w:sz="4" w:space="1" w:color="auto"/>
          <w:left w:val="single" w:sz="4" w:space="4" w:color="auto"/>
          <w:bottom w:val="single" w:sz="4" w:space="1" w:color="auto"/>
          <w:right w:val="single" w:sz="4" w:space="4" w:color="auto"/>
        </w:pBdr>
        <w:spacing w:before="240" w:after="240" w:line="240" w:lineRule="auto"/>
        <w:ind w:left="284" w:hanging="284"/>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b/>
          <w:noProof/>
          <w:sz w:val="24"/>
        </w:rPr>
        <w:t>Lancer un premier ensemble de missions de recherche et d’innovation au niveau de l’UE dotées d’objectifs ambitieux et clairs et d’une forte valeur ajoutée européenne.</w:t>
      </w:r>
      <w:r>
        <w:rPr>
          <w:rFonts w:ascii="Times New Roman" w:hAnsi="Times New Roman"/>
          <w:noProof/>
          <w:sz w:val="24"/>
        </w:rPr>
        <w:t xml:space="preserve"> </w:t>
      </w:r>
    </w:p>
    <w:p w:rsidR="00612B3C" w:rsidRDefault="00612B3C">
      <w:pPr>
        <w:pStyle w:val="ListParagraph"/>
        <w:spacing w:line="240" w:lineRule="auto"/>
        <w:ind w:left="0"/>
        <w:rPr>
          <w:rFonts w:ascii="Times New Roman" w:hAnsi="Times New Roman" w:cs="Times New Roman"/>
          <w:b/>
          <w:i/>
          <w:noProof/>
          <w:sz w:val="24"/>
          <w:szCs w:val="24"/>
        </w:rPr>
      </w:pPr>
    </w:p>
    <w:p w:rsidR="00612B3C" w:rsidRDefault="00612B3C">
      <w:pPr>
        <w:pStyle w:val="ListParagraph"/>
        <w:spacing w:line="240" w:lineRule="auto"/>
        <w:ind w:left="0"/>
        <w:rPr>
          <w:rFonts w:ascii="Times New Roman" w:hAnsi="Times New Roman" w:cs="Times New Roman"/>
          <w:b/>
          <w:i/>
          <w:noProof/>
          <w:sz w:val="24"/>
          <w:szCs w:val="24"/>
        </w:rPr>
      </w:pPr>
    </w:p>
    <w:p w:rsidR="00612B3C" w:rsidRDefault="00416A72">
      <w:pPr>
        <w:pStyle w:val="ListParagraph"/>
        <w:keepNext/>
        <w:spacing w:line="240" w:lineRule="auto"/>
        <w:ind w:left="0"/>
        <w:jc w:val="both"/>
        <w:rPr>
          <w:rFonts w:ascii="Times New Roman" w:hAnsi="Times New Roman" w:cs="Times New Roman"/>
          <w:b/>
          <w:noProof/>
          <w:sz w:val="24"/>
          <w:szCs w:val="24"/>
        </w:rPr>
      </w:pPr>
      <w:r>
        <w:rPr>
          <w:rFonts w:ascii="Times New Roman" w:hAnsi="Times New Roman"/>
          <w:b/>
          <w:noProof/>
          <w:sz w:val="24"/>
        </w:rPr>
        <w:t xml:space="preserve">2.5 Soutien à la diffusion rapide de l’innovation et à son adoption à travers l’Union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Par le passé, l’Europe était traversée par une ligne de démarcation claire en matière d'innovation, entre le Nord et le Sud et entre l’Ouest et l’Est. Cette ligne  est</w:t>
      </w:r>
      <w:r>
        <w:rPr>
          <w:rFonts w:ascii="Times New Roman" w:hAnsi="Times New Roman"/>
          <w:noProof/>
          <w:sz w:val="24"/>
        </w:rPr>
        <w:t xml:space="preserve"> toutefois à présent beaucoup moins marquée, puisque de nombreux pays ont réalisé des progrès importants pour rattraper leur retard, notamment en termes de niveaux d’investissement. Des poches d’excellence scientifique et technologique sont apparues dans t</w:t>
      </w:r>
      <w:r>
        <w:rPr>
          <w:rFonts w:ascii="Times New Roman" w:hAnsi="Times New Roman"/>
          <w:noProof/>
          <w:sz w:val="24"/>
        </w:rPr>
        <w:t xml:space="preserve">oute l’Europe. Cependant, la fracture en matière d'innovation persiste encore entre les régions, certaines d’entre elles accusant un retard important en termes d'investissements, de capacité d’innovation et de performance. Les faiblesses dans la diffusion </w:t>
      </w:r>
      <w:r>
        <w:rPr>
          <w:rFonts w:ascii="Times New Roman" w:hAnsi="Times New Roman"/>
          <w:noProof/>
          <w:sz w:val="24"/>
        </w:rPr>
        <w:t>de l’innovation expliquent une grande partie de la lenteur de la croissance globale de la productivité en Europe</w:t>
      </w:r>
      <w:r>
        <w:rPr>
          <w:rStyle w:val="FootnoteReference"/>
          <w:rFonts w:ascii="Times New Roman" w:hAnsi="Times New Roman"/>
          <w:noProof/>
          <w:sz w:val="24"/>
        </w:rPr>
        <w:footnoteReference w:id="44"/>
      </w:r>
      <w:r>
        <w:rPr>
          <w:noProof/>
        </w:rPr>
        <w:t>.</w:t>
      </w:r>
    </w:p>
    <w:p w:rsidR="00612B3C" w:rsidRDefault="00416A72">
      <w:pPr>
        <w:keepNext/>
        <w:spacing w:after="120" w:line="240" w:lineRule="auto"/>
        <w:jc w:val="center"/>
        <w:rPr>
          <w:rFonts w:ascii="Times New Roman" w:hAnsi="Times New Roman" w:cs="Times New Roman"/>
          <w:i/>
          <w:noProof/>
          <w:szCs w:val="24"/>
        </w:rPr>
      </w:pPr>
      <w:r>
        <w:rPr>
          <w:rFonts w:ascii="Times New Roman" w:hAnsi="Times New Roman"/>
          <w:b/>
          <w:noProof/>
        </w:rPr>
        <w:t>Performance des régions de l’UE en termes d’innovation</w:t>
      </w:r>
      <w:r>
        <w:rPr>
          <w:rStyle w:val="FootnoteReference"/>
          <w:rFonts w:ascii="Times New Roman" w:hAnsi="Times New Roman"/>
          <w:noProof/>
        </w:rPr>
        <w:footnoteReference w:id="45"/>
      </w:r>
      <w:r>
        <w:rPr>
          <w:rFonts w:ascii="Times New Roman" w:hAnsi="Times New Roman"/>
          <w:i/>
          <w:noProof/>
        </w:rPr>
        <w:t xml:space="preserve"> </w:t>
      </w:r>
    </w:p>
    <w:p w:rsidR="00612B3C" w:rsidRDefault="00416A72">
      <w:pPr>
        <w:spacing w:after="0" w:line="240" w:lineRule="auto"/>
        <w:jc w:val="center"/>
        <w:rPr>
          <w:rFonts w:ascii="Times New Roman" w:hAnsi="Times New Roman" w:cs="Times New Roman"/>
          <w:noProof/>
          <w:sz w:val="24"/>
          <w:szCs w:val="24"/>
        </w:rPr>
      </w:pPr>
      <w:r>
        <w:rPr>
          <w:noProof/>
          <w:lang w:val="en-GB" w:eastAsia="en-GB" w:bidi="ar-SA"/>
        </w:rPr>
        <w:drawing>
          <wp:inline distT="0" distB="0" distL="0" distR="0" wp14:anchorId="4C01E77F" wp14:editId="001ACD5B">
            <wp:extent cx="4286580" cy="4824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7982" cy="4814682"/>
                    </a:xfrm>
                    <a:prstGeom prst="rect">
                      <a:avLst/>
                    </a:prstGeom>
                    <a:noFill/>
                    <a:ln>
                      <a:noFill/>
                    </a:ln>
                  </pic:spPr>
                </pic:pic>
              </a:graphicData>
            </a:graphic>
          </wp:inline>
        </w:drawing>
      </w:r>
    </w:p>
    <w:p w:rsidR="00612B3C" w:rsidRDefault="00612B3C">
      <w:pPr>
        <w:spacing w:line="240" w:lineRule="auto"/>
        <w:jc w:val="both"/>
        <w:rPr>
          <w:rFonts w:ascii="Times New Roman" w:hAnsi="Times New Roman" w:cs="Times New Roman"/>
          <w:noProof/>
          <w:sz w:val="24"/>
          <w:szCs w:val="24"/>
        </w:rPr>
      </w:pP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 xml:space="preserve">Des efforts supplémentaires doivent être consentis pour accélérer l’adoption de </w:t>
      </w:r>
      <w:r>
        <w:rPr>
          <w:rFonts w:ascii="Times New Roman" w:hAnsi="Times New Roman"/>
          <w:noProof/>
          <w:sz w:val="24"/>
        </w:rPr>
        <w:t>l’innovation dans des régions moins développées et dans des secteurs plus traditionnels. Il convient que les investissements deviennent plus efficients, plus efficaces et mieux adaptés aux besoins régionaux et locaux.</w:t>
      </w:r>
      <w:r>
        <w:rPr>
          <w:rFonts w:ascii="Calibri" w:hAnsi="Calibri"/>
          <w:noProof/>
        </w:rPr>
        <w:t xml:space="preserve"> </w:t>
      </w:r>
      <w:r>
        <w:rPr>
          <w:rFonts w:ascii="Times New Roman" w:hAnsi="Times New Roman"/>
          <w:noProof/>
          <w:sz w:val="24"/>
        </w:rPr>
        <w:t>Le financement de l’UE a contribué à d</w:t>
      </w:r>
      <w:r>
        <w:rPr>
          <w:rFonts w:ascii="Times New Roman" w:hAnsi="Times New Roman"/>
          <w:noProof/>
          <w:sz w:val="24"/>
        </w:rPr>
        <w:t>évelopper des écosystèmes régionaux d’innovation, y compris des «pôles d’innovation» qui offrent aux petites et moyennes entreprises un accès aisé à des infrastructures et à de l’expertise afin d’expérimenter les nouvelles technologies.  Afin de soutenir c</w:t>
      </w:r>
      <w:r>
        <w:rPr>
          <w:rFonts w:ascii="Times New Roman" w:hAnsi="Times New Roman"/>
          <w:noProof/>
          <w:sz w:val="24"/>
        </w:rPr>
        <w:t xml:space="preserve">es efforts, les </w:t>
      </w:r>
      <w:r>
        <w:rPr>
          <w:rFonts w:ascii="Times New Roman" w:hAnsi="Times New Roman"/>
          <w:b/>
          <w:noProof/>
          <w:sz w:val="24"/>
        </w:rPr>
        <w:t>stratégies de spécialisation intelligente</w:t>
      </w:r>
      <w:r>
        <w:rPr>
          <w:rFonts w:ascii="Times New Roman" w:hAnsi="Times New Roman"/>
          <w:noProof/>
          <w:sz w:val="24"/>
        </w:rPr>
        <w:t xml:space="preserve"> jouent un rôle essentiel pour faire en sorte que toutes les régions de l’UE puissent exploiter leur potentiel et réussir la transition industrielle fondée sur l’innovation</w:t>
      </w:r>
      <w:r>
        <w:rPr>
          <w:rStyle w:val="FootnoteReference"/>
          <w:rFonts w:ascii="Times New Roman" w:hAnsi="Times New Roman"/>
          <w:noProof/>
          <w:sz w:val="24"/>
        </w:rPr>
        <w:footnoteReference w:id="46"/>
      </w:r>
      <w:r>
        <w:rPr>
          <w:noProof/>
        </w:rPr>
        <w:t>.</w:t>
      </w:r>
    </w:p>
    <w:p w:rsidR="00612B3C" w:rsidRDefault="00416A72">
      <w:pPr>
        <w:shd w:val="clear" w:color="auto" w:fill="B3ABAF" w:themeFill="background1" w:themeFillShade="BF"/>
        <w:spacing w:line="240" w:lineRule="auto"/>
        <w:jc w:val="both"/>
        <w:rPr>
          <w:rFonts w:ascii="Times New Roman" w:hAnsi="Times New Roman" w:cs="Times New Roman"/>
          <w:noProof/>
          <w:sz w:val="24"/>
          <w:szCs w:val="24"/>
        </w:rPr>
      </w:pPr>
      <w:r>
        <w:rPr>
          <w:rFonts w:ascii="Times New Roman" w:hAnsi="Times New Roman"/>
          <w:noProof/>
          <w:sz w:val="24"/>
        </w:rPr>
        <w:t>Depuis 2014, l'accent mi</w:t>
      </w:r>
      <w:r>
        <w:rPr>
          <w:rFonts w:ascii="Times New Roman" w:hAnsi="Times New Roman"/>
          <w:noProof/>
          <w:sz w:val="24"/>
        </w:rPr>
        <w:t xml:space="preserve">s sur l’innovation dans le cadre des </w:t>
      </w:r>
      <w:r>
        <w:rPr>
          <w:rFonts w:ascii="Times New Roman" w:hAnsi="Times New Roman"/>
          <w:b/>
          <w:noProof/>
          <w:sz w:val="24"/>
        </w:rPr>
        <w:t>Fonds structurels et d'investissement européens</w:t>
      </w:r>
      <w:r>
        <w:rPr>
          <w:rFonts w:ascii="Times New Roman" w:hAnsi="Times New Roman"/>
          <w:noProof/>
          <w:sz w:val="24"/>
        </w:rPr>
        <w:t xml:space="preserve"> a été renforcé à travers 120 stratégies de spécialisation intelligente qui promeuvent l’innovation fondée sur les atouts de chaque région. Quelque 80 milliards d’EUR sont </w:t>
      </w:r>
      <w:r>
        <w:rPr>
          <w:rFonts w:ascii="Times New Roman" w:hAnsi="Times New Roman"/>
          <w:noProof/>
          <w:sz w:val="24"/>
        </w:rPr>
        <w:t xml:space="preserve">disponibles auprès du </w:t>
      </w:r>
      <w:r>
        <w:rPr>
          <w:rFonts w:ascii="Times New Roman" w:hAnsi="Times New Roman"/>
          <w:b/>
          <w:noProof/>
          <w:sz w:val="24"/>
        </w:rPr>
        <w:t xml:space="preserve">Fonds européen de développement régional </w:t>
      </w:r>
      <w:r>
        <w:rPr>
          <w:rFonts w:ascii="Times New Roman" w:hAnsi="Times New Roman"/>
          <w:noProof/>
          <w:sz w:val="24"/>
        </w:rPr>
        <w:t xml:space="preserve"> pour encourager l’esprit d’entreprise, la numérisation et la recherche dans les entreprises, en particulier dans les régions les moins développées. Le </w:t>
      </w:r>
      <w:r>
        <w:rPr>
          <w:rFonts w:ascii="Times New Roman" w:hAnsi="Times New Roman"/>
          <w:b/>
          <w:noProof/>
          <w:sz w:val="24"/>
        </w:rPr>
        <w:t>Fonds social européen et le programme Era</w:t>
      </w:r>
      <w:r>
        <w:rPr>
          <w:rFonts w:ascii="Times New Roman" w:hAnsi="Times New Roman"/>
          <w:b/>
          <w:noProof/>
          <w:sz w:val="24"/>
        </w:rPr>
        <w:t>smus+</w:t>
      </w:r>
      <w:r>
        <w:rPr>
          <w:rFonts w:ascii="Times New Roman" w:hAnsi="Times New Roman"/>
          <w:noProof/>
          <w:sz w:val="24"/>
        </w:rPr>
        <w:t xml:space="preserve"> soutiennent les investissements dans le développement des compétences des citoyens. La </w:t>
      </w:r>
      <w:r>
        <w:rPr>
          <w:rFonts w:ascii="Times New Roman" w:hAnsi="Times New Roman"/>
          <w:b/>
          <w:noProof/>
          <w:sz w:val="24"/>
        </w:rPr>
        <w:t>politique agricole commune</w:t>
      </w:r>
      <w:r>
        <w:rPr>
          <w:rFonts w:ascii="Times New Roman" w:hAnsi="Times New Roman"/>
          <w:noProof/>
          <w:sz w:val="24"/>
        </w:rPr>
        <w:t xml:space="preserve"> renforce la capacité d'innovation dans les régions rurales grâce au soutien apporté à l’adoption d’opportunités fondées sur le numérique</w:t>
      </w:r>
      <w:r>
        <w:rPr>
          <w:rFonts w:ascii="Times New Roman" w:hAnsi="Times New Roman"/>
          <w:noProof/>
          <w:sz w:val="24"/>
        </w:rPr>
        <w:t>.</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Pour que l’Europe puisse mettre en place une capacité d'innovation plus solide et plus efficace et accélérer la diffusion de l’innovation à travers l’Union, il est nécessaire de renforcer et de rendre plus stratégique la coordination entre les différents</w:t>
      </w:r>
      <w:r>
        <w:rPr>
          <w:rFonts w:ascii="Times New Roman" w:hAnsi="Times New Roman"/>
          <w:noProof/>
          <w:sz w:val="24"/>
        </w:rPr>
        <w:t xml:space="preserve"> programmes de financement de l’UE, en prévoyant un meilleur alignement des priorités au niveau européen, y compris entre les stratégies de spécialisation intelligente et le programme Horizon Europe. Il est nécessaire de prévoir un soutien accru aux collab</w:t>
      </w:r>
      <w:r>
        <w:rPr>
          <w:rFonts w:ascii="Times New Roman" w:hAnsi="Times New Roman"/>
          <w:noProof/>
          <w:sz w:val="24"/>
        </w:rPr>
        <w:t xml:space="preserve">orations transfrontières et transrégionales à travers l’Europe et aux chaînes de valeur internationales. Les capacités institutionnelles aux niveaux régional et local doivent également être renforcées pour appuyer les réformes des systèmes d’innovation et </w:t>
      </w:r>
      <w:r>
        <w:rPr>
          <w:rFonts w:ascii="Times New Roman" w:hAnsi="Times New Roman"/>
          <w:noProof/>
          <w:sz w:val="24"/>
        </w:rPr>
        <w:t>contribuer à développer les nouvelles compétences requises.</w:t>
      </w:r>
    </w:p>
    <w:tbl>
      <w:tblPr>
        <w:tblStyle w:val="TableGrid"/>
        <w:tblW w:w="0" w:type="auto"/>
        <w:tblLook w:val="04A0" w:firstRow="1" w:lastRow="0" w:firstColumn="1" w:lastColumn="0" w:noHBand="0" w:noVBand="1"/>
      </w:tblPr>
      <w:tblGrid>
        <w:gridCol w:w="9288"/>
      </w:tblGrid>
      <w:tr w:rsidR="00612B3C">
        <w:tc>
          <w:tcPr>
            <w:tcW w:w="9288" w:type="dxa"/>
          </w:tcPr>
          <w:p w:rsidR="00612B3C" w:rsidRDefault="00416A72">
            <w:pPr>
              <w:pStyle w:val="ListParagraph"/>
              <w:keepNext/>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noProof/>
                <w:sz w:val="24"/>
                <w:szCs w:val="24"/>
              </w:rPr>
            </w:pPr>
            <w:r>
              <w:rPr>
                <w:rFonts w:ascii="Times New Roman" w:hAnsi="Times New Roman"/>
                <w:i/>
                <w:noProof/>
                <w:sz w:val="24"/>
              </w:rPr>
              <w:t>Étapes clés</w:t>
            </w:r>
          </w:p>
          <w:p w:rsidR="00612B3C" w:rsidRDefault="00612B3C">
            <w:pPr>
              <w:pStyle w:val="ListParagraph"/>
              <w:keepNext/>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noProof/>
                <w:sz w:val="24"/>
                <w:szCs w:val="24"/>
              </w:rPr>
            </w:pPr>
          </w:p>
          <w:p w:rsidR="00612B3C" w:rsidRDefault="00416A72">
            <w:pPr>
              <w:pStyle w:val="ListParagraph"/>
              <w:pBdr>
                <w:top w:val="single" w:sz="4" w:space="1" w:color="auto"/>
                <w:left w:val="single" w:sz="4" w:space="4" w:color="auto"/>
                <w:bottom w:val="single" w:sz="4" w:space="1" w:color="auto"/>
                <w:right w:val="single" w:sz="4" w:space="4" w:color="auto"/>
              </w:pBdr>
              <w:ind w:left="284" w:hanging="284"/>
              <w:jc w:val="both"/>
              <w:rPr>
                <w:noProof/>
              </w:rPr>
            </w:pPr>
            <w:r>
              <w:rPr>
                <w:rFonts w:ascii="Times New Roman" w:hAnsi="Times New Roman"/>
                <w:b/>
                <w:noProof/>
                <w:sz w:val="24"/>
              </w:rPr>
              <w:t>-</w:t>
            </w:r>
            <w:r>
              <w:rPr>
                <w:noProof/>
              </w:rPr>
              <w:tab/>
            </w:r>
            <w:r>
              <w:rPr>
                <w:rFonts w:ascii="Times New Roman" w:hAnsi="Times New Roman"/>
                <w:b/>
                <w:noProof/>
                <w:sz w:val="24"/>
              </w:rPr>
              <w:t xml:space="preserve">Utiliser les Fonds structurels et d’investissement européens pour intégrer les régions dans l’économie de l’innovation. Les stratégies de spécialisation intelligente devraient être </w:t>
            </w:r>
            <w:r>
              <w:rPr>
                <w:rFonts w:ascii="Times New Roman" w:hAnsi="Times New Roman"/>
                <w:b/>
                <w:noProof/>
                <w:sz w:val="24"/>
              </w:rPr>
              <w:t>renforcées et rationalisées afin de permettre le soutien interrégional à l’innovation. Il convient de créer des synergies avec le programme Horizon Europe, le Fonds InvestEU, le Fonds social européen, le programme Erasmus+, le programme pour une Europe num</w:t>
            </w:r>
            <w:r>
              <w:rPr>
                <w:rFonts w:ascii="Times New Roman" w:hAnsi="Times New Roman"/>
                <w:b/>
                <w:noProof/>
                <w:sz w:val="24"/>
              </w:rPr>
              <w:t xml:space="preserve">érique, la politique agricole commune ainsi que d'autres programmes. </w:t>
            </w:r>
          </w:p>
        </w:tc>
      </w:tr>
    </w:tbl>
    <w:p w:rsidR="00612B3C" w:rsidRDefault="00612B3C">
      <w:pPr>
        <w:pStyle w:val="ListParagraph"/>
        <w:spacing w:line="240" w:lineRule="auto"/>
        <w:ind w:left="1080"/>
        <w:jc w:val="both"/>
        <w:rPr>
          <w:rFonts w:ascii="Times New Roman" w:hAnsi="Times New Roman" w:cs="Times New Roman"/>
          <w:noProof/>
          <w:sz w:val="24"/>
          <w:szCs w:val="24"/>
        </w:rPr>
      </w:pPr>
    </w:p>
    <w:p w:rsidR="00612B3C" w:rsidRDefault="00416A72">
      <w:pPr>
        <w:keepNext/>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2.6 </w:t>
      </w:r>
      <w:r>
        <w:rPr>
          <w:noProof/>
        </w:rPr>
        <w:tab/>
      </w:r>
      <w:r>
        <w:rPr>
          <w:rFonts w:ascii="Times New Roman" w:hAnsi="Times New Roman"/>
          <w:b/>
          <w:noProof/>
          <w:sz w:val="24"/>
        </w:rPr>
        <w:t xml:space="preserve">Investissement dans les compétences à tous les niveaux et mesures visant à doter les universités européennes des moyens nécessaires pour renforcer leur esprit d’entreprise et leur interdisciplinarité </w:t>
      </w:r>
    </w:p>
    <w:p w:rsidR="00612B3C" w:rsidRDefault="00416A72">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La mise en place, en Europe, d’une société de l’apprent</w:t>
      </w:r>
      <w:r>
        <w:rPr>
          <w:rFonts w:ascii="Times New Roman" w:hAnsi="Times New Roman"/>
          <w:noProof/>
          <w:sz w:val="24"/>
        </w:rPr>
        <w:t>issage et animée de l’esprit d’entreprise est fondamentale pour stimuler l’innovation dans tous les secteurs de l'économie et dans toutes les catégories de la population. Cette mise en place exige des changements majeurs dans les systèmes d’enseignement, d</w:t>
      </w:r>
      <w:r>
        <w:rPr>
          <w:rFonts w:ascii="Times New Roman" w:hAnsi="Times New Roman"/>
          <w:noProof/>
          <w:sz w:val="24"/>
        </w:rPr>
        <w:t xml:space="preserve">e formation et de recherche, ainsi que sur le lieu de travail afin de garantir que l'apprentissage tout au long de la vie et le renforcement des compétences deviennent une réalité pour tous les citoyens. Une telle approche est nécessaire pour apporter une </w:t>
      </w:r>
      <w:r>
        <w:rPr>
          <w:rFonts w:ascii="Times New Roman" w:hAnsi="Times New Roman"/>
          <w:noProof/>
          <w:sz w:val="24"/>
        </w:rPr>
        <w:t>solution aux déficits et aux inadéquations en matière de compétences observés en Europe. Selon les estimations, quelque 40 % de la main-d'œuvre en Europe a besoin d’un renforcement de compétences en matière numérique, alors que 70 millions d’Européens ne m</w:t>
      </w:r>
      <w:r>
        <w:rPr>
          <w:rFonts w:ascii="Times New Roman" w:hAnsi="Times New Roman"/>
          <w:noProof/>
          <w:sz w:val="24"/>
        </w:rPr>
        <w:t xml:space="preserve">aîtrisent pas les compétences de base en écriture, en lecture et en calcul. </w:t>
      </w:r>
    </w:p>
    <w:p w:rsidR="00612B3C" w:rsidRDefault="00416A72">
      <w:pPr>
        <w:keepNext/>
        <w:autoSpaceDE w:val="0"/>
        <w:autoSpaceDN w:val="0"/>
        <w:adjustRightInd w:val="0"/>
        <w:spacing w:line="240" w:lineRule="auto"/>
        <w:jc w:val="center"/>
        <w:rPr>
          <w:rFonts w:ascii="Times New Roman" w:hAnsi="Times New Roman" w:cs="Times New Roman"/>
          <w:b/>
          <w:noProof/>
          <w:szCs w:val="20"/>
        </w:rPr>
      </w:pPr>
      <w:r>
        <w:rPr>
          <w:rFonts w:ascii="Times New Roman" w:hAnsi="Times New Roman"/>
          <w:b/>
          <w:noProof/>
        </w:rPr>
        <w:t>Plus de la moitié de l’ensemble des citoyens soit ne disposent que de compétences numériques de base, soit n’en disposent d’aucune</w:t>
      </w:r>
      <w:r>
        <w:rPr>
          <w:rStyle w:val="FootnoteReference"/>
          <w:rFonts w:ascii="Times New Roman" w:hAnsi="Times New Roman"/>
          <w:b/>
          <w:noProof/>
        </w:rPr>
        <w:footnoteReference w:id="47"/>
      </w:r>
    </w:p>
    <w:p w:rsidR="00612B3C" w:rsidRDefault="00416A72">
      <w:pPr>
        <w:autoSpaceDE w:val="0"/>
        <w:autoSpaceDN w:val="0"/>
        <w:adjustRightInd w:val="0"/>
        <w:spacing w:line="240" w:lineRule="auto"/>
        <w:ind w:left="-426"/>
        <w:jc w:val="center"/>
        <w:rPr>
          <w:rFonts w:ascii="Times New Roman" w:hAnsi="Times New Roman" w:cs="Times New Roman"/>
          <w:noProof/>
          <w:sz w:val="24"/>
          <w:szCs w:val="24"/>
        </w:rPr>
      </w:pPr>
      <w:r>
        <w:rPr>
          <w:noProof/>
          <w:lang w:val="en-GB" w:eastAsia="en-GB" w:bidi="ar-SA"/>
        </w:rPr>
        <w:drawing>
          <wp:inline distT="0" distB="0" distL="0" distR="0" wp14:anchorId="1F44C3D9" wp14:editId="2C1A209F">
            <wp:extent cx="5760720" cy="2624355"/>
            <wp:effectExtent l="0" t="0" r="11430"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2B3C" w:rsidRDefault="00416A72">
      <w:pPr>
        <w:pStyle w:val="Default"/>
        <w:jc w:val="both"/>
        <w:rPr>
          <w:rFonts w:ascii="Times New Roman" w:hAnsi="Times New Roman" w:cs="Times New Roman"/>
          <w:noProof/>
        </w:rPr>
      </w:pPr>
      <w:r>
        <w:rPr>
          <w:rFonts w:ascii="Times New Roman" w:hAnsi="Times New Roman"/>
          <w:noProof/>
        </w:rPr>
        <w:t xml:space="preserve">À l'autre extrémité du spectre des </w:t>
      </w:r>
      <w:r>
        <w:rPr>
          <w:rFonts w:ascii="Times New Roman" w:hAnsi="Times New Roman"/>
          <w:noProof/>
        </w:rPr>
        <w:t>compétences, les universités européennes doivent mieux exploiter leur potentiel en matière d’innovation et d’esprit d’entreprise</w:t>
      </w:r>
      <w:r>
        <w:rPr>
          <w:rStyle w:val="FootnoteReference"/>
          <w:rFonts w:ascii="Times New Roman" w:hAnsi="Times New Roman"/>
          <w:noProof/>
        </w:rPr>
        <w:footnoteReference w:id="48"/>
      </w:r>
      <w:r>
        <w:rPr>
          <w:noProof/>
        </w:rPr>
        <w:t>.</w:t>
      </w:r>
      <w:r>
        <w:rPr>
          <w:rFonts w:ascii="Times New Roman" w:hAnsi="Times New Roman"/>
          <w:noProof/>
        </w:rPr>
        <w:t xml:space="preserve"> C’est notamment de cette manière que pourront voir le jour de nouvelles idées et de nouveaux modèles d’entreprise, qui peuven</w:t>
      </w:r>
      <w:r>
        <w:rPr>
          <w:rFonts w:ascii="Times New Roman" w:hAnsi="Times New Roman"/>
          <w:noProof/>
        </w:rPr>
        <w:t>t être à l’origine de la création de start-ups et d’entreprises issues de l’essaimage (</w:t>
      </w:r>
      <w:r>
        <w:rPr>
          <w:rFonts w:ascii="Times New Roman" w:hAnsi="Times New Roman"/>
          <w:i/>
          <w:noProof/>
        </w:rPr>
        <w:t>spin-offs</w:t>
      </w:r>
      <w:r>
        <w:rPr>
          <w:rFonts w:ascii="Times New Roman" w:hAnsi="Times New Roman"/>
          <w:noProof/>
        </w:rPr>
        <w:t>). Les universités devraient également être davantage disposées à supprimer les barrières entre les disciplines et à collaborer avec les entreprises et la socié</w:t>
      </w:r>
      <w:r>
        <w:rPr>
          <w:rFonts w:ascii="Times New Roman" w:hAnsi="Times New Roman"/>
          <w:noProof/>
        </w:rPr>
        <w:t>té civile. De surcroît, l’enseignement tant général que technique devrait mieux s'adapter aux nouveaux besoins des entreprises et de la société en proposant des programmes d'apprentissage plus souple qui contribueront à combler le déficit de compétences et</w:t>
      </w:r>
      <w:r>
        <w:rPr>
          <w:rFonts w:ascii="Times New Roman" w:hAnsi="Times New Roman"/>
          <w:noProof/>
        </w:rPr>
        <w:t xml:space="preserve"> à accélérer la diffusion des connaissances, leur réutilisation et l'accès à celles-ci. </w:t>
      </w:r>
    </w:p>
    <w:p w:rsidR="00612B3C" w:rsidRDefault="00612B3C">
      <w:pPr>
        <w:shd w:val="clear" w:color="auto" w:fill="EBE9EA" w:themeFill="background1"/>
        <w:spacing w:after="0" w:line="240" w:lineRule="auto"/>
        <w:jc w:val="both"/>
        <w:rPr>
          <w:rFonts w:ascii="Times New Roman" w:hAnsi="Times New Roman" w:cs="Times New Roman"/>
          <w:noProof/>
          <w:sz w:val="24"/>
          <w:szCs w:val="24"/>
        </w:rPr>
      </w:pPr>
    </w:p>
    <w:p w:rsidR="00612B3C" w:rsidRDefault="00416A72">
      <w:pPr>
        <w:shd w:val="clear" w:color="auto" w:fill="EBE9EA" w:themeFill="background1"/>
        <w:spacing w:line="240" w:lineRule="auto"/>
        <w:jc w:val="both"/>
        <w:rPr>
          <w:rFonts w:ascii="Times New Roman" w:hAnsi="Times New Roman" w:cs="Times New Roman"/>
          <w:noProof/>
          <w:sz w:val="24"/>
          <w:szCs w:val="24"/>
        </w:rPr>
      </w:pPr>
      <w:r>
        <w:rPr>
          <w:rFonts w:ascii="Times New Roman" w:hAnsi="Times New Roman"/>
          <w:noProof/>
          <w:sz w:val="24"/>
        </w:rPr>
        <w:t>Lors du sommet de Göteborg de novembre 2017, les dirigeants européens ont reconnu le rôle fondamental joué par l’enseignement supérieur s'agissant de fournir des comp</w:t>
      </w:r>
      <w:r>
        <w:rPr>
          <w:rFonts w:ascii="Times New Roman" w:hAnsi="Times New Roman"/>
          <w:noProof/>
          <w:sz w:val="24"/>
        </w:rPr>
        <w:t>étences axées sur l’avenir et qui permettent d’innover avec succès</w:t>
      </w:r>
      <w:r>
        <w:rPr>
          <w:rStyle w:val="FootnoteReference"/>
          <w:rFonts w:ascii="Times New Roman" w:hAnsi="Times New Roman"/>
          <w:noProof/>
          <w:sz w:val="24"/>
        </w:rPr>
        <w:footnoteReference w:id="49"/>
      </w:r>
      <w:r>
        <w:rPr>
          <w:noProof/>
        </w:rPr>
        <w:t>.</w:t>
      </w:r>
      <w:r>
        <w:rPr>
          <w:rFonts w:ascii="Times New Roman" w:hAnsi="Times New Roman"/>
          <w:noProof/>
          <w:sz w:val="24"/>
        </w:rPr>
        <w:t xml:space="preserve"> Le Conseil européen a invité les États membres, le Conseil et la Commission à faire avancer les travaux relatifs à un certain nombre d’initiatives, notamment en encourageant l'émergence, </w:t>
      </w:r>
      <w:r>
        <w:rPr>
          <w:rFonts w:ascii="Times New Roman" w:hAnsi="Times New Roman"/>
          <w:noProof/>
          <w:sz w:val="24"/>
        </w:rPr>
        <w:t>d'ici 2024, d'une vingtaine d'«universités européennes», constituées de réseaux d'universités à travers l’UE reposant sur une approche «par le bas»</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Ces «universités européennes» amèneront la coopération transfrontière à un nouveau niveau, dépassant ce qu</w:t>
      </w:r>
      <w:r>
        <w:rPr>
          <w:rFonts w:ascii="Times New Roman" w:hAnsi="Times New Roman"/>
          <w:noProof/>
          <w:sz w:val="24"/>
        </w:rPr>
        <w:t>i existe aujourd’hui grâce à l’élaboration de stratégies à long terme afin de parvenir à un très haut niveau de qualité en matière d’enseignement, de recherche et d’innovation, à une mobilité accrue des étudiants, des chercheurs et du personnel et à la mis</w:t>
      </w:r>
      <w:r>
        <w:rPr>
          <w:rFonts w:ascii="Times New Roman" w:hAnsi="Times New Roman"/>
          <w:noProof/>
          <w:sz w:val="24"/>
        </w:rPr>
        <w:t>e en place d'équipes européennes véritablement transnationales créatrices de connaissance. Elles devraient devenir les principaux moteurs de l’</w:t>
      </w:r>
      <w:r>
        <w:rPr>
          <w:rFonts w:ascii="Times New Roman" w:hAnsi="Times New Roman"/>
          <w:b/>
          <w:noProof/>
          <w:sz w:val="24"/>
        </w:rPr>
        <w:t>Espace européen de l’éducation</w:t>
      </w:r>
      <w:r>
        <w:rPr>
          <w:rFonts w:ascii="Times New Roman" w:hAnsi="Times New Roman"/>
          <w:noProof/>
          <w:sz w:val="24"/>
        </w:rPr>
        <w:t xml:space="preserve"> et contribuer à la compétitivité internationale des universités en Europe</w:t>
      </w:r>
      <w:r>
        <w:rPr>
          <w:rStyle w:val="FootnoteReference"/>
          <w:rFonts w:ascii="Times New Roman" w:hAnsi="Times New Roman"/>
          <w:noProof/>
          <w:sz w:val="24"/>
        </w:rPr>
        <w:footnoteReference w:id="51"/>
      </w:r>
      <w:r>
        <w:rPr>
          <w:noProof/>
        </w:rPr>
        <w:t>.</w:t>
      </w:r>
      <w:r>
        <w:rPr>
          <w:rFonts w:ascii="Times New Roman" w:hAnsi="Times New Roman"/>
          <w:noProof/>
          <w:sz w:val="24"/>
        </w:rPr>
        <w:t xml:space="preserve"> </w:t>
      </w:r>
    </w:p>
    <w:p w:rsidR="00612B3C" w:rsidRDefault="00416A72">
      <w:pPr>
        <w:autoSpaceDE w:val="0"/>
        <w:autoSpaceDN w:val="0"/>
        <w:spacing w:line="240" w:lineRule="auto"/>
        <w:jc w:val="both"/>
        <w:rPr>
          <w:rFonts w:ascii="Times New Roman" w:hAnsi="Times New Roman" w:cs="Times New Roman"/>
          <w:noProof/>
          <w:sz w:val="24"/>
          <w:szCs w:val="24"/>
        </w:rPr>
      </w:pPr>
      <w:r>
        <w:rPr>
          <w:rFonts w:ascii="Times New Roman" w:hAnsi="Times New Roman"/>
          <w:noProof/>
          <w:sz w:val="24"/>
        </w:rPr>
        <w:t>L'ado</w:t>
      </w:r>
      <w:r>
        <w:rPr>
          <w:rFonts w:ascii="Times New Roman" w:hAnsi="Times New Roman"/>
          <w:noProof/>
          <w:sz w:val="24"/>
        </w:rPr>
        <w:t>ption des pratiques en matière de science ouverte à différents stades de la carrière des chercheurs peut également renforcer l'attractivité des environnements de carrière pour tous, offrir plus de reconnaissance et récompenser la mobilité internationale ou</w:t>
      </w:r>
      <w:r>
        <w:rPr>
          <w:rFonts w:ascii="Times New Roman" w:hAnsi="Times New Roman"/>
          <w:noProof/>
          <w:sz w:val="24"/>
        </w:rPr>
        <w:t xml:space="preserve"> entre la science et les entreprises</w:t>
      </w:r>
      <w:r>
        <w:rPr>
          <w:rStyle w:val="FootnoteReference"/>
          <w:rFonts w:ascii="Times New Roman" w:hAnsi="Times New Roman"/>
          <w:noProof/>
          <w:sz w:val="24"/>
        </w:rPr>
        <w:footnoteReference w:id="52"/>
      </w:r>
      <w:r>
        <w:rPr>
          <w:noProof/>
        </w:rPr>
        <w:t>.</w:t>
      </w:r>
      <w:r>
        <w:rPr>
          <w:rFonts w:ascii="Times New Roman" w:hAnsi="Times New Roman"/>
          <w:noProof/>
          <w:sz w:val="24"/>
        </w:rPr>
        <w:t xml:space="preserve"> La modernisation des universités et des organismes publics de recherche devrait par conséquent également être soutenue grâce à un </w:t>
      </w:r>
      <w:r>
        <w:rPr>
          <w:rFonts w:ascii="Times New Roman" w:hAnsi="Times New Roman"/>
          <w:b/>
          <w:noProof/>
          <w:sz w:val="24"/>
        </w:rPr>
        <w:t>label «science ouverte»</w:t>
      </w:r>
      <w:r>
        <w:rPr>
          <w:rFonts w:ascii="Times New Roman" w:hAnsi="Times New Roman"/>
          <w:noProof/>
          <w:sz w:val="24"/>
        </w:rPr>
        <w:t xml:space="preserve">. Un tel label, garant de haute qualité, pourrait être attribué </w:t>
      </w:r>
      <w:r>
        <w:rPr>
          <w:rFonts w:ascii="Times New Roman" w:hAnsi="Times New Roman"/>
          <w:noProof/>
          <w:sz w:val="24"/>
        </w:rPr>
        <w:t>à des universités individuelles et à des partenariats transnationaux d'universités et serait reconnu dans le cadre du soutien apporté à l’avenir par l’UE à des projets transnationaux impliquant les universités</w:t>
      </w:r>
      <w:r>
        <w:rPr>
          <w:rStyle w:val="FootnoteReference"/>
          <w:rFonts w:ascii="Times New Roman" w:hAnsi="Times New Roman"/>
          <w:noProof/>
          <w:sz w:val="24"/>
        </w:rPr>
        <w:footnoteReference w:id="53"/>
      </w:r>
      <w:r>
        <w:rPr>
          <w:noProof/>
        </w:rPr>
        <w:t>.</w:t>
      </w:r>
    </w:p>
    <w:p w:rsidR="00612B3C" w:rsidRDefault="00416A72">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Au niveau européen, nous devons poursuivre e</w:t>
      </w:r>
      <w:r>
        <w:rPr>
          <w:rFonts w:ascii="Times New Roman" w:hAnsi="Times New Roman"/>
          <w:noProof/>
          <w:sz w:val="24"/>
        </w:rPr>
        <w:t xml:space="preserve">t améliorer les initiatives qui se sont avérées fructueuses, comme </w:t>
      </w:r>
      <w:r>
        <w:rPr>
          <w:rFonts w:ascii="Times New Roman" w:hAnsi="Times New Roman"/>
          <w:b/>
          <w:noProof/>
          <w:sz w:val="24"/>
        </w:rPr>
        <w:t>l’Institut européen d’innovation et de technologie, les actions Marie Skłodowska-Curie</w:t>
      </w:r>
      <w:r>
        <w:rPr>
          <w:rFonts w:ascii="Times New Roman" w:hAnsi="Times New Roman"/>
          <w:noProof/>
          <w:sz w:val="24"/>
        </w:rPr>
        <w:t xml:space="preserve"> et </w:t>
      </w:r>
      <w:r>
        <w:rPr>
          <w:rFonts w:ascii="Times New Roman" w:hAnsi="Times New Roman"/>
          <w:b/>
          <w:noProof/>
          <w:sz w:val="24"/>
        </w:rPr>
        <w:t>l’initiative HigherEducation Innovate (HEInnovate)</w:t>
      </w:r>
      <w:r>
        <w:rPr>
          <w:rStyle w:val="FootnoteReference"/>
          <w:rFonts w:ascii="Times New Roman" w:hAnsi="Times New Roman"/>
          <w:noProof/>
          <w:sz w:val="24"/>
        </w:rPr>
        <w:footnoteReference w:id="54"/>
      </w:r>
      <w:r>
        <w:rPr>
          <w:noProof/>
        </w:rPr>
        <w:t xml:space="preserve">. </w:t>
      </w:r>
      <w:r>
        <w:rPr>
          <w:rFonts w:ascii="Times New Roman" w:hAnsi="Times New Roman"/>
          <w:noProof/>
          <w:sz w:val="24"/>
        </w:rPr>
        <w:t>Ces</w:t>
      </w:r>
      <w:r>
        <w:rPr>
          <w:noProof/>
        </w:rPr>
        <w:t xml:space="preserve"> </w:t>
      </w:r>
      <w:r>
        <w:rPr>
          <w:rFonts w:ascii="Times New Roman" w:hAnsi="Times New Roman"/>
          <w:noProof/>
          <w:sz w:val="24"/>
        </w:rPr>
        <w:t xml:space="preserve">initiatives mettent en relation les entreprises et les organismes d’enseignement et de recherche et favorisent l’esprit d’entreprise et le renforcement des flux de connaissance à travers la chaîne de valeur. </w:t>
      </w:r>
    </w:p>
    <w:p w:rsidR="00612B3C" w:rsidRDefault="00416A72">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Afin de renforcer le transfert de connaissances, il convient de nouer un lien plus solide entre les systèmes d’enseignement et de formation professionnels, d’une part, et les systèmes d'innovation, d'autre part, afin de contribuer à la veille stratégique d</w:t>
      </w:r>
      <w:r>
        <w:rPr>
          <w:rFonts w:ascii="Times New Roman" w:hAnsi="Times New Roman"/>
          <w:noProof/>
          <w:sz w:val="24"/>
        </w:rPr>
        <w:t xml:space="preserve">es besoins de compétences et à une meilleure adéquation des compétences, conformément à la </w:t>
      </w:r>
      <w:r>
        <w:rPr>
          <w:rFonts w:ascii="Times New Roman" w:hAnsi="Times New Roman"/>
          <w:b/>
          <w:noProof/>
          <w:sz w:val="24"/>
        </w:rPr>
        <w:t>stratégie en matière de compétences pour l'Europe</w:t>
      </w:r>
      <w:r>
        <w:rPr>
          <w:rStyle w:val="FootnoteReference"/>
          <w:rFonts w:ascii="Times New Roman" w:hAnsi="Times New Roman"/>
          <w:noProof/>
          <w:sz w:val="24"/>
        </w:rPr>
        <w:footnoteReference w:id="55"/>
      </w:r>
      <w:r>
        <w:rPr>
          <w:noProof/>
        </w:rPr>
        <w:t>.</w:t>
      </w:r>
    </w:p>
    <w:p w:rsidR="00612B3C" w:rsidRDefault="00416A72">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En outre, afin de répondre aux exigences de la nouvelle économie et de contribuer à faire émerger une main-d'œuvr</w:t>
      </w:r>
      <w:r>
        <w:rPr>
          <w:rFonts w:ascii="Times New Roman" w:hAnsi="Times New Roman"/>
          <w:noProof/>
          <w:sz w:val="24"/>
        </w:rPr>
        <w:t xml:space="preserve">e plus flexible et animée de l’esprit d’entreprise, le </w:t>
      </w:r>
      <w:r>
        <w:rPr>
          <w:rFonts w:ascii="Times New Roman" w:hAnsi="Times New Roman"/>
          <w:b/>
          <w:noProof/>
          <w:sz w:val="24"/>
        </w:rPr>
        <w:t>Fonds social européen</w:t>
      </w:r>
      <w:r>
        <w:rPr>
          <w:rFonts w:ascii="Times New Roman" w:hAnsi="Times New Roman"/>
          <w:noProof/>
          <w:sz w:val="24"/>
        </w:rPr>
        <w:t xml:space="preserve"> continuera à aider les Européens à se requalifier ou à relever le niveau de leurs qualifications, alors que le</w:t>
      </w:r>
      <w:r>
        <w:rPr>
          <w:rFonts w:ascii="Times New Roman" w:hAnsi="Times New Roman"/>
          <w:b/>
          <w:noProof/>
          <w:sz w:val="24"/>
        </w:rPr>
        <w:t xml:space="preserve"> plan de coopération sectorielle en matière de compétences</w:t>
      </w:r>
      <w:r>
        <w:rPr>
          <w:rStyle w:val="FootnoteReference"/>
          <w:rFonts w:ascii="Times New Roman" w:hAnsi="Times New Roman"/>
          <w:b/>
          <w:noProof/>
          <w:sz w:val="24"/>
        </w:rPr>
        <w:footnoteReference w:id="56"/>
      </w:r>
      <w:r>
        <w:rPr>
          <w:rFonts w:ascii="Times New Roman" w:hAnsi="Times New Roman"/>
          <w:noProof/>
          <w:sz w:val="24"/>
        </w:rPr>
        <w:t xml:space="preserve"> peut cont</w:t>
      </w:r>
      <w:r>
        <w:rPr>
          <w:rFonts w:ascii="Times New Roman" w:hAnsi="Times New Roman"/>
          <w:noProof/>
          <w:sz w:val="24"/>
        </w:rPr>
        <w:t xml:space="preserve">ribuer à ajuster les formations relatives à de nouvelles activités professionnelles dans certains secteurs. Le </w:t>
      </w:r>
      <w:r>
        <w:rPr>
          <w:rFonts w:ascii="Times New Roman" w:hAnsi="Times New Roman"/>
          <w:b/>
          <w:noProof/>
          <w:sz w:val="24"/>
        </w:rPr>
        <w:t>plan d’action en matière d’éducation numérique</w:t>
      </w:r>
      <w:r>
        <w:rPr>
          <w:rFonts w:ascii="Times New Roman" w:hAnsi="Times New Roman"/>
          <w:noProof/>
          <w:sz w:val="24"/>
        </w:rPr>
        <w:t xml:space="preserve"> et la </w:t>
      </w:r>
      <w:r>
        <w:rPr>
          <w:rFonts w:ascii="Times New Roman" w:hAnsi="Times New Roman"/>
          <w:b/>
          <w:noProof/>
          <w:sz w:val="24"/>
        </w:rPr>
        <w:t>stratégie en matière de compétences numériques</w:t>
      </w:r>
      <w:r>
        <w:rPr>
          <w:rFonts w:ascii="Times New Roman" w:hAnsi="Times New Roman"/>
          <w:noProof/>
          <w:sz w:val="24"/>
        </w:rPr>
        <w:t xml:space="preserve"> visent à recenser et à développer les besoins</w:t>
      </w:r>
      <w:r>
        <w:rPr>
          <w:rFonts w:ascii="Times New Roman" w:hAnsi="Times New Roman"/>
          <w:noProof/>
          <w:sz w:val="24"/>
        </w:rPr>
        <w:t xml:space="preserve"> futurs en matière de compétences.</w:t>
      </w:r>
    </w:p>
    <w:p w:rsidR="00612B3C" w:rsidRDefault="00416A72">
      <w:pPr>
        <w:pStyle w:val="ListParagraph"/>
        <w:keepNext/>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cs="Times New Roman"/>
          <w:i/>
          <w:noProof/>
          <w:sz w:val="24"/>
          <w:szCs w:val="24"/>
        </w:rPr>
      </w:pPr>
      <w:r>
        <w:rPr>
          <w:rFonts w:ascii="Times New Roman" w:hAnsi="Times New Roman"/>
          <w:i/>
          <w:noProof/>
          <w:sz w:val="24"/>
        </w:rPr>
        <w:t>Étapes clés</w:t>
      </w:r>
    </w:p>
    <w:p w:rsidR="00612B3C" w:rsidRDefault="00612B3C">
      <w:pPr>
        <w:pStyle w:val="ListParagraph"/>
        <w:keepNext/>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cs="Times New Roman"/>
          <w:noProof/>
          <w:sz w:val="24"/>
          <w:szCs w:val="24"/>
        </w:rPr>
      </w:pPr>
    </w:p>
    <w:p w:rsidR="00612B3C" w:rsidRDefault="00416A72">
      <w:pPr>
        <w:pStyle w:val="ListParagraph"/>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noProof/>
          <w:sz w:val="24"/>
          <w:szCs w:val="24"/>
        </w:rPr>
      </w:pPr>
      <w:r>
        <w:rPr>
          <w:rFonts w:ascii="Times New Roman" w:hAnsi="Times New Roman"/>
          <w:noProof/>
          <w:sz w:val="24"/>
        </w:rPr>
        <w:t>-</w:t>
      </w:r>
      <w:r>
        <w:rPr>
          <w:noProof/>
        </w:rPr>
        <w:tab/>
      </w:r>
      <w:r>
        <w:rPr>
          <w:rFonts w:ascii="Times New Roman" w:hAnsi="Times New Roman"/>
          <w:b/>
          <w:noProof/>
          <w:sz w:val="24"/>
        </w:rPr>
        <w:t>Contribuer à la modernisation des universités et des organismes publics de recherche grâce à un label «science ouverte» </w:t>
      </w:r>
      <w:r>
        <w:rPr>
          <w:rFonts w:ascii="Times New Roman" w:hAnsi="Times New Roman"/>
          <w:noProof/>
          <w:sz w:val="24"/>
        </w:rPr>
        <w:t xml:space="preserve"> </w:t>
      </w:r>
    </w:p>
    <w:p w:rsidR="00612B3C" w:rsidRDefault="00612B3C">
      <w:pPr>
        <w:pStyle w:val="ListParagraph"/>
        <w:spacing w:line="240" w:lineRule="auto"/>
        <w:ind w:left="0"/>
        <w:jc w:val="both"/>
        <w:rPr>
          <w:rFonts w:ascii="Times New Roman" w:hAnsi="Times New Roman" w:cs="Times New Roman"/>
          <w:b/>
          <w:i/>
          <w:noProof/>
          <w:sz w:val="24"/>
          <w:szCs w:val="24"/>
        </w:rPr>
      </w:pPr>
    </w:p>
    <w:p w:rsidR="00612B3C" w:rsidRDefault="00416A72">
      <w:pPr>
        <w:keepNext/>
        <w:spacing w:line="240" w:lineRule="auto"/>
        <w:rPr>
          <w:rFonts w:ascii="Times New Roman" w:hAnsi="Times New Roman" w:cs="Times New Roman"/>
          <w:b/>
          <w:noProof/>
          <w:sz w:val="24"/>
          <w:szCs w:val="24"/>
        </w:rPr>
      </w:pPr>
      <w:r>
        <w:rPr>
          <w:rFonts w:ascii="Times New Roman" w:hAnsi="Times New Roman"/>
          <w:b/>
          <w:noProof/>
          <w:sz w:val="24"/>
        </w:rPr>
        <w:t>3. Conclusions</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La prospérité économique et sociale de l’Europe est fonction de notr</w:t>
      </w:r>
      <w:r>
        <w:rPr>
          <w:rFonts w:ascii="Times New Roman" w:hAnsi="Times New Roman"/>
          <w:noProof/>
          <w:sz w:val="24"/>
        </w:rPr>
        <w:t>e capacité à innover. Maintenir le modèle social et économique de l’Europe, moderniser le secteur industriel et bâtir une Union européenne solidaire et inclusive supposent de faire en sorte que l’innovation imprègne toutes les politiques ainsi que toutes l</w:t>
      </w:r>
      <w:r>
        <w:rPr>
          <w:rFonts w:ascii="Times New Roman" w:hAnsi="Times New Roman"/>
          <w:noProof/>
          <w:sz w:val="24"/>
        </w:rPr>
        <w:t xml:space="preserve">es décisions en matière sociale, économique et industrielle.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La nature changeante de l’innovation apportera de nouvelles possibilités de stimuler la création d’emplois et la croissance en Europe. Nous devons être en mesure de saisir ces opportunités, t</w:t>
      </w:r>
      <w:r>
        <w:rPr>
          <w:rFonts w:ascii="Times New Roman" w:hAnsi="Times New Roman"/>
          <w:noProof/>
          <w:sz w:val="24"/>
        </w:rPr>
        <w:t xml:space="preserve">out en répondant aux défis qui se posent et aux incertitudes qui surgissent. Ce faisant, la vigilance s’impose car nous devons veiller à ce que les avantages soient répartis équitablement au sein de notre société. </w:t>
      </w:r>
    </w:p>
    <w:p w:rsidR="00612B3C" w:rsidRDefault="00416A72">
      <w:pPr>
        <w:spacing w:line="240" w:lineRule="auto"/>
        <w:jc w:val="both"/>
        <w:rPr>
          <w:rFonts w:ascii="Times New Roman" w:hAnsi="Times New Roman" w:cs="Times New Roman"/>
          <w:noProof/>
          <w:sz w:val="24"/>
          <w:szCs w:val="24"/>
        </w:rPr>
      </w:pPr>
      <w:r>
        <w:rPr>
          <w:rFonts w:ascii="Times New Roman" w:hAnsi="Times New Roman"/>
          <w:noProof/>
          <w:sz w:val="24"/>
        </w:rPr>
        <w:t>Cette transformation nécessitera une ambi</w:t>
      </w:r>
      <w:r>
        <w:rPr>
          <w:rFonts w:ascii="Times New Roman" w:hAnsi="Times New Roman"/>
          <w:noProof/>
          <w:sz w:val="24"/>
        </w:rPr>
        <w:t>tion partagée et un changement de mentalité en ce qui concerne l’innovation et la science en Europe. Il est fondamental que les régions, les États membres et la Commission européenne partagent un projet commun. Nous devons nous appuyer sur les points forts</w:t>
      </w:r>
      <w:r>
        <w:rPr>
          <w:rFonts w:ascii="Times New Roman" w:hAnsi="Times New Roman"/>
          <w:noProof/>
          <w:sz w:val="24"/>
        </w:rPr>
        <w:t xml:space="preserve"> de l’Europe et imprimer à l’Union européenne une nouvelle orientation et un nouvel élan afin qu’elle devienne un véritable chef de file au niveau mondial dans le domaine de l’innovation au bénéfice de tous. </w:t>
      </w:r>
    </w:p>
    <w:p w:rsidR="00612B3C" w:rsidRDefault="00416A72">
      <w:pPr>
        <w:keepNext/>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 xml:space="preserve">La Commission invite les dirigeants à mener une discussion et à présenter une orientation stratégique en vue: </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d’adopter rapidement le prochain cadre financier pluriannuel prévoyant le financement proposé en matière d’innovation pour garantir que la recher</w:t>
      </w:r>
      <w:r>
        <w:rPr>
          <w:rFonts w:ascii="Times New Roman" w:hAnsi="Times New Roman"/>
          <w:i/>
          <w:noProof/>
          <w:sz w:val="24"/>
        </w:rPr>
        <w:t>che et l’innovation continuent d’être à l’avenir l’une des principales priorités de l’UE sur les plans politique et du financement, au travers de différents instruments budgétaires.</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de faire en sorte que les États membres prennent les mesures nécessaires </w:t>
      </w:r>
      <w:r>
        <w:rPr>
          <w:rFonts w:ascii="Times New Roman" w:hAnsi="Times New Roman"/>
          <w:i/>
          <w:noProof/>
          <w:sz w:val="24"/>
        </w:rPr>
        <w:t>pour maximiser leurs investissements dans la recherche et l’innovation afin d’atteindre l’objectif de 3 % du produit intérieur brut.</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d’augmenter l’investissement privé dans la recherche et l’innovation et de donner une ampleur accrue à des initiatives tell</w:t>
      </w:r>
      <w:r>
        <w:rPr>
          <w:rFonts w:ascii="Times New Roman" w:hAnsi="Times New Roman"/>
          <w:i/>
          <w:noProof/>
          <w:sz w:val="24"/>
        </w:rPr>
        <w:t xml:space="preserve">es que l’initiative VentureEU afin d’accroître l’investissement privé et le «capital patient». </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de créer, à l'échelon national et de l’UE, des cadres réglementaires à l’épreuve du futur en appliquant le principe d’innovation, garantissant que, chaque fois </w:t>
      </w:r>
      <w:r>
        <w:rPr>
          <w:rFonts w:ascii="Times New Roman" w:hAnsi="Times New Roman"/>
          <w:i/>
          <w:noProof/>
          <w:sz w:val="24"/>
        </w:rPr>
        <w:t xml:space="preserve">que des politiques et mesures législatives sont réexaminées, conçues ou mises en œuvre, leur incidence sur l’innovation sera pleinement évaluée. </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de donner la priorité à la transposition de la directive relative aux cadres de restructuration préventifs, à </w:t>
      </w:r>
      <w:r>
        <w:rPr>
          <w:rFonts w:ascii="Times New Roman" w:hAnsi="Times New Roman"/>
          <w:i/>
          <w:noProof/>
          <w:sz w:val="24"/>
        </w:rPr>
        <w:t>la seconde chance et aux mesures à prendre pour augmenter l’efficience des procédures de restructuration, d’insolvabilité et d’apurement.</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de simplifier davantage les règles sur les aides d’État afin de faciliter l’association harmonieuse de différentes res</w:t>
      </w:r>
      <w:r>
        <w:rPr>
          <w:rFonts w:ascii="Times New Roman" w:hAnsi="Times New Roman"/>
          <w:i/>
          <w:noProof/>
          <w:sz w:val="24"/>
        </w:rPr>
        <w:t>sources financières et une meilleure utilisation des normes communes d'évaluation des projets de recherche et d’innovation.</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de mettre en place un Conseil européen de l’innovation afin de recenser et de renforcer les innovations radicales et de rupture, en </w:t>
      </w:r>
      <w:r>
        <w:rPr>
          <w:rFonts w:ascii="Times New Roman" w:hAnsi="Times New Roman"/>
          <w:i/>
          <w:noProof/>
          <w:sz w:val="24"/>
        </w:rPr>
        <w:t>mettant l’accent sur les innovations rapides et à haut risque présentant un fort potentiel de création de marchés entièrement nouveaux.</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de lancer un ensemble de missions de recherche et d’innovation au niveau de l’UE dotées d’objectifs ambitieux et clairs </w:t>
      </w:r>
      <w:r>
        <w:rPr>
          <w:rFonts w:ascii="Times New Roman" w:hAnsi="Times New Roman"/>
          <w:i/>
          <w:noProof/>
          <w:sz w:val="24"/>
        </w:rPr>
        <w:t xml:space="preserve">et d’une forte valeur ajoutée européenne. </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d’utiliser les Fonds structurels et d’investissement européens pour intégrer les régions dans l’économie de l’innovation. Les stratégies de spécialisation intelligente devraient être renforcées et rationalisées af</w:t>
      </w:r>
      <w:r>
        <w:rPr>
          <w:rFonts w:ascii="Times New Roman" w:hAnsi="Times New Roman"/>
          <w:i/>
          <w:noProof/>
          <w:sz w:val="24"/>
        </w:rPr>
        <w:t xml:space="preserve">in de permettre le soutien interrégional à l’innovation. Il convient de créer des synergies avec le programme Horizon Europe, le Fonds InvestEU, le Fonds social européen, le programme Erasmus+, le programme pour une Europe numérique, la politique agricole </w:t>
      </w:r>
      <w:r>
        <w:rPr>
          <w:rFonts w:ascii="Times New Roman" w:hAnsi="Times New Roman"/>
          <w:i/>
          <w:noProof/>
          <w:sz w:val="24"/>
        </w:rPr>
        <w:t>commune ainsi que d'autres programmes.</w:t>
      </w:r>
    </w:p>
    <w:p w:rsidR="00612B3C" w:rsidRDefault="00416A72">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de contribuer à la modernisation des universités et des organismes publics de recherche grâce à un label «science ouverte». </w:t>
      </w:r>
    </w:p>
    <w:p w:rsidR="00612B3C" w:rsidRDefault="00612B3C">
      <w:pPr>
        <w:spacing w:line="240" w:lineRule="auto"/>
        <w:jc w:val="both"/>
        <w:rPr>
          <w:rFonts w:ascii="Times New Roman" w:hAnsi="Times New Roman" w:cs="Times New Roman"/>
          <w:b/>
          <w:noProof/>
          <w:sz w:val="24"/>
          <w:szCs w:val="24"/>
        </w:rPr>
      </w:pPr>
    </w:p>
    <w:p w:rsidR="00612B3C" w:rsidRDefault="00612B3C">
      <w:pPr>
        <w:tabs>
          <w:tab w:val="left" w:pos="426"/>
        </w:tabs>
        <w:spacing w:after="240" w:line="240" w:lineRule="auto"/>
        <w:jc w:val="both"/>
        <w:rPr>
          <w:rFonts w:ascii="Times New Roman" w:hAnsi="Times New Roman" w:cs="Times New Roman"/>
          <w:noProof/>
          <w:sz w:val="24"/>
          <w:szCs w:val="24"/>
        </w:rPr>
      </w:pPr>
    </w:p>
    <w:sectPr w:rsidR="00612B3C">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49C7CA" w15:done="0"/>
  <w15:commentEx w15:paraId="48824941" w15:done="0"/>
  <w15:commentEx w15:paraId="49411748" w15:done="0"/>
  <w15:commentEx w15:paraId="612708BC" w15:done="0"/>
  <w15:commentEx w15:paraId="3186FD7F" w15:done="0"/>
  <w15:commentEx w15:paraId="22B7CBE1" w15:done="0"/>
  <w15:commentEx w15:paraId="001528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49C7CA" w16cid:durableId="1E8F0712"/>
  <w16cid:commentId w16cid:paraId="48824941" w16cid:durableId="1E8EFE5B"/>
  <w16cid:commentId w16cid:paraId="49411748" w16cid:durableId="1E8F0196"/>
  <w16cid:commentId w16cid:paraId="612708BC" w16cid:durableId="1E8F02DD"/>
  <w16cid:commentId w16cid:paraId="3186FD7F" w16cid:durableId="1E8EFBF1"/>
  <w16cid:commentId w16cid:paraId="22B7CBE1" w16cid:durableId="1E8F04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B3C" w:rsidRDefault="00416A72">
      <w:pPr>
        <w:spacing w:after="0" w:line="240" w:lineRule="auto"/>
      </w:pPr>
      <w:r>
        <w:separator/>
      </w:r>
    </w:p>
  </w:endnote>
  <w:endnote w:type="continuationSeparator" w:id="0">
    <w:p w:rsidR="00612B3C" w:rsidRDefault="00416A72">
      <w:pPr>
        <w:spacing w:after="0" w:line="240" w:lineRule="auto"/>
      </w:pPr>
      <w:r>
        <w:continuationSeparator/>
      </w:r>
    </w:p>
  </w:endnote>
  <w:endnote w:type="continuationNotice" w:id="1">
    <w:p w:rsidR="00612B3C" w:rsidRDefault="00612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Calibri"/>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72" w:rsidRPr="00416A72" w:rsidRDefault="00416A72" w:rsidP="00416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72" w:rsidRPr="00416A72" w:rsidRDefault="00416A72" w:rsidP="00416A72">
    <w:pPr>
      <w:pStyle w:val="FooterCoverPage"/>
      <w:rPr>
        <w:rFonts w:ascii="Arial" w:hAnsi="Arial" w:cs="Arial"/>
        <w:b/>
        <w:sz w:val="48"/>
      </w:rPr>
    </w:pPr>
    <w:r w:rsidRPr="00416A72">
      <w:rPr>
        <w:rFonts w:ascii="Arial" w:hAnsi="Arial" w:cs="Arial"/>
        <w:b/>
        <w:sz w:val="48"/>
      </w:rPr>
      <w:t>FR</w:t>
    </w:r>
    <w:r w:rsidRPr="00416A72">
      <w:rPr>
        <w:rFonts w:ascii="Arial" w:hAnsi="Arial" w:cs="Arial"/>
        <w:b/>
        <w:sz w:val="48"/>
      </w:rPr>
      <w:tab/>
    </w:r>
    <w:r w:rsidRPr="00416A72">
      <w:rPr>
        <w:rFonts w:ascii="Arial" w:hAnsi="Arial" w:cs="Arial"/>
        <w:b/>
        <w:sz w:val="48"/>
      </w:rPr>
      <w:tab/>
    </w:r>
    <w:r w:rsidRPr="00416A72">
      <w:tab/>
    </w:r>
    <w:r w:rsidRPr="00416A7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72" w:rsidRPr="00416A72" w:rsidRDefault="00416A72" w:rsidP="00416A7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B3C" w:rsidRDefault="00612B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38944833"/>
      <w:docPartObj>
        <w:docPartGallery w:val="Page Numbers (Bottom of Page)"/>
        <w:docPartUnique/>
      </w:docPartObj>
    </w:sdtPr>
    <w:sdtEndPr>
      <w:rPr>
        <w:noProof/>
      </w:rPr>
    </w:sdtEndPr>
    <w:sdtContent>
      <w:p w:rsidR="00612B3C" w:rsidRDefault="00416A7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B3C" w:rsidRDefault="00612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B3C" w:rsidRDefault="00416A72">
      <w:pPr>
        <w:spacing w:after="0" w:line="240" w:lineRule="auto"/>
      </w:pPr>
      <w:r>
        <w:separator/>
      </w:r>
    </w:p>
  </w:footnote>
  <w:footnote w:type="continuationSeparator" w:id="0">
    <w:p w:rsidR="00612B3C" w:rsidRDefault="00416A72">
      <w:pPr>
        <w:spacing w:after="0" w:line="240" w:lineRule="auto"/>
      </w:pPr>
      <w:r>
        <w:continuationSeparator/>
      </w:r>
    </w:p>
  </w:footnote>
  <w:footnote w:type="continuationNotice" w:id="1">
    <w:p w:rsidR="00612B3C" w:rsidRDefault="00612B3C">
      <w:pPr>
        <w:spacing w:after="0" w:line="240" w:lineRule="auto"/>
      </w:pPr>
    </w:p>
  </w:footnote>
  <w:footnote w:id="2">
    <w:p w:rsidR="00612B3C" w:rsidRDefault="00416A72">
      <w:pPr>
        <w:pStyle w:val="FootnoteText"/>
        <w:tabs>
          <w:tab w:val="left" w:pos="284"/>
        </w:tabs>
        <w:ind w:left="284" w:hanging="284"/>
        <w:jc w:val="both"/>
        <w:rPr>
          <w:rFonts w:ascii="Times New Roman" w:hAnsi="Times New Roman" w:cs="Times New Roman"/>
        </w:rPr>
      </w:pPr>
      <w:r>
        <w:rPr>
          <w:rFonts w:ascii="Times New Roman" w:hAnsi="Times New Roman"/>
          <w:vertAlign w:val="superscript"/>
        </w:rPr>
        <w:footnoteRef/>
      </w:r>
      <w:r>
        <w:tab/>
      </w:r>
      <w:r>
        <w:rPr>
          <w:rFonts w:ascii="Times New Roman" w:hAnsi="Times New Roman"/>
        </w:rPr>
        <w:t xml:space="preserve">Rapport 2018 sur les performances de l'UE dans </w:t>
      </w:r>
      <w:r>
        <w:rPr>
          <w:rFonts w:ascii="Times New Roman" w:hAnsi="Times New Roman"/>
        </w:rPr>
        <w:t>le domaine de la science, de la recherche et de l'innovation.</w:t>
      </w:r>
    </w:p>
  </w:footnote>
  <w:footnote w:id="3">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COM (2018) 237. </w:t>
      </w:r>
    </w:p>
  </w:footnote>
  <w:footnote w:id="4">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Cette vision a pris tout son sens lorsque l’UE a négocié des accords commerciaux. Voir la proposition de la Commission de règlement établissant un cadre pour le filtrage des</w:t>
      </w:r>
      <w:r>
        <w:rPr>
          <w:rFonts w:ascii="Times New Roman" w:hAnsi="Times New Roman"/>
        </w:rPr>
        <w:t xml:space="preserve"> investissements directs étrangers dans l’UE, COM(2017) 487.</w:t>
      </w:r>
    </w:p>
  </w:footnote>
  <w:footnote w:id="5">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Rapport intitulé «</w:t>
      </w:r>
      <w:r>
        <w:rPr>
          <w:rFonts w:ascii="Times New Roman" w:hAnsi="Times New Roman"/>
          <w:i/>
        </w:rPr>
        <w:t>Re-finding Industry –Defining Innovation</w:t>
      </w:r>
      <w:r>
        <w:rPr>
          <w:rFonts w:ascii="Times New Roman" w:hAnsi="Times New Roman"/>
        </w:rPr>
        <w:t>» du groupe indépendant à haut niveau sur les technologies industrielles présidé par Jürgen Rüttgers, Commission européenne, 2018.</w:t>
      </w:r>
    </w:p>
  </w:footnote>
  <w:footnote w:id="6">
    <w:p w:rsidR="00612B3C" w:rsidRDefault="00416A72">
      <w:pPr>
        <w:pStyle w:val="FootnoteText"/>
        <w:tabs>
          <w:tab w:val="left" w:pos="284"/>
        </w:tabs>
        <w:ind w:left="284" w:hanging="284"/>
        <w:jc w:val="both"/>
        <w:rPr>
          <w:rFonts w:ascii="Times New Roman" w:hAnsi="Times New Roman" w:cs="Times New Roman"/>
          <w:lang w:val="pt-PT"/>
        </w:rPr>
      </w:pPr>
      <w:r>
        <w:rPr>
          <w:rFonts w:ascii="Times New Roman" w:hAnsi="Times New Roman"/>
          <w:vertAlign w:val="superscript"/>
        </w:rPr>
        <w:footnoteRef/>
      </w:r>
      <w:r>
        <w:rPr>
          <w:lang w:val="pt-PT"/>
        </w:rPr>
        <w:tab/>
      </w:r>
      <w:r>
        <w:rPr>
          <w:rFonts w:ascii="Times New Roman" w:hAnsi="Times New Roman"/>
          <w:lang w:val="pt-PT"/>
        </w:rPr>
        <w:t>CO</w:t>
      </w:r>
      <w:r>
        <w:rPr>
          <w:rFonts w:ascii="Times New Roman" w:hAnsi="Times New Roman"/>
          <w:lang w:val="pt-PT"/>
        </w:rPr>
        <w:t>M (2015) 192 et COM (2015) 550.</w:t>
      </w:r>
    </w:p>
  </w:footnote>
  <w:footnote w:id="7">
    <w:p w:rsidR="00612B3C" w:rsidRDefault="00416A72">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 (2015) 80 et COM (2016) 763.</w:t>
      </w:r>
    </w:p>
  </w:footnote>
  <w:footnote w:id="8">
    <w:p w:rsidR="00612B3C" w:rsidRDefault="00416A72">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COM (2017) 479.</w:t>
      </w:r>
    </w:p>
  </w:footnote>
  <w:footnote w:id="9">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30 % des fonds alloués par le plan d’investissement ont été attribués à des petites et moyennes entreprises, 22 % à des projets de recherche et d’innovation et 11 % à de</w:t>
      </w:r>
      <w:r>
        <w:rPr>
          <w:rFonts w:ascii="Times New Roman" w:hAnsi="Times New Roman"/>
        </w:rPr>
        <w:t xml:space="preserve">s projets visant à renforcer la capacité numérique européenne. </w:t>
      </w:r>
    </w:p>
  </w:footnote>
  <w:footnote w:id="10">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L’UE consacre actuellement près de 80 milliards d’EUR à son programme-cadre pour la recherche et l’innovation «Horizon 2020» (2014-2020). </w:t>
      </w:r>
    </w:p>
  </w:footnote>
  <w:footnote w:id="11">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Les Fonds structurels et d’investissement europée</w:t>
      </w:r>
      <w:r>
        <w:rPr>
          <w:rFonts w:ascii="Times New Roman" w:hAnsi="Times New Roman"/>
        </w:rPr>
        <w:t>ns investissent plus de 44 milliards d’EUR dans la recherche et l’innovation, dont près de 30 milliards d’EUR dans des régions en transition, moins développées, ultrapériphériques et à faible densité de population.</w:t>
      </w:r>
    </w:p>
  </w:footnote>
  <w:footnote w:id="12">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 (2018) 2.</w:t>
      </w:r>
    </w:p>
  </w:footnote>
  <w:footnote w:id="13">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 (2010) 2020 et COM(</w:t>
      </w:r>
      <w:r>
        <w:rPr>
          <w:rFonts w:ascii="Times New Roman" w:hAnsi="Times New Roman"/>
        </w:rPr>
        <w:t>2017) 690. Voir également le rapport 2018 sur les performances de l'UE dans le domaine de la science, de la recherche et de l'innovation et le rapport «Lab, Fab, App» du groupe de haut niveau indépendant sur la maximisation de l’impact des programmes de re</w:t>
      </w:r>
      <w:r>
        <w:rPr>
          <w:rFonts w:ascii="Times New Roman" w:hAnsi="Times New Roman"/>
        </w:rPr>
        <w:t>cherche et d’innovation de l’Union, présidé par Pascal Lamy.</w:t>
      </w:r>
    </w:p>
  </w:footnote>
  <w:footnote w:id="14">
    <w:p w:rsidR="00612B3C" w:rsidRDefault="00416A72">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 xml:space="preserve">Source: Commission européenne, Direction générale de la recherche Données: Eurostat. </w:t>
      </w:r>
    </w:p>
  </w:footnote>
  <w:footnote w:id="15">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 (2018) 2 et rapport «</w:t>
      </w:r>
      <w:r>
        <w:rPr>
          <w:rFonts w:ascii="Times New Roman" w:hAnsi="Times New Roman"/>
          <w:i/>
        </w:rPr>
        <w:t>Lab, Fab, App</w:t>
      </w:r>
      <w:r>
        <w:rPr>
          <w:rFonts w:ascii="Times New Roman" w:hAnsi="Times New Roman"/>
        </w:rPr>
        <w:t>».</w:t>
      </w:r>
    </w:p>
  </w:footnote>
  <w:footnote w:id="16">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Le Conseil européen de la recherche a été établi en 2013 pour </w:t>
      </w:r>
      <w:r>
        <w:rPr>
          <w:rFonts w:ascii="Times New Roman" w:hAnsi="Times New Roman"/>
        </w:rPr>
        <w:t>mettre en œuvre une partie du programme «Horizon 2020». Il est composé d’un Conseil scientifique indépendant, son organe de direction où siègent d’éminents chercheurs, et d’une agence exécutive chargée de la mise en œuvre. Il fait partie d’«Horizon 2020».</w:t>
      </w:r>
    </w:p>
  </w:footnote>
  <w:footnote w:id="17">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Par exemple, le Pr. Feringa, bénéficiaire d’une subvention du Conseil européen de la recherche et scientifique responsable d’un projet co-financé par une action Marie Skłodowska-Curie, a reçu le prix Nobel de chimie en 2016.</w:t>
      </w:r>
    </w:p>
  </w:footnote>
  <w:footnote w:id="18">
    <w:p w:rsidR="00612B3C" w:rsidRDefault="00416A72">
      <w:pPr>
        <w:pStyle w:val="FootnoteText"/>
        <w:tabs>
          <w:tab w:val="left" w:pos="24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Les actions Marie Skłodowsk</w:t>
      </w:r>
      <w:r>
        <w:rPr>
          <w:rFonts w:ascii="Times New Roman" w:hAnsi="Times New Roman"/>
        </w:rPr>
        <w:t>a-Curie font partie du programme «Horizon 2020». Depuis 2013, neuf lauréats du prix Nobel étaient des anciens boursiers ou superviseur des actions Marie Skłodowska-Curie.</w:t>
      </w:r>
    </w:p>
  </w:footnote>
  <w:footnote w:id="19">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30 % des fonds alloués par le plan d’investissement ont été attribués à des PME, 22</w:t>
      </w:r>
      <w:r>
        <w:rPr>
          <w:rFonts w:ascii="Times New Roman" w:hAnsi="Times New Roman"/>
        </w:rPr>
        <w:t xml:space="preserve"> % à des projets de recherche et d’innovation et 11 % à des projets visant à renforcer la capacité numérique européenne. </w:t>
      </w:r>
    </w:p>
  </w:footnote>
  <w:footnote w:id="20">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Voir le rapport sur les performances de l'UE dans le domaine de la science, de la recherche et de l'innovation; en BG, CZ, EE, HR, L</w:t>
      </w:r>
      <w:r>
        <w:rPr>
          <w:rFonts w:ascii="Times New Roman" w:hAnsi="Times New Roman"/>
        </w:rPr>
        <w:t>V, LT, HU, MT, PL, RO, SI et SK, les Fonds structurels et d’investissement européens sont la principale source de financement de la recherche et de l’innovation.</w:t>
      </w:r>
    </w:p>
  </w:footnote>
  <w:footnote w:id="21">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COM(2018) 321.</w:t>
      </w:r>
    </w:p>
  </w:footnote>
  <w:footnote w:id="22">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D’autres programmes tels que le Fonds pour l’innovation, le programme du ma</w:t>
      </w:r>
      <w:r>
        <w:rPr>
          <w:rFonts w:ascii="Times New Roman" w:hAnsi="Times New Roman"/>
        </w:rPr>
        <w:t>rché unique, les fonds agricoles et pour les affaires maritimes, le Fonds social européen, Erasmus +, les programmes de culture et de valeurs de l’UE, auront des composantes d’innovation clés.</w:t>
      </w:r>
    </w:p>
  </w:footnote>
  <w:footnote w:id="23">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Rapport 2018 sur les performances de l'UE dans le domaine de </w:t>
      </w:r>
      <w:r>
        <w:rPr>
          <w:rFonts w:ascii="Times New Roman" w:hAnsi="Times New Roman"/>
        </w:rPr>
        <w:t xml:space="preserve">la science, de la recherche et de l'innovation.  </w:t>
      </w:r>
    </w:p>
  </w:footnote>
  <w:footnote w:id="24">
    <w:p w:rsidR="00612B3C" w:rsidRDefault="00416A72">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 xml:space="preserve">Source: Commission européenne, DG Recherche et innovation. </w:t>
      </w:r>
      <w:r>
        <w:rPr>
          <w:rFonts w:ascii="Times New Roman" w:hAnsi="Times New Roman"/>
          <w:lang w:val="pt-PT"/>
        </w:rPr>
        <w:t>Données: Eurostat, OCDE.</w:t>
      </w:r>
    </w:p>
  </w:footnote>
  <w:footnote w:id="25">
    <w:p w:rsidR="00612B3C" w:rsidRDefault="00416A72">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 xml:space="preserve">COM(2017) 479. </w:t>
      </w:r>
    </w:p>
  </w:footnote>
  <w:footnote w:id="26">
    <w:p w:rsidR="00612B3C" w:rsidRDefault="00416A72">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COM(2015) 215 et COM(2017) 651.</w:t>
      </w:r>
    </w:p>
  </w:footnote>
  <w:footnote w:id="27">
    <w:p w:rsidR="00612B3C" w:rsidRDefault="00416A72">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COM(2018) 008 et COM(2018)237.</w:t>
      </w:r>
    </w:p>
  </w:footnote>
  <w:footnote w:id="28">
    <w:p w:rsidR="00612B3C" w:rsidRDefault="00416A72">
      <w:pPr>
        <w:pStyle w:val="FootnoteText"/>
        <w:tabs>
          <w:tab w:val="left" w:pos="284"/>
        </w:tabs>
        <w:ind w:left="284" w:hanging="284"/>
        <w:jc w:val="both"/>
        <w:rPr>
          <w:rFonts w:ascii="Times New Roman" w:hAnsi="Times New Roman" w:cs="Times New Roman"/>
          <w:lang w:val="pt-PT"/>
        </w:rPr>
      </w:pPr>
      <w:r>
        <w:rPr>
          <w:rFonts w:ascii="Times New Roman" w:hAnsi="Times New Roman"/>
          <w:vertAlign w:val="superscript"/>
        </w:rPr>
        <w:footnoteRef/>
      </w:r>
      <w:r>
        <w:rPr>
          <w:rFonts w:ascii="Times New Roman" w:hAnsi="Times New Roman"/>
          <w:vertAlign w:val="superscript"/>
          <w:lang w:val="pt-PT"/>
        </w:rPr>
        <w:t xml:space="preserve"> </w:t>
      </w:r>
      <w:r>
        <w:rPr>
          <w:lang w:val="pt-PT"/>
        </w:rPr>
        <w:tab/>
      </w:r>
      <w:hyperlink r:id="rId1">
        <w:r>
          <w:rPr>
            <w:rStyle w:val="Hyperlink"/>
            <w:rFonts w:ascii="Times New Roman" w:hAnsi="Times New Roman"/>
            <w:lang w:val="pt-PT"/>
          </w:rPr>
          <w:t>http://www.consilium.europa.eu/en/policies/investment-plan/</w:t>
        </w:r>
      </w:hyperlink>
      <w:r>
        <w:rPr>
          <w:rFonts w:ascii="Times New Roman" w:hAnsi="Times New Roman"/>
          <w:lang w:val="pt-PT"/>
        </w:rPr>
        <w:t xml:space="preserve"> </w:t>
      </w:r>
    </w:p>
  </w:footnote>
  <w:footnote w:id="29">
    <w:p w:rsidR="00612B3C" w:rsidRDefault="00416A72">
      <w:pPr>
        <w:pStyle w:val="FootnoteText"/>
        <w:tabs>
          <w:tab w:val="left" w:pos="284"/>
        </w:tabs>
        <w:ind w:left="284" w:hanging="284"/>
        <w:jc w:val="both"/>
        <w:rPr>
          <w:rFonts w:ascii="Times New Roman" w:hAnsi="Times New Roman" w:cs="Times New Roman"/>
          <w:lang w:val="en"/>
        </w:rPr>
      </w:pPr>
      <w:r>
        <w:rPr>
          <w:rFonts w:ascii="Times New Roman" w:hAnsi="Times New Roman"/>
          <w:vertAlign w:val="superscript"/>
        </w:rPr>
        <w:footnoteRef/>
      </w:r>
      <w:r>
        <w:rPr>
          <w:lang w:val="en-US"/>
        </w:rPr>
        <w:tab/>
      </w:r>
      <w:r>
        <w:rPr>
          <w:rFonts w:ascii="Times New Roman" w:hAnsi="Times New Roman"/>
          <w:lang w:val="en-US"/>
        </w:rPr>
        <w:t>PwC / CB Insights MoneyTree™ Report, Q4 2017.</w:t>
      </w:r>
    </w:p>
  </w:footnote>
  <w:footnote w:id="30">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Source: Commission européenne, DG Recherche et innovation - Données: Invest Europe, NVCA / Pitchbook / </w:t>
      </w:r>
    </w:p>
  </w:footnote>
  <w:footnote w:id="31">
    <w:p w:rsidR="00612B3C" w:rsidRDefault="00416A72">
      <w:pPr>
        <w:pStyle w:val="FootnoteText"/>
        <w:ind w:left="284" w:hanging="284"/>
        <w:jc w:val="both"/>
      </w:pPr>
      <w:r>
        <w:rPr>
          <w:rStyle w:val="FootnoteReference"/>
        </w:rPr>
        <w:footnoteRef/>
      </w:r>
      <w:r>
        <w:t xml:space="preserve"> </w:t>
      </w:r>
      <w:r>
        <w:tab/>
      </w:r>
      <w:r>
        <w:rPr>
          <w:rFonts w:ascii="Times New Roman" w:hAnsi="Times New Roman"/>
        </w:rPr>
        <w:t>Actuellement, 9,2 milliards d’EUR sont prévus pour des prêts, garanties et instruments de capitaux propres liés à la croissance intelligente, attiran</w:t>
      </w:r>
      <w:r>
        <w:rPr>
          <w:rFonts w:ascii="Times New Roman" w:hAnsi="Times New Roman"/>
        </w:rPr>
        <w:t>t des financements publics et privés supplémentaires importants.</w:t>
      </w:r>
    </w:p>
  </w:footnote>
  <w:footnote w:id="32">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La proposition relative à l’assiette commune consolidée pour l'impôt sur les sociétés vise à encourager l’investissement dans la recherche et le développement grâce à une super-déduction. C</w:t>
      </w:r>
      <w:r>
        <w:rPr>
          <w:rFonts w:ascii="Times New Roman" w:hAnsi="Times New Roman"/>
        </w:rPr>
        <w:t>OM(2016) 685.</w:t>
      </w:r>
    </w:p>
  </w:footnote>
  <w:footnote w:id="33">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VentureEU est un fonds de fonds de capital-risque paneuropéen auquel participe un ensemble de six fonds privés (</w:t>
      </w:r>
      <w:hyperlink r:id="rId2">
        <w:r>
          <w:rPr>
            <w:rStyle w:val="Hyperlink"/>
            <w:rFonts w:ascii="Times New Roman" w:hAnsi="Times New Roman"/>
          </w:rPr>
          <w:t>http://europa.eu/rapid/press-release_IP-18-2763_fr.htm</w:t>
        </w:r>
      </w:hyperlink>
      <w:r>
        <w:t xml:space="preserve">) </w:t>
      </w:r>
    </w:p>
  </w:footnote>
  <w:footnote w:id="34">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 label d’excellence est décerné à des projets d’excellence internationale mais qui ne sont pas encore financés, qui sont présentés dans le cadre du programme «Horizon 2020» afin qu’ils puissent être financés par les Fonds structurels.</w:t>
      </w:r>
    </w:p>
  </w:footnote>
  <w:footnote w:id="35">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Le principe </w:t>
      </w:r>
      <w:r>
        <w:rPr>
          <w:rFonts w:ascii="Times New Roman" w:hAnsi="Times New Roman"/>
        </w:rPr>
        <w:t>d’innovation fait partie intégrante de l’«approche de l’UE pour une meilleure réglementation» et il garantit que chaque fois qu’une politique ou une législation est élaborée, l’incidence sur l’innovation est pleinement évaluée.</w:t>
      </w:r>
    </w:p>
  </w:footnote>
  <w:footnote w:id="36">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Proposition de la Commissi</w:t>
      </w:r>
      <w:r>
        <w:rPr>
          <w:rFonts w:ascii="Times New Roman" w:hAnsi="Times New Roman"/>
        </w:rPr>
        <w:t>on européenne de directive relative aux cadres de restructuration préventifs, à la seconde chance et aux mesures à prendre pour augmenter l’efficience des procédures de restructuration, d’insolvabilité et d’apurement (</w:t>
      </w:r>
      <w:hyperlink r:id="rId3">
        <w:r>
          <w:rPr>
            <w:rStyle w:val="Hyperlink"/>
            <w:rFonts w:ascii="Times New Roman" w:hAnsi="Times New Roman"/>
          </w:rPr>
          <w:t>http://ec.europa.eu/information_society/newsroom/image/document/2016-48/proposal_40046.pdf</w:t>
        </w:r>
      </w:hyperlink>
      <w:r>
        <w:t>).</w:t>
      </w:r>
    </w:p>
  </w:footnote>
  <w:footnote w:id="37">
    <w:p w:rsidR="00612B3C" w:rsidRDefault="00416A72">
      <w:pPr>
        <w:pStyle w:val="FootnoteText"/>
        <w:tabs>
          <w:tab w:val="left" w:pos="284"/>
        </w:tabs>
        <w:ind w:left="284" w:hanging="284"/>
        <w:jc w:val="both"/>
        <w:rPr>
          <w:rFonts w:ascii="Times New Roman" w:hAnsi="Times New Roman" w:cs="Times New Roman"/>
          <w:lang w:val="it-IT"/>
        </w:rPr>
      </w:pPr>
      <w:r>
        <w:rPr>
          <w:rStyle w:val="FootnoteReference"/>
          <w:rFonts w:ascii="Times New Roman" w:hAnsi="Times New Roman"/>
        </w:rPr>
        <w:footnoteRef/>
      </w:r>
      <w:r>
        <w:rPr>
          <w:lang w:val="it-IT"/>
        </w:rPr>
        <w:tab/>
      </w:r>
      <w:r>
        <w:rPr>
          <w:rFonts w:ascii="Times New Roman" w:hAnsi="Times New Roman"/>
          <w:lang w:val="it-IT"/>
        </w:rPr>
        <w:t>C(2018) 3051.</w:t>
      </w:r>
    </w:p>
  </w:footnote>
  <w:footnote w:id="38">
    <w:p w:rsidR="00612B3C" w:rsidRDefault="00416A72">
      <w:pPr>
        <w:pStyle w:val="FootnoteText"/>
        <w:tabs>
          <w:tab w:val="left" w:pos="284"/>
        </w:tabs>
        <w:ind w:left="284" w:hanging="284"/>
        <w:jc w:val="both"/>
        <w:rPr>
          <w:rFonts w:ascii="Times New Roman" w:hAnsi="Times New Roman" w:cs="Times New Roman"/>
          <w:lang w:val="it-IT"/>
        </w:rPr>
      </w:pPr>
      <w:r>
        <w:rPr>
          <w:rStyle w:val="FootnoteReference"/>
          <w:rFonts w:ascii="Times New Roman" w:hAnsi="Times New Roman"/>
        </w:rPr>
        <w:footnoteRef/>
      </w:r>
      <w:r>
        <w:rPr>
          <w:lang w:val="it-IT"/>
        </w:rPr>
        <w:tab/>
      </w:r>
      <w:hyperlink r:id="rId4" w:anchor="view=fit&amp;amp;pagemod e=none">
        <w:r>
          <w:rPr>
            <w:rStyle w:val="Hyperlink"/>
            <w:rFonts w:ascii="Times New Roman" w:hAnsi="Times New Roman"/>
            <w:lang w:val="it-IT"/>
          </w:rPr>
          <w:t>http://ec.europa.eu/research/industrial_technologies/pdf/re_finding_industry_022018.pdf#view=fit&amp;pagemod e=none</w:t>
        </w:r>
      </w:hyperlink>
    </w:p>
  </w:footnote>
  <w:footnote w:id="39">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Rapport intitulé «Re-finding Industry –Defining Innovation» du groupe à hau</w:t>
      </w:r>
      <w:r>
        <w:rPr>
          <w:rFonts w:ascii="Times New Roman" w:hAnsi="Times New Roman"/>
        </w:rPr>
        <w:t>t niveau sur les technologies industrielles, Commission européenne, 2018.</w:t>
      </w:r>
    </w:p>
  </w:footnote>
  <w:footnote w:id="40">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Le pourcentage d’entreprises qui ne se développent pas du tout ou de moins de 5 % est de plus de 45 % en Europe, contre 37 % aux États-Unis. Parlement européen (2017), Aider les </w:t>
      </w:r>
      <w:r>
        <w:rPr>
          <w:rFonts w:ascii="Times New Roman" w:hAnsi="Times New Roman"/>
        </w:rPr>
        <w:t>PME européennes à se développer.</w:t>
      </w:r>
    </w:p>
    <w:p w:rsidR="00612B3C" w:rsidRDefault="00416A72">
      <w:pPr>
        <w:pStyle w:val="FootnoteText"/>
        <w:ind w:left="284" w:hanging="284"/>
        <w:jc w:val="both"/>
        <w:rPr>
          <w:rFonts w:ascii="Times New Roman" w:hAnsi="Times New Roman" w:cs="Times New Roman"/>
        </w:rPr>
      </w:pPr>
      <w:r>
        <w:tab/>
      </w:r>
      <w:hyperlink r:id="rId5">
        <w:r>
          <w:rPr>
            <w:rStyle w:val="Hyperlink"/>
            <w:rFonts w:ascii="Times New Roman" w:hAnsi="Times New Roman"/>
          </w:rPr>
          <w:t>http://www.europarl.europa.eu/thinktank/fr/document.html?reference=EPRS_IDA(2017)603967</w:t>
        </w:r>
      </w:hyperlink>
    </w:p>
  </w:footnote>
  <w:footnote w:id="41">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Les faiblesses de l’UE so</w:t>
      </w:r>
      <w:r>
        <w:rPr>
          <w:rFonts w:ascii="Times New Roman" w:hAnsi="Times New Roman"/>
        </w:rPr>
        <w:t>nt évidentes puisque les entreprises établies dans l’UE sont presque complètement absentes parmi les grandes entreprises technologiques mondiales.</w:t>
      </w:r>
    </w:p>
  </w:footnote>
  <w:footnote w:id="42">
    <w:p w:rsidR="00612B3C" w:rsidRDefault="00416A72">
      <w:pPr>
        <w:pStyle w:val="FootnoteText"/>
        <w:ind w:left="284" w:hanging="284"/>
        <w:jc w:val="both"/>
        <w:rPr>
          <w:rFonts w:ascii="Times New Roman" w:hAnsi="Times New Roman" w:cs="Times New Roman"/>
          <w:i/>
        </w:rPr>
      </w:pPr>
      <w:r>
        <w:rPr>
          <w:rStyle w:val="FootnoteReference"/>
          <w:rFonts w:ascii="Times New Roman" w:hAnsi="Times New Roman"/>
        </w:rPr>
        <w:footnoteRef/>
      </w:r>
      <w:r>
        <w:tab/>
      </w:r>
      <w:r>
        <w:rPr>
          <w:rFonts w:ascii="Times New Roman" w:hAnsi="Times New Roman"/>
        </w:rPr>
        <w:t xml:space="preserve">Groupe d’innovateurs à haut niveau dans son rapport intitulé  «Europe is back: accelerating breakthrough </w:t>
      </w:r>
      <w:r>
        <w:rPr>
          <w:rFonts w:ascii="Times New Roman" w:hAnsi="Times New Roman"/>
        </w:rPr>
        <w:t>innovation» (</w:t>
      </w:r>
      <w:hyperlink r:id="rId6">
        <w:r>
          <w:rPr>
            <w:rStyle w:val="Hyperlink"/>
            <w:rFonts w:ascii="Times New Roman" w:hAnsi="Times New Roman"/>
          </w:rPr>
          <w:t>https://ec.europa.eu/info/sites/info/files/eic_hlg_bz_web.pdf</w:t>
        </w:r>
      </w:hyperlink>
      <w:r>
        <w:rPr>
          <w:rFonts w:ascii="Times New Roman" w:hAnsi="Times New Roman"/>
        </w:rPr>
        <w:t xml:space="preserve"> ).</w:t>
      </w:r>
    </w:p>
  </w:footnote>
  <w:footnote w:id="43">
    <w:p w:rsidR="00612B3C" w:rsidRDefault="00416A72">
      <w:pPr>
        <w:pStyle w:val="FootnoteText"/>
        <w:tabs>
          <w:tab w:val="left" w:pos="284"/>
        </w:tabs>
        <w:ind w:left="284" w:hanging="284"/>
        <w:jc w:val="both"/>
        <w:rPr>
          <w:rFonts w:ascii="Times New Roman" w:hAnsi="Times New Roman" w:cs="Times New Roman"/>
        </w:rPr>
      </w:pPr>
      <w:r>
        <w:rPr>
          <w:rFonts w:ascii="Times New Roman" w:hAnsi="Times New Roman"/>
          <w:vertAlign w:val="superscript"/>
        </w:rPr>
        <w:footnoteRef/>
      </w:r>
      <w:r>
        <w:tab/>
      </w:r>
      <w:r>
        <w:rPr>
          <w:rFonts w:ascii="Times New Roman" w:hAnsi="Times New Roman"/>
        </w:rPr>
        <w:t xml:space="preserve">Le projet «Graphène» est un projet Horizon 2020 lancé par l’UE en 2013. Il s’agit de l’une des </w:t>
      </w:r>
      <w:r>
        <w:rPr>
          <w:rFonts w:ascii="Times New Roman" w:hAnsi="Times New Roman"/>
        </w:rPr>
        <w:t>plus importantes initiatives de recherche jamais lancées par l’Europe, son objectif étant de sortir des laboratoires le graphène (un matériau carbone ultrafin susceptible de remplacer le silicium) et les matériaux bidimensionnels pour en faire bénéficier l</w:t>
      </w:r>
      <w:r>
        <w:rPr>
          <w:rFonts w:ascii="Times New Roman" w:hAnsi="Times New Roman"/>
        </w:rPr>
        <w:t>es citoyens européens . Le projet «Cerveau humain» est un projet Horizon 2020 lancé en 2013 qui vise à accroître les connaissances dans les domaines des neurosciences, de l’informatique et de la médecine du cerveau. Ces deux projets bénéficient d’investiss</w:t>
      </w:r>
      <w:r>
        <w:rPr>
          <w:rFonts w:ascii="Times New Roman" w:hAnsi="Times New Roman"/>
        </w:rPr>
        <w:t>ements du Fonds européen de développement, respectivement au Graphene Institute à Manchester et au European Institute for Neuromorphic Computing à Heidelberg.</w:t>
      </w:r>
    </w:p>
  </w:footnote>
  <w:footnote w:id="44">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Rapport 2018 sur les performances de l'UE dans le domaine de la science, de la recherche et de </w:t>
      </w:r>
      <w:r>
        <w:rPr>
          <w:rFonts w:ascii="Times New Roman" w:hAnsi="Times New Roman"/>
        </w:rPr>
        <w:t>l'innovation (</w:t>
      </w:r>
      <w:hyperlink r:id="rId7">
        <w:r>
          <w:rPr>
            <w:rStyle w:val="Hyperlink"/>
            <w:rFonts w:ascii="Times New Roman" w:hAnsi="Times New Roman"/>
          </w:rPr>
          <w:t>https://ec.europa.eu/info/support-policy-making-eu-and-horizon-2020-associated-countries/srip-report_fr</w:t>
        </w:r>
      </w:hyperlink>
      <w:r>
        <w:rPr>
          <w:rFonts w:ascii="Times New Roman" w:hAnsi="Times New Roman"/>
        </w:rPr>
        <w:t xml:space="preserve">) </w:t>
      </w:r>
    </w:p>
  </w:footnote>
  <w:footnote w:id="45">
    <w:p w:rsidR="00612B3C" w:rsidRDefault="00416A72">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Source: Com</w:t>
      </w:r>
      <w:r>
        <w:rPr>
          <w:rFonts w:ascii="Times New Roman" w:hAnsi="Times New Roman"/>
          <w:sz w:val="20"/>
        </w:rPr>
        <w:t>mission européenne, direction générale de la politique régionale et urbaine</w:t>
      </w:r>
    </w:p>
  </w:footnote>
  <w:footnote w:id="46">
    <w:p w:rsidR="00612B3C" w:rsidRDefault="00416A72">
      <w:pPr>
        <w:pStyle w:val="FootnoteText"/>
        <w:tabs>
          <w:tab w:val="left" w:pos="284"/>
        </w:tabs>
        <w:ind w:left="284" w:hanging="284"/>
        <w:contextualSpacing/>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376 final.</w:t>
      </w:r>
    </w:p>
  </w:footnote>
  <w:footnote w:id="47">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Source: Données provenant du tableau de bord numérique, Commission européenne</w:t>
      </w:r>
    </w:p>
  </w:footnote>
  <w:footnote w:id="48">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8">
        <w:r>
          <w:rPr>
            <w:rStyle w:val="Hyperlink"/>
            <w:rFonts w:ascii="Times New Roman" w:hAnsi="Times New Roman"/>
          </w:rPr>
          <w:t>https://heinnovate.eu/en</w:t>
        </w:r>
      </w:hyperlink>
      <w:r>
        <w:rPr>
          <w:rFonts w:ascii="Times New Roman" w:hAnsi="Times New Roman"/>
        </w:rPr>
        <w:t xml:space="preserve"> </w:t>
      </w:r>
    </w:p>
  </w:footnote>
  <w:footnote w:id="49">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9">
        <w:r>
          <w:rPr>
            <w:rStyle w:val="Hyperlink"/>
            <w:rFonts w:ascii="Times New Roman" w:hAnsi="Times New Roman"/>
          </w:rPr>
          <w:t>https://ec.europa.eu/commission/publications/eu-leaders-meeting-education-culture_en</w:t>
        </w:r>
      </w:hyperlink>
    </w:p>
  </w:footnote>
  <w:footnote w:id="50">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Conseil européen de décembre 2017. En réponse, la Commission a prése</w:t>
      </w:r>
      <w:r>
        <w:rPr>
          <w:rFonts w:ascii="Times New Roman" w:hAnsi="Times New Roman"/>
        </w:rPr>
        <w:t>nté le 17 janvier 2018 un premier train de mesures relatives aux compétences clés, aux aptitudes numériques ainsi qu'aux valeurs communes et à l’éducation inclusive. Un deuxième train de mesures concernant la simplification de la reconnaissance, l’améliora</w:t>
      </w:r>
      <w:r>
        <w:rPr>
          <w:rFonts w:ascii="Times New Roman" w:hAnsi="Times New Roman"/>
        </w:rPr>
        <w:t xml:space="preserve">tion de l'apprentissage des langues, l'accroissement de la qualité de l’éducation et des soins pour la petite enfance et les avancées actuelles s'agissant des universités européennes et de la carte d’étudiant de l’UE a été présenté le 16 mai 2018 dans les </w:t>
      </w:r>
      <w:r>
        <w:rPr>
          <w:rFonts w:ascii="Times New Roman" w:hAnsi="Times New Roman"/>
        </w:rPr>
        <w:t>communications portant les numéros COM (2018) 267 à 272.</w:t>
      </w:r>
    </w:p>
  </w:footnote>
  <w:footnote w:id="51">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Les travaux relatifs aux «universités européennes» ont avancé à vive allure depuis la publication des conclusions du Conseil européen, et un premier appel à projets pilotes sera déjà publié en octo</w:t>
      </w:r>
      <w:r>
        <w:rPr>
          <w:rFonts w:ascii="Times New Roman" w:hAnsi="Times New Roman"/>
        </w:rPr>
        <w:t>bre prochain dans le cadre du programme Erasmus+.</w:t>
      </w:r>
    </w:p>
  </w:footnote>
  <w:footnote w:id="52">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0">
        <w:r>
          <w:rPr>
            <w:rStyle w:val="Hyperlink"/>
            <w:rFonts w:ascii="Times New Roman" w:hAnsi="Times New Roman"/>
          </w:rPr>
          <w:t>https://ec.europa.eu/research/openscience/index.cfm?pg=home&amp;section=monitor</w:t>
        </w:r>
      </w:hyperlink>
    </w:p>
  </w:footnote>
  <w:footnote w:id="53">
    <w:p w:rsidR="00612B3C" w:rsidRDefault="00416A72">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Un ensemble de mesures d’encour</w:t>
      </w:r>
      <w:r>
        <w:rPr>
          <w:rFonts w:ascii="Times New Roman" w:hAnsi="Times New Roman"/>
        </w:rPr>
        <w:t>agement sera mis en place, prévoyant la reconnaissance des programmes existants ayant donné de bons résultats et apportant un soutien à de nouveaux programmes qui développent les compétences numériques et entrepreneuriales, le transfert de connaissances, l</w:t>
      </w:r>
      <w:r>
        <w:rPr>
          <w:rFonts w:ascii="Times New Roman" w:hAnsi="Times New Roman"/>
        </w:rPr>
        <w:t>es programmes d’études novateurs, les incitants en matière de carrière, la mobilité intersectorielle et la transdisciplinarité.</w:t>
      </w:r>
    </w:p>
  </w:footnote>
  <w:footnote w:id="54">
    <w:p w:rsidR="00612B3C" w:rsidRDefault="00416A7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L’initiative «HEInnovate» permet aux universités d'évaluer leurs capacités en matière d’esprit d’entreprise et aide les États </w:t>
      </w:r>
      <w:r>
        <w:rPr>
          <w:rFonts w:ascii="Times New Roman" w:hAnsi="Times New Roman"/>
        </w:rPr>
        <w:t>membres à les améliorer.</w:t>
      </w:r>
    </w:p>
  </w:footnote>
  <w:footnote w:id="55">
    <w:p w:rsidR="00612B3C" w:rsidRDefault="00416A72">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 xml:space="preserve">COM(2016) 381 final. </w:t>
      </w:r>
    </w:p>
  </w:footnote>
  <w:footnote w:id="56">
    <w:p w:rsidR="00612B3C" w:rsidRDefault="00416A72">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hyperlink r:id="rId11">
        <w:r>
          <w:rPr>
            <w:rStyle w:val="Hyperlink"/>
            <w:rFonts w:ascii="Times New Roman" w:hAnsi="Times New Roman"/>
            <w:lang w:val="pt-PT"/>
          </w:rPr>
          <w:t>http://ec.europa.eu/social/main.jsp?catId=1415&amp;langId=en</w:t>
        </w:r>
      </w:hyperlink>
      <w:r>
        <w:rPr>
          <w:rFonts w:ascii="Times New Roman" w:hAnsi="Times New Roman"/>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72" w:rsidRPr="00416A72" w:rsidRDefault="00416A72" w:rsidP="00416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72" w:rsidRPr="00416A72" w:rsidRDefault="00416A72" w:rsidP="00416A7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72" w:rsidRPr="00416A72" w:rsidRDefault="00416A72" w:rsidP="00416A7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B3C" w:rsidRDefault="00612B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B3C" w:rsidRDefault="00612B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B3C" w:rsidRDefault="00612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15F"/>
    <w:multiLevelType w:val="hybridMultilevel"/>
    <w:tmpl w:val="C8B09DE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85D0A27"/>
    <w:multiLevelType w:val="hybridMultilevel"/>
    <w:tmpl w:val="53543E9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CA6AFF"/>
    <w:multiLevelType w:val="multilevel"/>
    <w:tmpl w:val="19B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D7F98"/>
    <w:multiLevelType w:val="hybridMultilevel"/>
    <w:tmpl w:val="9940D3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17927861"/>
    <w:multiLevelType w:val="hybridMultilevel"/>
    <w:tmpl w:val="C37A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55158D"/>
    <w:multiLevelType w:val="hybridMultilevel"/>
    <w:tmpl w:val="F238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F8299D"/>
    <w:multiLevelType w:val="hybridMultilevel"/>
    <w:tmpl w:val="481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0C79EA"/>
    <w:multiLevelType w:val="hybridMultilevel"/>
    <w:tmpl w:val="BA7A5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60378E"/>
    <w:multiLevelType w:val="hybridMultilevel"/>
    <w:tmpl w:val="04B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BC70E0"/>
    <w:multiLevelType w:val="multilevel"/>
    <w:tmpl w:val="38C4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F76EF"/>
    <w:multiLevelType w:val="hybridMultilevel"/>
    <w:tmpl w:val="DDB6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F63DBE"/>
    <w:multiLevelType w:val="hybridMultilevel"/>
    <w:tmpl w:val="E322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B87707"/>
    <w:multiLevelType w:val="hybridMultilevel"/>
    <w:tmpl w:val="1E9E1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7AE59B7"/>
    <w:multiLevelType w:val="hybridMultilevel"/>
    <w:tmpl w:val="3A2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8E6B86"/>
    <w:multiLevelType w:val="hybridMultilevel"/>
    <w:tmpl w:val="6934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D81F84"/>
    <w:multiLevelType w:val="hybridMultilevel"/>
    <w:tmpl w:val="71AE92F4"/>
    <w:lvl w:ilvl="0" w:tplc="87C4D08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63A6512"/>
    <w:multiLevelType w:val="hybridMultilevel"/>
    <w:tmpl w:val="7E30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8F6B91"/>
    <w:multiLevelType w:val="hybridMultilevel"/>
    <w:tmpl w:val="D99A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C67BEF"/>
    <w:multiLevelType w:val="hybridMultilevel"/>
    <w:tmpl w:val="1936A688"/>
    <w:lvl w:ilvl="0" w:tplc="7AA214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8556DB"/>
    <w:multiLevelType w:val="hybridMultilevel"/>
    <w:tmpl w:val="A62EE1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772D59"/>
    <w:multiLevelType w:val="hybridMultilevel"/>
    <w:tmpl w:val="CAE0ABA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24D1B5A"/>
    <w:multiLevelType w:val="hybridMultilevel"/>
    <w:tmpl w:val="9940D3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52513A43"/>
    <w:multiLevelType w:val="hybridMultilevel"/>
    <w:tmpl w:val="DDB06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F85DB9"/>
    <w:multiLevelType w:val="multilevel"/>
    <w:tmpl w:val="7BB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61E58"/>
    <w:multiLevelType w:val="hybridMultilevel"/>
    <w:tmpl w:val="A462AE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46E1288"/>
    <w:multiLevelType w:val="hybridMultilevel"/>
    <w:tmpl w:val="501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9A0B3A"/>
    <w:multiLevelType w:val="hybridMultilevel"/>
    <w:tmpl w:val="DB2A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D7287E"/>
    <w:multiLevelType w:val="hybridMultilevel"/>
    <w:tmpl w:val="0E147D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071001"/>
    <w:multiLevelType w:val="hybridMultilevel"/>
    <w:tmpl w:val="8A6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322E72"/>
    <w:multiLevelType w:val="multilevel"/>
    <w:tmpl w:val="F92E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9B6E7E"/>
    <w:multiLevelType w:val="hybridMultilevel"/>
    <w:tmpl w:val="667ABAE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1">
    <w:nsid w:val="79AA43BD"/>
    <w:multiLevelType w:val="hybridMultilevel"/>
    <w:tmpl w:val="E8C2E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BB05D5B"/>
    <w:multiLevelType w:val="hybridMultilevel"/>
    <w:tmpl w:val="0F92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2"/>
  </w:num>
  <w:num w:numId="4">
    <w:abstractNumId w:val="6"/>
  </w:num>
  <w:num w:numId="5">
    <w:abstractNumId w:val="30"/>
  </w:num>
  <w:num w:numId="6">
    <w:abstractNumId w:val="10"/>
  </w:num>
  <w:num w:numId="7">
    <w:abstractNumId w:val="25"/>
  </w:num>
  <w:num w:numId="8">
    <w:abstractNumId w:val="4"/>
  </w:num>
  <w:num w:numId="9">
    <w:abstractNumId w:val="24"/>
  </w:num>
  <w:num w:numId="10">
    <w:abstractNumId w:val="27"/>
  </w:num>
  <w:num w:numId="11">
    <w:abstractNumId w:val="29"/>
  </w:num>
  <w:num w:numId="12">
    <w:abstractNumId w:val="28"/>
  </w:num>
  <w:num w:numId="13">
    <w:abstractNumId w:val="26"/>
  </w:num>
  <w:num w:numId="14">
    <w:abstractNumId w:val="1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3"/>
  </w:num>
  <w:num w:numId="20">
    <w:abstractNumId w:val="16"/>
  </w:num>
  <w:num w:numId="21">
    <w:abstractNumId w:val="14"/>
  </w:num>
  <w:num w:numId="22">
    <w:abstractNumId w:val="13"/>
  </w:num>
  <w:num w:numId="23">
    <w:abstractNumId w:val="2"/>
  </w:num>
  <w:num w:numId="24">
    <w:abstractNumId w:val="8"/>
  </w:num>
  <w:num w:numId="25">
    <w:abstractNumId w:val="19"/>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0"/>
  </w:num>
  <w:num w:numId="28">
    <w:abstractNumId w:val="22"/>
  </w:num>
  <w:num w:numId="29">
    <w:abstractNumId w:val="20"/>
  </w:num>
  <w:num w:numId="30">
    <w:abstractNumId w:val="1"/>
  </w:num>
  <w:num w:numId="31">
    <w:abstractNumId w:val="31"/>
  </w:num>
  <w:num w:numId="32">
    <w:abstractNumId w:val="23"/>
  </w:num>
  <w:num w:numId="33">
    <w:abstractNumId w:val="11"/>
  </w:num>
  <w:num w:numId="34">
    <w:abstractNumId w:val="1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E7897F-CBD6-49BF-8479-52FF2815D8AF"/>
    <w:docVar w:name="LW_COVERPAGE_TYPE" w:val="1"/>
    <w:docVar w:name="LW_CROSSREFERENCE" w:val="&lt;UNUSED&gt;"/>
    <w:docVar w:name="LW_DocType" w:val="NORMAL"/>
    <w:docVar w:name="LW_EMISSION" w:val="15.5.2018"/>
    <w:docVar w:name="LW_EMISSION_ISODATE" w:val="2018-05-15"/>
    <w:docVar w:name="LW_EMISSION_LOCATION" w:val="BRX"/>
    <w:docVar w:name="LW_EMISSION_PREFIX" w:val="Bruxelles, le"/>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3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 agenda européen renouvelé dans le domaine de la recherche et de l\u8217?innovation \u8211? L\u8217?occasion pour l\u8217?Europe de façonner son avenir_x000b__x000b_&lt;FMT:Italic&gt;Contribution de la Commission européenne à la réunion informelle des dirigeants du 16 mai 2018 à Sofia&lt;/FMT&gt;"/>
    <w:docVar w:name="LW_TYPE.DOC.CP" w:val="COMMUNICATION DE LA COMMISSION"/>
    <w:docVar w:name="LW_TYPE.DOC.CP.USERTEXT" w:val="AU PARLEMENT EUROPÉEN, AU CONSEIL EUROPÉEN, AU CONSEIL, AU COMITÉ ÉCONOMIQUE ET SOCIAL EUROPÉEN ET AU COMITÉ DES RÉGIONS"/>
  </w:docVars>
  <w:rsids>
    <w:rsidRoot w:val="00612B3C"/>
    <w:rsid w:val="00416A72"/>
    <w:rsid w:val="0061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
    <w:basedOn w:val="Normal"/>
    <w:link w:val="ListParagraphChar"/>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BVI fnr"/>
    <w:basedOn w:val="DefaultParagraphFont"/>
    <w:link w:val="CharCharChar1"/>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CharCharChar1">
    <w:name w:val="Char Char Char1"/>
    <w:basedOn w:val="Normal"/>
    <w:link w:val="FootnoteReference"/>
    <w:uiPriority w:val="99"/>
    <w:pPr>
      <w:spacing w:after="160" w:line="240" w:lineRule="exact"/>
      <w:jc w:val="both"/>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semiHidden/>
    <w:unhideWhenUsed/>
    <w:pPr>
      <w:spacing w:after="120" w:line="24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semiHidden/>
    <w:rPr>
      <w:rFonts w:ascii="Times New Roman" w:eastAsia="Calibri" w:hAnsi="Times New Roman" w:cs="Times New Roman"/>
      <w:sz w:val="24"/>
      <w:szCs w:val="24"/>
    </w:rPr>
  </w:style>
  <w:style w:type="character" w:customStyle="1" w:styleId="ListParagraphChar">
    <w:name w:val="List Paragraph Char"/>
    <w:aliases w:val="Fiche List Paragraph Char,Task Body Char,Viñetas (Inicio Parrafo) Char,3 Txt tabla Char,Zerrenda-paragrafoa Char,Lista multicolor - Énfasis 11 Char,Paragrafo elenco Char"/>
    <w:link w:val="ListParagraph"/>
    <w:uiPriority w:val="34"/>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Pa4">
    <w:name w:val="Pa4"/>
    <w:basedOn w:val="Default"/>
    <w:next w:val="Default"/>
    <w:uiPriority w:val="99"/>
    <w:pPr>
      <w:spacing w:line="211" w:lineRule="atLeast"/>
    </w:pPr>
    <w:rPr>
      <w:rFonts w:cstheme="minorBidi"/>
      <w:color w:val="auto"/>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
    <w:basedOn w:val="Normal"/>
    <w:link w:val="ListParagraphChar"/>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BVI fnr"/>
    <w:basedOn w:val="DefaultParagraphFont"/>
    <w:link w:val="CharCharChar1"/>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CharCharChar1">
    <w:name w:val="Char Char Char1"/>
    <w:basedOn w:val="Normal"/>
    <w:link w:val="FootnoteReference"/>
    <w:uiPriority w:val="99"/>
    <w:pPr>
      <w:spacing w:after="160" w:line="240" w:lineRule="exact"/>
      <w:jc w:val="both"/>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semiHidden/>
    <w:unhideWhenUsed/>
    <w:pPr>
      <w:spacing w:after="120" w:line="24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semiHidden/>
    <w:rPr>
      <w:rFonts w:ascii="Times New Roman" w:eastAsia="Calibri" w:hAnsi="Times New Roman" w:cs="Times New Roman"/>
      <w:sz w:val="24"/>
      <w:szCs w:val="24"/>
    </w:rPr>
  </w:style>
  <w:style w:type="character" w:customStyle="1" w:styleId="ListParagraphChar">
    <w:name w:val="List Paragraph Char"/>
    <w:aliases w:val="Fiche List Paragraph Char,Task Body Char,Viñetas (Inicio Parrafo) Char,3 Txt tabla Char,Zerrenda-paragrafoa Char,Lista multicolor - Énfasis 11 Char,Paragrafo elenco Char"/>
    <w:link w:val="ListParagraph"/>
    <w:uiPriority w:val="34"/>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Pa4">
    <w:name w:val="Pa4"/>
    <w:basedOn w:val="Default"/>
    <w:next w:val="Default"/>
    <w:uiPriority w:val="99"/>
    <w:pPr>
      <w:spacing w:line="211" w:lineRule="atLeast"/>
    </w:pPr>
    <w:rPr>
      <w:rFonts w:cstheme="minorBidi"/>
      <w:color w:val="auto"/>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41346">
      <w:bodyDiv w:val="1"/>
      <w:marLeft w:val="0"/>
      <w:marRight w:val="0"/>
      <w:marTop w:val="0"/>
      <w:marBottom w:val="0"/>
      <w:divBdr>
        <w:top w:val="none" w:sz="0" w:space="0" w:color="auto"/>
        <w:left w:val="none" w:sz="0" w:space="0" w:color="auto"/>
        <w:bottom w:val="none" w:sz="0" w:space="0" w:color="auto"/>
        <w:right w:val="none" w:sz="0" w:space="0" w:color="auto"/>
      </w:divBdr>
    </w:div>
    <w:div w:id="415636836">
      <w:bodyDiv w:val="1"/>
      <w:marLeft w:val="0"/>
      <w:marRight w:val="0"/>
      <w:marTop w:val="0"/>
      <w:marBottom w:val="0"/>
      <w:divBdr>
        <w:top w:val="none" w:sz="0" w:space="0" w:color="auto"/>
        <w:left w:val="none" w:sz="0" w:space="0" w:color="auto"/>
        <w:bottom w:val="none" w:sz="0" w:space="0" w:color="auto"/>
        <w:right w:val="none" w:sz="0" w:space="0" w:color="auto"/>
      </w:divBdr>
    </w:div>
    <w:div w:id="424498189">
      <w:bodyDiv w:val="1"/>
      <w:marLeft w:val="0"/>
      <w:marRight w:val="0"/>
      <w:marTop w:val="0"/>
      <w:marBottom w:val="0"/>
      <w:divBdr>
        <w:top w:val="none" w:sz="0" w:space="0" w:color="auto"/>
        <w:left w:val="none" w:sz="0" w:space="0" w:color="auto"/>
        <w:bottom w:val="none" w:sz="0" w:space="0" w:color="auto"/>
        <w:right w:val="none" w:sz="0" w:space="0" w:color="auto"/>
      </w:divBdr>
    </w:div>
    <w:div w:id="430472862">
      <w:bodyDiv w:val="1"/>
      <w:marLeft w:val="0"/>
      <w:marRight w:val="0"/>
      <w:marTop w:val="0"/>
      <w:marBottom w:val="0"/>
      <w:divBdr>
        <w:top w:val="none" w:sz="0" w:space="0" w:color="auto"/>
        <w:left w:val="none" w:sz="0" w:space="0" w:color="auto"/>
        <w:bottom w:val="none" w:sz="0" w:space="0" w:color="auto"/>
        <w:right w:val="none" w:sz="0" w:space="0" w:color="auto"/>
      </w:divBdr>
    </w:div>
    <w:div w:id="467477679">
      <w:bodyDiv w:val="1"/>
      <w:marLeft w:val="0"/>
      <w:marRight w:val="0"/>
      <w:marTop w:val="0"/>
      <w:marBottom w:val="0"/>
      <w:divBdr>
        <w:top w:val="none" w:sz="0" w:space="0" w:color="auto"/>
        <w:left w:val="none" w:sz="0" w:space="0" w:color="auto"/>
        <w:bottom w:val="none" w:sz="0" w:space="0" w:color="auto"/>
        <w:right w:val="none" w:sz="0" w:space="0" w:color="auto"/>
      </w:divBdr>
    </w:div>
    <w:div w:id="593586381">
      <w:bodyDiv w:val="1"/>
      <w:marLeft w:val="0"/>
      <w:marRight w:val="0"/>
      <w:marTop w:val="0"/>
      <w:marBottom w:val="0"/>
      <w:divBdr>
        <w:top w:val="none" w:sz="0" w:space="0" w:color="auto"/>
        <w:left w:val="none" w:sz="0" w:space="0" w:color="auto"/>
        <w:bottom w:val="none" w:sz="0" w:space="0" w:color="auto"/>
        <w:right w:val="none" w:sz="0" w:space="0" w:color="auto"/>
      </w:divBdr>
    </w:div>
    <w:div w:id="705637187">
      <w:bodyDiv w:val="1"/>
      <w:marLeft w:val="0"/>
      <w:marRight w:val="0"/>
      <w:marTop w:val="0"/>
      <w:marBottom w:val="0"/>
      <w:divBdr>
        <w:top w:val="none" w:sz="0" w:space="0" w:color="auto"/>
        <w:left w:val="none" w:sz="0" w:space="0" w:color="auto"/>
        <w:bottom w:val="none" w:sz="0" w:space="0" w:color="auto"/>
        <w:right w:val="none" w:sz="0" w:space="0" w:color="auto"/>
      </w:divBdr>
    </w:div>
    <w:div w:id="724643493">
      <w:bodyDiv w:val="1"/>
      <w:marLeft w:val="0"/>
      <w:marRight w:val="0"/>
      <w:marTop w:val="0"/>
      <w:marBottom w:val="0"/>
      <w:divBdr>
        <w:top w:val="none" w:sz="0" w:space="0" w:color="auto"/>
        <w:left w:val="none" w:sz="0" w:space="0" w:color="auto"/>
        <w:bottom w:val="none" w:sz="0" w:space="0" w:color="auto"/>
        <w:right w:val="none" w:sz="0" w:space="0" w:color="auto"/>
      </w:divBdr>
    </w:div>
    <w:div w:id="903829688">
      <w:bodyDiv w:val="1"/>
      <w:marLeft w:val="0"/>
      <w:marRight w:val="0"/>
      <w:marTop w:val="0"/>
      <w:marBottom w:val="0"/>
      <w:divBdr>
        <w:top w:val="none" w:sz="0" w:space="0" w:color="auto"/>
        <w:left w:val="none" w:sz="0" w:space="0" w:color="auto"/>
        <w:bottom w:val="none" w:sz="0" w:space="0" w:color="auto"/>
        <w:right w:val="none" w:sz="0" w:space="0" w:color="auto"/>
      </w:divBdr>
    </w:div>
    <w:div w:id="964045252">
      <w:bodyDiv w:val="1"/>
      <w:marLeft w:val="0"/>
      <w:marRight w:val="0"/>
      <w:marTop w:val="0"/>
      <w:marBottom w:val="0"/>
      <w:divBdr>
        <w:top w:val="none" w:sz="0" w:space="0" w:color="auto"/>
        <w:left w:val="none" w:sz="0" w:space="0" w:color="auto"/>
        <w:bottom w:val="none" w:sz="0" w:space="0" w:color="auto"/>
        <w:right w:val="none" w:sz="0" w:space="0" w:color="auto"/>
      </w:divBdr>
    </w:div>
    <w:div w:id="980882398">
      <w:bodyDiv w:val="1"/>
      <w:marLeft w:val="0"/>
      <w:marRight w:val="0"/>
      <w:marTop w:val="0"/>
      <w:marBottom w:val="0"/>
      <w:divBdr>
        <w:top w:val="none" w:sz="0" w:space="0" w:color="auto"/>
        <w:left w:val="none" w:sz="0" w:space="0" w:color="auto"/>
        <w:bottom w:val="none" w:sz="0" w:space="0" w:color="auto"/>
        <w:right w:val="none" w:sz="0" w:space="0" w:color="auto"/>
      </w:divBdr>
    </w:div>
    <w:div w:id="1101996297">
      <w:bodyDiv w:val="1"/>
      <w:marLeft w:val="0"/>
      <w:marRight w:val="0"/>
      <w:marTop w:val="0"/>
      <w:marBottom w:val="0"/>
      <w:divBdr>
        <w:top w:val="none" w:sz="0" w:space="0" w:color="auto"/>
        <w:left w:val="none" w:sz="0" w:space="0" w:color="auto"/>
        <w:bottom w:val="none" w:sz="0" w:space="0" w:color="auto"/>
        <w:right w:val="none" w:sz="0" w:space="0" w:color="auto"/>
      </w:divBdr>
    </w:div>
    <w:div w:id="1109206432">
      <w:bodyDiv w:val="1"/>
      <w:marLeft w:val="0"/>
      <w:marRight w:val="0"/>
      <w:marTop w:val="0"/>
      <w:marBottom w:val="0"/>
      <w:divBdr>
        <w:top w:val="none" w:sz="0" w:space="0" w:color="auto"/>
        <w:left w:val="none" w:sz="0" w:space="0" w:color="auto"/>
        <w:bottom w:val="none" w:sz="0" w:space="0" w:color="auto"/>
        <w:right w:val="none" w:sz="0" w:space="0" w:color="auto"/>
      </w:divBdr>
    </w:div>
    <w:div w:id="1184979315">
      <w:bodyDiv w:val="1"/>
      <w:marLeft w:val="0"/>
      <w:marRight w:val="0"/>
      <w:marTop w:val="0"/>
      <w:marBottom w:val="0"/>
      <w:divBdr>
        <w:top w:val="none" w:sz="0" w:space="0" w:color="auto"/>
        <w:left w:val="none" w:sz="0" w:space="0" w:color="auto"/>
        <w:bottom w:val="none" w:sz="0" w:space="0" w:color="auto"/>
        <w:right w:val="none" w:sz="0" w:space="0" w:color="auto"/>
      </w:divBdr>
      <w:divsChild>
        <w:div w:id="32773019">
          <w:marLeft w:val="0"/>
          <w:marRight w:val="0"/>
          <w:marTop w:val="0"/>
          <w:marBottom w:val="0"/>
          <w:divBdr>
            <w:top w:val="none" w:sz="0" w:space="0" w:color="auto"/>
            <w:left w:val="none" w:sz="0" w:space="0" w:color="auto"/>
            <w:bottom w:val="none" w:sz="0" w:space="0" w:color="auto"/>
            <w:right w:val="none" w:sz="0" w:space="0" w:color="auto"/>
          </w:divBdr>
        </w:div>
        <w:div w:id="87848989">
          <w:marLeft w:val="0"/>
          <w:marRight w:val="0"/>
          <w:marTop w:val="0"/>
          <w:marBottom w:val="0"/>
          <w:divBdr>
            <w:top w:val="none" w:sz="0" w:space="0" w:color="auto"/>
            <w:left w:val="none" w:sz="0" w:space="0" w:color="auto"/>
            <w:bottom w:val="none" w:sz="0" w:space="0" w:color="auto"/>
            <w:right w:val="none" w:sz="0" w:space="0" w:color="auto"/>
          </w:divBdr>
        </w:div>
        <w:div w:id="363792170">
          <w:marLeft w:val="0"/>
          <w:marRight w:val="0"/>
          <w:marTop w:val="0"/>
          <w:marBottom w:val="0"/>
          <w:divBdr>
            <w:top w:val="none" w:sz="0" w:space="0" w:color="auto"/>
            <w:left w:val="none" w:sz="0" w:space="0" w:color="auto"/>
            <w:bottom w:val="none" w:sz="0" w:space="0" w:color="auto"/>
            <w:right w:val="none" w:sz="0" w:space="0" w:color="auto"/>
          </w:divBdr>
        </w:div>
        <w:div w:id="511259503">
          <w:marLeft w:val="0"/>
          <w:marRight w:val="0"/>
          <w:marTop w:val="0"/>
          <w:marBottom w:val="0"/>
          <w:divBdr>
            <w:top w:val="none" w:sz="0" w:space="0" w:color="auto"/>
            <w:left w:val="none" w:sz="0" w:space="0" w:color="auto"/>
            <w:bottom w:val="none" w:sz="0" w:space="0" w:color="auto"/>
            <w:right w:val="none" w:sz="0" w:space="0" w:color="auto"/>
          </w:divBdr>
        </w:div>
        <w:div w:id="717826808">
          <w:marLeft w:val="0"/>
          <w:marRight w:val="0"/>
          <w:marTop w:val="0"/>
          <w:marBottom w:val="0"/>
          <w:divBdr>
            <w:top w:val="none" w:sz="0" w:space="0" w:color="auto"/>
            <w:left w:val="none" w:sz="0" w:space="0" w:color="auto"/>
            <w:bottom w:val="none" w:sz="0" w:space="0" w:color="auto"/>
            <w:right w:val="none" w:sz="0" w:space="0" w:color="auto"/>
          </w:divBdr>
        </w:div>
        <w:div w:id="997271842">
          <w:marLeft w:val="0"/>
          <w:marRight w:val="0"/>
          <w:marTop w:val="0"/>
          <w:marBottom w:val="0"/>
          <w:divBdr>
            <w:top w:val="none" w:sz="0" w:space="0" w:color="auto"/>
            <w:left w:val="none" w:sz="0" w:space="0" w:color="auto"/>
            <w:bottom w:val="none" w:sz="0" w:space="0" w:color="auto"/>
            <w:right w:val="none" w:sz="0" w:space="0" w:color="auto"/>
          </w:divBdr>
        </w:div>
        <w:div w:id="1214654909">
          <w:marLeft w:val="0"/>
          <w:marRight w:val="0"/>
          <w:marTop w:val="0"/>
          <w:marBottom w:val="0"/>
          <w:divBdr>
            <w:top w:val="none" w:sz="0" w:space="0" w:color="auto"/>
            <w:left w:val="none" w:sz="0" w:space="0" w:color="auto"/>
            <w:bottom w:val="none" w:sz="0" w:space="0" w:color="auto"/>
            <w:right w:val="none" w:sz="0" w:space="0" w:color="auto"/>
          </w:divBdr>
        </w:div>
        <w:div w:id="1347975252">
          <w:marLeft w:val="0"/>
          <w:marRight w:val="0"/>
          <w:marTop w:val="0"/>
          <w:marBottom w:val="0"/>
          <w:divBdr>
            <w:top w:val="none" w:sz="0" w:space="0" w:color="auto"/>
            <w:left w:val="none" w:sz="0" w:space="0" w:color="auto"/>
            <w:bottom w:val="none" w:sz="0" w:space="0" w:color="auto"/>
            <w:right w:val="none" w:sz="0" w:space="0" w:color="auto"/>
          </w:divBdr>
        </w:div>
        <w:div w:id="1533878045">
          <w:marLeft w:val="0"/>
          <w:marRight w:val="0"/>
          <w:marTop w:val="0"/>
          <w:marBottom w:val="0"/>
          <w:divBdr>
            <w:top w:val="none" w:sz="0" w:space="0" w:color="auto"/>
            <w:left w:val="none" w:sz="0" w:space="0" w:color="auto"/>
            <w:bottom w:val="none" w:sz="0" w:space="0" w:color="auto"/>
            <w:right w:val="none" w:sz="0" w:space="0" w:color="auto"/>
          </w:divBdr>
        </w:div>
        <w:div w:id="1694844968">
          <w:marLeft w:val="0"/>
          <w:marRight w:val="0"/>
          <w:marTop w:val="0"/>
          <w:marBottom w:val="0"/>
          <w:divBdr>
            <w:top w:val="none" w:sz="0" w:space="0" w:color="auto"/>
            <w:left w:val="none" w:sz="0" w:space="0" w:color="auto"/>
            <w:bottom w:val="none" w:sz="0" w:space="0" w:color="auto"/>
            <w:right w:val="none" w:sz="0" w:space="0" w:color="auto"/>
          </w:divBdr>
        </w:div>
        <w:div w:id="2087531297">
          <w:marLeft w:val="0"/>
          <w:marRight w:val="0"/>
          <w:marTop w:val="0"/>
          <w:marBottom w:val="0"/>
          <w:divBdr>
            <w:top w:val="none" w:sz="0" w:space="0" w:color="auto"/>
            <w:left w:val="none" w:sz="0" w:space="0" w:color="auto"/>
            <w:bottom w:val="none" w:sz="0" w:space="0" w:color="auto"/>
            <w:right w:val="none" w:sz="0" w:space="0" w:color="auto"/>
          </w:divBdr>
        </w:div>
      </w:divsChild>
    </w:div>
    <w:div w:id="1293712827">
      <w:bodyDiv w:val="1"/>
      <w:marLeft w:val="0"/>
      <w:marRight w:val="0"/>
      <w:marTop w:val="0"/>
      <w:marBottom w:val="0"/>
      <w:divBdr>
        <w:top w:val="none" w:sz="0" w:space="0" w:color="auto"/>
        <w:left w:val="none" w:sz="0" w:space="0" w:color="auto"/>
        <w:bottom w:val="none" w:sz="0" w:space="0" w:color="auto"/>
        <w:right w:val="none" w:sz="0" w:space="0" w:color="auto"/>
      </w:divBdr>
    </w:div>
    <w:div w:id="1387608775">
      <w:bodyDiv w:val="1"/>
      <w:marLeft w:val="0"/>
      <w:marRight w:val="0"/>
      <w:marTop w:val="0"/>
      <w:marBottom w:val="0"/>
      <w:divBdr>
        <w:top w:val="none" w:sz="0" w:space="0" w:color="auto"/>
        <w:left w:val="none" w:sz="0" w:space="0" w:color="auto"/>
        <w:bottom w:val="none" w:sz="0" w:space="0" w:color="auto"/>
        <w:right w:val="none" w:sz="0" w:space="0" w:color="auto"/>
      </w:divBdr>
    </w:div>
    <w:div w:id="1401249415">
      <w:bodyDiv w:val="1"/>
      <w:marLeft w:val="0"/>
      <w:marRight w:val="0"/>
      <w:marTop w:val="0"/>
      <w:marBottom w:val="0"/>
      <w:divBdr>
        <w:top w:val="none" w:sz="0" w:space="0" w:color="auto"/>
        <w:left w:val="none" w:sz="0" w:space="0" w:color="auto"/>
        <w:bottom w:val="none" w:sz="0" w:space="0" w:color="auto"/>
        <w:right w:val="none" w:sz="0" w:space="0" w:color="auto"/>
      </w:divBdr>
    </w:div>
    <w:div w:id="1424883786">
      <w:bodyDiv w:val="1"/>
      <w:marLeft w:val="0"/>
      <w:marRight w:val="0"/>
      <w:marTop w:val="0"/>
      <w:marBottom w:val="0"/>
      <w:divBdr>
        <w:top w:val="none" w:sz="0" w:space="0" w:color="auto"/>
        <w:left w:val="none" w:sz="0" w:space="0" w:color="auto"/>
        <w:bottom w:val="none" w:sz="0" w:space="0" w:color="auto"/>
        <w:right w:val="none" w:sz="0" w:space="0" w:color="auto"/>
      </w:divBdr>
    </w:div>
    <w:div w:id="1559827029">
      <w:bodyDiv w:val="1"/>
      <w:marLeft w:val="0"/>
      <w:marRight w:val="0"/>
      <w:marTop w:val="0"/>
      <w:marBottom w:val="0"/>
      <w:divBdr>
        <w:top w:val="none" w:sz="0" w:space="0" w:color="auto"/>
        <w:left w:val="none" w:sz="0" w:space="0" w:color="auto"/>
        <w:bottom w:val="none" w:sz="0" w:space="0" w:color="auto"/>
        <w:right w:val="none" w:sz="0" w:space="0" w:color="auto"/>
      </w:divBdr>
    </w:div>
    <w:div w:id="1590121254">
      <w:bodyDiv w:val="1"/>
      <w:marLeft w:val="0"/>
      <w:marRight w:val="0"/>
      <w:marTop w:val="0"/>
      <w:marBottom w:val="0"/>
      <w:divBdr>
        <w:top w:val="none" w:sz="0" w:space="0" w:color="auto"/>
        <w:left w:val="none" w:sz="0" w:space="0" w:color="auto"/>
        <w:bottom w:val="none" w:sz="0" w:space="0" w:color="auto"/>
        <w:right w:val="none" w:sz="0" w:space="0" w:color="auto"/>
      </w:divBdr>
    </w:div>
    <w:div w:id="17806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heinnovate.eu/en" TargetMode="External"/><Relationship Id="rId3" Type="http://schemas.openxmlformats.org/officeDocument/2006/relationships/hyperlink" Target="http://ec.europa.eu/information_society/newsroom/image/document/2016-48/proposal_40046.pdf" TargetMode="External"/><Relationship Id="rId7" Type="http://schemas.openxmlformats.org/officeDocument/2006/relationships/hyperlink" Target="https://ec.europa.eu/info/support-policy-making-eu-and-horizon-2020-associated-countries/srip-report_fr" TargetMode="External"/><Relationship Id="rId2" Type="http://schemas.openxmlformats.org/officeDocument/2006/relationships/hyperlink" Target="http://europa.eu/rapid/press-release_IP-18-2763_fr.htm" TargetMode="External"/><Relationship Id="rId1" Type="http://schemas.openxmlformats.org/officeDocument/2006/relationships/hyperlink" Target="http://www.consilium.europa.eu/en/policies/investment-plan/" TargetMode="External"/><Relationship Id="rId6" Type="http://schemas.openxmlformats.org/officeDocument/2006/relationships/hyperlink" Target="https://ec.europa.eu/info/sites/info/files/eic_hlg_bz_web.pdf" TargetMode="External"/><Relationship Id="rId11" Type="http://schemas.openxmlformats.org/officeDocument/2006/relationships/hyperlink" Target="http://ec.europa.eu/social/main.jsp?catId=1415&amp;langId=en" TargetMode="External"/><Relationship Id="rId5" Type="http://schemas.openxmlformats.org/officeDocument/2006/relationships/hyperlink" Target="http://www.europarl.europa.eu/thinktank/fr/document.html?reference=EPRS_IDA(2017)603967" TargetMode="External"/><Relationship Id="rId10" Type="http://schemas.openxmlformats.org/officeDocument/2006/relationships/hyperlink" Target="https://ec.europa.eu/research/openscience/index.cfm?pg=home&amp;section=monitor" TargetMode="External"/><Relationship Id="rId4" Type="http://schemas.openxmlformats.org/officeDocument/2006/relationships/hyperlink" Target="http://ec.europa.eu/research/industrial_technologies/pdf/re_finding_industry_022018.pdf" TargetMode="External"/><Relationship Id="rId9" Type="http://schemas.openxmlformats.org/officeDocument/2006/relationships/hyperlink" Target="https://ec.europa.eu/commission/publications/eu-leaders-meeting-education-culture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upondo\AppData\Local\Temp\1\SG-2018-80273-00-00-FR-SRC-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upondo\AppData\Local\Temp\1\SG-2018-80273-00-00-FR-SRC-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upondo\AppData\Local\Local%20Documents%20-%20no%20backup\DGT\Dossiers\SG\SG-2018-80273\Copy%20of%20SG-2018-80273-00-00-FR-SRC-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upondo\AppData\Local\Temp\1\SG-2018-80273-00-00-FR-SRC-0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CCFF"/>
            </a:solidFill>
          </c:spPr>
          <c:invertIfNegative val="0"/>
          <c:dPt>
            <c:idx val="0"/>
            <c:invertIfNegative val="0"/>
            <c:bubble3D val="0"/>
            <c:spPr>
              <a:solidFill>
                <a:srgbClr val="3333FF"/>
              </a:solidFill>
            </c:spPr>
          </c:dPt>
          <c:dPt>
            <c:idx val="1"/>
            <c:invertIfNegative val="0"/>
            <c:bubble3D val="0"/>
          </c:dPt>
          <c:dPt>
            <c:idx val="2"/>
            <c:invertIfNegative val="0"/>
            <c:bubble3D val="0"/>
          </c:dPt>
          <c:dPt>
            <c:idx val="3"/>
            <c:invertIfNegative val="0"/>
            <c:bubble3D val="0"/>
          </c:dPt>
          <c:dLbls>
            <c:txPr>
              <a:bodyPr/>
              <a:lstStyle/>
              <a:p>
                <a:pPr>
                  <a:defRPr b="1">
                    <a:latin typeface="Arial Narrow" panose="020B0606020202030204" pitchFamily="34" charset="0"/>
                  </a:defRPr>
                </a:pPr>
                <a:endParaRPr lang="en-US"/>
              </a:p>
            </c:txPr>
            <c:showLegendKey val="0"/>
            <c:showVal val="1"/>
            <c:showCatName val="0"/>
            <c:showSerName val="0"/>
            <c:showPercent val="0"/>
            <c:showBubbleSize val="0"/>
            <c:showLeaderLines val="0"/>
          </c:dLbls>
          <c:cat>
            <c:strRef>
              <c:f>'R&amp;D intensity'!$S$8:$S$37</c:f>
              <c:strCache>
                <c:ptCount val="30"/>
                <c:pt idx="0">
                  <c:v>UE</c:v>
                </c:pt>
                <c:pt idx="2">
                  <c:v>Suède</c:v>
                </c:pt>
                <c:pt idx="3">
                  <c:v>Autriche</c:v>
                </c:pt>
                <c:pt idx="4">
                  <c:v>Allemagne</c:v>
                </c:pt>
                <c:pt idx="5">
                  <c:v>Danemark</c:v>
                </c:pt>
                <c:pt idx="6">
                  <c:v>Finlande</c:v>
                </c:pt>
                <c:pt idx="7">
                  <c:v>Belgique</c:v>
                </c:pt>
                <c:pt idx="8">
                  <c:v>France</c:v>
                </c:pt>
                <c:pt idx="9">
                  <c:v>Pays-Bas</c:v>
                </c:pt>
                <c:pt idx="10">
                  <c:v>Slovénie</c:v>
                </c:pt>
                <c:pt idx="11">
                  <c:v>Royaume-Uni</c:v>
                </c:pt>
                <c:pt idx="12">
                  <c:v>République tchèque</c:v>
                </c:pt>
                <c:pt idx="13">
                  <c:v>Italie</c:v>
                </c:pt>
                <c:pt idx="14">
                  <c:v>Estonie</c:v>
                </c:pt>
                <c:pt idx="15">
                  <c:v>Portugal</c:v>
                </c:pt>
                <c:pt idx="16">
                  <c:v>Luxembourg</c:v>
                </c:pt>
                <c:pt idx="17">
                  <c:v>Hongrie</c:v>
                </c:pt>
                <c:pt idx="18">
                  <c:v>Espagne</c:v>
                </c:pt>
                <c:pt idx="19">
                  <c:v>Irlande</c:v>
                </c:pt>
                <c:pt idx="20">
                  <c:v>Grèce</c:v>
                </c:pt>
                <c:pt idx="21">
                  <c:v>Pologne</c:v>
                </c:pt>
                <c:pt idx="22">
                  <c:v>Lituanie</c:v>
                </c:pt>
                <c:pt idx="23">
                  <c:v>Croatie</c:v>
                </c:pt>
                <c:pt idx="24">
                  <c:v>Slovaquie</c:v>
                </c:pt>
                <c:pt idx="25">
                  <c:v>Bulgarie</c:v>
                </c:pt>
                <c:pt idx="26">
                  <c:v>Malte</c:v>
                </c:pt>
                <c:pt idx="27">
                  <c:v>Chypre</c:v>
                </c:pt>
                <c:pt idx="28">
                  <c:v>Roumanie</c:v>
                </c:pt>
                <c:pt idx="29">
                  <c:v>Lettonie</c:v>
                </c:pt>
              </c:strCache>
            </c:strRef>
          </c:cat>
          <c:val>
            <c:numRef>
              <c:f>'R&amp;D intensity'!$T$8:$T$37</c:f>
              <c:numCache>
                <c:formatCode>General</c:formatCode>
                <c:ptCount val="30"/>
                <c:pt idx="0" formatCode="0.00">
                  <c:v>2.0320096747404031</c:v>
                </c:pt>
                <c:pt idx="2" formatCode="0.00">
                  <c:v>3.2549026604830491</c:v>
                </c:pt>
                <c:pt idx="3" formatCode="0.00">
                  <c:v>3.0869475503464647</c:v>
                </c:pt>
                <c:pt idx="5" formatCode="0.00">
                  <c:v>2.8712533213016296</c:v>
                </c:pt>
                <c:pt idx="6" formatCode="0.00">
                  <c:v>2.746451131513211</c:v>
                </c:pt>
                <c:pt idx="7" formatCode="0.00">
                  <c:v>2.4861651763722543</c:v>
                </c:pt>
                <c:pt idx="8" formatCode="0.00">
                  <c:v>2.2477588288526364</c:v>
                </c:pt>
                <c:pt idx="9" formatCode="0.00">
                  <c:v>2.0324746207522759</c:v>
                </c:pt>
                <c:pt idx="10" formatCode="0.00">
                  <c:v>2.0020238457522743</c:v>
                </c:pt>
                <c:pt idx="11" formatCode="0.00">
                  <c:v>1.6884330125916134</c:v>
                </c:pt>
                <c:pt idx="12" formatCode="0.00">
                  <c:v>1.6782973681542646</c:v>
                </c:pt>
                <c:pt idx="13" formatCode="0.00">
                  <c:v>1.2859846947628439</c:v>
                </c:pt>
                <c:pt idx="14" formatCode="0.00">
                  <c:v>1.2812880658631265</c:v>
                </c:pt>
                <c:pt idx="15" formatCode="0.00">
                  <c:v>1.2677969213654858</c:v>
                </c:pt>
                <c:pt idx="16" formatCode="0.00">
                  <c:v>1.2436609514609998</c:v>
                </c:pt>
                <c:pt idx="17" formatCode="0.00">
                  <c:v>1.2060646720149686</c:v>
                </c:pt>
                <c:pt idx="18" formatCode="0.00">
                  <c:v>1.1854929987966263</c:v>
                </c:pt>
                <c:pt idx="19" formatCode="0.00">
                  <c:v>1.1768095683410684</c:v>
                </c:pt>
                <c:pt idx="20" formatCode="0.00">
                  <c:v>1.0069960097428636</c:v>
                </c:pt>
                <c:pt idx="21" formatCode="0.00">
                  <c:v>0.96538501085261708</c:v>
                </c:pt>
                <c:pt idx="22" formatCode="0.00">
                  <c:v>0.84723662534944655</c:v>
                </c:pt>
                <c:pt idx="23" formatCode="0.00">
                  <c:v>0.84580473932831857</c:v>
                </c:pt>
                <c:pt idx="24" formatCode="0.00">
                  <c:v>0.78965300539714611</c:v>
                </c:pt>
                <c:pt idx="25" formatCode="0.00">
                  <c:v>0.7800642445448237</c:v>
                </c:pt>
                <c:pt idx="26" formatCode="0.00">
                  <c:v>0.61321096850885504</c:v>
                </c:pt>
                <c:pt idx="27" formatCode="0.00">
                  <c:v>0.50434542695544216</c:v>
                </c:pt>
                <c:pt idx="28" formatCode="0.00">
                  <c:v>0.4820856268572758</c:v>
                </c:pt>
                <c:pt idx="29" formatCode="0.00">
                  <c:v>0.44289857863255061</c:v>
                </c:pt>
              </c:numCache>
            </c:numRef>
          </c:val>
        </c:ser>
        <c:dLbls>
          <c:showLegendKey val="0"/>
          <c:showVal val="0"/>
          <c:showCatName val="0"/>
          <c:showSerName val="0"/>
          <c:showPercent val="0"/>
          <c:showBubbleSize val="0"/>
        </c:dLbls>
        <c:gapWidth val="50"/>
        <c:axId val="149664128"/>
        <c:axId val="149665664"/>
      </c:barChart>
      <c:catAx>
        <c:axId val="149664128"/>
        <c:scaling>
          <c:orientation val="minMax"/>
        </c:scaling>
        <c:delete val="0"/>
        <c:axPos val="b"/>
        <c:majorTickMark val="none"/>
        <c:minorTickMark val="none"/>
        <c:tickLblPos val="nextTo"/>
        <c:spPr>
          <a:ln w="25400">
            <a:solidFill>
              <a:schemeClr val="tx1"/>
            </a:solidFill>
          </a:ln>
        </c:spPr>
        <c:txPr>
          <a:bodyPr/>
          <a:lstStyle/>
          <a:p>
            <a:pPr>
              <a:defRPr sz="900" b="1">
                <a:latin typeface="Arial" panose="020B0604020202020204" pitchFamily="34" charset="0"/>
                <a:cs typeface="Arial" panose="020B0604020202020204" pitchFamily="34" charset="0"/>
              </a:defRPr>
            </a:pPr>
            <a:endParaRPr lang="en-US"/>
          </a:p>
        </c:txPr>
        <c:crossAx val="149665664"/>
        <c:crosses val="autoZero"/>
        <c:auto val="1"/>
        <c:lblAlgn val="ctr"/>
        <c:lblOffset val="100"/>
        <c:noMultiLvlLbl val="0"/>
      </c:catAx>
      <c:valAx>
        <c:axId val="149665664"/>
        <c:scaling>
          <c:orientation val="minMax"/>
          <c:max val="3.5"/>
          <c:min val="0"/>
        </c:scaling>
        <c:delete val="0"/>
        <c:axPos val="l"/>
        <c:majorGridlines>
          <c:spPr>
            <a:ln>
              <a:solidFill>
                <a:schemeClr val="bg1"/>
              </a:solidFill>
            </a:ln>
          </c:spPr>
        </c:majorGridlines>
        <c:title>
          <c:tx>
            <c:rich>
              <a:bodyPr rot="-5400000" vert="horz"/>
              <a:lstStyle/>
              <a:p>
                <a:pPr>
                  <a:defRPr sz="900">
                    <a:latin typeface="Arial" panose="020B0604020202020204" pitchFamily="34" charset="0"/>
                    <a:cs typeface="Arial" panose="020B0604020202020204" pitchFamily="34" charset="0"/>
                  </a:defRPr>
                </a:pPr>
                <a:r>
                  <a:rPr lang="en-GB" sz="900">
                    <a:latin typeface="Arial" panose="020B0604020202020204" pitchFamily="34" charset="0"/>
                    <a:cs typeface="Arial" panose="020B0604020202020204" pitchFamily="34" charset="0"/>
                  </a:rPr>
                  <a:t>%</a:t>
                </a:r>
              </a:p>
            </c:rich>
          </c:tx>
          <c:overlay val="0"/>
        </c:title>
        <c:numFmt formatCode="0.0" sourceLinked="0"/>
        <c:majorTickMark val="out"/>
        <c:minorTickMark val="none"/>
        <c:tickLblPos val="nextTo"/>
        <c:spPr>
          <a:ln w="25400">
            <a:solidFill>
              <a:schemeClr val="tx1"/>
            </a:solidFill>
          </a:ln>
        </c:spPr>
        <c:txPr>
          <a:bodyPr/>
          <a:lstStyle/>
          <a:p>
            <a:pPr>
              <a:defRPr sz="900" b="1">
                <a:latin typeface="Arial" panose="020B0604020202020204" pitchFamily="34" charset="0"/>
                <a:cs typeface="Arial" panose="020B0604020202020204" pitchFamily="34" charset="0"/>
              </a:defRPr>
            </a:pPr>
            <a:endParaRPr lang="en-US"/>
          </a:p>
        </c:txPr>
        <c:crossAx val="149664128"/>
        <c:crosses val="autoZero"/>
        <c:crossBetween val="between"/>
        <c:majorUnit val="0.5"/>
      </c:valAx>
      <c:spPr>
        <a:solidFill>
          <a:srgbClr val="EAEAEA"/>
        </a:solidFill>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'BERD intensity'!$R$8</c:f>
              <c:strCache>
                <c:ptCount val="1"/>
                <c:pt idx="0">
                  <c:v> UE</c:v>
                </c:pt>
              </c:strCache>
            </c:strRef>
          </c:tx>
          <c:spPr>
            <a:ln w="38100">
              <a:solidFill>
                <a:srgbClr val="0000FF"/>
              </a:solidFill>
              <a:prstDash val="solid"/>
            </a:ln>
          </c:spPr>
          <c:marker>
            <c:symbol val="none"/>
          </c:marker>
          <c:dLbls>
            <c:dLbl>
              <c:idx val="13"/>
              <c:layout>
                <c:manualLayout>
                  <c:x val="0.12245187129386605"/>
                  <c:y val="-4.411538721594227E-2"/>
                </c:manualLayout>
              </c:layout>
              <c:tx>
                <c:rich>
                  <a:bodyPr/>
                  <a:lstStyle/>
                  <a:p>
                    <a:r>
                      <a:rPr lang="en-US"/>
                      <a:t>UE</a:t>
                    </a:r>
                  </a:p>
                </c:rich>
              </c:tx>
              <c:showLegendKey val="0"/>
              <c:showVal val="1"/>
              <c:showCatName val="0"/>
              <c:showSerName val="0"/>
              <c:showPercent val="0"/>
              <c:showBubbleSize val="0"/>
            </c:dLbl>
            <c:dLbl>
              <c:idx val="20"/>
              <c:layout>
                <c:manualLayout>
                  <c:x val="-3.0690671338716807E-2"/>
                  <c:y val="5.2245423140935103E-2"/>
                </c:manualLayout>
              </c:layout>
              <c:tx>
                <c:rich>
                  <a:bodyPr/>
                  <a:lstStyle/>
                  <a:p>
                    <a:pPr>
                      <a:defRPr sz="900" b="1" i="0" u="none" strike="noStrike" baseline="0">
                        <a:solidFill>
                          <a:srgbClr val="000000"/>
                        </a:solidFill>
                        <a:latin typeface="Arial"/>
                        <a:ea typeface="Arial"/>
                        <a:cs typeface="Arial"/>
                      </a:defRPr>
                    </a:pPr>
                    <a:r>
                      <a:rPr lang="en-GB" sz="1000" b="1" i="0" u="none" strike="noStrike" baseline="0">
                        <a:solidFill>
                          <a:srgbClr val="000000"/>
                        </a:solidFill>
                        <a:latin typeface="Arial"/>
                        <a:cs typeface="Arial"/>
                      </a:rPr>
                      <a:t> EU </a:t>
                    </a:r>
                    <a:r>
                      <a:rPr lang="en-GB" sz="1000" b="1" i="0" u="none" strike="noStrike" baseline="30000">
                        <a:solidFill>
                          <a:srgbClr val="000000"/>
                        </a:solidFill>
                        <a:latin typeface="Arial"/>
                        <a:cs typeface="Arial"/>
                      </a:rPr>
                      <a:t>(4)</a:t>
                    </a:r>
                    <a:endParaRPr lang="en-GB"/>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A13-4B66-83E8-BFA47803262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'BERD intensity'!$S$7:$AI$7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'BERD intensity'!$S$8:$AI$8</c:f>
              <c:numCache>
                <c:formatCode>0.00</c:formatCode>
                <c:ptCount val="17"/>
                <c:pt idx="0">
                  <c:v>1.1450049598509544</c:v>
                </c:pt>
                <c:pt idx="1">
                  <c:v>1.1519789889363385</c:v>
                </c:pt>
                <c:pt idx="2">
                  <c:v>1.1439555485878432</c:v>
                </c:pt>
                <c:pt idx="3">
                  <c:v>1.1335142758732237</c:v>
                </c:pt>
                <c:pt idx="4">
                  <c:v>1.1086715152170987</c:v>
                </c:pt>
                <c:pt idx="5">
                  <c:v>1.0955103458674389</c:v>
                </c:pt>
                <c:pt idx="6">
                  <c:v>1.1179408629333702</c:v>
                </c:pt>
                <c:pt idx="7">
                  <c:v>1.1235800048507625</c:v>
                </c:pt>
                <c:pt idx="8">
                  <c:v>1.1604757598370641</c:v>
                </c:pt>
                <c:pt idx="9">
                  <c:v>1.1902670670745317</c:v>
                </c:pt>
                <c:pt idx="10">
                  <c:v>1.1909592279826136</c:v>
                </c:pt>
                <c:pt idx="11">
                  <c:v>1.2437623168495535</c:v>
                </c:pt>
                <c:pt idx="12">
                  <c:v>1.2731226643910265</c:v>
                </c:pt>
                <c:pt idx="13">
                  <c:v>1.2797155113129877</c:v>
                </c:pt>
                <c:pt idx="14">
                  <c:v>1.2981164661478302</c:v>
                </c:pt>
                <c:pt idx="15">
                  <c:v>1.311803873855564</c:v>
                </c:pt>
                <c:pt idx="16">
                  <c:v>1.3193336931526598</c:v>
                </c:pt>
              </c:numCache>
            </c:numRef>
          </c:val>
          <c:smooth val="0"/>
          <c:extLst xmlns:c16r2="http://schemas.microsoft.com/office/drawing/2015/06/chart">
            <c:ext xmlns:c16="http://schemas.microsoft.com/office/drawing/2014/chart" uri="{C3380CC4-5D6E-409C-BE32-E72D297353CC}">
              <c16:uniqueId val="{00000002-EA13-4B66-83E8-BFA47803262F}"/>
            </c:ext>
          </c:extLst>
        </c:ser>
        <c:ser>
          <c:idx val="1"/>
          <c:order val="1"/>
          <c:tx>
            <c:strRef>
              <c:f>'BERD intensity'!$R$9</c:f>
              <c:strCache>
                <c:ptCount val="1"/>
                <c:pt idx="0">
                  <c:v> États-Unis  (2)</c:v>
                </c:pt>
              </c:strCache>
            </c:strRef>
          </c:tx>
          <c:spPr>
            <a:ln w="38100">
              <a:solidFill>
                <a:srgbClr val="FF0000"/>
              </a:solidFill>
              <a:prstDash val="solid"/>
            </a:ln>
          </c:spPr>
          <c:marker>
            <c:symbol val="none"/>
          </c:marker>
          <c:dLbls>
            <c:dLbl>
              <c:idx val="13"/>
              <c:layout>
                <c:manualLayout>
                  <c:x val="2.1758413531641877E-2"/>
                  <c:y val="-4.7838285948522109E-2"/>
                </c:manualLayout>
              </c:layout>
              <c:tx>
                <c:rich>
                  <a:bodyPr/>
                  <a:lstStyle/>
                  <a:p>
                    <a:r>
                      <a:rPr lang="en-US"/>
                      <a:t>États-Unis</a:t>
                    </a:r>
                    <a:r>
                      <a:rPr lang="en-US" baseline="30000"/>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A13-4B66-83E8-BFA47803262F}"/>
                </c:ext>
              </c:extLst>
            </c:dLbl>
            <c:dLbl>
              <c:idx val="20"/>
              <c:layout>
                <c:manualLayout>
                  <c:x val="-3.0690537084399002E-2"/>
                  <c:y val="-2.8520499108734373E-2"/>
                </c:manualLayout>
              </c:layout>
              <c:tx>
                <c:rich>
                  <a:bodyPr/>
                  <a:lstStyle/>
                  <a:p>
                    <a:pPr>
                      <a:defRPr sz="900" b="1" i="0" u="none" strike="noStrike" baseline="0">
                        <a:solidFill>
                          <a:srgbClr val="000000"/>
                        </a:solidFill>
                        <a:latin typeface="Arial"/>
                        <a:ea typeface="Arial"/>
                        <a:cs typeface="Arial"/>
                      </a:defRPr>
                    </a:pPr>
                    <a:r>
                      <a:rPr lang="en-GB" sz="1000" b="1" i="0" u="none" strike="noStrike" baseline="0">
                        <a:solidFill>
                          <a:srgbClr val="000000"/>
                        </a:solidFill>
                        <a:latin typeface="Arial"/>
                        <a:cs typeface="Arial"/>
                      </a:rPr>
                      <a:t> United States </a:t>
                    </a:r>
                    <a:r>
                      <a:rPr lang="en-GB" sz="1000" b="1" i="0" u="none" strike="noStrike" baseline="30000">
                        <a:solidFill>
                          <a:srgbClr val="000000"/>
                        </a:solidFill>
                        <a:latin typeface="Arial"/>
                        <a:cs typeface="Arial"/>
                      </a:rPr>
                      <a:t>(3)</a:t>
                    </a:r>
                    <a:endParaRPr lang="en-GB"/>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A13-4B66-83E8-BFA47803262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'BERD intensity'!$S$7:$AI$7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'BERD intensity'!$S$9:$AI$9</c:f>
              <c:numCache>
                <c:formatCode>0.00</c:formatCode>
                <c:ptCount val="17"/>
                <c:pt idx="0">
                  <c:v>1.9442420687892272</c:v>
                </c:pt>
                <c:pt idx="1">
                  <c:v>1.9019049835508479</c:v>
                </c:pt>
                <c:pt idx="2">
                  <c:v>1.7660464837485061</c:v>
                </c:pt>
                <c:pt idx="3">
                  <c:v>1.743808136277037</c:v>
                </c:pt>
                <c:pt idx="4">
                  <c:v>1.6969631104964527</c:v>
                </c:pt>
                <c:pt idx="5">
                  <c:v>1.7272318055227367</c:v>
                </c:pt>
                <c:pt idx="6">
                  <c:v>1.7874639286922642</c:v>
                </c:pt>
                <c:pt idx="7">
                  <c:v>1.8598825015273559</c:v>
                </c:pt>
                <c:pt idx="8">
                  <c:v>1.9749253019074799</c:v>
                </c:pt>
                <c:pt idx="9">
                  <c:v>1.9585138478475823</c:v>
                </c:pt>
                <c:pt idx="10">
                  <c:v>1.8642746919149029</c:v>
                </c:pt>
                <c:pt idx="11">
                  <c:v>1.8951759403930655</c:v>
                </c:pt>
                <c:pt idx="12">
                  <c:v>1.8709144717420363</c:v>
                </c:pt>
                <c:pt idx="13">
                  <c:v>1.9322869215542244</c:v>
                </c:pt>
                <c:pt idx="14">
                  <c:v>1.9551046847562394</c:v>
                </c:pt>
                <c:pt idx="15">
                  <c:v>1.9636146787593469</c:v>
                </c:pt>
                <c:pt idx="16">
                  <c:v>1.9530912951908712</c:v>
                </c:pt>
              </c:numCache>
            </c:numRef>
          </c:val>
          <c:smooth val="0"/>
          <c:extLst xmlns:c16r2="http://schemas.microsoft.com/office/drawing/2015/06/chart">
            <c:ext xmlns:c16="http://schemas.microsoft.com/office/drawing/2014/chart" uri="{C3380CC4-5D6E-409C-BE32-E72D297353CC}">
              <c16:uniqueId val="{00000005-EA13-4B66-83E8-BFA47803262F}"/>
            </c:ext>
          </c:extLst>
        </c:ser>
        <c:ser>
          <c:idx val="2"/>
          <c:order val="2"/>
          <c:tx>
            <c:strRef>
              <c:f>'BERD intensity'!$R$10</c:f>
              <c:strCache>
                <c:ptCount val="1"/>
                <c:pt idx="0">
                  <c:v> Japon</c:v>
                </c:pt>
              </c:strCache>
            </c:strRef>
          </c:tx>
          <c:spPr>
            <a:ln w="38100">
              <a:solidFill>
                <a:srgbClr val="FFFF00"/>
              </a:solidFill>
              <a:prstDash val="solid"/>
            </a:ln>
          </c:spPr>
          <c:marker>
            <c:symbol val="none"/>
          </c:marker>
          <c:dLbls>
            <c:dLbl>
              <c:idx val="13"/>
              <c:layout>
                <c:manualLayout>
                  <c:x val="9.3393059200933215E-2"/>
                  <c:y val="-3.9938329387148287E-2"/>
                </c:manualLayout>
              </c:layout>
              <c:tx>
                <c:rich>
                  <a:bodyPr/>
                  <a:lstStyle/>
                  <a:p>
                    <a:r>
                      <a:rPr lang="en-US"/>
                      <a:t>Japon</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A13-4B66-83E8-BFA47803262F}"/>
                </c:ext>
              </c:extLst>
            </c:dLbl>
            <c:dLbl>
              <c:idx val="20"/>
              <c:layout>
                <c:manualLayout>
                  <c:x val="-3.0690675459072548E-2"/>
                  <c:y val="-3.0897207367795606E-2"/>
                </c:manualLayout>
              </c:layout>
              <c:tx>
                <c:rich>
                  <a:bodyPr/>
                  <a:lstStyle/>
                  <a:p>
                    <a:pPr>
                      <a:defRPr sz="900" b="1" i="0" u="none" strike="noStrike" baseline="0">
                        <a:solidFill>
                          <a:srgbClr val="000000"/>
                        </a:solidFill>
                        <a:latin typeface="Arial"/>
                        <a:ea typeface="Arial"/>
                        <a:cs typeface="Arial"/>
                      </a:defRPr>
                    </a:pPr>
                    <a:r>
                      <a:rPr lang="en-GB" sz="1000" b="1" i="0" u="none" strike="noStrike" baseline="0">
                        <a:solidFill>
                          <a:srgbClr val="000000"/>
                        </a:solidFill>
                        <a:latin typeface="Arial"/>
                        <a:cs typeface="Arial"/>
                      </a:rPr>
                      <a:t> Japan </a:t>
                    </a:r>
                    <a:r>
                      <a:rPr lang="en-GB" sz="1000" b="1" i="0" u="none" strike="noStrike" baseline="30000">
                        <a:solidFill>
                          <a:srgbClr val="000000"/>
                        </a:solidFill>
                        <a:latin typeface="Arial"/>
                        <a:cs typeface="Arial"/>
                      </a:rPr>
                      <a:t>(2)</a:t>
                    </a:r>
                    <a:endParaRPr lang="en-GB"/>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A13-4B66-83E8-BFA47803262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'BERD intensity'!$S$7:$AI$7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'BERD intensity'!$S$10:$AI$10</c:f>
              <c:numCache>
                <c:formatCode>0.00</c:formatCode>
                <c:ptCount val="17"/>
                <c:pt idx="0">
                  <c:v>2.0619121483332257</c:v>
                </c:pt>
                <c:pt idx="1">
                  <c:v>2.1894649190734317</c:v>
                </c:pt>
                <c:pt idx="2">
                  <c:v>2.2436336475665435</c:v>
                </c:pt>
                <c:pt idx="3">
                  <c:v>2.2815139754369755</c:v>
                </c:pt>
                <c:pt idx="4">
                  <c:v>2.2779393794674272</c:v>
                </c:pt>
                <c:pt idx="5">
                  <c:v>2.4317959112652368</c:v>
                </c:pt>
                <c:pt idx="6">
                  <c:v>2.5294941141213072</c:v>
                </c:pt>
                <c:pt idx="7">
                  <c:v>2.6012300066091365</c:v>
                </c:pt>
                <c:pt idx="8">
                  <c:v>2.6184111598709237</c:v>
                </c:pt>
                <c:pt idx="9">
                  <c:v>2.4481755910611009</c:v>
                </c:pt>
                <c:pt idx="10">
                  <c:v>2.4003076622366688</c:v>
                </c:pt>
                <c:pt idx="11">
                  <c:v>2.4972661238053471</c:v>
                </c:pt>
                <c:pt idx="12">
                  <c:v>2.4588944256190235</c:v>
                </c:pt>
                <c:pt idx="13">
                  <c:v>2.5223709178266991</c:v>
                </c:pt>
                <c:pt idx="14">
                  <c:v>2.6438985280495686</c:v>
                </c:pt>
                <c:pt idx="15">
                  <c:v>2.5725771251789049</c:v>
                </c:pt>
                <c:pt idx="16">
                  <c:v>2.4734691959710702</c:v>
                </c:pt>
              </c:numCache>
            </c:numRef>
          </c:val>
          <c:smooth val="0"/>
          <c:extLst xmlns:c16r2="http://schemas.microsoft.com/office/drawing/2015/06/chart">
            <c:ext xmlns:c16="http://schemas.microsoft.com/office/drawing/2014/chart" uri="{C3380CC4-5D6E-409C-BE32-E72D297353CC}">
              <c16:uniqueId val="{00000008-EA13-4B66-83E8-BFA47803262F}"/>
            </c:ext>
          </c:extLst>
        </c:ser>
        <c:ser>
          <c:idx val="3"/>
          <c:order val="3"/>
          <c:tx>
            <c:strRef>
              <c:f>'BERD intensity'!$R$11</c:f>
              <c:strCache>
                <c:ptCount val="1"/>
                <c:pt idx="0">
                  <c:v> Chine (3)</c:v>
                </c:pt>
              </c:strCache>
            </c:strRef>
          </c:tx>
          <c:spPr>
            <a:ln w="38100">
              <a:solidFill>
                <a:srgbClr val="CC99FF"/>
              </a:solidFill>
              <a:prstDash val="solid"/>
            </a:ln>
          </c:spPr>
          <c:marker>
            <c:symbol val="none"/>
          </c:marker>
          <c:dLbls>
            <c:dLbl>
              <c:idx val="13"/>
              <c:layout>
                <c:manualLayout>
                  <c:x val="8.52970934188782E-2"/>
                  <c:y val="-5.9618596626470642E-2"/>
                </c:manualLayout>
              </c:layout>
              <c:tx>
                <c:rich>
                  <a:bodyPr/>
                  <a:lstStyle/>
                  <a:p>
                    <a:r>
                      <a:rPr lang="en-US"/>
                      <a:t>Chine</a:t>
                    </a:r>
                    <a:r>
                      <a:rPr lang="en-US" baseline="30000"/>
                      <a:t>(3)</a:t>
                    </a:r>
                  </a:p>
                </c:rich>
              </c:tx>
              <c:showLegendKey val="0"/>
              <c:showVal val="1"/>
              <c:showCatName val="0"/>
              <c:showSerName val="0"/>
              <c:showPercent val="0"/>
              <c:showBubbleSize val="0"/>
            </c:dLbl>
            <c:dLbl>
              <c:idx val="20"/>
              <c:layout>
                <c:manualLayout>
                  <c:x val="-2.8985511137806709E-2"/>
                  <c:y val="5.2287581699346476E-2"/>
                </c:manualLayout>
              </c:layout>
              <c:tx>
                <c:rich>
                  <a:bodyPr/>
                  <a:lstStyle/>
                  <a:p>
                    <a:pPr>
                      <a:defRPr sz="900" b="1" i="0" u="none" strike="noStrike" baseline="0">
                        <a:solidFill>
                          <a:srgbClr val="000000"/>
                        </a:solidFill>
                        <a:latin typeface="Arial"/>
                        <a:ea typeface="Arial"/>
                        <a:cs typeface="Arial"/>
                      </a:defRPr>
                    </a:pPr>
                    <a:r>
                      <a:rPr lang="en-GB" sz="1000" b="1" i="0" u="none" strike="noStrike" baseline="0">
                        <a:solidFill>
                          <a:srgbClr val="000000"/>
                        </a:solidFill>
                        <a:latin typeface="Arial"/>
                        <a:cs typeface="Arial"/>
                      </a:rPr>
                      <a:t> China </a:t>
                    </a:r>
                    <a:r>
                      <a:rPr lang="en-GB" sz="1000" b="1" i="0" u="none" strike="noStrike" baseline="30000">
                        <a:solidFill>
                          <a:srgbClr val="000000"/>
                        </a:solidFill>
                        <a:latin typeface="Arial"/>
                        <a:cs typeface="Arial"/>
                      </a:rPr>
                      <a:t>(5)</a:t>
                    </a:r>
                    <a:endParaRPr lang="en-GB"/>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A13-4B66-83E8-BFA47803262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'BERD intensity'!$S$7:$AI$7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'BERD intensity'!$S$11:$AI$11</c:f>
              <c:numCache>
                <c:formatCode>0.00</c:formatCode>
                <c:ptCount val="17"/>
                <c:pt idx="0">
                  <c:v>0.53554572221379027</c:v>
                </c:pt>
                <c:pt idx="1">
                  <c:v>0.56829538984650618</c:v>
                </c:pt>
                <c:pt idx="2">
                  <c:v>0.64723685401810194</c:v>
                </c:pt>
                <c:pt idx="3">
                  <c:v>0.69875259447120674</c:v>
                </c:pt>
                <c:pt idx="4">
                  <c:v>0.81189366100478411</c:v>
                </c:pt>
                <c:pt idx="5">
                  <c:v>0.89356322293158885</c:v>
                </c:pt>
                <c:pt idx="6">
                  <c:v>0.97272802713216155</c:v>
                </c:pt>
                <c:pt idx="7">
                  <c:v>0.99245771054656051</c:v>
                </c:pt>
                <c:pt idx="8">
                  <c:v>1.058379662586062</c:v>
                </c:pt>
                <c:pt idx="9">
                  <c:v>1.2170809917469956</c:v>
                </c:pt>
                <c:pt idx="10">
                  <c:v>1.2554683940750015</c:v>
                </c:pt>
                <c:pt idx="11">
                  <c:v>1.3446404936744709</c:v>
                </c:pt>
                <c:pt idx="12">
                  <c:v>1.451279363746997</c:v>
                </c:pt>
                <c:pt idx="13">
                  <c:v>1.5247258348885628</c:v>
                </c:pt>
                <c:pt idx="14">
                  <c:v>1.562273464280121</c:v>
                </c:pt>
                <c:pt idx="15">
                  <c:v>1.5873462418075999</c:v>
                </c:pt>
                <c:pt idx="16">
                  <c:v>1.640416331272881</c:v>
                </c:pt>
              </c:numCache>
            </c:numRef>
          </c:val>
          <c:smooth val="0"/>
          <c:extLst xmlns:c16r2="http://schemas.microsoft.com/office/drawing/2015/06/chart">
            <c:ext xmlns:c16="http://schemas.microsoft.com/office/drawing/2014/chart" uri="{C3380CC4-5D6E-409C-BE32-E72D297353CC}">
              <c16:uniqueId val="{0000000B-EA13-4B66-83E8-BFA47803262F}"/>
            </c:ext>
          </c:extLst>
        </c:ser>
        <c:ser>
          <c:idx val="4"/>
          <c:order val="4"/>
          <c:tx>
            <c:strRef>
              <c:f>'BERD intensity'!$R$12</c:f>
              <c:strCache>
                <c:ptCount val="1"/>
                <c:pt idx="0">
                  <c:v> Corée du Sud (1)</c:v>
                </c:pt>
              </c:strCache>
            </c:strRef>
          </c:tx>
          <c:spPr>
            <a:ln w="38100">
              <a:solidFill>
                <a:srgbClr val="FF9999"/>
              </a:solidFill>
              <a:prstDash val="solid"/>
            </a:ln>
          </c:spPr>
          <c:marker>
            <c:symbol val="none"/>
          </c:marker>
          <c:dLbls>
            <c:dLbl>
              <c:idx val="13"/>
              <c:layout>
                <c:manualLayout>
                  <c:x val="2.8137260620200253E-2"/>
                  <c:y val="-4.8162790839956192E-2"/>
                </c:manualLayout>
              </c:layout>
              <c:tx>
                <c:rich>
                  <a:bodyPr/>
                  <a:lstStyle/>
                  <a:p>
                    <a:r>
                      <a:rPr lang="en-US"/>
                      <a:t>Corée duSud</a:t>
                    </a:r>
                    <a:r>
                      <a:rPr lang="en-US" baseline="30000"/>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A13-4B66-83E8-BFA47803262F}"/>
                </c:ext>
              </c:extLst>
            </c:dLbl>
            <c:dLbl>
              <c:idx val="20"/>
              <c:layout>
                <c:manualLayout>
                  <c:x val="-2.7280477408354698E-2"/>
                  <c:y val="-2.3767082590611988E-2"/>
                </c:manualLayout>
              </c:layout>
              <c:tx>
                <c:rich>
                  <a:bodyPr/>
                  <a:lstStyle/>
                  <a:p>
                    <a:pPr>
                      <a:defRPr sz="900" b="1" i="0" u="none" strike="noStrike" baseline="0">
                        <a:solidFill>
                          <a:srgbClr val="000000"/>
                        </a:solidFill>
                        <a:latin typeface="Arial"/>
                        <a:ea typeface="Arial"/>
                        <a:cs typeface="Arial"/>
                      </a:defRPr>
                    </a:pPr>
                    <a:r>
                      <a:rPr lang="en-GB" sz="1000" b="1" i="0" u="none" strike="noStrike" baseline="0">
                        <a:solidFill>
                          <a:srgbClr val="000000"/>
                        </a:solidFill>
                        <a:latin typeface="Arial"/>
                        <a:cs typeface="Arial"/>
                      </a:rPr>
                      <a:t> South Korea </a:t>
                    </a:r>
                    <a:r>
                      <a:rPr lang="en-GB" sz="1000" b="1" i="0" u="none" strike="noStrike" baseline="30000">
                        <a:solidFill>
                          <a:srgbClr val="000000"/>
                        </a:solidFill>
                        <a:latin typeface="Arial"/>
                        <a:cs typeface="Arial"/>
                      </a:rPr>
                      <a:t>(1)</a:t>
                    </a:r>
                    <a:endParaRPr lang="en-GB"/>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A13-4B66-83E8-BFA47803262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'BERD intensity'!$S$7:$AI$7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'BERD intensity'!$S$12:$AI$12</c:f>
              <c:numCache>
                <c:formatCode>0.00</c:formatCode>
                <c:ptCount val="17"/>
                <c:pt idx="0">
                  <c:v>1.6144369684025712</c:v>
                </c:pt>
                <c:pt idx="1">
                  <c:v>1.7835229608484826</c:v>
                </c:pt>
                <c:pt idx="2">
                  <c:v>1.7029389101934549</c:v>
                </c:pt>
                <c:pt idx="3">
                  <c:v>1.789294516948934</c:v>
                </c:pt>
                <c:pt idx="4">
                  <c:v>1.942827365313023</c:v>
                </c:pt>
                <c:pt idx="5">
                  <c:v>2.0182971835207604</c:v>
                </c:pt>
                <c:pt idx="6">
                  <c:v>2.186913658917415</c:v>
                </c:pt>
                <c:pt idx="7">
                  <c:v>2.2875355439470475</c:v>
                </c:pt>
                <c:pt idx="8">
                  <c:v>2.3540291945927732</c:v>
                </c:pt>
                <c:pt idx="9">
                  <c:v>2.4455733598400564</c:v>
                </c:pt>
                <c:pt idx="10">
                  <c:v>2.5925102473073749</c:v>
                </c:pt>
                <c:pt idx="11">
                  <c:v>2.8651486244645197</c:v>
                </c:pt>
                <c:pt idx="12">
                  <c:v>3.137879073803191</c:v>
                </c:pt>
                <c:pt idx="13">
                  <c:v>3.2572014470087485</c:v>
                </c:pt>
                <c:pt idx="14">
                  <c:v>3.3547647820678215</c:v>
                </c:pt>
                <c:pt idx="15">
                  <c:v>3.2693331071790412</c:v>
                </c:pt>
                <c:pt idx="16">
                  <c:v>3.2949667709119121</c:v>
                </c:pt>
              </c:numCache>
            </c:numRef>
          </c:val>
          <c:smooth val="0"/>
          <c:extLst xmlns:c16r2="http://schemas.microsoft.com/office/drawing/2015/06/chart">
            <c:ext xmlns:c16="http://schemas.microsoft.com/office/drawing/2014/chart" uri="{C3380CC4-5D6E-409C-BE32-E72D297353CC}">
              <c16:uniqueId val="{0000000E-EA13-4B66-83E8-BFA47803262F}"/>
            </c:ext>
          </c:extLst>
        </c:ser>
        <c:dLbls>
          <c:showLegendKey val="0"/>
          <c:showVal val="0"/>
          <c:showCatName val="0"/>
          <c:showSerName val="0"/>
          <c:showPercent val="0"/>
          <c:showBubbleSize val="0"/>
        </c:dLbls>
        <c:marker val="1"/>
        <c:smooth val="0"/>
        <c:axId val="155080960"/>
        <c:axId val="155099136"/>
      </c:lineChart>
      <c:catAx>
        <c:axId val="155080960"/>
        <c:scaling>
          <c:orientation val="minMax"/>
        </c:scaling>
        <c:delete val="0"/>
        <c:axPos val="b"/>
        <c:numFmt formatCode="General" sourceLinked="1"/>
        <c:majorTickMark val="none"/>
        <c:minorTickMark val="none"/>
        <c:tickLblPos val="nextTo"/>
        <c:spPr>
          <a:ln w="25400">
            <a:solidFill>
              <a:schemeClr val="tx1"/>
            </a:solidFill>
          </a:ln>
        </c:spPr>
        <c:txPr>
          <a:bodyPr rot="0" vert="horz"/>
          <a:lstStyle/>
          <a:p>
            <a:pPr>
              <a:defRPr sz="900" b="1" i="0" u="none" strike="noStrike" baseline="0">
                <a:solidFill>
                  <a:srgbClr val="000000"/>
                </a:solidFill>
                <a:latin typeface="Arial"/>
                <a:ea typeface="Arial"/>
                <a:cs typeface="Arial"/>
              </a:defRPr>
            </a:pPr>
            <a:endParaRPr lang="en-US"/>
          </a:p>
        </c:txPr>
        <c:crossAx val="155099136"/>
        <c:crosses val="autoZero"/>
        <c:auto val="1"/>
        <c:lblAlgn val="ctr"/>
        <c:lblOffset val="100"/>
        <c:noMultiLvlLbl val="0"/>
      </c:catAx>
      <c:valAx>
        <c:axId val="155099136"/>
        <c:scaling>
          <c:orientation val="minMax"/>
          <c:max val="3.5"/>
          <c:min val="0.5"/>
        </c:scaling>
        <c:delete val="0"/>
        <c:axPos val="l"/>
        <c:title>
          <c:tx>
            <c:rich>
              <a:bodyPr/>
              <a:lstStyle/>
              <a:p>
                <a:pPr>
                  <a:defRPr sz="900" b="1" i="0" u="none" strike="noStrike" baseline="0">
                    <a:solidFill>
                      <a:srgbClr val="000000"/>
                    </a:solidFill>
                    <a:latin typeface="Arial"/>
                    <a:ea typeface="Arial"/>
                    <a:cs typeface="Arial"/>
                  </a:defRPr>
                </a:pPr>
                <a:r>
                  <a:rPr lang="en-GB"/>
                  <a:t>Intensité de R&amp;D dans les entreprises (en %)</a:t>
                </a:r>
              </a:p>
            </c:rich>
          </c:tx>
          <c:overlay val="0"/>
        </c:title>
        <c:numFmt formatCode="0.0" sourceLinked="0"/>
        <c:majorTickMark val="out"/>
        <c:minorTickMark val="none"/>
        <c:tickLblPos val="nextTo"/>
        <c:spPr>
          <a:ln w="25400">
            <a:solidFill>
              <a:schemeClr val="tx1"/>
            </a:solidFill>
          </a:ln>
        </c:spPr>
        <c:txPr>
          <a:bodyPr rot="0" vert="horz"/>
          <a:lstStyle/>
          <a:p>
            <a:pPr>
              <a:defRPr sz="900" b="1" i="0" u="none" strike="noStrike" baseline="0">
                <a:solidFill>
                  <a:srgbClr val="000000"/>
                </a:solidFill>
                <a:latin typeface="Arial"/>
                <a:ea typeface="Arial"/>
                <a:cs typeface="Arial"/>
              </a:defRPr>
            </a:pPr>
            <a:endParaRPr lang="en-US"/>
          </a:p>
        </c:txPr>
        <c:crossAx val="155080960"/>
        <c:crosses val="autoZero"/>
        <c:crossBetween val="between"/>
        <c:majorUnit val="0.5"/>
      </c:valAx>
      <c:spPr>
        <a:solidFill>
          <a:srgbClr val="EAEAEA"/>
        </a:solidFill>
      </c:spPr>
    </c:plotArea>
    <c:plotVisOnly val="1"/>
    <c:dispBlanksAs val="gap"/>
    <c:showDLblsOverMax val="0"/>
  </c:chart>
  <c:spPr>
    <a:noFill/>
    <a:ln>
      <a:noFill/>
    </a:ln>
  </c:spPr>
  <c:txPr>
    <a:bodyPr/>
    <a:lstStyle/>
    <a:p>
      <a:pPr>
        <a:defRPr sz="9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Arial" panose="020B0604020202020204" pitchFamily="34" charset="0"/>
                <a:cs typeface="Arial" panose="020B0604020202020204" pitchFamily="34" charset="0"/>
              </a:defRPr>
            </a:pPr>
            <a:r>
              <a:rPr lang="en-GB" sz="1050">
                <a:latin typeface="Arial" panose="020B0604020202020204" pitchFamily="34" charset="0"/>
                <a:cs typeface="Arial" panose="020B0604020202020204" pitchFamily="34" charset="0"/>
              </a:rPr>
              <a:t>Fonds de capital-risque levés (en milliards d’EUR) dans l’UE et aux États-Unis, 2007-2016 </a:t>
            </a:r>
          </a:p>
        </c:rich>
      </c:tx>
      <c:overlay val="0"/>
    </c:title>
    <c:autoTitleDeleted val="0"/>
    <c:plotArea>
      <c:layout/>
      <c:barChart>
        <c:barDir val="col"/>
        <c:grouping val="clustered"/>
        <c:varyColors val="0"/>
        <c:ser>
          <c:idx val="0"/>
          <c:order val="0"/>
          <c:tx>
            <c:strRef>
              <c:f>Sheet1!$S$11</c:f>
              <c:strCache>
                <c:ptCount val="1"/>
                <c:pt idx="0">
                  <c:v>Etats-Unis</c:v>
                </c:pt>
              </c:strCache>
            </c:strRef>
          </c:tx>
          <c:spPr>
            <a:solidFill>
              <a:srgbClr val="FF0000"/>
            </a:solidFill>
          </c:spPr>
          <c:invertIfNegative val="0"/>
          <c:dLbls>
            <c:dLbl>
              <c:idx val="9"/>
              <c:layout>
                <c:manualLayout>
                  <c:x val="0"/>
                  <c:y val="1.30718954248366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9B1-4D36-9459-F02C60B942A0}"/>
                </c:ext>
              </c:extLst>
            </c:dLbl>
            <c:numFmt formatCode="0.0" sourceLinked="0"/>
            <c:spPr>
              <a:noFill/>
              <a:ln>
                <a:noFill/>
              </a:ln>
              <a:effectLst/>
            </c:spPr>
            <c:txPr>
              <a:bodyPr/>
              <a:lstStyle/>
              <a:p>
                <a:pPr>
                  <a:defRPr sz="1000" b="1">
                    <a:latin typeface="Arial Narrow" panose="020B0606020202030204" pitchFamily="34"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'U:\A4\01 CONTENT\SRI Report\SRI 2018\Report production\ALL FINAL GRAPHS AND TABLES BY CHAPTER 20 FEB 2018\[FINAL PART I.5-B.xlsx]Figure I.5-B.9'!$T$10:$AC$10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'U:\A4\01 CONTENT\SRI Report\SRI 2018\Report production\ALL FINAL GRAPHS AND TABLES BY CHAPTER 20 FEB 2018\[FINAL PART I.5-B.xlsx]Figure I.5-B.9'!$T$11:$AC$11</c:f>
              <c:numCache>
                <c:formatCode>General</c:formatCode>
                <c:ptCount val="10"/>
                <c:pt idx="0">
                  <c:v>25.571349999999999</c:v>
                </c:pt>
                <c:pt idx="1">
                  <c:v>24.595559999999999</c:v>
                </c:pt>
                <c:pt idx="2">
                  <c:v>8.6273999999999997</c:v>
                </c:pt>
                <c:pt idx="3">
                  <c:v>15.0928</c:v>
                </c:pt>
                <c:pt idx="4">
                  <c:v>16.531479999999998</c:v>
                </c:pt>
                <c:pt idx="5">
                  <c:v>18.673439999999999</c:v>
                </c:pt>
                <c:pt idx="6">
                  <c:v>15.816360000000001</c:v>
                </c:pt>
                <c:pt idx="7">
                  <c:v>26.373899999999999</c:v>
                </c:pt>
                <c:pt idx="8">
                  <c:v>31.531500000000001</c:v>
                </c:pt>
                <c:pt idx="9">
                  <c:v>37.956240000000001</c:v>
                </c:pt>
              </c:numCache>
            </c:numRef>
          </c:val>
          <c:extLst xmlns:c16r2="http://schemas.microsoft.com/office/drawing/2015/06/chart">
            <c:ext xmlns:c16="http://schemas.microsoft.com/office/drawing/2014/chart" uri="{C3380CC4-5D6E-409C-BE32-E72D297353CC}">
              <c16:uniqueId val="{00000001-79B1-4D36-9459-F02C60B942A0}"/>
            </c:ext>
          </c:extLst>
        </c:ser>
        <c:ser>
          <c:idx val="1"/>
          <c:order val="1"/>
          <c:tx>
            <c:strRef>
              <c:f>Sheet1!$S$12</c:f>
              <c:strCache>
                <c:ptCount val="1"/>
                <c:pt idx="0">
                  <c:v>UE</c:v>
                </c:pt>
              </c:strCache>
            </c:strRef>
          </c:tx>
          <c:spPr>
            <a:solidFill>
              <a:srgbClr val="3333FF"/>
            </a:solidFill>
          </c:spPr>
          <c:invertIfNegative val="0"/>
          <c:dLbls>
            <c:numFmt formatCode="0.0" sourceLinked="0"/>
            <c:spPr>
              <a:solidFill>
                <a:srgbClr val="EAEAEA"/>
              </a:solidFill>
            </c:spPr>
            <c:txPr>
              <a:bodyPr/>
              <a:lstStyle/>
              <a:p>
                <a:pPr>
                  <a:defRPr sz="1000" b="1">
                    <a:latin typeface="Arial Narrow" panose="020B0606020202030204" pitchFamily="34" charset="0"/>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'U:\A4\01 CONTENT\SRI Report\SRI 2018\Report production\ALL FINAL GRAPHS AND TABLES BY CHAPTER 20 FEB 2018\[FINAL PART I.5-B.xlsx]Figure I.5-B.9'!$T$10:$AC$10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'U:\A4\01 CONTENT\SRI Report\SRI 2018\Report production\ALL FINAL GRAPHS AND TABLES BY CHAPTER 20 FEB 2018\[FINAL PART I.5-B.xlsx]Figure I.5-B.9'!$T$12:$AC$12</c:f>
              <c:numCache>
                <c:formatCode>General</c:formatCode>
                <c:ptCount val="10"/>
                <c:pt idx="0">
                  <c:v>6.7152598893680802</c:v>
                </c:pt>
                <c:pt idx="1">
                  <c:v>4.5866474695968069</c:v>
                </c:pt>
                <c:pt idx="2">
                  <c:v>2.5681452048803139</c:v>
                </c:pt>
                <c:pt idx="3">
                  <c:v>3.3211534277983965</c:v>
                </c:pt>
                <c:pt idx="4">
                  <c:v>3.4750637905607169</c:v>
                </c:pt>
                <c:pt idx="5">
                  <c:v>3.1786559356210802</c:v>
                </c:pt>
                <c:pt idx="6">
                  <c:v>3.4541120814716191</c:v>
                </c:pt>
                <c:pt idx="7">
                  <c:v>4.8081125821272748</c:v>
                </c:pt>
                <c:pt idx="8">
                  <c:v>4.8987459911259013</c:v>
                </c:pt>
                <c:pt idx="9">
                  <c:v>6.0097959081582566</c:v>
                </c:pt>
              </c:numCache>
            </c:numRef>
          </c:val>
          <c:extLst xmlns:c16r2="http://schemas.microsoft.com/office/drawing/2015/06/chart">
            <c:ext xmlns:c16="http://schemas.microsoft.com/office/drawing/2014/chart" uri="{C3380CC4-5D6E-409C-BE32-E72D297353CC}">
              <c16:uniqueId val="{00000002-79B1-4D36-9459-F02C60B942A0}"/>
            </c:ext>
          </c:extLst>
        </c:ser>
        <c:dLbls>
          <c:showLegendKey val="0"/>
          <c:showVal val="0"/>
          <c:showCatName val="0"/>
          <c:showSerName val="0"/>
          <c:showPercent val="0"/>
          <c:showBubbleSize val="0"/>
        </c:dLbls>
        <c:gapWidth val="50"/>
        <c:axId val="160049024"/>
        <c:axId val="160050560"/>
      </c:barChart>
      <c:catAx>
        <c:axId val="160049024"/>
        <c:scaling>
          <c:orientation val="minMax"/>
        </c:scaling>
        <c:delete val="0"/>
        <c:axPos val="b"/>
        <c:numFmt formatCode="General" sourceLinked="1"/>
        <c:majorTickMark val="none"/>
        <c:minorTickMark val="none"/>
        <c:tickLblPos val="nextTo"/>
        <c:spPr>
          <a:ln w="25400">
            <a:solidFill>
              <a:schemeClr val="tx1"/>
            </a:solidFill>
          </a:ln>
        </c:spPr>
        <c:txPr>
          <a:bodyPr/>
          <a:lstStyle/>
          <a:p>
            <a:pPr>
              <a:defRPr sz="900" b="1">
                <a:latin typeface="Arial" panose="020B0604020202020204" pitchFamily="34" charset="0"/>
                <a:cs typeface="Arial" panose="020B0604020202020204" pitchFamily="34" charset="0"/>
              </a:defRPr>
            </a:pPr>
            <a:endParaRPr lang="en-US"/>
          </a:p>
        </c:txPr>
        <c:crossAx val="160050560"/>
        <c:crosses val="autoZero"/>
        <c:auto val="1"/>
        <c:lblAlgn val="ctr"/>
        <c:lblOffset val="100"/>
        <c:noMultiLvlLbl val="0"/>
      </c:catAx>
      <c:valAx>
        <c:axId val="160050560"/>
        <c:scaling>
          <c:orientation val="minMax"/>
        </c:scaling>
        <c:delete val="0"/>
        <c:axPos val="l"/>
        <c:majorGridlines>
          <c:spPr>
            <a:ln>
              <a:solidFill>
                <a:schemeClr val="bg1"/>
              </a:solidFill>
            </a:ln>
          </c:spPr>
        </c:majorGridlines>
        <c:title>
          <c:tx>
            <c:rich>
              <a:bodyPr rot="-5400000" vert="horz"/>
              <a:lstStyle/>
              <a:p>
                <a:pPr>
                  <a:defRPr sz="900">
                    <a:latin typeface="Arial" panose="020B0604020202020204" pitchFamily="34" charset="0"/>
                    <a:cs typeface="Arial" panose="020B0604020202020204" pitchFamily="34" charset="0"/>
                  </a:defRPr>
                </a:pPr>
                <a:r>
                  <a:rPr lang="en-GB" sz="900">
                    <a:latin typeface="Arial" panose="020B0604020202020204" pitchFamily="34" charset="0"/>
                    <a:cs typeface="Arial" panose="020B0604020202020204" pitchFamily="34" charset="0"/>
                  </a:rPr>
                  <a:t>milliards d’EUR</a:t>
                </a:r>
              </a:p>
            </c:rich>
          </c:tx>
          <c:overlay val="0"/>
        </c:title>
        <c:numFmt formatCode="0" sourceLinked="0"/>
        <c:majorTickMark val="out"/>
        <c:minorTickMark val="none"/>
        <c:tickLblPos val="nextTo"/>
        <c:spPr>
          <a:ln w="25400">
            <a:solidFill>
              <a:schemeClr val="tx1"/>
            </a:solidFill>
          </a:ln>
        </c:spPr>
        <c:txPr>
          <a:bodyPr/>
          <a:lstStyle/>
          <a:p>
            <a:pPr>
              <a:defRPr sz="900" b="1">
                <a:latin typeface="Arial" panose="020B0604020202020204" pitchFamily="34" charset="0"/>
                <a:cs typeface="Arial" panose="020B0604020202020204" pitchFamily="34" charset="0"/>
              </a:defRPr>
            </a:pPr>
            <a:endParaRPr lang="en-US"/>
          </a:p>
        </c:txPr>
        <c:crossAx val="160049024"/>
        <c:crosses val="autoZero"/>
        <c:crossBetween val="between"/>
      </c:valAx>
      <c:spPr>
        <a:solidFill>
          <a:srgbClr val="EAEAEA"/>
        </a:solidFill>
      </c:spPr>
    </c:plotArea>
    <c:legend>
      <c:legendPos val="t"/>
      <c:overlay val="0"/>
      <c:txPr>
        <a:bodyPr/>
        <a:lstStyle/>
        <a:p>
          <a:pPr>
            <a:defRPr sz="900" b="1">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'Digital skills'!$O$4</c:f>
              <c:strCache>
                <c:ptCount val="1"/>
                <c:pt idx="0">
                  <c:v>Aucune compétence</c:v>
                </c:pt>
              </c:strCache>
            </c:strRef>
          </c:tx>
          <c:invertIfNegative val="0"/>
          <c:cat>
            <c:strRef>
              <c:f>'Digital skills'!$N$5:$N$33</c:f>
              <c:strCache>
                <c:ptCount val="29"/>
                <c:pt idx="0">
                  <c:v>LU</c:v>
                </c:pt>
                <c:pt idx="1">
                  <c:v>DK</c:v>
                </c:pt>
                <c:pt idx="2">
                  <c:v>NL</c:v>
                </c:pt>
                <c:pt idx="3">
                  <c:v>FI</c:v>
                </c:pt>
                <c:pt idx="4">
                  <c:v>UK</c:v>
                </c:pt>
                <c:pt idx="5">
                  <c:v>SE</c:v>
                </c:pt>
                <c:pt idx="6">
                  <c:v>EE</c:v>
                </c:pt>
                <c:pt idx="7">
                  <c:v>DE</c:v>
                </c:pt>
                <c:pt idx="8">
                  <c:v>BE</c:v>
                </c:pt>
                <c:pt idx="9">
                  <c:v>FR</c:v>
                </c:pt>
                <c:pt idx="10">
                  <c:v>AT</c:v>
                </c:pt>
                <c:pt idx="11">
                  <c:v>CZ</c:v>
                </c:pt>
                <c:pt idx="12">
                  <c:v>IE</c:v>
                </c:pt>
                <c:pt idx="13">
                  <c:v>LV</c:v>
                </c:pt>
                <c:pt idx="14">
                  <c:v>EU28</c:v>
                </c:pt>
                <c:pt idx="15">
                  <c:v>SK</c:v>
                </c:pt>
                <c:pt idx="16">
                  <c:v>ES</c:v>
                </c:pt>
                <c:pt idx="17">
                  <c:v>MT</c:v>
                </c:pt>
                <c:pt idx="18">
                  <c:v>HU</c:v>
                </c:pt>
                <c:pt idx="19">
                  <c:v>SI</c:v>
                </c:pt>
                <c:pt idx="20">
                  <c:v>CY</c:v>
                </c:pt>
                <c:pt idx="21">
                  <c:v>LT</c:v>
                </c:pt>
                <c:pt idx="22">
                  <c:v>HR</c:v>
                </c:pt>
                <c:pt idx="23">
                  <c:v>PT</c:v>
                </c:pt>
                <c:pt idx="24">
                  <c:v>PL</c:v>
                </c:pt>
                <c:pt idx="25">
                  <c:v>EL</c:v>
                </c:pt>
                <c:pt idx="26">
                  <c:v>IT</c:v>
                </c:pt>
                <c:pt idx="27">
                  <c:v>BG</c:v>
                </c:pt>
                <c:pt idx="28">
                  <c:v>RO</c:v>
                </c:pt>
              </c:strCache>
            </c:strRef>
          </c:cat>
          <c:val>
            <c:numRef>
              <c:f>'Digital skills'!$O$5:$O$33</c:f>
              <c:numCache>
                <c:formatCode>0.00%</c:formatCode>
                <c:ptCount val="29"/>
                <c:pt idx="0">
                  <c:v>2.9352E-2</c:v>
                </c:pt>
                <c:pt idx="1">
                  <c:v>4.8586999999999998E-2</c:v>
                </c:pt>
                <c:pt idx="2">
                  <c:v>7.3339000000000001E-2</c:v>
                </c:pt>
                <c:pt idx="3">
                  <c:v>7.6827999999999994E-2</c:v>
                </c:pt>
                <c:pt idx="4">
                  <c:v>8.5388000000000006E-2</c:v>
                </c:pt>
                <c:pt idx="5">
                  <c:v>0.110624</c:v>
                </c:pt>
                <c:pt idx="6">
                  <c:v>0.123046</c:v>
                </c:pt>
                <c:pt idx="7">
                  <c:v>0.12631899999999999</c:v>
                </c:pt>
                <c:pt idx="8">
                  <c:v>0.153174</c:v>
                </c:pt>
                <c:pt idx="9">
                  <c:v>0.155783</c:v>
                </c:pt>
                <c:pt idx="10">
                  <c:v>0.17041100000000001</c:v>
                </c:pt>
                <c:pt idx="11">
                  <c:v>0.199326</c:v>
                </c:pt>
                <c:pt idx="12">
                  <c:v>0.207538</c:v>
                </c:pt>
                <c:pt idx="13">
                  <c:v>0.21327499999999999</c:v>
                </c:pt>
                <c:pt idx="14">
                  <c:v>0.21370800000000001</c:v>
                </c:pt>
                <c:pt idx="15">
                  <c:v>0.226054</c:v>
                </c:pt>
                <c:pt idx="16">
                  <c:v>0.23271900000000001</c:v>
                </c:pt>
                <c:pt idx="17">
                  <c:v>0.246584</c:v>
                </c:pt>
                <c:pt idx="18">
                  <c:v>0.27238600000000002</c:v>
                </c:pt>
                <c:pt idx="19">
                  <c:v>0.27717399999999998</c:v>
                </c:pt>
                <c:pt idx="20">
                  <c:v>0.290047</c:v>
                </c:pt>
                <c:pt idx="21">
                  <c:v>0.292597</c:v>
                </c:pt>
                <c:pt idx="22">
                  <c:v>0.31020700000000001</c:v>
                </c:pt>
                <c:pt idx="23">
                  <c:v>0.324291</c:v>
                </c:pt>
                <c:pt idx="24">
                  <c:v>0.33151999999999998</c:v>
                </c:pt>
                <c:pt idx="25">
                  <c:v>0.338364</c:v>
                </c:pt>
                <c:pt idx="26">
                  <c:v>0.36078900000000003</c:v>
                </c:pt>
                <c:pt idx="27">
                  <c:v>0.43708200000000003</c:v>
                </c:pt>
                <c:pt idx="28">
                  <c:v>0.44236799999999998</c:v>
                </c:pt>
              </c:numCache>
            </c:numRef>
          </c:val>
        </c:ser>
        <c:ser>
          <c:idx val="1"/>
          <c:order val="1"/>
          <c:tx>
            <c:strRef>
              <c:f>'Digital skills'!$P$4</c:f>
              <c:strCache>
                <c:ptCount val="1"/>
                <c:pt idx="0">
                  <c:v>Faibles</c:v>
                </c:pt>
              </c:strCache>
            </c:strRef>
          </c:tx>
          <c:invertIfNegative val="0"/>
          <c:cat>
            <c:strRef>
              <c:f>'Digital skills'!$N$5:$N$33</c:f>
              <c:strCache>
                <c:ptCount val="29"/>
                <c:pt idx="0">
                  <c:v>LU</c:v>
                </c:pt>
                <c:pt idx="1">
                  <c:v>DK</c:v>
                </c:pt>
                <c:pt idx="2">
                  <c:v>NL</c:v>
                </c:pt>
                <c:pt idx="3">
                  <c:v>FI</c:v>
                </c:pt>
                <c:pt idx="4">
                  <c:v>UK</c:v>
                </c:pt>
                <c:pt idx="5">
                  <c:v>SE</c:v>
                </c:pt>
                <c:pt idx="6">
                  <c:v>EE</c:v>
                </c:pt>
                <c:pt idx="7">
                  <c:v>DE</c:v>
                </c:pt>
                <c:pt idx="8">
                  <c:v>BE</c:v>
                </c:pt>
                <c:pt idx="9">
                  <c:v>FR</c:v>
                </c:pt>
                <c:pt idx="10">
                  <c:v>AT</c:v>
                </c:pt>
                <c:pt idx="11">
                  <c:v>CZ</c:v>
                </c:pt>
                <c:pt idx="12">
                  <c:v>IE</c:v>
                </c:pt>
                <c:pt idx="13">
                  <c:v>LV</c:v>
                </c:pt>
                <c:pt idx="14">
                  <c:v>EU28</c:v>
                </c:pt>
                <c:pt idx="15">
                  <c:v>SK</c:v>
                </c:pt>
                <c:pt idx="16">
                  <c:v>ES</c:v>
                </c:pt>
                <c:pt idx="17">
                  <c:v>MT</c:v>
                </c:pt>
                <c:pt idx="18">
                  <c:v>HU</c:v>
                </c:pt>
                <c:pt idx="19">
                  <c:v>SI</c:v>
                </c:pt>
                <c:pt idx="20">
                  <c:v>CY</c:v>
                </c:pt>
                <c:pt idx="21">
                  <c:v>LT</c:v>
                </c:pt>
                <c:pt idx="22">
                  <c:v>HR</c:v>
                </c:pt>
                <c:pt idx="23">
                  <c:v>PT</c:v>
                </c:pt>
                <c:pt idx="24">
                  <c:v>PL</c:v>
                </c:pt>
                <c:pt idx="25">
                  <c:v>EL</c:v>
                </c:pt>
                <c:pt idx="26">
                  <c:v>IT</c:v>
                </c:pt>
                <c:pt idx="27">
                  <c:v>BG</c:v>
                </c:pt>
                <c:pt idx="28">
                  <c:v>RO</c:v>
                </c:pt>
              </c:strCache>
            </c:strRef>
          </c:cat>
          <c:val>
            <c:numRef>
              <c:f>'Digital skills'!$P$5:$P$33</c:f>
              <c:numCache>
                <c:formatCode>0.00%</c:formatCode>
                <c:ptCount val="29"/>
                <c:pt idx="0">
                  <c:v>0.10852000000000001</c:v>
                </c:pt>
                <c:pt idx="1">
                  <c:v>0.202295</c:v>
                </c:pt>
                <c:pt idx="2">
                  <c:v>0.202374</c:v>
                </c:pt>
                <c:pt idx="3">
                  <c:v>0.17055000000000001</c:v>
                </c:pt>
                <c:pt idx="4">
                  <c:v>0.24196000000000001</c:v>
                </c:pt>
                <c:pt idx="5">
                  <c:v>0.17355899999999999</c:v>
                </c:pt>
                <c:pt idx="6">
                  <c:v>0.23180700000000001</c:v>
                </c:pt>
                <c:pt idx="7">
                  <c:v>0.20994199999999999</c:v>
                </c:pt>
                <c:pt idx="8">
                  <c:v>0.24396599999999999</c:v>
                </c:pt>
                <c:pt idx="9">
                  <c:v>0.27639000000000002</c:v>
                </c:pt>
                <c:pt idx="10">
                  <c:v>0.189555</c:v>
                </c:pt>
                <c:pt idx="11">
                  <c:v>0.231739</c:v>
                </c:pt>
                <c:pt idx="12">
                  <c:v>0.34863899999999998</c:v>
                </c:pt>
                <c:pt idx="13">
                  <c:v>0.29476000000000002</c:v>
                </c:pt>
                <c:pt idx="14">
                  <c:v>0.23343700000000001</c:v>
                </c:pt>
                <c:pt idx="15">
                  <c:v>0.242482</c:v>
                </c:pt>
                <c:pt idx="16">
                  <c:v>0.22831099999999999</c:v>
                </c:pt>
                <c:pt idx="17">
                  <c:v>0.234204</c:v>
                </c:pt>
                <c:pt idx="18">
                  <c:v>0.232409</c:v>
                </c:pt>
                <c:pt idx="19">
                  <c:v>0.213782</c:v>
                </c:pt>
                <c:pt idx="20">
                  <c:v>0.28445599999999999</c:v>
                </c:pt>
                <c:pt idx="21">
                  <c:v>0.195044</c:v>
                </c:pt>
                <c:pt idx="22">
                  <c:v>0.180668</c:v>
                </c:pt>
                <c:pt idx="23">
                  <c:v>0.19941999999999999</c:v>
                </c:pt>
                <c:pt idx="24">
                  <c:v>0.26806099999999999</c:v>
                </c:pt>
                <c:pt idx="25">
                  <c:v>0.22151199999999999</c:v>
                </c:pt>
                <c:pt idx="26">
                  <c:v>0.20619499999999999</c:v>
                </c:pt>
                <c:pt idx="27">
                  <c:v>0.25076100000000001</c:v>
                </c:pt>
                <c:pt idx="28">
                  <c:v>0.29486099999999998</c:v>
                </c:pt>
              </c:numCache>
            </c:numRef>
          </c:val>
        </c:ser>
        <c:ser>
          <c:idx val="2"/>
          <c:order val="2"/>
          <c:tx>
            <c:strRef>
              <c:f>'Digital skills'!$Q$4</c:f>
              <c:strCache>
                <c:ptCount val="1"/>
                <c:pt idx="0">
                  <c:v>De base</c:v>
                </c:pt>
              </c:strCache>
            </c:strRef>
          </c:tx>
          <c:invertIfNegative val="0"/>
          <c:cat>
            <c:strRef>
              <c:f>'Digital skills'!$N$5:$N$33</c:f>
              <c:strCache>
                <c:ptCount val="29"/>
                <c:pt idx="0">
                  <c:v>LU</c:v>
                </c:pt>
                <c:pt idx="1">
                  <c:v>DK</c:v>
                </c:pt>
                <c:pt idx="2">
                  <c:v>NL</c:v>
                </c:pt>
                <c:pt idx="3">
                  <c:v>FI</c:v>
                </c:pt>
                <c:pt idx="4">
                  <c:v>UK</c:v>
                </c:pt>
                <c:pt idx="5">
                  <c:v>SE</c:v>
                </c:pt>
                <c:pt idx="6">
                  <c:v>EE</c:v>
                </c:pt>
                <c:pt idx="7">
                  <c:v>DE</c:v>
                </c:pt>
                <c:pt idx="8">
                  <c:v>BE</c:v>
                </c:pt>
                <c:pt idx="9">
                  <c:v>FR</c:v>
                </c:pt>
                <c:pt idx="10">
                  <c:v>AT</c:v>
                </c:pt>
                <c:pt idx="11">
                  <c:v>CZ</c:v>
                </c:pt>
                <c:pt idx="12">
                  <c:v>IE</c:v>
                </c:pt>
                <c:pt idx="13">
                  <c:v>LV</c:v>
                </c:pt>
                <c:pt idx="14">
                  <c:v>EU28</c:v>
                </c:pt>
                <c:pt idx="15">
                  <c:v>SK</c:v>
                </c:pt>
                <c:pt idx="16">
                  <c:v>ES</c:v>
                </c:pt>
                <c:pt idx="17">
                  <c:v>MT</c:v>
                </c:pt>
                <c:pt idx="18">
                  <c:v>HU</c:v>
                </c:pt>
                <c:pt idx="19">
                  <c:v>SI</c:v>
                </c:pt>
                <c:pt idx="20">
                  <c:v>CY</c:v>
                </c:pt>
                <c:pt idx="21">
                  <c:v>LT</c:v>
                </c:pt>
                <c:pt idx="22">
                  <c:v>HR</c:v>
                </c:pt>
                <c:pt idx="23">
                  <c:v>PT</c:v>
                </c:pt>
                <c:pt idx="24">
                  <c:v>PL</c:v>
                </c:pt>
                <c:pt idx="25">
                  <c:v>EL</c:v>
                </c:pt>
                <c:pt idx="26">
                  <c:v>IT</c:v>
                </c:pt>
                <c:pt idx="27">
                  <c:v>BG</c:v>
                </c:pt>
                <c:pt idx="28">
                  <c:v>RO</c:v>
                </c:pt>
              </c:strCache>
            </c:strRef>
          </c:cat>
          <c:val>
            <c:numRef>
              <c:f>'Digital skills'!$Q$5:$Q$33</c:f>
              <c:numCache>
                <c:formatCode>0.00%</c:formatCode>
                <c:ptCount val="29"/>
                <c:pt idx="0">
                  <c:v>0.303199</c:v>
                </c:pt>
                <c:pt idx="1">
                  <c:v>0.264511</c:v>
                </c:pt>
                <c:pt idx="2">
                  <c:v>0.299128</c:v>
                </c:pt>
                <c:pt idx="3">
                  <c:v>0.33445999999999998</c:v>
                </c:pt>
                <c:pt idx="4">
                  <c:v>0.27408300000000002</c:v>
                </c:pt>
                <c:pt idx="5">
                  <c:v>0.36345899999999998</c:v>
                </c:pt>
                <c:pt idx="6">
                  <c:v>0.27074199999999998</c:v>
                </c:pt>
                <c:pt idx="7">
                  <c:v>0.31076599999999999</c:v>
                </c:pt>
                <c:pt idx="8">
                  <c:v>0.29156700000000002</c:v>
                </c:pt>
                <c:pt idx="9">
                  <c:v>0.29931400000000002</c:v>
                </c:pt>
                <c:pt idx="10">
                  <c:v>0.31210199999999999</c:v>
                </c:pt>
                <c:pt idx="11">
                  <c:v>0.33965099999999998</c:v>
                </c:pt>
                <c:pt idx="12">
                  <c:v>0.19370299999999999</c:v>
                </c:pt>
                <c:pt idx="13">
                  <c:v>0.23658000000000001</c:v>
                </c:pt>
                <c:pt idx="14">
                  <c:v>0.27043699999999998</c:v>
                </c:pt>
                <c:pt idx="15">
                  <c:v>0.27072400000000002</c:v>
                </c:pt>
                <c:pt idx="16">
                  <c:v>0.238734</c:v>
                </c:pt>
                <c:pt idx="17">
                  <c:v>0.180704</c:v>
                </c:pt>
                <c:pt idx="18">
                  <c:v>0.27097900000000003</c:v>
                </c:pt>
                <c:pt idx="19">
                  <c:v>0.25284000000000001</c:v>
                </c:pt>
                <c:pt idx="20">
                  <c:v>0.27193099999999998</c:v>
                </c:pt>
                <c:pt idx="21">
                  <c:v>0.20948700000000001</c:v>
                </c:pt>
                <c:pt idx="22">
                  <c:v>0.20632800000000001</c:v>
                </c:pt>
                <c:pt idx="23">
                  <c:v>0.19750300000000001</c:v>
                </c:pt>
                <c:pt idx="24">
                  <c:v>0.24976000000000001</c:v>
                </c:pt>
                <c:pt idx="25">
                  <c:v>0.27905799999999997</c:v>
                </c:pt>
                <c:pt idx="26">
                  <c:v>0.23980599999999999</c:v>
                </c:pt>
                <c:pt idx="27">
                  <c:v>0.184645</c:v>
                </c:pt>
                <c:pt idx="28">
                  <c:v>0.17304900000000001</c:v>
                </c:pt>
              </c:numCache>
            </c:numRef>
          </c:val>
        </c:ser>
        <c:ser>
          <c:idx val="3"/>
          <c:order val="3"/>
          <c:tx>
            <c:strRef>
              <c:f>'Digital skills'!$R$4</c:f>
              <c:strCache>
                <c:ptCount val="1"/>
                <c:pt idx="0">
                  <c:v>Bonnes compétences</c:v>
                </c:pt>
              </c:strCache>
            </c:strRef>
          </c:tx>
          <c:invertIfNegative val="0"/>
          <c:cat>
            <c:strRef>
              <c:f>'Digital skills'!$N$5:$N$33</c:f>
              <c:strCache>
                <c:ptCount val="29"/>
                <c:pt idx="0">
                  <c:v>LU</c:v>
                </c:pt>
                <c:pt idx="1">
                  <c:v>DK</c:v>
                </c:pt>
                <c:pt idx="2">
                  <c:v>NL</c:v>
                </c:pt>
                <c:pt idx="3">
                  <c:v>FI</c:v>
                </c:pt>
                <c:pt idx="4">
                  <c:v>UK</c:v>
                </c:pt>
                <c:pt idx="5">
                  <c:v>SE</c:v>
                </c:pt>
                <c:pt idx="6">
                  <c:v>EE</c:v>
                </c:pt>
                <c:pt idx="7">
                  <c:v>DE</c:v>
                </c:pt>
                <c:pt idx="8">
                  <c:v>BE</c:v>
                </c:pt>
                <c:pt idx="9">
                  <c:v>FR</c:v>
                </c:pt>
                <c:pt idx="10">
                  <c:v>AT</c:v>
                </c:pt>
                <c:pt idx="11">
                  <c:v>CZ</c:v>
                </c:pt>
                <c:pt idx="12">
                  <c:v>IE</c:v>
                </c:pt>
                <c:pt idx="13">
                  <c:v>LV</c:v>
                </c:pt>
                <c:pt idx="14">
                  <c:v>EU28</c:v>
                </c:pt>
                <c:pt idx="15">
                  <c:v>SK</c:v>
                </c:pt>
                <c:pt idx="16">
                  <c:v>ES</c:v>
                </c:pt>
                <c:pt idx="17">
                  <c:v>MT</c:v>
                </c:pt>
                <c:pt idx="18">
                  <c:v>HU</c:v>
                </c:pt>
                <c:pt idx="19">
                  <c:v>SI</c:v>
                </c:pt>
                <c:pt idx="20">
                  <c:v>CY</c:v>
                </c:pt>
                <c:pt idx="21">
                  <c:v>LT</c:v>
                </c:pt>
                <c:pt idx="22">
                  <c:v>HR</c:v>
                </c:pt>
                <c:pt idx="23">
                  <c:v>PT</c:v>
                </c:pt>
                <c:pt idx="24">
                  <c:v>PL</c:v>
                </c:pt>
                <c:pt idx="25">
                  <c:v>EL</c:v>
                </c:pt>
                <c:pt idx="26">
                  <c:v>IT</c:v>
                </c:pt>
                <c:pt idx="27">
                  <c:v>BG</c:v>
                </c:pt>
                <c:pt idx="28">
                  <c:v>RO</c:v>
                </c:pt>
              </c:strCache>
            </c:strRef>
          </c:cat>
          <c:val>
            <c:numRef>
              <c:f>'Digital skills'!$R$5:$R$33</c:f>
              <c:numCache>
                <c:formatCode>0.00%</c:formatCode>
                <c:ptCount val="29"/>
                <c:pt idx="0">
                  <c:v>0.55892900000000001</c:v>
                </c:pt>
                <c:pt idx="1">
                  <c:v>0.48460700000000001</c:v>
                </c:pt>
                <c:pt idx="2">
                  <c:v>0.42515900000000001</c:v>
                </c:pt>
                <c:pt idx="3">
                  <c:v>0.41816199999999998</c:v>
                </c:pt>
                <c:pt idx="4">
                  <c:v>0.39856900000000001</c:v>
                </c:pt>
                <c:pt idx="5">
                  <c:v>0.352358</c:v>
                </c:pt>
                <c:pt idx="6">
                  <c:v>0.37440499999999999</c:v>
                </c:pt>
                <c:pt idx="7">
                  <c:v>0.35297299999999998</c:v>
                </c:pt>
                <c:pt idx="8">
                  <c:v>0.31129299999999999</c:v>
                </c:pt>
                <c:pt idx="9">
                  <c:v>0.268513</c:v>
                </c:pt>
                <c:pt idx="10">
                  <c:v>0.327932</c:v>
                </c:pt>
                <c:pt idx="11">
                  <c:v>0.22928399999999999</c:v>
                </c:pt>
                <c:pt idx="12">
                  <c:v>0.25012000000000001</c:v>
                </c:pt>
                <c:pt idx="13">
                  <c:v>0.25538499999999997</c:v>
                </c:pt>
                <c:pt idx="14">
                  <c:v>0.282418</c:v>
                </c:pt>
                <c:pt idx="15">
                  <c:v>0.26074000000000003</c:v>
                </c:pt>
                <c:pt idx="16">
                  <c:v>0.300236</c:v>
                </c:pt>
                <c:pt idx="17">
                  <c:v>0.33850799999999998</c:v>
                </c:pt>
                <c:pt idx="18">
                  <c:v>0.22422600000000001</c:v>
                </c:pt>
                <c:pt idx="19">
                  <c:v>0.25620399999999999</c:v>
                </c:pt>
                <c:pt idx="20">
                  <c:v>0.15356600000000001</c:v>
                </c:pt>
                <c:pt idx="21">
                  <c:v>0.30287199999999997</c:v>
                </c:pt>
                <c:pt idx="22">
                  <c:v>0.30279699999999998</c:v>
                </c:pt>
                <c:pt idx="23">
                  <c:v>0.27878599999999998</c:v>
                </c:pt>
                <c:pt idx="24">
                  <c:v>0.15065899999999999</c:v>
                </c:pt>
                <c:pt idx="25">
                  <c:v>0.16106599999999999</c:v>
                </c:pt>
                <c:pt idx="26">
                  <c:v>0.19320999999999999</c:v>
                </c:pt>
                <c:pt idx="27">
                  <c:v>0.12751199999999999</c:v>
                </c:pt>
                <c:pt idx="28">
                  <c:v>8.9721999999999996E-2</c:v>
                </c:pt>
              </c:numCache>
            </c:numRef>
          </c:val>
        </c:ser>
        <c:dLbls>
          <c:showLegendKey val="0"/>
          <c:showVal val="0"/>
          <c:showCatName val="0"/>
          <c:showSerName val="0"/>
          <c:showPercent val="0"/>
          <c:showBubbleSize val="0"/>
        </c:dLbls>
        <c:gapWidth val="150"/>
        <c:shape val="box"/>
        <c:axId val="149293696"/>
        <c:axId val="149295488"/>
        <c:axId val="0"/>
      </c:bar3DChart>
      <c:catAx>
        <c:axId val="149293696"/>
        <c:scaling>
          <c:orientation val="minMax"/>
        </c:scaling>
        <c:delete val="0"/>
        <c:axPos val="b"/>
        <c:numFmt formatCode="General" sourceLinked="1"/>
        <c:majorTickMark val="out"/>
        <c:minorTickMark val="none"/>
        <c:tickLblPos val="nextTo"/>
        <c:crossAx val="149295488"/>
        <c:crosses val="autoZero"/>
        <c:auto val="1"/>
        <c:lblAlgn val="ctr"/>
        <c:lblOffset val="100"/>
        <c:noMultiLvlLbl val="0"/>
      </c:catAx>
      <c:valAx>
        <c:axId val="149295488"/>
        <c:scaling>
          <c:orientation val="minMax"/>
        </c:scaling>
        <c:delete val="0"/>
        <c:axPos val="l"/>
        <c:majorGridlines/>
        <c:numFmt formatCode="0.00%" sourceLinked="1"/>
        <c:majorTickMark val="out"/>
        <c:minorTickMark val="none"/>
        <c:tickLblPos val="nextTo"/>
        <c:crossAx val="149293696"/>
        <c:crosses val="autoZero"/>
        <c:crossBetween val="between"/>
      </c:valAx>
      <c:spPr>
        <a:noFill/>
        <a:ln w="25400">
          <a:noFill/>
        </a:ln>
      </c:spPr>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9D65-9BB1-4BA7-B4A1-E3D4A611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7087</Words>
  <Characters>41323</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2018-05-15T06:46:00Z</dcterms:created>
  <dcterms:modified xsi:type="dcterms:W3CDTF">2018-05-15T08:01:00Z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