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469F" w:rsidRDefault="002523FD" w:rsidP="002523FD">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B1A86269-A6C4-4F00-BEA3-504BF818C259" style="width:451.35pt;height:389pt">
            <v:imagedata r:id="rId9" o:title=""/>
          </v:shape>
        </w:pict>
      </w:r>
    </w:p>
    <w:bookmarkEnd w:id="0"/>
    <w:p w:rsidR="0049469F" w:rsidRDefault="0049469F">
      <w:pPr>
        <w:rPr>
          <w:noProof/>
        </w:rPr>
        <w:sectPr w:rsidR="0049469F" w:rsidSect="002523FD">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rsidR="0049469F" w:rsidRDefault="0049469F">
      <w:pPr>
        <w:pStyle w:val="Briefingtext"/>
        <w:ind w:left="360"/>
        <w:jc w:val="right"/>
        <w:rPr>
          <w:rFonts w:ascii="Times New Roman" w:hAnsi="Times New Roman" w:cs="Times New Roman"/>
          <w:i/>
          <w:noProof/>
          <w:sz w:val="24"/>
        </w:rPr>
      </w:pPr>
      <w:bookmarkStart w:id="1" w:name="_GoBack"/>
      <w:bookmarkEnd w:id="1"/>
    </w:p>
    <w:p w:rsidR="0049469F" w:rsidRDefault="0049469F">
      <w:pPr>
        <w:pStyle w:val="Briefingtext"/>
        <w:ind w:left="360"/>
        <w:jc w:val="right"/>
        <w:rPr>
          <w:rFonts w:ascii="Times New Roman" w:hAnsi="Times New Roman" w:cs="Times New Roman"/>
          <w:i/>
          <w:noProof/>
          <w:sz w:val="24"/>
        </w:rPr>
      </w:pPr>
    </w:p>
    <w:p w:rsidR="0049469F" w:rsidRDefault="0049469F">
      <w:pPr>
        <w:pStyle w:val="Briefingtext"/>
        <w:ind w:left="360"/>
        <w:jc w:val="right"/>
        <w:rPr>
          <w:rFonts w:ascii="Times New Roman" w:hAnsi="Times New Roman" w:cs="Times New Roman"/>
          <w:i/>
          <w:noProof/>
          <w:sz w:val="24"/>
        </w:rPr>
      </w:pPr>
    </w:p>
    <w:p w:rsidR="0049469F" w:rsidRDefault="0049469F">
      <w:pPr>
        <w:pStyle w:val="Briefingtext"/>
        <w:ind w:left="360"/>
        <w:jc w:val="right"/>
        <w:rPr>
          <w:rFonts w:ascii="Times New Roman" w:hAnsi="Times New Roman" w:cs="Times New Roman"/>
          <w:i/>
          <w:noProof/>
          <w:sz w:val="24"/>
        </w:rPr>
      </w:pPr>
    </w:p>
    <w:p w:rsidR="0049469F" w:rsidRDefault="0049469F">
      <w:pPr>
        <w:pStyle w:val="Briefingtext"/>
        <w:ind w:left="360"/>
        <w:jc w:val="right"/>
        <w:rPr>
          <w:rFonts w:ascii="Times New Roman" w:hAnsi="Times New Roman" w:cs="Times New Roman"/>
          <w:i/>
          <w:noProof/>
          <w:sz w:val="24"/>
        </w:rPr>
      </w:pPr>
    </w:p>
    <w:p w:rsidR="0049469F" w:rsidRDefault="0049469F">
      <w:pPr>
        <w:pStyle w:val="Briefingtext"/>
        <w:spacing w:before="240"/>
        <w:ind w:left="360"/>
        <w:jc w:val="right"/>
        <w:rPr>
          <w:rFonts w:ascii="Times New Roman" w:hAnsi="Times New Roman" w:cs="Times New Roman"/>
          <w:i/>
          <w:noProof/>
          <w:sz w:val="24"/>
        </w:rPr>
      </w:pPr>
    </w:p>
    <w:p w:rsidR="0049469F" w:rsidRDefault="002523FD">
      <w:pPr>
        <w:pStyle w:val="Briefingtext"/>
        <w:ind w:left="360"/>
        <w:jc w:val="right"/>
        <w:rPr>
          <w:rFonts w:ascii="Times New Roman" w:hAnsi="Times New Roman" w:cs="Times New Roman"/>
          <w:i/>
          <w:noProof/>
          <w:sz w:val="24"/>
        </w:rPr>
      </w:pPr>
      <w:r>
        <w:rPr>
          <w:rFonts w:ascii="Times New Roman" w:hAnsi="Times New Roman" w:cs="Times New Roman"/>
          <w:noProof/>
          <w:color w:val="000000"/>
          <w:sz w:val="24"/>
        </w:rPr>
        <w:br/>
      </w:r>
      <w:r>
        <w:rPr>
          <w:rFonts w:ascii="Times New Roman" w:hAnsi="Times New Roman" w:cs="Times New Roman"/>
          <w:i/>
          <w:noProof/>
          <w:sz w:val="24"/>
        </w:rPr>
        <w:t>"Our future cannot remain a scenario, a sketch, an idea amongst others. We have to prepare the Union of tomorrow, today."</w:t>
      </w:r>
    </w:p>
    <w:p w:rsidR="0049469F" w:rsidRDefault="002523FD">
      <w:pPr>
        <w:autoSpaceDE w:val="0"/>
        <w:autoSpaceDN w:val="0"/>
        <w:adjustRightInd w:val="0"/>
        <w:spacing w:after="0" w:line="240" w:lineRule="auto"/>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Commission President </w:t>
      </w:r>
      <w:r>
        <w:rPr>
          <w:rFonts w:ascii="Times New Roman" w:hAnsi="Times New Roman" w:cs="Times New Roman"/>
          <w:noProof/>
          <w:color w:val="000000"/>
          <w:sz w:val="24"/>
          <w:szCs w:val="24"/>
        </w:rPr>
        <w:t>Jean-Claude Juncker</w:t>
      </w:r>
    </w:p>
    <w:p w:rsidR="0049469F" w:rsidRDefault="002523FD">
      <w:pPr>
        <w:autoSpaceDE w:val="0"/>
        <w:autoSpaceDN w:val="0"/>
        <w:adjustRightInd w:val="0"/>
        <w:spacing w:after="0" w:line="240" w:lineRule="auto"/>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State of the Union, Strasbourg, 13 September 2017</w:t>
      </w:r>
    </w:p>
    <w:p w:rsidR="0049469F" w:rsidRDefault="0049469F">
      <w:pPr>
        <w:pStyle w:val="Briefingtext"/>
        <w:ind w:left="360"/>
        <w:rPr>
          <w:rFonts w:ascii="Times New Roman" w:hAnsi="Times New Roman" w:cs="Times New Roman"/>
          <w:i/>
          <w:noProof/>
          <w:sz w:val="24"/>
        </w:rPr>
      </w:pPr>
    </w:p>
    <w:p w:rsidR="0049469F" w:rsidRDefault="002523FD">
      <w:pPr>
        <w:pStyle w:val="Briefingtext"/>
        <w:ind w:left="360"/>
        <w:jc w:val="right"/>
        <w:rPr>
          <w:rFonts w:ascii="Times New Roman" w:hAnsi="Times New Roman" w:cs="Times New Roman"/>
          <w:i/>
          <w:noProof/>
          <w:sz w:val="24"/>
        </w:rPr>
      </w:pPr>
      <w:r>
        <w:rPr>
          <w:rFonts w:ascii="Times New Roman" w:hAnsi="Times New Roman" w:cs="Times New Roman"/>
          <w:i/>
          <w:noProof/>
          <w:sz w:val="24"/>
        </w:rPr>
        <w:t xml:space="preserve">"Research and Innovation are crucial for our future. They are the only way to simultaneously and sustainably tackle low economic growth, limited job creation and global challenges such </w:t>
      </w:r>
      <w:r>
        <w:rPr>
          <w:rFonts w:ascii="Times New Roman" w:hAnsi="Times New Roman" w:cs="Times New Roman"/>
          <w:i/>
          <w:noProof/>
          <w:sz w:val="24"/>
        </w:rPr>
        <w:t>as health, and security, food and oceans, climate and energy."</w:t>
      </w:r>
    </w:p>
    <w:p w:rsidR="0049469F" w:rsidRDefault="002523FD">
      <w:pPr>
        <w:pStyle w:val="Briefingtext"/>
        <w:spacing w:after="0"/>
        <w:ind w:left="360"/>
        <w:jc w:val="right"/>
        <w:rPr>
          <w:rFonts w:ascii="Times New Roman" w:hAnsi="Times New Roman" w:cs="Times New Roman"/>
          <w:i/>
          <w:noProof/>
          <w:sz w:val="24"/>
        </w:rPr>
      </w:pPr>
      <w:r>
        <w:rPr>
          <w:rFonts w:ascii="Times New Roman" w:hAnsi="Times New Roman" w:cs="Times New Roman"/>
          <w:noProof/>
          <w:color w:val="000000"/>
          <w:sz w:val="24"/>
        </w:rPr>
        <w:t>European Commission's contribution to the Informal leaders' meeting on 23 February 2018</w:t>
      </w:r>
    </w:p>
    <w:p w:rsidR="0049469F" w:rsidRDefault="0049469F">
      <w:pPr>
        <w:pStyle w:val="Briefingtext"/>
        <w:spacing w:after="0"/>
        <w:ind w:left="360"/>
        <w:jc w:val="right"/>
        <w:rPr>
          <w:rFonts w:ascii="Times New Roman" w:hAnsi="Times New Roman" w:cs="Times New Roman"/>
          <w:i/>
          <w:noProof/>
          <w:sz w:val="24"/>
        </w:rPr>
      </w:pPr>
    </w:p>
    <w:p w:rsidR="0049469F" w:rsidRDefault="002523FD">
      <w:pPr>
        <w:pStyle w:val="Briefingtext"/>
        <w:spacing w:before="240"/>
        <w:ind w:left="360"/>
        <w:jc w:val="right"/>
        <w:rPr>
          <w:rFonts w:ascii="Times New Roman" w:hAnsi="Times New Roman" w:cs="Times New Roman"/>
          <w:i/>
          <w:noProof/>
          <w:sz w:val="24"/>
        </w:rPr>
      </w:pPr>
      <w:r>
        <w:rPr>
          <w:rFonts w:ascii="Times New Roman" w:hAnsi="Times New Roman" w:cs="Times New Roman"/>
          <w:i/>
          <w:noProof/>
          <w:sz w:val="24"/>
        </w:rPr>
        <w:t>"We will allow for the necessary room for manoeuvre at the various levels to strengthen Europe's innovat</w:t>
      </w:r>
      <w:r>
        <w:rPr>
          <w:rFonts w:ascii="Times New Roman" w:hAnsi="Times New Roman" w:cs="Times New Roman"/>
          <w:i/>
          <w:noProof/>
          <w:sz w:val="24"/>
        </w:rPr>
        <w:t>ion and growth potential."</w:t>
      </w:r>
    </w:p>
    <w:p w:rsidR="0049469F" w:rsidRDefault="002523FD">
      <w:pPr>
        <w:autoSpaceDE w:val="0"/>
        <w:autoSpaceDN w:val="0"/>
        <w:adjustRightInd w:val="0"/>
        <w:spacing w:after="0" w:line="240" w:lineRule="auto"/>
        <w:jc w:val="right"/>
        <w:rPr>
          <w:rFonts w:ascii="Times New Roman" w:hAnsi="Times New Roman" w:cs="Times New Roman"/>
          <w:noProof/>
          <w:color w:val="000000"/>
          <w:sz w:val="24"/>
          <w:szCs w:val="24"/>
        </w:rPr>
      </w:pPr>
      <w:r>
        <w:rPr>
          <w:rFonts w:ascii="Times New Roman" w:hAnsi="Times New Roman" w:cs="Times New Roman"/>
          <w:noProof/>
          <w:color w:val="000000"/>
          <w:sz w:val="24"/>
          <w:szCs w:val="24"/>
        </w:rPr>
        <w:t>Rome Declaration, Rome, 25 March 2017</w:t>
      </w:r>
    </w:p>
    <w:p w:rsidR="0049469F" w:rsidRDefault="0049469F">
      <w:pPr>
        <w:pStyle w:val="Briefingtext"/>
        <w:jc w:val="right"/>
        <w:rPr>
          <w:rFonts w:ascii="Times New Roman" w:hAnsi="Times New Roman" w:cs="Times New Roman"/>
          <w:noProof/>
          <w:color w:val="000000"/>
          <w:sz w:val="24"/>
        </w:rPr>
      </w:pPr>
    </w:p>
    <w:p w:rsidR="0049469F" w:rsidRDefault="002523FD">
      <w:pPr>
        <w:pStyle w:val="Briefingtext"/>
        <w:jc w:val="right"/>
        <w:rPr>
          <w:noProof/>
        </w:rPr>
      </w:pPr>
      <w:r>
        <w:rPr>
          <w:noProof/>
        </w:rPr>
        <w:br w:type="page"/>
      </w:r>
    </w:p>
    <w:p w:rsidR="0049469F" w:rsidRDefault="002523FD">
      <w:pPr>
        <w:spacing w:after="36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lastRenderedPageBreak/>
        <w:t xml:space="preserve">The European Commission welcomes the decision of the President of the European Council to schedule a debate among Leaders on Research and Innovation and the steps necessary to ensure </w:t>
      </w:r>
      <w:r>
        <w:rPr>
          <w:rFonts w:ascii="Times New Roman" w:hAnsi="Times New Roman" w:cs="Times New Roman"/>
          <w:i/>
          <w:noProof/>
          <w:sz w:val="24"/>
          <w:szCs w:val="24"/>
        </w:rPr>
        <w:t>Europe's global competitiveness. This Communication presents a set of concrete actions to boost the EU Research and Innovation agenda and to feed the informal discussion that the Heads of State or Government will hold in Sofia on 16 May 2018.</w:t>
      </w:r>
    </w:p>
    <w:p w:rsidR="0049469F" w:rsidRDefault="002523FD">
      <w:pPr>
        <w:keepNext/>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1. Europe's c</w:t>
      </w:r>
      <w:r>
        <w:rPr>
          <w:rFonts w:ascii="Times New Roman" w:hAnsi="Times New Roman" w:cs="Times New Roman"/>
          <w:b/>
          <w:noProof/>
          <w:sz w:val="24"/>
          <w:szCs w:val="24"/>
        </w:rPr>
        <w:t>hance to invest in the future</w:t>
      </w:r>
    </w:p>
    <w:p w:rsidR="0049469F" w:rsidRDefault="002523FD">
      <w:pPr>
        <w:spacing w:line="264" w:lineRule="auto"/>
        <w:jc w:val="both"/>
        <w:rPr>
          <w:rFonts w:ascii="Times New Roman" w:hAnsi="Times New Roman" w:cs="Times New Roman"/>
          <w:noProof/>
          <w:sz w:val="24"/>
          <w:szCs w:val="24"/>
        </w:rPr>
      </w:pPr>
      <w:r>
        <w:rPr>
          <w:rFonts w:ascii="Times New Roman" w:hAnsi="Times New Roman" w:cs="Times New Roman"/>
          <w:noProof/>
          <w:sz w:val="24"/>
          <w:szCs w:val="24"/>
        </w:rPr>
        <w:t>Investing in research and innovation is investing in Europe’s future. It helps us to compete globally and preserve our unique social model. It improves the daily lives of millions of people here in Europe and around the world,</w:t>
      </w:r>
      <w:r>
        <w:rPr>
          <w:rFonts w:ascii="Times New Roman" w:hAnsi="Times New Roman" w:cs="Times New Roman"/>
          <w:noProof/>
          <w:sz w:val="24"/>
          <w:szCs w:val="24"/>
        </w:rPr>
        <w:t xml:space="preserve"> helping to solve some of our biggest societal and generational challenges. From making 1.6 million Ebola vaccine doses available, to creating a battery 100 times more powerful than ordinary ones, through to developing hydrogen fuel cell powered buses for </w:t>
      </w:r>
      <w:r>
        <w:rPr>
          <w:rFonts w:ascii="Times New Roman" w:hAnsi="Times New Roman" w:cs="Times New Roman"/>
          <w:noProof/>
          <w:sz w:val="24"/>
          <w:szCs w:val="24"/>
        </w:rPr>
        <w:t>our cities, research and innovation is everywhere around us.</w:t>
      </w:r>
    </w:p>
    <w:p w:rsidR="0049469F" w:rsidRDefault="002523FD">
      <w:pPr>
        <w:spacing w:line="264" w:lineRule="auto"/>
        <w:jc w:val="both"/>
        <w:rPr>
          <w:rFonts w:ascii="Times New Roman" w:hAnsi="Times New Roman" w:cs="Times New Roman"/>
          <w:noProof/>
          <w:sz w:val="24"/>
          <w:szCs w:val="24"/>
        </w:rPr>
      </w:pPr>
      <w:r>
        <w:rPr>
          <w:rFonts w:ascii="Times New Roman" w:hAnsi="Times New Roman" w:cs="Times New Roman"/>
          <w:noProof/>
          <w:sz w:val="24"/>
          <w:szCs w:val="24"/>
        </w:rPr>
        <w:t>This reflects the fact that society can only move forward as fast as it innovates. It can only provide lasting prosperity if it makes the most of the knowledge, entrepreneurial spirit and product</w:t>
      </w:r>
      <w:r>
        <w:rPr>
          <w:rFonts w:ascii="Times New Roman" w:hAnsi="Times New Roman" w:cs="Times New Roman"/>
          <w:noProof/>
          <w:sz w:val="24"/>
          <w:szCs w:val="24"/>
        </w:rPr>
        <w:t xml:space="preserve">ivity of its people. And it shows that any economy can only stay ahead of the competition if it stays at the frontier of cutting-edge research and innovation. </w:t>
      </w:r>
    </w:p>
    <w:p w:rsidR="0049469F" w:rsidRDefault="002523FD">
      <w:pPr>
        <w:spacing w:line="264" w:lineRule="auto"/>
        <w:jc w:val="both"/>
        <w:rPr>
          <w:rFonts w:ascii="Times New Roman" w:hAnsi="Times New Roman" w:cs="Times New Roman"/>
          <w:noProof/>
          <w:sz w:val="24"/>
          <w:szCs w:val="24"/>
        </w:rPr>
      </w:pPr>
      <w:r>
        <w:rPr>
          <w:rFonts w:ascii="Times New Roman" w:hAnsi="Times New Roman" w:cs="Times New Roman"/>
          <w:noProof/>
          <w:sz w:val="24"/>
          <w:szCs w:val="24"/>
        </w:rPr>
        <w:t>This is the challenge facing our Union today as we seek to maintain and improve the European way</w:t>
      </w:r>
      <w:r>
        <w:rPr>
          <w:rFonts w:ascii="Times New Roman" w:hAnsi="Times New Roman" w:cs="Times New Roman"/>
          <w:noProof/>
          <w:sz w:val="24"/>
          <w:szCs w:val="24"/>
        </w:rPr>
        <w:t xml:space="preserve"> of life. It is time to invest in the future. Technology-driven innovations, the increasing digitisation of all sectors and global megatrends are changing the way we live, offering huge opportunities, but also creating new challenges. As this trend acceler</w:t>
      </w:r>
      <w:r>
        <w:rPr>
          <w:rFonts w:ascii="Times New Roman" w:hAnsi="Times New Roman" w:cs="Times New Roman"/>
          <w:noProof/>
          <w:sz w:val="24"/>
          <w:szCs w:val="24"/>
        </w:rPr>
        <w:t xml:space="preserve">ates, the need to innovate will be ever more acute. Countries around the world are investing massively on research and innovation in all areas of the economy. This is intensifying global competition and threatens the leading competitive position of Europe </w:t>
      </w:r>
      <w:r>
        <w:rPr>
          <w:rFonts w:ascii="Times New Roman" w:hAnsi="Times New Roman" w:cs="Times New Roman"/>
          <w:noProof/>
          <w:sz w:val="24"/>
          <w:szCs w:val="24"/>
        </w:rPr>
        <w:t>in key industrial sectors.  Deepening Europe’s innovation capability, ensuring the necessary investments, and accelerating the diffusion of innovation across Europe is therefore a question of necessity for our future prosperity.</w:t>
      </w:r>
    </w:p>
    <w:p w:rsidR="0049469F" w:rsidRDefault="002523FD">
      <w:pPr>
        <w:spacing w:line="264" w:lineRule="auto"/>
        <w:jc w:val="both"/>
        <w:rPr>
          <w:rFonts w:ascii="Times New Roman" w:hAnsi="Times New Roman" w:cs="Times New Roman"/>
          <w:noProof/>
          <w:sz w:val="24"/>
          <w:szCs w:val="24"/>
        </w:rPr>
      </w:pPr>
      <w:r>
        <w:rPr>
          <w:rFonts w:ascii="Times New Roman" w:hAnsi="Times New Roman" w:cs="Times New Roman"/>
          <w:noProof/>
          <w:sz w:val="24"/>
          <w:szCs w:val="24"/>
        </w:rPr>
        <w:t>The stakes are high – but s</w:t>
      </w:r>
      <w:r>
        <w:rPr>
          <w:rFonts w:ascii="Times New Roman" w:hAnsi="Times New Roman" w:cs="Times New Roman"/>
          <w:noProof/>
          <w:sz w:val="24"/>
          <w:szCs w:val="24"/>
        </w:rPr>
        <w:t>o is Europe’s potential. The next wave of innovation, combining physical and digital, will be rooted in science, technology and engineering, where Europe has and needs to maintain a competitive edge. With 7% of the global population, Europe accounts for 20</w:t>
      </w:r>
      <w:r>
        <w:rPr>
          <w:rFonts w:ascii="Times New Roman" w:hAnsi="Times New Roman" w:cs="Times New Roman"/>
          <w:noProof/>
          <w:sz w:val="24"/>
          <w:szCs w:val="24"/>
        </w:rPr>
        <w:t>% of global research and development investment and around one third of all high-quality scientific publications.</w:t>
      </w:r>
      <w:r>
        <w:rPr>
          <w:rStyle w:val="FootnoteReference"/>
          <w:rFonts w:ascii="Times New Roman" w:hAnsi="Times New Roman" w:cs="Times New Roman"/>
          <w:noProof/>
          <w:sz w:val="24"/>
          <w:szCs w:val="24"/>
        </w:rPr>
        <w:footnoteReference w:id="2"/>
      </w:r>
      <w:r>
        <w:rPr>
          <w:rFonts w:ascii="Times New Roman" w:hAnsi="Times New Roman" w:cs="Times New Roman"/>
          <w:noProof/>
          <w:sz w:val="24"/>
          <w:szCs w:val="24"/>
        </w:rPr>
        <w:t xml:space="preserve"> Europe is also home to a strong industrial base.</w:t>
      </w:r>
    </w:p>
    <w:p w:rsidR="0049469F" w:rsidRDefault="002523FD">
      <w:pPr>
        <w:spacing w:line="264" w:lineRule="auto"/>
        <w:jc w:val="both"/>
        <w:rPr>
          <w:rFonts w:ascii="Times New Roman" w:hAnsi="Times New Roman" w:cs="Times New Roman"/>
          <w:noProof/>
          <w:sz w:val="24"/>
          <w:szCs w:val="24"/>
        </w:rPr>
      </w:pPr>
      <w:r>
        <w:rPr>
          <w:rFonts w:ascii="Times New Roman" w:hAnsi="Times New Roman" w:cs="Times New Roman"/>
          <w:noProof/>
          <w:sz w:val="24"/>
          <w:szCs w:val="24"/>
        </w:rPr>
        <w:t>Europe must build on these assets and on its values to develop its own distinct model of inn</w:t>
      </w:r>
      <w:r>
        <w:rPr>
          <w:rFonts w:ascii="Times New Roman" w:hAnsi="Times New Roman" w:cs="Times New Roman"/>
          <w:noProof/>
          <w:sz w:val="24"/>
          <w:szCs w:val="24"/>
        </w:rPr>
        <w:t xml:space="preserve">ovation. It should make the most of its collaborative, partnership-based culture, which helps to foster innovation right across our Union. And as it does so, it must ensure the high-level of European protection of citizens' data and privacy – which is now </w:t>
      </w:r>
      <w:r>
        <w:rPr>
          <w:rFonts w:ascii="Times New Roman" w:hAnsi="Times New Roman" w:cs="Times New Roman"/>
          <w:noProof/>
          <w:sz w:val="24"/>
          <w:szCs w:val="24"/>
        </w:rPr>
        <w:t>the global benchmark – becomes a source of competitive advantage when it comes to new technologies, such as Artificial Intelligence or big data.</w:t>
      </w:r>
      <w:r>
        <w:rPr>
          <w:rStyle w:val="FootnoteReference"/>
          <w:rFonts w:ascii="Times New Roman" w:hAnsi="Times New Roman" w:cs="Times New Roman"/>
          <w:noProof/>
          <w:sz w:val="24"/>
          <w:szCs w:val="24"/>
        </w:rPr>
        <w:footnoteReference w:id="3"/>
      </w:r>
      <w:r>
        <w:rPr>
          <w:rFonts w:ascii="Times New Roman" w:hAnsi="Times New Roman" w:cs="Times New Roman"/>
          <w:noProof/>
          <w:sz w:val="24"/>
          <w:szCs w:val="24"/>
        </w:rPr>
        <w:t xml:space="preserve"> </w:t>
      </w:r>
    </w:p>
    <w:p w:rsidR="0049469F" w:rsidRDefault="002523FD">
      <w:pPr>
        <w:spacing w:line="264" w:lineRule="auto"/>
        <w:jc w:val="both"/>
        <w:rPr>
          <w:rFonts w:ascii="Times New Roman" w:hAnsi="Times New Roman" w:cs="Times New Roman"/>
          <w:noProof/>
          <w:sz w:val="24"/>
          <w:szCs w:val="24"/>
        </w:rPr>
      </w:pPr>
      <w:r>
        <w:rPr>
          <w:rFonts w:ascii="Times New Roman" w:hAnsi="Times New Roman" w:cs="Times New Roman"/>
          <w:noProof/>
          <w:sz w:val="24"/>
          <w:szCs w:val="24"/>
        </w:rPr>
        <w:t>The EU is the most open research and innovation area in the world. Not only does it welcome research organisa</w:t>
      </w:r>
      <w:r>
        <w:rPr>
          <w:rFonts w:ascii="Times New Roman" w:hAnsi="Times New Roman" w:cs="Times New Roman"/>
          <w:noProof/>
          <w:sz w:val="24"/>
          <w:szCs w:val="24"/>
        </w:rPr>
        <w:t>tions from all over the world into its projects, but it also collaborates extensively with international partners on joint programmes. In order to promote a level playing field, it should encourage new market opportunities for innovative goods and services</w:t>
      </w:r>
      <w:r>
        <w:rPr>
          <w:rFonts w:ascii="Times New Roman" w:hAnsi="Times New Roman" w:cs="Times New Roman"/>
          <w:noProof/>
          <w:sz w:val="24"/>
          <w:szCs w:val="24"/>
        </w:rPr>
        <w:t>. It should also stimulate synergies and cross-border investment in research and innovation bringing mutual benefits to people and businesses,</w:t>
      </w:r>
      <w:r>
        <w:rPr>
          <w:rStyle w:val="FootnoteReference"/>
          <w:rFonts w:ascii="Times New Roman" w:hAnsi="Times New Roman" w:cs="Times New Roman"/>
          <w:noProof/>
          <w:sz w:val="24"/>
          <w:szCs w:val="24"/>
        </w:rPr>
        <w:footnoteReference w:id="4"/>
      </w:r>
      <w:r>
        <w:rPr>
          <w:rFonts w:ascii="Times New Roman" w:hAnsi="Times New Roman" w:cs="Times New Roman"/>
          <w:noProof/>
          <w:sz w:val="24"/>
          <w:szCs w:val="24"/>
        </w:rPr>
        <w:t xml:space="preserve"> while ensuring that the EU can uphold its interests in strategic sectors.</w:t>
      </w:r>
    </w:p>
    <w:p w:rsidR="0049469F" w:rsidRDefault="002523FD">
      <w:pPr>
        <w:spacing w:line="264" w:lineRule="auto"/>
        <w:jc w:val="both"/>
        <w:rPr>
          <w:rFonts w:ascii="Times New Roman" w:hAnsi="Times New Roman" w:cs="Times New Roman"/>
          <w:noProof/>
          <w:sz w:val="24"/>
          <w:szCs w:val="24"/>
        </w:rPr>
      </w:pPr>
      <w:r>
        <w:rPr>
          <w:rFonts w:ascii="Times New Roman" w:hAnsi="Times New Roman" w:cs="Times New Roman"/>
          <w:noProof/>
          <w:sz w:val="24"/>
          <w:szCs w:val="24"/>
        </w:rPr>
        <w:t>In other areas, however Europe is expe</w:t>
      </w:r>
      <w:r>
        <w:rPr>
          <w:rFonts w:ascii="Times New Roman" w:hAnsi="Times New Roman" w:cs="Times New Roman"/>
          <w:noProof/>
          <w:sz w:val="24"/>
          <w:szCs w:val="24"/>
        </w:rPr>
        <w:t>riencing an innovation deficit. This is not down to a lack of ideas or initial start-ups: the problem is rather a lack of scale-up and diffusion, with innovations not always being translated into new market and growth opportunities. And industry investment</w:t>
      </w:r>
      <w:r>
        <w:rPr>
          <w:rFonts w:ascii="Times New Roman" w:hAnsi="Times New Roman" w:cs="Times New Roman"/>
          <w:noProof/>
          <w:sz w:val="24"/>
          <w:szCs w:val="24"/>
        </w:rPr>
        <w:t xml:space="preserve"> in research and innovation has to step up. The EU is being outpaced by China and the United States in levels of investments in the technologies that are set to dominate in the future. </w:t>
      </w:r>
    </w:p>
    <w:p w:rsidR="0049469F" w:rsidRDefault="002523FD">
      <w:pPr>
        <w:spacing w:line="264" w:lineRule="auto"/>
        <w:jc w:val="both"/>
        <w:rPr>
          <w:rFonts w:ascii="Times New Roman" w:hAnsi="Times New Roman" w:cs="Times New Roman"/>
          <w:noProof/>
          <w:sz w:val="24"/>
          <w:szCs w:val="24"/>
        </w:rPr>
      </w:pPr>
      <w:r>
        <w:rPr>
          <w:rFonts w:ascii="Times New Roman" w:hAnsi="Times New Roman" w:cs="Times New Roman"/>
          <w:noProof/>
          <w:sz w:val="24"/>
          <w:szCs w:val="24"/>
        </w:rPr>
        <w:t>To make the most of its potential, and to overcome its obstacles, Euro</w:t>
      </w:r>
      <w:r>
        <w:rPr>
          <w:rFonts w:ascii="Times New Roman" w:hAnsi="Times New Roman" w:cs="Times New Roman"/>
          <w:noProof/>
          <w:sz w:val="24"/>
          <w:szCs w:val="24"/>
        </w:rPr>
        <w:t>pe must focus its approach on three levels. First, substantial investment is needed in scientific and technological research, with a focus on major societal and industrial challenges such as security, climate change, and the impact of an ageing population.</w:t>
      </w:r>
      <w:r>
        <w:rPr>
          <w:rFonts w:ascii="Times New Roman" w:hAnsi="Times New Roman" w:cs="Times New Roman"/>
          <w:noProof/>
          <w:sz w:val="24"/>
          <w:szCs w:val="24"/>
        </w:rPr>
        <w:t xml:space="preserve"> Second, the business environment must be made more innovation-friendly and less risk-averse. Third, European citizens must be supported through what will be a fast and, for some, turbulent transition.</w:t>
      </w:r>
    </w:p>
    <w:p w:rsidR="0049469F" w:rsidRDefault="002523FD">
      <w:pPr>
        <w:spacing w:line="264"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Europe’s chance to lead the next wave of innovation </w:t>
      </w:r>
      <w:r>
        <w:rPr>
          <w:rFonts w:ascii="Times New Roman" w:hAnsi="Times New Roman" w:cs="Times New Roman"/>
          <w:noProof/>
          <w:sz w:val="24"/>
          <w:szCs w:val="24"/>
        </w:rPr>
        <w:t>will depend on our ability to put together the right mix of policies and instruments. It is essential for Europe to support the competitive development of strategic value chains of the future.</w:t>
      </w:r>
      <w:r>
        <w:rPr>
          <w:rStyle w:val="FootnoteReference"/>
          <w:rFonts w:ascii="Times New Roman" w:hAnsi="Times New Roman" w:cs="Times New Roman"/>
          <w:noProof/>
          <w:sz w:val="24"/>
          <w:szCs w:val="24"/>
        </w:rPr>
        <w:footnoteReference w:id="5"/>
      </w:r>
      <w:r>
        <w:rPr>
          <w:rFonts w:ascii="Times New Roman" w:hAnsi="Times New Roman" w:cs="Times New Roman"/>
          <w:noProof/>
          <w:sz w:val="24"/>
          <w:szCs w:val="24"/>
        </w:rPr>
        <w:t xml:space="preserve"> The Digital Single Market</w:t>
      </w:r>
      <w:r>
        <w:rPr>
          <w:rStyle w:val="FootnoteReference"/>
          <w:rFonts w:ascii="Times New Roman" w:hAnsi="Times New Roman" w:cs="Times New Roman"/>
          <w:noProof/>
          <w:sz w:val="24"/>
          <w:szCs w:val="24"/>
        </w:rPr>
        <w:footnoteReference w:id="6"/>
      </w:r>
      <w:r>
        <w:rPr>
          <w:rFonts w:ascii="Times New Roman" w:hAnsi="Times New Roman" w:cs="Times New Roman"/>
          <w:noProof/>
          <w:sz w:val="24"/>
          <w:szCs w:val="24"/>
        </w:rPr>
        <w:t>, the Energy Union,</w:t>
      </w:r>
      <w:r>
        <w:rPr>
          <w:rStyle w:val="FootnoteReference"/>
          <w:rFonts w:ascii="Times New Roman" w:hAnsi="Times New Roman" w:cs="Times New Roman"/>
          <w:noProof/>
          <w:sz w:val="24"/>
          <w:szCs w:val="24"/>
        </w:rPr>
        <w:footnoteReference w:id="7"/>
      </w:r>
      <w:r>
        <w:rPr>
          <w:rFonts w:ascii="Times New Roman" w:hAnsi="Times New Roman" w:cs="Times New Roman"/>
          <w:noProof/>
          <w:sz w:val="24"/>
          <w:szCs w:val="24"/>
        </w:rPr>
        <w:t xml:space="preserve"> Industrial Stra</w:t>
      </w:r>
      <w:r>
        <w:rPr>
          <w:rFonts w:ascii="Times New Roman" w:hAnsi="Times New Roman" w:cs="Times New Roman"/>
          <w:noProof/>
          <w:sz w:val="24"/>
          <w:szCs w:val="24"/>
        </w:rPr>
        <w:t>tegies</w:t>
      </w:r>
      <w:r>
        <w:rPr>
          <w:rStyle w:val="FootnoteReference"/>
          <w:rFonts w:ascii="Times New Roman" w:hAnsi="Times New Roman" w:cs="Times New Roman"/>
          <w:noProof/>
          <w:sz w:val="24"/>
          <w:szCs w:val="24"/>
        </w:rPr>
        <w:footnoteReference w:id="8"/>
      </w:r>
      <w:r>
        <w:rPr>
          <w:rFonts w:ascii="Times New Roman" w:hAnsi="Times New Roman" w:cs="Times New Roman"/>
          <w:noProof/>
          <w:sz w:val="24"/>
          <w:szCs w:val="24"/>
        </w:rPr>
        <w:t xml:space="preserve"> and our Competition Policy provide us with a solid framework. Tools such as the Investment Plan</w:t>
      </w:r>
      <w:r>
        <w:rPr>
          <w:rStyle w:val="FootnoteReference"/>
          <w:rFonts w:ascii="Times New Roman" w:hAnsi="Times New Roman" w:cs="Times New Roman"/>
          <w:noProof/>
          <w:sz w:val="24"/>
          <w:szCs w:val="24"/>
        </w:rPr>
        <w:footnoteReference w:id="9"/>
      </w:r>
      <w:r>
        <w:rPr>
          <w:rFonts w:ascii="Times New Roman" w:hAnsi="Times New Roman" w:cs="Times New Roman"/>
          <w:noProof/>
          <w:sz w:val="24"/>
          <w:szCs w:val="24"/>
        </w:rPr>
        <w:t>, the Horizon 2020 programme for research and innovation</w:t>
      </w:r>
      <w:r>
        <w:rPr>
          <w:rStyle w:val="FootnoteReference"/>
          <w:rFonts w:ascii="Times New Roman" w:hAnsi="Times New Roman" w:cs="Times New Roman"/>
          <w:noProof/>
          <w:sz w:val="24"/>
          <w:szCs w:val="24"/>
        </w:rPr>
        <w:footnoteReference w:id="10"/>
      </w:r>
      <w:r>
        <w:rPr>
          <w:rFonts w:ascii="Times New Roman" w:hAnsi="Times New Roman" w:cs="Times New Roman"/>
          <w:noProof/>
          <w:sz w:val="24"/>
          <w:szCs w:val="24"/>
        </w:rPr>
        <w:t xml:space="preserve"> and the European Structural and Investment Funds</w:t>
      </w:r>
      <w:r>
        <w:rPr>
          <w:rStyle w:val="FootnoteReference"/>
          <w:rFonts w:ascii="Times New Roman" w:hAnsi="Times New Roman" w:cs="Times New Roman"/>
          <w:noProof/>
          <w:sz w:val="24"/>
          <w:szCs w:val="24"/>
        </w:rPr>
        <w:footnoteReference w:id="11"/>
      </w:r>
      <w:r>
        <w:rPr>
          <w:rFonts w:ascii="Times New Roman" w:hAnsi="Times New Roman" w:cs="Times New Roman"/>
          <w:noProof/>
          <w:sz w:val="24"/>
          <w:szCs w:val="24"/>
        </w:rPr>
        <w:t xml:space="preserve"> have a proven track record. This foundation </w:t>
      </w:r>
      <w:r>
        <w:rPr>
          <w:rFonts w:ascii="Times New Roman" w:hAnsi="Times New Roman" w:cs="Times New Roman"/>
          <w:noProof/>
          <w:sz w:val="24"/>
          <w:szCs w:val="24"/>
        </w:rPr>
        <w:t xml:space="preserve">has helped put Europe at the forefront of many areas of global science and technology and created better conditions for firms to innovate and compete. </w:t>
      </w:r>
    </w:p>
    <w:p w:rsidR="0049469F" w:rsidRDefault="002523FD">
      <w:pPr>
        <w:spacing w:after="240" w:line="264" w:lineRule="auto"/>
        <w:jc w:val="both"/>
        <w:rPr>
          <w:rFonts w:ascii="Times New Roman" w:hAnsi="Times New Roman" w:cs="Times New Roman"/>
          <w:noProof/>
          <w:sz w:val="24"/>
          <w:szCs w:val="24"/>
        </w:rPr>
      </w:pPr>
      <w:r>
        <w:rPr>
          <w:rFonts w:ascii="Times New Roman" w:hAnsi="Times New Roman" w:cs="Times New Roman"/>
          <w:noProof/>
          <w:sz w:val="24"/>
          <w:szCs w:val="24"/>
        </w:rPr>
        <w:t>It is now time to move to the next level. And we can only do so if we take a truly European approach, co</w:t>
      </w:r>
      <w:r>
        <w:rPr>
          <w:rFonts w:ascii="Times New Roman" w:hAnsi="Times New Roman" w:cs="Times New Roman"/>
          <w:noProof/>
          <w:sz w:val="24"/>
          <w:szCs w:val="24"/>
        </w:rPr>
        <w:t>llaborating across borders and acting on a Union-wide scale. Success will depend on our capacity to use private capital and public investment together effectively. It will depend on future-proof European and national regulatory frameworks that are favourab</w:t>
      </w:r>
      <w:r>
        <w:rPr>
          <w:rFonts w:ascii="Times New Roman" w:hAnsi="Times New Roman" w:cs="Times New Roman"/>
          <w:noProof/>
          <w:sz w:val="24"/>
          <w:szCs w:val="24"/>
        </w:rPr>
        <w:t>le to innovation. It will depend on a single market where effective and fair competition rewards and incentivises private investment in innovation. It will depend on the capacity to push European universities to be more entrepreneurial. It will depend on e</w:t>
      </w:r>
      <w:r>
        <w:rPr>
          <w:rFonts w:ascii="Times New Roman" w:hAnsi="Times New Roman" w:cs="Times New Roman"/>
          <w:noProof/>
          <w:sz w:val="24"/>
          <w:szCs w:val="24"/>
        </w:rPr>
        <w:t>nsuring that every Member State and every single region in Europe can contribute to a rising tide of excellence in science and innovation. All of these factors are in the collective control of our Union, now is time to take our future in our own hands.</w:t>
      </w:r>
    </w:p>
    <w:p w:rsidR="0049469F" w:rsidRDefault="002523FD">
      <w:pPr>
        <w:keepNext/>
        <w:spacing w:before="240" w:line="240" w:lineRule="auto"/>
        <w:rPr>
          <w:b/>
          <w:noProof/>
        </w:rPr>
      </w:pPr>
      <w:r>
        <w:rPr>
          <w:rFonts w:ascii="Times New Roman" w:hAnsi="Times New Roman" w:cs="Times New Roman"/>
          <w:b/>
          <w:noProof/>
          <w:sz w:val="24"/>
          <w:szCs w:val="24"/>
        </w:rPr>
        <w:t xml:space="preserve">2. </w:t>
      </w:r>
      <w:r>
        <w:rPr>
          <w:rFonts w:ascii="Times New Roman" w:hAnsi="Times New Roman" w:cs="Times New Roman"/>
          <w:b/>
          <w:noProof/>
          <w:sz w:val="24"/>
          <w:szCs w:val="24"/>
        </w:rPr>
        <w:t>A renewed agenda for a stronger European Research and Innovation Ecosystem</w:t>
      </w:r>
    </w:p>
    <w:p w:rsidR="0049469F" w:rsidRDefault="002523FD">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Research and innovation cuts across our whole society, with different players, instruments and policies involved at local, national and European levels. Europe needs to bring these </w:t>
      </w:r>
      <w:r>
        <w:rPr>
          <w:rFonts w:ascii="Times New Roman" w:hAnsi="Times New Roman" w:cs="Times New Roman"/>
          <w:noProof/>
          <w:sz w:val="24"/>
          <w:szCs w:val="24"/>
        </w:rPr>
        <w:t>different drivers and levels of governance closer together to create a research and innovation friendly environment. This includes connecting the different local and regional research and innovation ecosystems to foster innovation across EU value chains.</w:t>
      </w:r>
    </w:p>
    <w:p w:rsidR="0049469F" w:rsidRDefault="002523FD">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w:t>
      </w:r>
      <w:r>
        <w:rPr>
          <w:rFonts w:ascii="Times New Roman" w:hAnsi="Times New Roman" w:cs="Times New Roman"/>
          <w:noProof/>
          <w:sz w:val="24"/>
          <w:szCs w:val="24"/>
        </w:rPr>
        <w:t>t European level, regulation, cross-border cooperation and the EU budget can all be effective policy levers. Policies in areas like energy, transport and industry contribute to a low-carbon, sustainable economy. Economic development through innovation is h</w:t>
      </w:r>
      <w:r>
        <w:rPr>
          <w:rFonts w:ascii="Times New Roman" w:hAnsi="Times New Roman" w:cs="Times New Roman"/>
          <w:noProof/>
          <w:sz w:val="24"/>
          <w:szCs w:val="24"/>
        </w:rPr>
        <w:t>ard-wired into cohesion and agricultural policies. Specific programmes have been set up to help drive the digital revolution in the EU. Research and innovation is at the heart of the full range of education and training policies. Internal market and compet</w:t>
      </w:r>
      <w:r>
        <w:rPr>
          <w:rFonts w:ascii="Times New Roman" w:hAnsi="Times New Roman" w:cs="Times New Roman"/>
          <w:noProof/>
          <w:sz w:val="24"/>
          <w:szCs w:val="24"/>
        </w:rPr>
        <w:t>ition policies are designed to support and empower innovative firms, in particular Small and Medium-Sized Enterprises, and help them to scale-up and develop new markets.</w:t>
      </w:r>
    </w:p>
    <w:p w:rsidR="0049469F" w:rsidRDefault="002523FD">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Nevertheless, there are gaps and emerging issues where Europe can and should improve. </w:t>
      </w:r>
      <w:r>
        <w:rPr>
          <w:rFonts w:ascii="Times New Roman" w:hAnsi="Times New Roman" w:cs="Times New Roman"/>
          <w:noProof/>
          <w:sz w:val="24"/>
          <w:szCs w:val="24"/>
        </w:rPr>
        <w:t>This Communication highlights the progress made and proposes new actions where the European Union can make a difference.</w:t>
      </w:r>
    </w:p>
    <w:p w:rsidR="0049469F" w:rsidRDefault="002523FD">
      <w:pPr>
        <w:keepNext/>
        <w:spacing w:line="240" w:lineRule="auto"/>
        <w:rPr>
          <w:rFonts w:ascii="Times New Roman" w:hAnsi="Times New Roman" w:cs="Times New Roman"/>
          <w:b/>
          <w:noProof/>
          <w:sz w:val="24"/>
          <w:szCs w:val="24"/>
        </w:rPr>
      </w:pPr>
      <w:r>
        <w:rPr>
          <w:rFonts w:ascii="Times New Roman" w:hAnsi="Times New Roman" w:cs="Times New Roman"/>
          <w:b/>
          <w:noProof/>
          <w:sz w:val="24"/>
          <w:szCs w:val="24"/>
        </w:rPr>
        <w:t>2.1 Ensuring essential public investment and stimulating private investment</w:t>
      </w:r>
    </w:p>
    <w:p w:rsidR="0049469F" w:rsidRDefault="002523FD">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Evidence confirms that the scale of private and public inve</w:t>
      </w:r>
      <w:r>
        <w:rPr>
          <w:rFonts w:ascii="Times New Roman" w:hAnsi="Times New Roman" w:cs="Times New Roman"/>
          <w:noProof/>
          <w:sz w:val="24"/>
          <w:szCs w:val="24"/>
        </w:rPr>
        <w:t>stment in research and innovation has a direct impact in enhancing productivity and boosting global competitiveness.</w:t>
      </w:r>
      <w:r>
        <w:rPr>
          <w:rStyle w:val="FootnoteReference"/>
          <w:rFonts w:ascii="Times New Roman" w:hAnsi="Times New Roman" w:cs="Times New Roman"/>
          <w:noProof/>
          <w:sz w:val="24"/>
          <w:szCs w:val="24"/>
        </w:rPr>
        <w:footnoteReference w:id="12"/>
      </w:r>
      <w:r>
        <w:rPr>
          <w:rFonts w:ascii="Times New Roman" w:hAnsi="Times New Roman" w:cs="Times New Roman"/>
          <w:noProof/>
          <w:sz w:val="24"/>
          <w:szCs w:val="24"/>
        </w:rPr>
        <w:t xml:space="preserve"> However, the EU is a long way off the overall 3% of Gross Domestic Product Research and Development investment target.</w:t>
      </w:r>
      <w:r>
        <w:rPr>
          <w:rStyle w:val="FootnoteReference"/>
          <w:rFonts w:ascii="Times New Roman" w:hAnsi="Times New Roman" w:cs="Times New Roman"/>
          <w:noProof/>
          <w:sz w:val="24"/>
          <w:szCs w:val="24"/>
        </w:rPr>
        <w:footnoteReference w:id="13"/>
      </w:r>
    </w:p>
    <w:p w:rsidR="0049469F" w:rsidRDefault="002523FD">
      <w:pPr>
        <w:keepNext/>
        <w:spacing w:after="120" w:line="240" w:lineRule="auto"/>
        <w:jc w:val="center"/>
        <w:rPr>
          <w:rFonts w:ascii="Times New Roman" w:hAnsi="Times New Roman" w:cs="Times New Roman"/>
          <w:b/>
          <w:noProof/>
          <w:sz w:val="24"/>
          <w:szCs w:val="24"/>
        </w:rPr>
      </w:pPr>
      <w:r>
        <w:rPr>
          <w:rFonts w:ascii="Times New Roman" w:hAnsi="Times New Roman"/>
          <w:b/>
          <w:noProof/>
        </w:rPr>
        <w:t>Research and Devel</w:t>
      </w:r>
      <w:r>
        <w:rPr>
          <w:rFonts w:ascii="Times New Roman" w:hAnsi="Times New Roman"/>
          <w:b/>
          <w:noProof/>
        </w:rPr>
        <w:t>opment intensity 2016</w:t>
      </w:r>
      <w:r>
        <w:rPr>
          <w:rStyle w:val="FootnoteReference"/>
          <w:rFonts w:ascii="Times New Roman" w:hAnsi="Times New Roman" w:cs="Times New Roman"/>
          <w:noProof/>
          <w:sz w:val="24"/>
          <w:szCs w:val="24"/>
        </w:rPr>
        <w:footnoteReference w:id="14"/>
      </w:r>
    </w:p>
    <w:p w:rsidR="0049469F" w:rsidRDefault="002523FD">
      <w:pPr>
        <w:spacing w:line="240" w:lineRule="auto"/>
        <w:jc w:val="both"/>
        <w:rPr>
          <w:rFonts w:ascii="Times New Roman" w:hAnsi="Times New Roman" w:cs="Times New Roman"/>
          <w:noProof/>
        </w:rPr>
      </w:pPr>
      <w:r>
        <w:rPr>
          <w:noProof/>
          <w:lang w:eastAsia="en-GB"/>
        </w:rPr>
        <w:drawing>
          <wp:inline distT="0" distB="0" distL="0" distR="0" wp14:anchorId="05A246A4" wp14:editId="3D7CB38E">
            <wp:extent cx="5760138" cy="2253967"/>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9469F" w:rsidRDefault="002523FD">
      <w:pPr>
        <w:keepNext/>
        <w:spacing w:before="24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Public investment</w:t>
      </w:r>
    </w:p>
    <w:p w:rsidR="0049469F" w:rsidRDefault="002523FD">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vast majority of public investment in research and innovation in the EU – around 85% – comes from national funding. While public funding for research and development in the EU and its Member States is broadly </w:t>
      </w:r>
      <w:r>
        <w:rPr>
          <w:rFonts w:ascii="Times New Roman" w:hAnsi="Times New Roman" w:cs="Times New Roman"/>
          <w:noProof/>
          <w:sz w:val="24"/>
          <w:szCs w:val="24"/>
        </w:rPr>
        <w:t xml:space="preserve">comparable to US spending, there are large differences across Member States. Boosting public research and innovation investment in the low-spending Member States is essential to maximise the EU's innovation potential. </w:t>
      </w:r>
    </w:p>
    <w:p w:rsidR="0049469F" w:rsidRDefault="002523FD">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At the European level, the current EU</w:t>
      </w:r>
      <w:r>
        <w:rPr>
          <w:rFonts w:ascii="Times New Roman" w:hAnsi="Times New Roman" w:cs="Times New Roman"/>
          <w:noProof/>
          <w:sz w:val="24"/>
          <w:szCs w:val="24"/>
        </w:rPr>
        <w:t xml:space="preserve"> Research and Innovation programme, </w:t>
      </w:r>
      <w:r>
        <w:rPr>
          <w:rFonts w:ascii="Times New Roman" w:hAnsi="Times New Roman" w:cs="Times New Roman"/>
          <w:b/>
          <w:noProof/>
          <w:sz w:val="24"/>
          <w:szCs w:val="24"/>
        </w:rPr>
        <w:t>Horizon 2020</w:t>
      </w:r>
      <w:r>
        <w:rPr>
          <w:rFonts w:ascii="Times New Roman" w:hAnsi="Times New Roman" w:cs="Times New Roman"/>
          <w:noProof/>
          <w:sz w:val="24"/>
          <w:szCs w:val="24"/>
        </w:rPr>
        <w:t>, has been very successful – placing the EU as global leader in many areas of science and technology.</w:t>
      </w:r>
      <w:r>
        <w:rPr>
          <w:rStyle w:val="FootnoteReference"/>
          <w:rFonts w:ascii="Times New Roman" w:hAnsi="Times New Roman" w:cs="Times New Roman"/>
          <w:noProof/>
          <w:sz w:val="24"/>
          <w:szCs w:val="24"/>
        </w:rPr>
        <w:footnoteReference w:id="15"/>
      </w:r>
      <w:r>
        <w:rPr>
          <w:rFonts w:ascii="Times New Roman" w:hAnsi="Times New Roman" w:cs="Times New Roman"/>
          <w:noProof/>
          <w:sz w:val="24"/>
          <w:szCs w:val="24"/>
        </w:rPr>
        <w:t xml:space="preserve"> With a total budget of over EUR 13.1 billion for the period 2014-2020, the </w:t>
      </w:r>
      <w:r>
        <w:rPr>
          <w:rFonts w:ascii="Times New Roman" w:hAnsi="Times New Roman" w:cs="Times New Roman"/>
          <w:b/>
          <w:noProof/>
          <w:sz w:val="24"/>
          <w:szCs w:val="24"/>
        </w:rPr>
        <w:t>European Research Council</w:t>
      </w:r>
      <w:r>
        <w:rPr>
          <w:rStyle w:val="FootnoteReference"/>
          <w:rFonts w:ascii="Times New Roman" w:hAnsi="Times New Roman" w:cs="Times New Roman"/>
          <w:noProof/>
          <w:sz w:val="24"/>
          <w:szCs w:val="24"/>
        </w:rPr>
        <w:footnoteReference w:id="16"/>
      </w:r>
      <w:r>
        <w:rPr>
          <w:rFonts w:ascii="Times New Roman" w:hAnsi="Times New Roman" w:cs="Times New Roman"/>
          <w:noProof/>
          <w:sz w:val="24"/>
          <w:szCs w:val="24"/>
        </w:rPr>
        <w:t xml:space="preserve"> has</w:t>
      </w:r>
      <w:r>
        <w:rPr>
          <w:rFonts w:ascii="Times New Roman" w:hAnsi="Times New Roman" w:cs="Times New Roman"/>
          <w:noProof/>
          <w:sz w:val="24"/>
          <w:szCs w:val="24"/>
        </w:rPr>
        <w:t xml:space="preserve"> helped to drive scientific excellence in frontier research and attract some of the best talent to Europe.</w:t>
      </w:r>
      <w:r>
        <w:rPr>
          <w:rStyle w:val="FootnoteReference"/>
          <w:rFonts w:ascii="Times New Roman" w:hAnsi="Times New Roman" w:cs="Times New Roman"/>
          <w:noProof/>
          <w:sz w:val="24"/>
          <w:szCs w:val="24"/>
        </w:rPr>
        <w:footnoteReference w:id="17"/>
      </w:r>
      <w:r>
        <w:rPr>
          <w:rFonts w:ascii="Times New Roman" w:hAnsi="Times New Roman" w:cs="Times New Roman"/>
          <w:noProof/>
          <w:sz w:val="24"/>
          <w:szCs w:val="24"/>
        </w:rPr>
        <w:t xml:space="preserve"> With a budget of EUR 6.2 billion, the </w:t>
      </w:r>
      <w:r>
        <w:rPr>
          <w:rFonts w:ascii="Times New Roman" w:hAnsi="Times New Roman" w:cs="Times New Roman"/>
          <w:b/>
          <w:noProof/>
          <w:sz w:val="24"/>
          <w:szCs w:val="24"/>
        </w:rPr>
        <w:t>Marie Sklodowska Curie Actions</w:t>
      </w:r>
      <w:r>
        <w:rPr>
          <w:rFonts w:ascii="Times New Roman" w:hAnsi="Times New Roman" w:cs="Times New Roman"/>
          <w:noProof/>
          <w:sz w:val="24"/>
          <w:szCs w:val="24"/>
        </w:rPr>
        <w:t xml:space="preserve"> have supported high quality researchers throughout their careers.</w:t>
      </w:r>
      <w:r>
        <w:rPr>
          <w:rStyle w:val="FootnoteReference"/>
          <w:rFonts w:ascii="Times New Roman" w:hAnsi="Times New Roman" w:cs="Times New Roman"/>
          <w:noProof/>
          <w:sz w:val="24"/>
          <w:szCs w:val="24"/>
        </w:rPr>
        <w:footnoteReference w:id="18"/>
      </w:r>
      <w:r>
        <w:rPr>
          <w:rFonts w:ascii="Times New Roman" w:hAnsi="Times New Roman" w:cs="Times New Roman"/>
          <w:noProof/>
          <w:sz w:val="24"/>
          <w:szCs w:val="24"/>
        </w:rPr>
        <w:t xml:space="preserve"> </w:t>
      </w:r>
    </w:p>
    <w:p w:rsidR="0049469F" w:rsidRDefault="002523FD">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Investm</w:t>
      </w:r>
      <w:r>
        <w:rPr>
          <w:rFonts w:ascii="Times New Roman" w:hAnsi="Times New Roman" w:cs="Times New Roman"/>
          <w:b/>
          <w:noProof/>
          <w:sz w:val="24"/>
          <w:szCs w:val="24"/>
        </w:rPr>
        <w:t>ent Plan for Europe</w:t>
      </w:r>
      <w:r>
        <w:rPr>
          <w:rFonts w:ascii="Times New Roman" w:hAnsi="Times New Roman" w:cs="Times New Roman"/>
          <w:noProof/>
          <w:sz w:val="24"/>
          <w:szCs w:val="24"/>
        </w:rPr>
        <w:t xml:space="preserve"> has supported innovative projects and small and medium sized enterprises in particular.</w:t>
      </w:r>
      <w:r>
        <w:rPr>
          <w:rStyle w:val="FootnoteReference"/>
          <w:rFonts w:ascii="Times New Roman" w:hAnsi="Times New Roman" w:cs="Times New Roman"/>
          <w:noProof/>
          <w:sz w:val="24"/>
          <w:szCs w:val="24"/>
        </w:rPr>
        <w:footnoteReference w:id="19"/>
      </w:r>
      <w:r>
        <w:rPr>
          <w:rFonts w:ascii="Times New Roman" w:hAnsi="Times New Roman" w:cs="Times New Roman"/>
          <w:noProof/>
          <w:sz w:val="24"/>
          <w:szCs w:val="24"/>
        </w:rPr>
        <w:t xml:space="preserve"> The </w:t>
      </w:r>
      <w:r>
        <w:rPr>
          <w:rFonts w:ascii="Times New Roman" w:hAnsi="Times New Roman"/>
          <w:b/>
          <w:noProof/>
          <w:sz w:val="24"/>
        </w:rPr>
        <w:t>European Structural and Investment Funds</w:t>
      </w:r>
      <w:r>
        <w:rPr>
          <w:rFonts w:ascii="Times New Roman" w:hAnsi="Times New Roman" w:cs="Times New Roman"/>
          <w:noProof/>
          <w:sz w:val="24"/>
          <w:szCs w:val="24"/>
        </w:rPr>
        <w:t xml:space="preserve"> have been vital for public investment in research and innovation and for its regional spread.</w:t>
      </w:r>
      <w:r>
        <w:rPr>
          <w:rStyle w:val="FootnoteReference"/>
          <w:rFonts w:ascii="Times New Roman" w:hAnsi="Times New Roman" w:cs="Times New Roman"/>
          <w:noProof/>
          <w:sz w:val="24"/>
          <w:szCs w:val="24"/>
        </w:rPr>
        <w:footnoteReference w:id="20"/>
      </w:r>
    </w:p>
    <w:p w:rsidR="0049469F" w:rsidRDefault="002523FD">
      <w:pPr>
        <w:spacing w:line="240" w:lineRule="auto"/>
        <w:jc w:val="both"/>
        <w:rPr>
          <w:rFonts w:ascii="Times New Roman" w:hAnsi="Times New Roman"/>
          <w:noProof/>
          <w:sz w:val="24"/>
          <w:szCs w:val="24"/>
        </w:rPr>
      </w:pPr>
      <w:r>
        <w:rPr>
          <w:rFonts w:ascii="Times New Roman" w:hAnsi="Times New Roman" w:cs="Times New Roman"/>
          <w:noProof/>
          <w:sz w:val="24"/>
          <w:szCs w:val="24"/>
        </w:rPr>
        <w:t xml:space="preserve">In its proposal on the </w:t>
      </w:r>
      <w:r>
        <w:rPr>
          <w:rFonts w:ascii="Times New Roman" w:hAnsi="Times New Roman" w:cs="Times New Roman"/>
          <w:b/>
          <w:noProof/>
          <w:sz w:val="24"/>
          <w:szCs w:val="24"/>
        </w:rPr>
        <w:t>Multiannual Financial Framework 2021-2027</w:t>
      </w:r>
      <w:r>
        <w:rPr>
          <w:rFonts w:ascii="Times New Roman" w:hAnsi="Times New Roman" w:cs="Times New Roman"/>
          <w:noProof/>
          <w:sz w:val="24"/>
          <w:szCs w:val="24"/>
        </w:rPr>
        <w:t xml:space="preserve"> of 2 May 2018,</w:t>
      </w:r>
      <w:r>
        <w:rPr>
          <w:rStyle w:val="FootnoteReference"/>
          <w:rFonts w:ascii="Times New Roman" w:hAnsi="Times New Roman" w:cs="Times New Roman"/>
          <w:noProof/>
          <w:sz w:val="24"/>
          <w:szCs w:val="24"/>
        </w:rPr>
        <w:footnoteReference w:id="21"/>
      </w:r>
      <w:r>
        <w:rPr>
          <w:rFonts w:ascii="Times New Roman" w:hAnsi="Times New Roman" w:cs="Times New Roman"/>
          <w:noProof/>
          <w:sz w:val="24"/>
          <w:szCs w:val="24"/>
        </w:rPr>
        <w:t xml:space="preserve"> the Commission made it clear that </w:t>
      </w:r>
      <w:r>
        <w:rPr>
          <w:rFonts w:ascii="Times New Roman" w:hAnsi="Times New Roman"/>
          <w:noProof/>
          <w:sz w:val="24"/>
          <w:szCs w:val="24"/>
        </w:rPr>
        <w:t>research and innovation must continue to be an essential EU priority. The Commission proposed to increase investments in research and innovat</w:t>
      </w:r>
      <w:r>
        <w:rPr>
          <w:rFonts w:ascii="Times New Roman" w:hAnsi="Times New Roman"/>
          <w:noProof/>
          <w:sz w:val="24"/>
          <w:szCs w:val="24"/>
        </w:rPr>
        <w:t xml:space="preserve">ion by allocating EUR 100 billion to the future programme </w:t>
      </w:r>
      <w:r>
        <w:rPr>
          <w:rFonts w:ascii="Times New Roman" w:hAnsi="Times New Roman"/>
          <w:b/>
          <w:noProof/>
          <w:sz w:val="24"/>
          <w:szCs w:val="24"/>
        </w:rPr>
        <w:t xml:space="preserve">Horizon Europe </w:t>
      </w:r>
      <w:r>
        <w:rPr>
          <w:rFonts w:ascii="Times New Roman" w:hAnsi="Times New Roman"/>
          <w:noProof/>
          <w:sz w:val="24"/>
          <w:szCs w:val="24"/>
        </w:rPr>
        <w:t>and</w:t>
      </w:r>
      <w:r>
        <w:rPr>
          <w:rFonts w:ascii="Times New Roman" w:hAnsi="Times New Roman"/>
          <w:b/>
          <w:noProof/>
          <w:sz w:val="24"/>
          <w:szCs w:val="24"/>
        </w:rPr>
        <w:t xml:space="preserve"> the Euratom Research and Training Programme</w:t>
      </w:r>
      <w:r>
        <w:rPr>
          <w:rFonts w:ascii="Times New Roman" w:hAnsi="Times New Roman"/>
          <w:noProof/>
          <w:sz w:val="24"/>
          <w:szCs w:val="24"/>
        </w:rPr>
        <w:t>. Equally, the Commission proposed to mobilise around EUR 11 billion for market based instruments including financial instruments and bu</w:t>
      </w:r>
      <w:r>
        <w:rPr>
          <w:rFonts w:ascii="Times New Roman" w:hAnsi="Times New Roman"/>
          <w:noProof/>
          <w:sz w:val="24"/>
          <w:szCs w:val="24"/>
        </w:rPr>
        <w:t xml:space="preserve">dgetary guarantees in a dedicated window under the </w:t>
      </w:r>
      <w:r>
        <w:rPr>
          <w:rFonts w:ascii="Times New Roman" w:hAnsi="Times New Roman"/>
          <w:b/>
          <w:noProof/>
          <w:sz w:val="24"/>
          <w:szCs w:val="24"/>
        </w:rPr>
        <w:t>InvestEU</w:t>
      </w:r>
      <w:r>
        <w:rPr>
          <w:rFonts w:ascii="Times New Roman" w:hAnsi="Times New Roman"/>
          <w:noProof/>
          <w:sz w:val="24"/>
          <w:szCs w:val="24"/>
        </w:rPr>
        <w:t xml:space="preserve"> </w:t>
      </w:r>
      <w:r>
        <w:rPr>
          <w:rFonts w:ascii="Times New Roman" w:hAnsi="Times New Roman"/>
          <w:b/>
          <w:noProof/>
          <w:sz w:val="24"/>
          <w:szCs w:val="24"/>
        </w:rPr>
        <w:t xml:space="preserve">Fund, </w:t>
      </w:r>
      <w:r>
        <w:rPr>
          <w:rFonts w:ascii="Times New Roman" w:hAnsi="Times New Roman"/>
          <w:noProof/>
          <w:sz w:val="24"/>
          <w:szCs w:val="24"/>
        </w:rPr>
        <w:t>which in return will mobilise  EUR 200 billion of private investment to support research and innovation.</w:t>
      </w:r>
      <w:r>
        <w:rPr>
          <w:rStyle w:val="FootnoteReference"/>
          <w:rFonts w:ascii="Times New Roman" w:hAnsi="Times New Roman"/>
          <w:noProof/>
          <w:sz w:val="24"/>
          <w:szCs w:val="24"/>
        </w:rPr>
        <w:footnoteReference w:id="22"/>
      </w:r>
      <w:r>
        <w:rPr>
          <w:rFonts w:ascii="Times New Roman" w:hAnsi="Times New Roman"/>
          <w:noProof/>
          <w:sz w:val="24"/>
          <w:szCs w:val="24"/>
        </w:rPr>
        <w:t xml:space="preserve"> This reflects the consensus that investment in research and innovation is not only c</w:t>
      </w:r>
      <w:r>
        <w:rPr>
          <w:rFonts w:ascii="Times New Roman" w:hAnsi="Times New Roman"/>
          <w:noProof/>
          <w:sz w:val="24"/>
          <w:szCs w:val="24"/>
        </w:rPr>
        <w:t>ritical to the EU's jobs and growth; it is also an area with a very high European added value.</w:t>
      </w:r>
    </w:p>
    <w:p w:rsidR="0049469F" w:rsidRDefault="002523FD">
      <w:pPr>
        <w:spacing w:line="240" w:lineRule="auto"/>
        <w:jc w:val="both"/>
        <w:rPr>
          <w:rFonts w:ascii="Times New Roman" w:hAnsi="Times New Roman"/>
          <w:noProof/>
          <w:sz w:val="24"/>
          <w:szCs w:val="24"/>
        </w:rPr>
      </w:pPr>
      <w:r>
        <w:rPr>
          <w:rFonts w:ascii="Times New Roman" w:hAnsi="Times New Roman"/>
          <w:noProof/>
          <w:sz w:val="24"/>
          <w:szCs w:val="24"/>
        </w:rPr>
        <w:t>Innovation must be a central driver for EU policies and programmes for 2021-2027. Complementarities and synergies with EU funding programmes will be fully exploi</w:t>
      </w:r>
      <w:r>
        <w:rPr>
          <w:rFonts w:ascii="Times New Roman" w:hAnsi="Times New Roman"/>
          <w:noProof/>
          <w:sz w:val="24"/>
          <w:szCs w:val="24"/>
        </w:rPr>
        <w:t xml:space="preserve">ted, so that funding is streamlined and coordinated for the benefit of improved research and innovation activities. In this way, in addition to the Horizon Europe programme, other major funding programmes such as the </w:t>
      </w:r>
      <w:r>
        <w:rPr>
          <w:rFonts w:ascii="Times New Roman" w:hAnsi="Times New Roman"/>
          <w:noProof/>
          <w:sz w:val="24"/>
        </w:rPr>
        <w:t>Connecting Europe Facility</w:t>
      </w:r>
      <w:r>
        <w:rPr>
          <w:rFonts w:ascii="Times New Roman" w:hAnsi="Times New Roman"/>
          <w:noProof/>
          <w:sz w:val="24"/>
          <w:szCs w:val="24"/>
        </w:rPr>
        <w:t xml:space="preserve"> the </w:t>
      </w:r>
      <w:r>
        <w:rPr>
          <w:rFonts w:ascii="Times New Roman" w:hAnsi="Times New Roman"/>
          <w:noProof/>
          <w:sz w:val="24"/>
        </w:rPr>
        <w:t>European</w:t>
      </w:r>
      <w:r>
        <w:rPr>
          <w:rFonts w:ascii="Times New Roman" w:hAnsi="Times New Roman"/>
          <w:noProof/>
          <w:sz w:val="24"/>
        </w:rPr>
        <w:t xml:space="preserve"> Regional Development and Cohesion Funds, </w:t>
      </w:r>
      <w:r>
        <w:rPr>
          <w:rFonts w:ascii="Times New Roman" w:hAnsi="Times New Roman"/>
          <w:noProof/>
          <w:sz w:val="24"/>
          <w:szCs w:val="24"/>
        </w:rPr>
        <w:t xml:space="preserve">the </w:t>
      </w:r>
      <w:r>
        <w:rPr>
          <w:rFonts w:ascii="Times New Roman" w:hAnsi="Times New Roman"/>
          <w:noProof/>
          <w:sz w:val="24"/>
        </w:rPr>
        <w:t>Digital Europe Programme, the European Defence Fund,</w:t>
      </w:r>
      <w:r>
        <w:rPr>
          <w:rFonts w:ascii="Times New Roman" w:hAnsi="Times New Roman"/>
          <w:noProof/>
          <w:sz w:val="24"/>
          <w:szCs w:val="24"/>
        </w:rPr>
        <w:t xml:space="preserve"> </w:t>
      </w:r>
      <w:r>
        <w:rPr>
          <w:rFonts w:ascii="Times New Roman" w:hAnsi="Times New Roman"/>
          <w:noProof/>
          <w:sz w:val="24"/>
        </w:rPr>
        <w:t xml:space="preserve">the Common Agricultural Policy </w:t>
      </w:r>
      <w:r>
        <w:rPr>
          <w:rFonts w:ascii="Times New Roman" w:hAnsi="Times New Roman"/>
          <w:noProof/>
          <w:sz w:val="24"/>
          <w:szCs w:val="24"/>
        </w:rPr>
        <w:t xml:space="preserve">and </w:t>
      </w:r>
      <w:r>
        <w:rPr>
          <w:rFonts w:ascii="Times New Roman" w:hAnsi="Times New Roman"/>
          <w:noProof/>
          <w:sz w:val="24"/>
        </w:rPr>
        <w:t>the Space Programme</w:t>
      </w:r>
      <w:r>
        <w:rPr>
          <w:rFonts w:ascii="Times New Roman" w:hAnsi="Times New Roman"/>
          <w:noProof/>
          <w:sz w:val="24"/>
          <w:szCs w:val="24"/>
        </w:rPr>
        <w:t xml:space="preserve"> will also provide a significant stimulus to innovation. </w:t>
      </w:r>
    </w:p>
    <w:p w:rsidR="0049469F" w:rsidRDefault="002523FD">
      <w:pPr>
        <w:keepNext/>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Private investment</w:t>
      </w:r>
    </w:p>
    <w:p w:rsidR="0049469F" w:rsidRDefault="002523FD">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Low private investment in </w:t>
      </w:r>
      <w:r>
        <w:rPr>
          <w:rFonts w:ascii="Times New Roman" w:hAnsi="Times New Roman" w:cs="Times New Roman"/>
          <w:b/>
          <w:noProof/>
          <w:sz w:val="24"/>
          <w:szCs w:val="24"/>
        </w:rPr>
        <w:t>innovation is a persistent weakness in Europe.</w:t>
      </w:r>
      <w:r>
        <w:rPr>
          <w:rFonts w:ascii="Times New Roman" w:hAnsi="Times New Roman" w:cs="Times New Roman"/>
          <w:noProof/>
          <w:sz w:val="24"/>
          <w:szCs w:val="24"/>
        </w:rPr>
        <w:t xml:space="preserve"> The level of business research and innovation investment in the EU is at 1.3% of Gross Domestic Product. This pales in comparison to China (1.6%), the United States (2%), Japan (2.6%), or South Korea (3.3%).</w:t>
      </w:r>
      <w:r>
        <w:rPr>
          <w:rStyle w:val="FootnoteReference"/>
          <w:rFonts w:ascii="Times New Roman" w:hAnsi="Times New Roman" w:cs="Times New Roman"/>
          <w:noProof/>
          <w:sz w:val="24"/>
          <w:szCs w:val="24"/>
        </w:rPr>
        <w:footnoteReference w:id="23"/>
      </w:r>
    </w:p>
    <w:p w:rsidR="0049469F" w:rsidRDefault="002523FD">
      <w:pPr>
        <w:keepNext/>
        <w:spacing w:after="0" w:line="240" w:lineRule="auto"/>
        <w:jc w:val="center"/>
        <w:rPr>
          <w:rFonts w:ascii="Times New Roman" w:hAnsi="Times New Roman" w:cs="Times New Roman"/>
          <w:b/>
          <w:noProof/>
          <w:sz w:val="24"/>
          <w:szCs w:val="24"/>
        </w:rPr>
      </w:pPr>
      <w:r>
        <w:rPr>
          <w:rFonts w:ascii="Times New Roman" w:hAnsi="Times New Roman" w:cs="Times New Roman"/>
          <w:b/>
          <w:noProof/>
          <w:szCs w:val="24"/>
        </w:rPr>
        <w:t>EU companies spend less on Research and Development than their competitors</w:t>
      </w:r>
      <w:r>
        <w:rPr>
          <w:rStyle w:val="FootnoteReference"/>
          <w:rFonts w:ascii="Times New Roman" w:hAnsi="Times New Roman" w:cs="Times New Roman"/>
          <w:noProof/>
          <w:szCs w:val="24"/>
        </w:rPr>
        <w:footnoteReference w:id="24"/>
      </w:r>
    </w:p>
    <w:p w:rsidR="0049469F" w:rsidRDefault="002523FD">
      <w:pPr>
        <w:keepNext/>
        <w:spacing w:after="0" w:line="240" w:lineRule="auto"/>
        <w:jc w:val="center"/>
        <w:rPr>
          <w:rFonts w:ascii="Times New Roman" w:hAnsi="Times New Roman" w:cs="Times New Roman"/>
          <w:noProof/>
          <w:szCs w:val="24"/>
        </w:rPr>
      </w:pPr>
      <w:r>
        <w:rPr>
          <w:rFonts w:ascii="Times New Roman" w:hAnsi="Times New Roman" w:cs="Times New Roman"/>
          <w:noProof/>
          <w:szCs w:val="24"/>
        </w:rPr>
        <w:t>Evolution of business R&amp;D intensity, 2000-2016</w:t>
      </w:r>
    </w:p>
    <w:p w:rsidR="0049469F" w:rsidRDefault="002523FD">
      <w:pPr>
        <w:spacing w:line="240" w:lineRule="auto"/>
        <w:jc w:val="both"/>
        <w:rPr>
          <w:rFonts w:ascii="Times New Roman" w:hAnsi="Times New Roman" w:cs="Times New Roman"/>
          <w:noProof/>
          <w:sz w:val="24"/>
          <w:szCs w:val="24"/>
        </w:rPr>
      </w:pPr>
      <w:r>
        <w:rPr>
          <w:noProof/>
          <w:lang w:eastAsia="en-GB"/>
        </w:rPr>
        <w:drawing>
          <wp:inline distT="0" distB="0" distL="0" distR="0" wp14:anchorId="74012E57" wp14:editId="6C5BC50D">
            <wp:extent cx="5760000" cy="35640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9469F" w:rsidRDefault="002523FD">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Europe needs an industry that innovates and invests in innovation. To boost private investment, Europe needs an improved environmen</w:t>
      </w:r>
      <w:r>
        <w:rPr>
          <w:rFonts w:ascii="Times New Roman" w:hAnsi="Times New Roman" w:cs="Times New Roman"/>
          <w:noProof/>
          <w:sz w:val="24"/>
          <w:szCs w:val="24"/>
        </w:rPr>
        <w:t>t for businesses with a simple, clear and effective regulatory framework. It needs to provide the open and competitive markets, the right incentives for investment, and easier access to finance, particularly for small and medium-sized businesses. Funding f</w:t>
      </w:r>
      <w:r>
        <w:rPr>
          <w:rFonts w:ascii="Times New Roman" w:hAnsi="Times New Roman" w:cs="Times New Roman"/>
          <w:noProof/>
          <w:sz w:val="24"/>
          <w:szCs w:val="24"/>
        </w:rPr>
        <w:t>or industrial research, notably through public-private partnerships, is also particularly important to keep up with global competition.</w:t>
      </w:r>
    </w:p>
    <w:p w:rsidR="0049469F" w:rsidRDefault="0049469F">
      <w:pPr>
        <w:spacing w:after="0" w:line="240" w:lineRule="auto"/>
        <w:jc w:val="both"/>
        <w:rPr>
          <w:rFonts w:ascii="Times New Roman" w:hAnsi="Times New Roman" w:cs="Times New Roman"/>
          <w:noProof/>
          <w:sz w:val="24"/>
          <w:szCs w:val="24"/>
        </w:rPr>
      </w:pPr>
    </w:p>
    <w:p w:rsidR="0049469F" w:rsidRDefault="002523FD">
      <w:pPr>
        <w:spacing w:after="0" w:line="240" w:lineRule="auto"/>
        <w:jc w:val="both"/>
        <w:rPr>
          <w:rFonts w:ascii="Times New Roman" w:hAnsi="Times New Roman" w:cs="Times New Roman"/>
          <w:b/>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EU Industrial Policy Strategy</w:t>
      </w:r>
      <w:r>
        <w:rPr>
          <w:rFonts w:ascii="Times New Roman" w:hAnsi="Times New Roman" w:cs="Times New Roman"/>
          <w:noProof/>
          <w:sz w:val="24"/>
          <w:szCs w:val="24"/>
        </w:rPr>
        <w:t xml:space="preserve"> seeks to improve overall business conditions for private innovation investment, inclu</w:t>
      </w:r>
      <w:r>
        <w:rPr>
          <w:rFonts w:ascii="Times New Roman" w:hAnsi="Times New Roman" w:cs="Times New Roman"/>
          <w:noProof/>
          <w:sz w:val="24"/>
          <w:szCs w:val="24"/>
        </w:rPr>
        <w:t>ding facilitating the public procurement of innovative solutions. This is done through</w:t>
      </w:r>
      <w:r>
        <w:rPr>
          <w:rStyle w:val="FootnoteReference"/>
          <w:rFonts w:ascii="Times New Roman" w:hAnsi="Times New Roman" w:cs="Times New Roman"/>
          <w:noProof/>
          <w:sz w:val="24"/>
          <w:szCs w:val="24"/>
        </w:rPr>
        <w:t xml:space="preserve"> </w:t>
      </w:r>
      <w:r>
        <w:rPr>
          <w:rFonts w:ascii="Times New Roman" w:hAnsi="Times New Roman" w:cs="Times New Roman"/>
          <w:noProof/>
          <w:sz w:val="24"/>
          <w:szCs w:val="24"/>
        </w:rPr>
        <w:t xml:space="preserve"> a comprehensive set of actions ranging from the modernisation of intellectual property frameworks to the adoption of Digital Single Market initiatives such as cyber-sec</w:t>
      </w:r>
      <w:r>
        <w:rPr>
          <w:rFonts w:ascii="Times New Roman" w:hAnsi="Times New Roman" w:cs="Times New Roman"/>
          <w:noProof/>
          <w:sz w:val="24"/>
          <w:szCs w:val="24"/>
        </w:rPr>
        <w:t>urity and data flows regulation.</w:t>
      </w:r>
      <w:r>
        <w:rPr>
          <w:rStyle w:val="FootnoteReference"/>
          <w:rFonts w:ascii="Times New Roman" w:hAnsi="Times New Roman" w:cs="Times New Roman"/>
          <w:noProof/>
          <w:sz w:val="24"/>
          <w:szCs w:val="24"/>
        </w:rPr>
        <w:footnoteReference w:id="25"/>
      </w:r>
      <w:r>
        <w:rPr>
          <w:rFonts w:ascii="Times New Roman" w:hAnsi="Times New Roman" w:cs="Times New Roman"/>
          <w:noProof/>
          <w:sz w:val="24"/>
          <w:szCs w:val="24"/>
        </w:rPr>
        <w:t xml:space="preserve"> It complements the </w:t>
      </w:r>
      <w:r>
        <w:rPr>
          <w:rFonts w:ascii="Times New Roman" w:hAnsi="Times New Roman" w:cs="Times New Roman"/>
          <w:b/>
          <w:noProof/>
          <w:sz w:val="24"/>
          <w:szCs w:val="24"/>
        </w:rPr>
        <w:t>EU Better Regulation Agenda,</w:t>
      </w:r>
      <w:r>
        <w:rPr>
          <w:rFonts w:ascii="Times New Roman" w:hAnsi="Times New Roman" w:cs="Times New Roman"/>
          <w:noProof/>
          <w:sz w:val="24"/>
          <w:szCs w:val="24"/>
        </w:rPr>
        <w:t xml:space="preserve"> which ensures that EU polices and laws are as effective and efficient as possible through systematic stakeholder consultation, evaluations and impact assessments.</w:t>
      </w:r>
      <w:r>
        <w:rPr>
          <w:rStyle w:val="FootnoteReference"/>
          <w:rFonts w:ascii="Times New Roman" w:hAnsi="Times New Roman" w:cs="Times New Roman"/>
          <w:noProof/>
          <w:sz w:val="24"/>
          <w:szCs w:val="24"/>
        </w:rPr>
        <w:footnoteReference w:id="26"/>
      </w:r>
      <w:r>
        <w:rPr>
          <w:rFonts w:ascii="Times New Roman" w:hAnsi="Times New Roman" w:cs="Times New Roman"/>
          <w:noProof/>
          <w:sz w:val="24"/>
          <w:szCs w:val="24"/>
        </w:rPr>
        <w:t xml:space="preserve"> </w:t>
      </w:r>
      <w:r>
        <w:rPr>
          <w:rFonts w:ascii="Times New Roman" w:eastAsia="Calibri" w:hAnsi="Times New Roman" w:cs="Times New Roman"/>
          <w:noProof/>
          <w:sz w:val="24"/>
          <w:szCs w:val="24"/>
        </w:rPr>
        <w:t>Recent ini</w:t>
      </w:r>
      <w:r>
        <w:rPr>
          <w:rFonts w:ascii="Times New Roman" w:eastAsia="Calibri" w:hAnsi="Times New Roman" w:cs="Times New Roman"/>
          <w:noProof/>
          <w:sz w:val="24"/>
          <w:szCs w:val="24"/>
        </w:rPr>
        <w:t xml:space="preserve">tiatives on </w:t>
      </w:r>
      <w:r>
        <w:rPr>
          <w:rFonts w:ascii="Times New Roman" w:eastAsia="Calibri" w:hAnsi="Times New Roman" w:cs="Times New Roman"/>
          <w:b/>
          <w:noProof/>
          <w:sz w:val="24"/>
          <w:szCs w:val="24"/>
        </w:rPr>
        <w:t>Artificial Intelligence</w:t>
      </w:r>
      <w:r>
        <w:rPr>
          <w:rFonts w:ascii="Times New Roman" w:eastAsia="Calibri" w:hAnsi="Times New Roman" w:cs="Times New Roman"/>
          <w:noProof/>
          <w:sz w:val="24"/>
          <w:szCs w:val="24"/>
        </w:rPr>
        <w:t xml:space="preserve">, </w:t>
      </w:r>
      <w:r>
        <w:rPr>
          <w:rFonts w:ascii="Times New Roman" w:eastAsia="Calibri" w:hAnsi="Times New Roman" w:cs="Times New Roman"/>
          <w:b/>
          <w:noProof/>
          <w:sz w:val="24"/>
          <w:szCs w:val="24"/>
        </w:rPr>
        <w:t>High Performance Computing</w:t>
      </w:r>
      <w:r>
        <w:rPr>
          <w:rFonts w:ascii="Times New Roman" w:eastAsia="Calibri" w:hAnsi="Times New Roman" w:cs="Times New Roman"/>
          <w:noProof/>
          <w:sz w:val="24"/>
          <w:szCs w:val="24"/>
        </w:rPr>
        <w:t xml:space="preserve"> and the </w:t>
      </w:r>
      <w:r>
        <w:rPr>
          <w:rFonts w:ascii="Times New Roman" w:eastAsia="Calibri" w:hAnsi="Times New Roman" w:cs="Times New Roman"/>
          <w:b/>
          <w:noProof/>
          <w:sz w:val="24"/>
          <w:szCs w:val="24"/>
        </w:rPr>
        <w:t>Data Economy</w:t>
      </w:r>
      <w:r>
        <w:rPr>
          <w:rFonts w:ascii="Times New Roman" w:hAnsi="Times New Roman"/>
          <w:b/>
          <w:noProof/>
          <w:sz w:val="24"/>
        </w:rPr>
        <w:t xml:space="preserve"> </w:t>
      </w:r>
      <w:r>
        <w:rPr>
          <w:rFonts w:ascii="Times New Roman" w:eastAsia="Calibri" w:hAnsi="Times New Roman" w:cs="Times New Roman"/>
          <w:noProof/>
          <w:sz w:val="24"/>
          <w:szCs w:val="24"/>
        </w:rPr>
        <w:t>amongst others will help place Europe to be at the forefront of the next innovation wave.</w:t>
      </w:r>
      <w:r>
        <w:rPr>
          <w:rFonts w:ascii="Times New Roman" w:eastAsia="Calibri" w:hAnsi="Times New Roman" w:cs="Times New Roman"/>
          <w:noProof/>
          <w:sz w:val="24"/>
          <w:szCs w:val="24"/>
          <w:vertAlign w:val="superscript"/>
        </w:rPr>
        <w:footnoteReference w:id="27"/>
      </w:r>
      <w:r>
        <w:rPr>
          <w:rFonts w:ascii="Times New Roman" w:eastAsia="Calibri" w:hAnsi="Times New Roman" w:cs="Times New Roman"/>
          <w:noProof/>
          <w:sz w:val="24"/>
          <w:szCs w:val="24"/>
        </w:rPr>
        <w:t xml:space="preserve"> </w:t>
      </w:r>
      <w:r>
        <w:rPr>
          <w:rFonts w:ascii="Times New Roman" w:hAnsi="Times New Roman" w:cs="Times New Roman"/>
          <w:noProof/>
          <w:sz w:val="24"/>
          <w:szCs w:val="24"/>
        </w:rPr>
        <w:t xml:space="preserve">The </w:t>
      </w:r>
      <w:r>
        <w:rPr>
          <w:rFonts w:ascii="Times New Roman" w:hAnsi="Times New Roman" w:cs="Times New Roman"/>
          <w:b/>
          <w:noProof/>
          <w:sz w:val="24"/>
          <w:szCs w:val="24"/>
        </w:rPr>
        <w:t>Investment Plan for Europe</w:t>
      </w:r>
      <w:r>
        <w:rPr>
          <w:rFonts w:ascii="Times New Roman" w:hAnsi="Times New Roman" w:cs="Times New Roman"/>
          <w:noProof/>
          <w:sz w:val="24"/>
          <w:szCs w:val="24"/>
        </w:rPr>
        <w:t xml:space="preserve"> removes obstacles to investment, provides visibility and technical assistance to investment projects, and makes smarter use of financial resources.</w:t>
      </w:r>
      <w:r>
        <w:rPr>
          <w:rStyle w:val="FootnoteReference"/>
          <w:rFonts w:ascii="Times New Roman" w:hAnsi="Times New Roman" w:cs="Times New Roman"/>
          <w:noProof/>
          <w:sz w:val="24"/>
          <w:szCs w:val="24"/>
        </w:rPr>
        <w:footnoteReference w:id="28"/>
      </w:r>
      <w:r>
        <w:rPr>
          <w:rFonts w:ascii="Times New Roman" w:hAnsi="Times New Roman" w:cs="Times New Roman"/>
          <w:noProof/>
          <w:sz w:val="24"/>
          <w:szCs w:val="24"/>
        </w:rPr>
        <w:t xml:space="preserve"> </w:t>
      </w:r>
    </w:p>
    <w:p w:rsidR="0049469F" w:rsidRDefault="002523FD">
      <w:pPr>
        <w:spacing w:before="240" w:after="240" w:line="240" w:lineRule="auto"/>
        <w:jc w:val="both"/>
        <w:rPr>
          <w:rFonts w:ascii="Times New Roman" w:hAnsi="Times New Roman"/>
          <w:i/>
          <w:noProof/>
        </w:rPr>
      </w:pPr>
      <w:r>
        <w:rPr>
          <w:rFonts w:ascii="Times New Roman" w:hAnsi="Times New Roman" w:cs="Times New Roman"/>
          <w:b/>
          <w:noProof/>
          <w:sz w:val="24"/>
          <w:szCs w:val="24"/>
        </w:rPr>
        <w:t>A specific European weakness is venture capital –</w:t>
      </w:r>
      <w:r>
        <w:rPr>
          <w:rFonts w:ascii="Times New Roman" w:hAnsi="Times New Roman" w:cs="Times New Roman"/>
          <w:noProof/>
          <w:sz w:val="24"/>
          <w:szCs w:val="24"/>
        </w:rPr>
        <w:t xml:space="preserve"> a key source of financing for innovative start-ups. Ove</w:t>
      </w:r>
      <w:r>
        <w:rPr>
          <w:rFonts w:ascii="Times New Roman" w:hAnsi="Times New Roman" w:cs="Times New Roman"/>
          <w:noProof/>
          <w:sz w:val="24"/>
          <w:szCs w:val="24"/>
        </w:rPr>
        <w:t>rall investment in venture capital is at one fifth the level of the United States.</w:t>
      </w:r>
      <w:r>
        <w:rPr>
          <w:rStyle w:val="FootnoteReference"/>
          <w:rFonts w:ascii="Times New Roman" w:hAnsi="Times New Roman" w:cs="Times New Roman"/>
          <w:noProof/>
          <w:szCs w:val="20"/>
        </w:rPr>
        <w:footnoteReference w:id="29"/>
      </w:r>
      <w:r>
        <w:rPr>
          <w:rFonts w:ascii="Times New Roman" w:hAnsi="Times New Roman" w:cs="Times New Roman"/>
          <w:noProof/>
          <w:sz w:val="24"/>
          <w:szCs w:val="24"/>
        </w:rPr>
        <w:t xml:space="preserve"> The average size of these funds in Europe is too small to attract major institutional and private investors. This leads to a shortfall in the financing of companies as they</w:t>
      </w:r>
      <w:r>
        <w:rPr>
          <w:rFonts w:ascii="Times New Roman" w:hAnsi="Times New Roman" w:cs="Times New Roman"/>
          <w:noProof/>
          <w:sz w:val="24"/>
          <w:szCs w:val="24"/>
        </w:rPr>
        <w:t xml:space="preserve"> grow as well as to an over-reliance on public support. </w:t>
      </w:r>
    </w:p>
    <w:p w:rsidR="0049469F" w:rsidRDefault="002523FD">
      <w:pPr>
        <w:keepNext/>
        <w:spacing w:before="240" w:after="240" w:line="240" w:lineRule="auto"/>
        <w:jc w:val="center"/>
        <w:rPr>
          <w:rFonts w:ascii="Times New Roman" w:hAnsi="Times New Roman" w:cs="Times New Roman"/>
          <w:b/>
          <w:noProof/>
          <w:sz w:val="24"/>
          <w:szCs w:val="24"/>
        </w:rPr>
      </w:pPr>
      <w:r>
        <w:rPr>
          <w:rFonts w:ascii="Times New Roman" w:hAnsi="Times New Roman" w:cs="Times New Roman"/>
          <w:b/>
          <w:noProof/>
          <w:szCs w:val="24"/>
        </w:rPr>
        <w:t xml:space="preserve">Venture capital funds raised (billion euro) in the EU and in the United States, 2007-2016 </w:t>
      </w:r>
      <w:r>
        <w:rPr>
          <w:rStyle w:val="FootnoteReference"/>
          <w:rFonts w:ascii="Times New Roman" w:hAnsi="Times New Roman" w:cs="Times New Roman"/>
          <w:noProof/>
          <w:szCs w:val="24"/>
        </w:rPr>
        <w:footnoteReference w:id="30"/>
      </w:r>
    </w:p>
    <w:p w:rsidR="0049469F" w:rsidRDefault="002523FD">
      <w:pPr>
        <w:spacing w:before="240" w:after="240" w:line="240" w:lineRule="auto"/>
        <w:jc w:val="both"/>
        <w:rPr>
          <w:rFonts w:ascii="Times New Roman" w:hAnsi="Times New Roman" w:cs="Times New Roman"/>
          <w:i/>
          <w:noProof/>
          <w:szCs w:val="20"/>
        </w:rPr>
      </w:pPr>
      <w:r>
        <w:rPr>
          <w:noProof/>
          <w:lang w:eastAsia="en-GB"/>
        </w:rPr>
        <w:drawing>
          <wp:inline distT="0" distB="0" distL="0" distR="0" wp14:anchorId="17A370E5" wp14:editId="742ECDB1">
            <wp:extent cx="5760720" cy="3415643"/>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9469F" w:rsidRDefault="0049469F">
      <w:pPr>
        <w:spacing w:line="240" w:lineRule="auto"/>
        <w:jc w:val="center"/>
        <w:rPr>
          <w:rFonts w:ascii="Times New Roman" w:hAnsi="Times New Roman" w:cs="Times New Roman"/>
          <w:noProof/>
          <w:sz w:val="24"/>
          <w:szCs w:val="24"/>
        </w:rPr>
      </w:pPr>
    </w:p>
    <w:p w:rsidR="0049469F" w:rsidRDefault="002523FD">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The European Fund for Strategic Investments</w:t>
      </w:r>
      <w:r>
        <w:rPr>
          <w:rFonts w:ascii="Times New Roman" w:hAnsi="Times New Roman" w:cs="Times New Roman"/>
          <w:noProof/>
          <w:sz w:val="24"/>
          <w:szCs w:val="24"/>
        </w:rPr>
        <w:t xml:space="preserve"> has revived investment in strategic projects, with a third of an expected total investment of more than EUR 500 billion expected to go on research and innovation. </w:t>
      </w:r>
    </w:p>
    <w:p w:rsidR="0049469F" w:rsidRDefault="002523FD">
      <w:pPr>
        <w:spacing w:line="240" w:lineRule="auto"/>
        <w:jc w:val="both"/>
        <w:rPr>
          <w:rFonts w:ascii="Times New Roman" w:eastAsia="Calibri" w:hAnsi="Times New Roman" w:cs="Times New Roman"/>
          <w:b/>
          <w:bCs/>
          <w:i/>
          <w:iCs/>
          <w:noProof/>
          <w:sz w:val="24"/>
          <w:szCs w:val="24"/>
          <w:u w:val="single"/>
        </w:rPr>
      </w:pPr>
      <w:r>
        <w:rPr>
          <w:rFonts w:ascii="Times New Roman" w:hAnsi="Times New Roman" w:cs="Times New Roman"/>
          <w:noProof/>
          <w:sz w:val="24"/>
          <w:szCs w:val="24"/>
        </w:rPr>
        <w:t xml:space="preserve">The Commission has placed a strong focus on facilitating access to finance for innovation, </w:t>
      </w:r>
      <w:r>
        <w:rPr>
          <w:rFonts w:ascii="Times New Roman" w:hAnsi="Times New Roman" w:cs="Times New Roman"/>
          <w:noProof/>
          <w:sz w:val="24"/>
          <w:szCs w:val="24"/>
        </w:rPr>
        <w:t>at both early and growth stages. This is done through the InnovFin financing tools under 'Horizon 2020' (expected investments of EUR 30 billion) and the Programme for the Competitiveness of Enterprises and Small and Medium-Sized Enterprises (expected inves</w:t>
      </w:r>
      <w:r>
        <w:rPr>
          <w:rFonts w:ascii="Times New Roman" w:hAnsi="Times New Roman" w:cs="Times New Roman"/>
          <w:noProof/>
          <w:sz w:val="24"/>
          <w:szCs w:val="24"/>
        </w:rPr>
        <w:t xml:space="preserve">tments of EUR 40 billion). </w:t>
      </w:r>
      <w:r>
        <w:rPr>
          <w:rFonts w:ascii="Times New Roman" w:eastAsia="Calibri" w:hAnsi="Times New Roman" w:cs="Times New Roman"/>
          <w:noProof/>
          <w:sz w:val="24"/>
          <w:szCs w:val="24"/>
        </w:rPr>
        <w:t>Small and Medium Enterprises can also access finance for innovation through financial instruments supported by the European Regional Development Fund.</w:t>
      </w:r>
      <w:r>
        <w:rPr>
          <w:rStyle w:val="FootnoteReference"/>
          <w:rFonts w:ascii="Times New Roman" w:eastAsia="Calibri" w:hAnsi="Times New Roman" w:cs="Times New Roman"/>
          <w:noProof/>
          <w:sz w:val="24"/>
          <w:szCs w:val="24"/>
        </w:rPr>
        <w:footnoteReference w:id="31"/>
      </w:r>
      <w:r>
        <w:rPr>
          <w:rFonts w:ascii="Times New Roman" w:eastAsia="Calibri" w:hAnsi="Times New Roman" w:cs="Times New Roman"/>
          <w:b/>
          <w:bCs/>
          <w:noProof/>
          <w:sz w:val="24"/>
          <w:szCs w:val="24"/>
        </w:rPr>
        <w:t xml:space="preserve"> </w:t>
      </w:r>
    </w:p>
    <w:p w:rsidR="0049469F" w:rsidRDefault="002523FD">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the future, we need to "do more with less" by using financial instruments</w:t>
      </w:r>
      <w:r>
        <w:rPr>
          <w:rFonts w:ascii="Times New Roman" w:hAnsi="Times New Roman" w:cs="Times New Roman"/>
          <w:noProof/>
          <w:sz w:val="24"/>
          <w:szCs w:val="24"/>
        </w:rPr>
        <w:t xml:space="preserve"> smartly and efficiently to attract and target a critical mass of private investment. To go with it, we also need a</w:t>
      </w:r>
      <w:r>
        <w:rPr>
          <w:rFonts w:ascii="Times New Roman" w:hAnsi="Times New Roman" w:cs="Times New Roman"/>
          <w:b/>
          <w:noProof/>
          <w:sz w:val="24"/>
          <w:szCs w:val="24"/>
        </w:rPr>
        <w:t xml:space="preserve"> tax system that supports innovation </w:t>
      </w:r>
      <w:r>
        <w:rPr>
          <w:rFonts w:ascii="Times New Roman" w:hAnsi="Times New Roman" w:cs="Times New Roman"/>
          <w:noProof/>
          <w:sz w:val="24"/>
          <w:szCs w:val="24"/>
        </w:rPr>
        <w:t>by allowing the costs of research and innovation investment to be tax deductible, with additional allowa</w:t>
      </w:r>
      <w:r>
        <w:rPr>
          <w:rFonts w:ascii="Times New Roman" w:hAnsi="Times New Roman" w:cs="Times New Roman"/>
          <w:noProof/>
          <w:sz w:val="24"/>
          <w:szCs w:val="24"/>
        </w:rPr>
        <w:t>nces for young companies. The Commission's proposal</w:t>
      </w:r>
      <w:r>
        <w:rPr>
          <w:rFonts w:ascii="Times New Roman" w:hAnsi="Times New Roman"/>
          <w:noProof/>
          <w:sz w:val="24"/>
        </w:rPr>
        <w:t xml:space="preserve"> the</w:t>
      </w:r>
      <w:r>
        <w:rPr>
          <w:rFonts w:ascii="Times New Roman" w:hAnsi="Times New Roman" w:cs="Times New Roman"/>
          <w:b/>
          <w:noProof/>
          <w:sz w:val="24"/>
          <w:szCs w:val="24"/>
        </w:rPr>
        <w:t xml:space="preserve"> Common Consolidated Corporate Tax Base </w:t>
      </w:r>
      <w:r>
        <w:rPr>
          <w:rFonts w:ascii="Times New Roman" w:hAnsi="Times New Roman" w:cs="Times New Roman"/>
          <w:noProof/>
          <w:sz w:val="24"/>
          <w:szCs w:val="24"/>
        </w:rPr>
        <w:t>seeks to make this happen. It is now essential the European Parliament and the Council swiftly adopt the proposal to allow Member States to make full use of this</w:t>
      </w:r>
      <w:r>
        <w:rPr>
          <w:rFonts w:ascii="Times New Roman" w:hAnsi="Times New Roman" w:cs="Times New Roman"/>
          <w:noProof/>
          <w:sz w:val="24"/>
          <w:szCs w:val="24"/>
        </w:rPr>
        <w:t xml:space="preserve"> key instrument to facilitate private research and innovation investment.</w:t>
      </w:r>
      <w:r>
        <w:rPr>
          <w:rStyle w:val="FootnoteReference"/>
          <w:rFonts w:ascii="Times New Roman" w:hAnsi="Times New Roman" w:cs="Times New Roman"/>
          <w:noProof/>
          <w:sz w:val="24"/>
          <w:szCs w:val="24"/>
        </w:rPr>
        <w:footnoteReference w:id="32"/>
      </w:r>
    </w:p>
    <w:p w:rsidR="0049469F" w:rsidRDefault="002523FD">
      <w:pPr>
        <w:spacing w:line="240" w:lineRule="auto"/>
        <w:jc w:val="both"/>
        <w:rPr>
          <w:rFonts w:ascii="Times New Roman" w:hAnsi="Times New Roman"/>
          <w:noProof/>
          <w:sz w:val="24"/>
        </w:rPr>
      </w:pPr>
      <w:r>
        <w:rPr>
          <w:rFonts w:ascii="Times New Roman" w:hAnsi="Times New Roman" w:cs="Times New Roman"/>
          <w:noProof/>
          <w:sz w:val="24"/>
          <w:szCs w:val="24"/>
        </w:rPr>
        <w:t>A major new initiative has combined Horizon 2020, the European Fund for Strategic Investments and the Programme for the Competitiveness of Enterprises and Small and Medium-Sized Ent</w:t>
      </w:r>
      <w:r>
        <w:rPr>
          <w:rFonts w:ascii="Times New Roman" w:hAnsi="Times New Roman" w:cs="Times New Roman"/>
          <w:noProof/>
          <w:sz w:val="24"/>
          <w:szCs w:val="24"/>
        </w:rPr>
        <w:t xml:space="preserve">erprises to launch </w:t>
      </w:r>
      <w:r>
        <w:rPr>
          <w:rFonts w:ascii="Times New Roman" w:hAnsi="Times New Roman" w:cs="Times New Roman"/>
          <w:b/>
          <w:noProof/>
          <w:sz w:val="24"/>
          <w:szCs w:val="24"/>
        </w:rPr>
        <w:t>VentureEU</w:t>
      </w:r>
      <w:r>
        <w:rPr>
          <w:rFonts w:ascii="Times New Roman" w:hAnsi="Times New Roman" w:cs="Times New Roman"/>
          <w:noProof/>
          <w:sz w:val="24"/>
          <w:szCs w:val="24"/>
        </w:rPr>
        <w:t>. This</w:t>
      </w:r>
      <w:r>
        <w:rPr>
          <w:rFonts w:ascii="Times New Roman" w:hAnsi="Times New Roman"/>
          <w:noProof/>
          <w:sz w:val="24"/>
        </w:rPr>
        <w:t xml:space="preserve"> initiative </w:t>
      </w:r>
      <w:r>
        <w:rPr>
          <w:rFonts w:ascii="Times New Roman" w:hAnsi="Times New Roman" w:cs="Times New Roman"/>
          <w:noProof/>
          <w:sz w:val="24"/>
          <w:szCs w:val="24"/>
        </w:rPr>
        <w:t>aims to</w:t>
      </w:r>
      <w:r>
        <w:rPr>
          <w:rFonts w:ascii="Times New Roman" w:hAnsi="Times New Roman" w:cs="Times New Roman"/>
          <w:b/>
          <w:noProof/>
          <w:sz w:val="24"/>
          <w:szCs w:val="24"/>
        </w:rPr>
        <w:t xml:space="preserve"> </w:t>
      </w:r>
      <w:r>
        <w:rPr>
          <w:rFonts w:ascii="Times New Roman" w:hAnsi="Times New Roman" w:cs="Times New Roman"/>
          <w:noProof/>
          <w:sz w:val="24"/>
          <w:szCs w:val="24"/>
        </w:rPr>
        <w:t>boost</w:t>
      </w:r>
      <w:r>
        <w:rPr>
          <w:rFonts w:ascii="Times New Roman" w:hAnsi="Times New Roman"/>
          <w:noProof/>
          <w:sz w:val="24"/>
        </w:rPr>
        <w:t xml:space="preserve"> </w:t>
      </w:r>
      <w:r>
        <w:rPr>
          <w:rFonts w:ascii="Times New Roman" w:hAnsi="Times New Roman" w:cs="Times New Roman"/>
          <w:b/>
          <w:noProof/>
          <w:sz w:val="24"/>
          <w:szCs w:val="24"/>
        </w:rPr>
        <w:t>venture capital in Europe</w:t>
      </w:r>
      <w:r>
        <w:rPr>
          <w:rFonts w:ascii="Times New Roman" w:hAnsi="Times New Roman"/>
          <w:b/>
          <w:i/>
          <w:noProof/>
          <w:sz w:val="24"/>
        </w:rPr>
        <w:t>,</w:t>
      </w:r>
      <w:r>
        <w:rPr>
          <w:rFonts w:ascii="Times New Roman" w:hAnsi="Times New Roman" w:cs="Times New Roman"/>
          <w:b/>
          <w:i/>
          <w:noProof/>
          <w:sz w:val="24"/>
          <w:szCs w:val="24"/>
        </w:rPr>
        <w:t xml:space="preserve"> </w:t>
      </w:r>
      <w:r>
        <w:rPr>
          <w:rFonts w:ascii="Times New Roman" w:hAnsi="Times New Roman" w:cs="Times New Roman"/>
          <w:noProof/>
          <w:sz w:val="24"/>
          <w:szCs w:val="24"/>
        </w:rPr>
        <w:t>led by private managers and majority financed by private investment.</w:t>
      </w:r>
      <w:r>
        <w:rPr>
          <w:rStyle w:val="FootnoteReference"/>
          <w:rFonts w:ascii="Times New Roman" w:hAnsi="Times New Roman" w:cs="Times New Roman"/>
          <w:noProof/>
          <w:sz w:val="24"/>
          <w:szCs w:val="24"/>
        </w:rPr>
        <w:footnoteReference w:id="33"/>
      </w:r>
      <w:r>
        <w:rPr>
          <w:rFonts w:ascii="Times New Roman" w:hAnsi="Times New Roman" w:cs="Times New Roman"/>
          <w:noProof/>
          <w:sz w:val="24"/>
          <w:szCs w:val="24"/>
        </w:rPr>
        <w:t xml:space="preserve"> VentureEU should stimulate institutional investors and encourage more fund managers to enter the European market and operate cross border to tackle existing deficits in longer term finance. With investments totalling EUR 410 million from the EU, its initi</w:t>
      </w:r>
      <w:r>
        <w:rPr>
          <w:rFonts w:ascii="Times New Roman" w:hAnsi="Times New Roman" w:cs="Times New Roman"/>
          <w:noProof/>
          <w:sz w:val="24"/>
          <w:szCs w:val="24"/>
        </w:rPr>
        <w:t xml:space="preserve">al target is to raise over EUR 2.1 billion in the next 12 months, leading to an estimated EUR 6.5 billion investments in around 1500 European start-ups and scale-ups. </w:t>
      </w:r>
      <w:r>
        <w:rPr>
          <w:rFonts w:ascii="Times New Roman" w:hAnsi="Times New Roman"/>
          <w:b/>
          <w:noProof/>
          <w:sz w:val="24"/>
        </w:rPr>
        <w:t xml:space="preserve">VentureEU has the potential to double venture capital investment in Europe. </w:t>
      </w:r>
      <w:r>
        <w:rPr>
          <w:rFonts w:ascii="Times New Roman" w:hAnsi="Times New Roman"/>
          <w:noProof/>
          <w:sz w:val="24"/>
        </w:rPr>
        <w:t>In addition t</w:t>
      </w:r>
      <w:r>
        <w:rPr>
          <w:rFonts w:ascii="Times New Roman" w:hAnsi="Times New Roman"/>
          <w:noProof/>
          <w:sz w:val="24"/>
        </w:rPr>
        <w:t>o that, the Commission is currently developing the concept of Escalar initiative, whose objective would be to help Venture Capital funds to reach a larger size more quickly by mobilizing large private funds , such as pension or insurance funds.</w:t>
      </w:r>
    </w:p>
    <w:p w:rsidR="0049469F" w:rsidRDefault="002523FD">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To support </w:t>
      </w:r>
      <w:r>
        <w:rPr>
          <w:rFonts w:ascii="Times New Roman" w:hAnsi="Times New Roman" w:cs="Times New Roman"/>
          <w:noProof/>
          <w:sz w:val="24"/>
          <w:szCs w:val="24"/>
        </w:rPr>
        <w:t xml:space="preserve">this, initiatives launched under the </w:t>
      </w:r>
      <w:r>
        <w:rPr>
          <w:rFonts w:ascii="Times New Roman" w:hAnsi="Times New Roman" w:cs="Times New Roman"/>
          <w:b/>
          <w:noProof/>
          <w:sz w:val="24"/>
          <w:szCs w:val="24"/>
        </w:rPr>
        <w:t>Capital Markets Union</w:t>
      </w:r>
      <w:r>
        <w:rPr>
          <w:rFonts w:ascii="Times New Roman" w:hAnsi="Times New Roman" w:cs="Times New Roman"/>
          <w:noProof/>
          <w:sz w:val="24"/>
          <w:szCs w:val="24"/>
        </w:rPr>
        <w:t xml:space="preserve"> are simplifying regulatory frameworks for raising and managing venture capital funds in Europe. This will ultimately help to make risk capital more readily available. However, further efforts are n</w:t>
      </w:r>
      <w:r>
        <w:rPr>
          <w:rFonts w:ascii="Times New Roman" w:hAnsi="Times New Roman" w:cs="Times New Roman"/>
          <w:noProof/>
          <w:sz w:val="24"/>
          <w:szCs w:val="24"/>
        </w:rPr>
        <w:t>eeded to reach a scale adequate to Europe’s economic weight.</w:t>
      </w:r>
    </w:p>
    <w:p w:rsidR="0049469F" w:rsidRDefault="002523FD">
      <w:pPr>
        <w:pStyle w:val="ListParagraph"/>
        <w:keepNext/>
        <w:pBdr>
          <w:top w:val="single" w:sz="4" w:space="1" w:color="auto"/>
          <w:left w:val="single" w:sz="4" w:space="4" w:color="auto"/>
          <w:bottom w:val="single" w:sz="4" w:space="1" w:color="auto"/>
          <w:right w:val="single" w:sz="4" w:space="4" w:color="auto"/>
        </w:pBdr>
        <w:spacing w:line="240" w:lineRule="auto"/>
        <w:ind w:left="0"/>
        <w:jc w:val="both"/>
        <w:rPr>
          <w:rFonts w:ascii="Times New Roman" w:hAnsi="Times New Roman" w:cs="Times New Roman"/>
          <w:i/>
          <w:noProof/>
          <w:sz w:val="24"/>
          <w:szCs w:val="24"/>
        </w:rPr>
      </w:pPr>
      <w:r>
        <w:rPr>
          <w:rFonts w:ascii="Times New Roman" w:hAnsi="Times New Roman" w:cs="Times New Roman"/>
          <w:i/>
          <w:noProof/>
          <w:sz w:val="24"/>
          <w:szCs w:val="24"/>
        </w:rPr>
        <w:t xml:space="preserve">Key steps </w:t>
      </w:r>
    </w:p>
    <w:p w:rsidR="0049469F" w:rsidRDefault="0049469F">
      <w:pPr>
        <w:pStyle w:val="ListParagraph"/>
        <w:keepNext/>
        <w:pBdr>
          <w:top w:val="single" w:sz="4" w:space="1" w:color="auto"/>
          <w:left w:val="single" w:sz="4" w:space="4" w:color="auto"/>
          <w:bottom w:val="single" w:sz="4" w:space="1" w:color="auto"/>
          <w:right w:val="single" w:sz="4" w:space="4" w:color="auto"/>
        </w:pBdr>
        <w:spacing w:line="240" w:lineRule="auto"/>
        <w:ind w:left="0"/>
        <w:jc w:val="both"/>
        <w:rPr>
          <w:rFonts w:ascii="Times New Roman" w:hAnsi="Times New Roman" w:cs="Times New Roman"/>
          <w:i/>
          <w:noProof/>
          <w:sz w:val="24"/>
          <w:szCs w:val="24"/>
        </w:rPr>
      </w:pPr>
    </w:p>
    <w:p w:rsidR="0049469F" w:rsidRDefault="002523FD">
      <w:pPr>
        <w:pStyle w:val="ListParagraph"/>
        <w:pBdr>
          <w:top w:val="single" w:sz="4" w:space="1" w:color="auto"/>
          <w:left w:val="single" w:sz="4" w:space="4" w:color="auto"/>
          <w:bottom w:val="single" w:sz="4" w:space="1" w:color="auto"/>
          <w:right w:val="single" w:sz="4" w:space="4" w:color="auto"/>
        </w:pBdr>
        <w:spacing w:before="240" w:line="240" w:lineRule="auto"/>
        <w:ind w:left="284" w:hanging="284"/>
        <w:jc w:val="both"/>
        <w:rPr>
          <w:rFonts w:ascii="Times New Roman" w:hAnsi="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tab/>
      </w:r>
      <w:r>
        <w:rPr>
          <w:rFonts w:ascii="Times New Roman" w:hAnsi="Times New Roman" w:cs="Times New Roman"/>
          <w:b/>
          <w:noProof/>
          <w:sz w:val="24"/>
          <w:szCs w:val="24"/>
        </w:rPr>
        <w:t xml:space="preserve">Swiftly adopt the next Multiannual Financial Framework to ensure that </w:t>
      </w:r>
      <w:r>
        <w:rPr>
          <w:rFonts w:ascii="Times New Roman" w:hAnsi="Times New Roman"/>
          <w:b/>
          <w:noProof/>
          <w:sz w:val="24"/>
          <w:szCs w:val="24"/>
        </w:rPr>
        <w:t xml:space="preserve">research and innovation continues to be one of the essential EU policy and funding priorities in the future, </w:t>
      </w:r>
      <w:r>
        <w:rPr>
          <w:rFonts w:ascii="Times New Roman" w:hAnsi="Times New Roman"/>
          <w:b/>
          <w:noProof/>
          <w:sz w:val="24"/>
          <w:szCs w:val="24"/>
        </w:rPr>
        <w:t>across different budgetary instruments</w:t>
      </w:r>
      <w:r>
        <w:rPr>
          <w:rFonts w:ascii="Times New Roman" w:hAnsi="Times New Roman"/>
          <w:noProof/>
          <w:sz w:val="24"/>
          <w:szCs w:val="24"/>
        </w:rPr>
        <w:t>.</w:t>
      </w:r>
    </w:p>
    <w:p w:rsidR="0049469F" w:rsidRDefault="002523FD">
      <w:pPr>
        <w:pStyle w:val="ListParagraph"/>
        <w:pBdr>
          <w:top w:val="single" w:sz="4" w:space="1" w:color="auto"/>
          <w:left w:val="single" w:sz="4" w:space="4" w:color="auto"/>
          <w:bottom w:val="single" w:sz="4" w:space="1" w:color="auto"/>
          <w:right w:val="single" w:sz="4" w:space="4" w:color="auto"/>
        </w:pBdr>
        <w:spacing w:before="240" w:line="240" w:lineRule="auto"/>
        <w:ind w:left="284" w:hanging="284"/>
        <w:jc w:val="both"/>
        <w:rPr>
          <w:rFonts w:ascii="Times New Roman" w:hAnsi="Times New Roman" w:cs="Times New Roman"/>
          <w:noProof/>
          <w:sz w:val="24"/>
          <w:szCs w:val="24"/>
        </w:rPr>
      </w:pPr>
      <w:r>
        <w:rPr>
          <w:rFonts w:ascii="Times New Roman" w:hAnsi="Times New Roman"/>
          <w:noProof/>
          <w:sz w:val="24"/>
          <w:szCs w:val="24"/>
        </w:rPr>
        <w:t>-</w:t>
      </w:r>
      <w:r>
        <w:rPr>
          <w:rFonts w:ascii="Times New Roman" w:hAnsi="Times New Roman"/>
          <w:noProof/>
          <w:sz w:val="24"/>
          <w:szCs w:val="24"/>
        </w:rPr>
        <w:tab/>
      </w:r>
      <w:r>
        <w:rPr>
          <w:rFonts w:ascii="Times New Roman" w:hAnsi="Times New Roman"/>
          <w:b/>
          <w:noProof/>
          <w:sz w:val="24"/>
          <w:szCs w:val="24"/>
        </w:rPr>
        <w:t xml:space="preserve">Member States to take the necessary steps to maximise their investments in research and innovation to reach the 3% of Gross Domestic Product target. </w:t>
      </w:r>
    </w:p>
    <w:p w:rsidR="0049469F" w:rsidRDefault="002523FD">
      <w:pPr>
        <w:pStyle w:val="ListParagraph"/>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cs="Times New Roman"/>
          <w:noProof/>
          <w:sz w:val="24"/>
          <w:szCs w:val="24"/>
        </w:rPr>
      </w:pPr>
      <w:r>
        <w:rPr>
          <w:rFonts w:ascii="Times New Roman" w:hAnsi="Times New Roman" w:cs="Times New Roman"/>
          <w:noProof/>
          <w:sz w:val="24"/>
          <w:szCs w:val="24"/>
        </w:rPr>
        <w:t>-</w:t>
      </w:r>
      <w:r>
        <w:rPr>
          <w:rFonts w:ascii="Times New Roman" w:hAnsi="Times New Roman" w:cs="Times New Roman"/>
          <w:noProof/>
          <w:sz w:val="24"/>
          <w:szCs w:val="24"/>
        </w:rPr>
        <w:tab/>
      </w:r>
      <w:r>
        <w:rPr>
          <w:rFonts w:ascii="Times New Roman" w:hAnsi="Times New Roman" w:cs="Times New Roman"/>
          <w:b/>
          <w:noProof/>
          <w:sz w:val="24"/>
          <w:szCs w:val="24"/>
        </w:rPr>
        <w:t>Increase private investment in research and innovation and</w:t>
      </w:r>
      <w:r>
        <w:rPr>
          <w:rFonts w:ascii="Times New Roman" w:hAnsi="Times New Roman" w:cs="Times New Roman"/>
          <w:noProof/>
          <w:sz w:val="24"/>
          <w:szCs w:val="24"/>
        </w:rPr>
        <w:t xml:space="preserve"> </w:t>
      </w:r>
      <w:r>
        <w:rPr>
          <w:rFonts w:ascii="Times New Roman" w:hAnsi="Times New Roman" w:cs="Times New Roman"/>
          <w:b/>
          <w:noProof/>
          <w:sz w:val="24"/>
          <w:szCs w:val="24"/>
        </w:rPr>
        <w:t>sca</w:t>
      </w:r>
      <w:r>
        <w:rPr>
          <w:rFonts w:ascii="Times New Roman" w:hAnsi="Times New Roman" w:cs="Times New Roman"/>
          <w:b/>
          <w:noProof/>
          <w:sz w:val="24"/>
          <w:szCs w:val="24"/>
        </w:rPr>
        <w:t>le up initiatives such as the VentureEU to boost private investment and patient capital.</w:t>
      </w:r>
      <w:r>
        <w:rPr>
          <w:rFonts w:ascii="Times New Roman" w:hAnsi="Times New Roman" w:cs="Times New Roman"/>
          <w:noProof/>
          <w:sz w:val="24"/>
          <w:szCs w:val="24"/>
        </w:rPr>
        <w:t xml:space="preserve"> </w:t>
      </w:r>
    </w:p>
    <w:p w:rsidR="0049469F" w:rsidRDefault="0049469F">
      <w:pPr>
        <w:pStyle w:val="ListParagraph"/>
        <w:spacing w:line="240" w:lineRule="auto"/>
        <w:ind w:left="0"/>
        <w:jc w:val="both"/>
        <w:rPr>
          <w:rFonts w:ascii="Times New Roman" w:hAnsi="Times New Roman" w:cs="Times New Roman"/>
          <w:b/>
          <w:noProof/>
          <w:sz w:val="24"/>
          <w:szCs w:val="24"/>
        </w:rPr>
      </w:pPr>
    </w:p>
    <w:p w:rsidR="0049469F" w:rsidRDefault="002523FD">
      <w:pPr>
        <w:pStyle w:val="ListParagraph"/>
        <w:keepNext/>
        <w:spacing w:line="240" w:lineRule="auto"/>
        <w:ind w:left="0"/>
        <w:jc w:val="both"/>
        <w:rPr>
          <w:rFonts w:ascii="Times New Roman" w:hAnsi="Times New Roman" w:cs="Times New Roman"/>
          <w:b/>
          <w:noProof/>
          <w:sz w:val="24"/>
          <w:szCs w:val="24"/>
        </w:rPr>
      </w:pPr>
      <w:r>
        <w:rPr>
          <w:rFonts w:ascii="Times New Roman" w:hAnsi="Times New Roman" w:cs="Times New Roman"/>
          <w:b/>
          <w:noProof/>
          <w:sz w:val="24"/>
          <w:szCs w:val="24"/>
        </w:rPr>
        <w:t xml:space="preserve">2.2 </w:t>
      </w:r>
      <w:r>
        <w:rPr>
          <w:rFonts w:ascii="Times New Roman" w:hAnsi="Times New Roman" w:cs="Times New Roman"/>
          <w:b/>
          <w:noProof/>
          <w:sz w:val="24"/>
          <w:szCs w:val="24"/>
        </w:rPr>
        <w:tab/>
        <w:t xml:space="preserve">Making regulatory frameworks fit for innovation </w:t>
      </w:r>
    </w:p>
    <w:p w:rsidR="0049469F" w:rsidRDefault="002523FD">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Well-functioning markets that incentivise competition and innovation create jobs and growth. Europe's economy needs a </w:t>
      </w:r>
      <w:r>
        <w:rPr>
          <w:rFonts w:ascii="Times New Roman" w:hAnsi="Times New Roman" w:cs="Times New Roman"/>
          <w:b/>
          <w:noProof/>
          <w:sz w:val="24"/>
          <w:szCs w:val="24"/>
        </w:rPr>
        <w:t>regulatory framework</w:t>
      </w:r>
      <w:r>
        <w:rPr>
          <w:rFonts w:ascii="Times New Roman" w:hAnsi="Times New Roman" w:cs="Times New Roman"/>
          <w:noProof/>
          <w:sz w:val="24"/>
          <w:szCs w:val="24"/>
        </w:rPr>
        <w:t xml:space="preserve"> geared towards innovation with the flexibility to adapt to a rapidly evolving industry and society. Regulation and en</w:t>
      </w:r>
      <w:r>
        <w:rPr>
          <w:rFonts w:ascii="Times New Roman" w:hAnsi="Times New Roman" w:cs="Times New Roman"/>
          <w:noProof/>
          <w:sz w:val="24"/>
          <w:szCs w:val="24"/>
        </w:rPr>
        <w:t>forcement of competition rules play a crucial role to level the playing field for new market entrants and to provide incentives for innovation. Common standards and interoperability rules facilitate take-up and market deployment of innovative solutions. Re</w:t>
      </w:r>
      <w:r>
        <w:rPr>
          <w:rFonts w:ascii="Times New Roman" w:hAnsi="Times New Roman" w:cs="Times New Roman"/>
          <w:noProof/>
          <w:sz w:val="24"/>
          <w:szCs w:val="24"/>
        </w:rPr>
        <w:t xml:space="preserve">gulation, at both European and Member State levels should therefore strike a balance between predictability and flexibility. It should guarantee fair competition without sanctioning failure or risk-taking. </w:t>
      </w:r>
    </w:p>
    <w:p w:rsidR="0049469F" w:rsidRDefault="002523FD">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the context of new Multiannual Financial Frame</w:t>
      </w:r>
      <w:r>
        <w:rPr>
          <w:rFonts w:ascii="Times New Roman" w:hAnsi="Times New Roman" w:cs="Times New Roman"/>
          <w:noProof/>
          <w:sz w:val="24"/>
          <w:szCs w:val="24"/>
        </w:rPr>
        <w:t xml:space="preserve">work, the Commission will further simplify its </w:t>
      </w:r>
      <w:r>
        <w:rPr>
          <w:rFonts w:ascii="Times New Roman" w:hAnsi="Times New Roman" w:cs="Times New Roman"/>
          <w:b/>
          <w:noProof/>
          <w:sz w:val="24"/>
          <w:szCs w:val="24"/>
        </w:rPr>
        <w:t>State aid rules</w:t>
      </w:r>
      <w:r>
        <w:rPr>
          <w:rFonts w:ascii="Times New Roman" w:hAnsi="Times New Roman" w:cs="Times New Roman"/>
          <w:noProof/>
          <w:sz w:val="24"/>
          <w:szCs w:val="24"/>
        </w:rPr>
        <w:t xml:space="preserve"> to enhance synergies and support public funding of innovative projects. It will facilitate the blending of EU and national funds. It will also allow Horizon Europe projects with the 'Seal of ex</w:t>
      </w:r>
      <w:r>
        <w:rPr>
          <w:rFonts w:ascii="Times New Roman" w:hAnsi="Times New Roman" w:cs="Times New Roman"/>
          <w:noProof/>
          <w:sz w:val="24"/>
          <w:szCs w:val="24"/>
        </w:rPr>
        <w:t>cellence' label to be easily funded at regional level under European Structural and Investment Funds.</w:t>
      </w:r>
      <w:r>
        <w:rPr>
          <w:rStyle w:val="FootnoteReference"/>
          <w:rFonts w:ascii="Times New Roman" w:hAnsi="Times New Roman" w:cs="Times New Roman"/>
          <w:noProof/>
          <w:sz w:val="24"/>
          <w:szCs w:val="24"/>
        </w:rPr>
        <w:footnoteReference w:id="34"/>
      </w:r>
    </w:p>
    <w:p w:rsidR="0049469F" w:rsidRDefault="002523FD">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Regulators are key players in innovation, both in creating the right conditions and ensuring that regulation innovates as quickly as products and </w:t>
      </w:r>
      <w:r>
        <w:rPr>
          <w:rFonts w:ascii="Times New Roman" w:hAnsi="Times New Roman" w:cs="Times New Roman"/>
          <w:noProof/>
          <w:sz w:val="24"/>
          <w:szCs w:val="24"/>
        </w:rPr>
        <w:t>services do. To ensure that European policies are developed with innovation in mind, the European Commission already applies the</w:t>
      </w:r>
      <w:r>
        <w:rPr>
          <w:rFonts w:ascii="Times New Roman" w:hAnsi="Times New Roman" w:cs="Times New Roman"/>
          <w:b/>
          <w:noProof/>
          <w:sz w:val="24"/>
          <w:szCs w:val="24"/>
        </w:rPr>
        <w:t xml:space="preserve"> Innovation Principle</w:t>
      </w:r>
      <w:r>
        <w:rPr>
          <w:rStyle w:val="FootnoteReference"/>
          <w:rFonts w:ascii="Times New Roman" w:hAnsi="Times New Roman" w:cs="Times New Roman"/>
          <w:noProof/>
          <w:sz w:val="24"/>
          <w:szCs w:val="24"/>
        </w:rPr>
        <w:footnoteReference w:id="35"/>
      </w:r>
      <w:r>
        <w:rPr>
          <w:rFonts w:ascii="Times New Roman" w:hAnsi="Times New Roman" w:cs="Times New Roman"/>
          <w:b/>
          <w:noProof/>
          <w:sz w:val="24"/>
          <w:szCs w:val="24"/>
        </w:rPr>
        <w:t xml:space="preserve"> </w:t>
      </w:r>
      <w:r>
        <w:rPr>
          <w:rFonts w:ascii="Times New Roman" w:hAnsi="Times New Roman" w:cs="Times New Roman"/>
          <w:noProof/>
          <w:sz w:val="24"/>
          <w:szCs w:val="24"/>
        </w:rPr>
        <w:t>when preparing major legislative initiatives. Member States should step up similar efforts. Regulatory fr</w:t>
      </w:r>
      <w:r>
        <w:rPr>
          <w:rFonts w:ascii="Times New Roman" w:hAnsi="Times New Roman" w:cs="Times New Roman"/>
          <w:noProof/>
          <w:sz w:val="24"/>
          <w:szCs w:val="24"/>
        </w:rPr>
        <w:t xml:space="preserve">ameworks need to enable more testing, learning and adaptation and public policies to make better use of all existing data and analytics. </w:t>
      </w:r>
    </w:p>
    <w:p w:rsidR="0049469F" w:rsidRDefault="002523FD">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To make it clearer how existing regulatory requirements apply to innovative ideas, the Commission is piloting </w:t>
      </w:r>
      <w:r>
        <w:rPr>
          <w:rFonts w:ascii="Times New Roman" w:hAnsi="Times New Roman" w:cs="Times New Roman"/>
          <w:b/>
          <w:noProof/>
          <w:sz w:val="24"/>
          <w:szCs w:val="24"/>
        </w:rPr>
        <w:t>Innovati</w:t>
      </w:r>
      <w:r>
        <w:rPr>
          <w:rFonts w:ascii="Times New Roman" w:hAnsi="Times New Roman" w:cs="Times New Roman"/>
          <w:b/>
          <w:noProof/>
          <w:sz w:val="24"/>
          <w:szCs w:val="24"/>
        </w:rPr>
        <w:t>on Deals</w:t>
      </w:r>
      <w:r>
        <w:rPr>
          <w:rFonts w:ascii="Times New Roman" w:hAnsi="Times New Roman" w:cs="Times New Roman"/>
          <w:noProof/>
          <w:sz w:val="24"/>
          <w:szCs w:val="24"/>
        </w:rPr>
        <w:t xml:space="preserve"> to help innovators address perceived EU regulatory obstacles. Early results in pilots on batteries and water re-use suggest the experience can provide useful feedback to improve regulation and promote innovation.</w:t>
      </w:r>
    </w:p>
    <w:p w:rsidR="0049469F" w:rsidRDefault="002523FD">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To stimulate a culture of experime</w:t>
      </w:r>
      <w:r>
        <w:rPr>
          <w:rFonts w:ascii="Times New Roman" w:hAnsi="Times New Roman" w:cs="Times New Roman"/>
          <w:noProof/>
          <w:sz w:val="24"/>
          <w:szCs w:val="24"/>
        </w:rPr>
        <w:t xml:space="preserve">ntation and risk taking, effective regulation at national level is also critical. With this in mind, the Commission has proposed </w:t>
      </w:r>
      <w:r>
        <w:rPr>
          <w:rFonts w:ascii="Times New Roman" w:hAnsi="Times New Roman" w:cs="Times New Roman"/>
          <w:b/>
          <w:noProof/>
          <w:sz w:val="24"/>
          <w:szCs w:val="24"/>
        </w:rPr>
        <w:t>a new insolvency law</w:t>
      </w:r>
      <w:r>
        <w:rPr>
          <w:rFonts w:ascii="Times New Roman" w:hAnsi="Times New Roman" w:cs="Times New Roman"/>
          <w:noProof/>
          <w:sz w:val="24"/>
          <w:szCs w:val="24"/>
        </w:rPr>
        <w:t xml:space="preserve"> to allow struggling companies to restructure early on and to prevent bankruptcy. It would provide honest i</w:t>
      </w:r>
      <w:r>
        <w:rPr>
          <w:rFonts w:ascii="Times New Roman" w:hAnsi="Times New Roman" w:cs="Times New Roman"/>
          <w:noProof/>
          <w:sz w:val="24"/>
          <w:szCs w:val="24"/>
        </w:rPr>
        <w:t>nnovators and entrepreneurs with a second chance by being fully discharged of debt from previous business ventures after a period of 3 years, with appropriate limitations to safeguard duly justified general interests.</w:t>
      </w:r>
      <w:r>
        <w:rPr>
          <w:rStyle w:val="FootnoteReference"/>
          <w:rFonts w:ascii="Times New Roman" w:hAnsi="Times New Roman" w:cs="Times New Roman"/>
          <w:noProof/>
          <w:sz w:val="24"/>
          <w:szCs w:val="24"/>
        </w:rPr>
        <w:footnoteReference w:id="36"/>
      </w:r>
    </w:p>
    <w:p w:rsidR="0049469F" w:rsidRDefault="002523FD">
      <w:pPr>
        <w:spacing w:line="240" w:lineRule="auto"/>
        <w:jc w:val="both"/>
        <w:rPr>
          <w:rFonts w:ascii="Times New Roman" w:hAnsi="Times New Roman" w:cs="Times New Roman"/>
          <w:noProof/>
          <w:sz w:val="24"/>
          <w:szCs w:val="24"/>
        </w:rPr>
      </w:pPr>
      <w:r>
        <w:rPr>
          <w:rFonts w:ascii="Times New Roman" w:eastAsia="Times New Roman" w:hAnsi="Times New Roman" w:cs="Times New Roman"/>
          <w:noProof/>
          <w:sz w:val="24"/>
          <w:szCs w:val="24"/>
          <w:lang w:eastAsia="en-GB"/>
        </w:rPr>
        <w:t>To help to create and foster demand f</w:t>
      </w:r>
      <w:r>
        <w:rPr>
          <w:rFonts w:ascii="Times New Roman" w:eastAsia="Times New Roman" w:hAnsi="Times New Roman" w:cs="Times New Roman"/>
          <w:noProof/>
          <w:sz w:val="24"/>
          <w:szCs w:val="24"/>
          <w:lang w:eastAsia="en-GB"/>
        </w:rPr>
        <w:t xml:space="preserve">or innovative solutions by public authorities, </w:t>
      </w:r>
      <w:r>
        <w:rPr>
          <w:rFonts w:ascii="Times New Roman" w:hAnsi="Times New Roman" w:cs="Times New Roman"/>
          <w:noProof/>
          <w:sz w:val="24"/>
          <w:szCs w:val="24"/>
        </w:rPr>
        <w:t xml:space="preserve">the Commission has published today </w:t>
      </w:r>
      <w:r>
        <w:rPr>
          <w:rFonts w:ascii="Times New Roman" w:hAnsi="Times New Roman" w:cs="Times New Roman"/>
          <w:b/>
          <w:noProof/>
          <w:sz w:val="24"/>
          <w:szCs w:val="24"/>
        </w:rPr>
        <w:t>Innovation</w:t>
      </w:r>
      <w:r>
        <w:rPr>
          <w:rFonts w:ascii="Times New Roman" w:hAnsi="Times New Roman" w:cs="Times New Roman"/>
          <w:noProof/>
          <w:sz w:val="24"/>
          <w:szCs w:val="24"/>
        </w:rPr>
        <w:t xml:space="preserve"> </w:t>
      </w:r>
      <w:r>
        <w:rPr>
          <w:rFonts w:ascii="Times New Roman" w:hAnsi="Times New Roman" w:cs="Times New Roman"/>
          <w:b/>
          <w:noProof/>
          <w:sz w:val="24"/>
          <w:szCs w:val="24"/>
        </w:rPr>
        <w:t>Public Procurement Guidelines</w:t>
      </w:r>
      <w:r>
        <w:rPr>
          <w:rFonts w:ascii="Times New Roman" w:hAnsi="Times New Roman" w:cs="Times New Roman"/>
          <w:noProof/>
          <w:sz w:val="24"/>
          <w:szCs w:val="24"/>
        </w:rPr>
        <w:t xml:space="preserve"> on how procurement of innovation can be implemented, including many concrete examples of good practice.</w:t>
      </w:r>
      <w:r>
        <w:rPr>
          <w:rFonts w:ascii="Times New Roman" w:hAnsi="Times New Roman" w:cs="Times New Roman"/>
          <w:noProof/>
          <w:sz w:val="24"/>
          <w:szCs w:val="24"/>
          <w:vertAlign w:val="superscript"/>
        </w:rPr>
        <w:footnoteReference w:id="37"/>
      </w:r>
    </w:p>
    <w:p w:rsidR="0049469F" w:rsidRDefault="0049469F">
      <w:pPr>
        <w:keepNext/>
        <w:keepLines/>
        <w:spacing w:before="120" w:after="120" w:line="240" w:lineRule="auto"/>
        <w:jc w:val="both"/>
        <w:outlineLvl w:val="2"/>
        <w:rPr>
          <w:rFonts w:ascii="Times New Roman" w:eastAsia="Times New Roman" w:hAnsi="Times New Roman" w:cs="Times New Roman"/>
          <w:noProof/>
          <w:sz w:val="24"/>
          <w:szCs w:val="24"/>
          <w:lang w:eastAsia="en-GB"/>
        </w:rPr>
      </w:pPr>
    </w:p>
    <w:p w:rsidR="0049469F" w:rsidRDefault="002523FD">
      <w:pPr>
        <w:pStyle w:val="ListParagraph"/>
        <w:keepNext/>
        <w:pBdr>
          <w:top w:val="single" w:sz="4" w:space="0" w:color="auto"/>
          <w:left w:val="single" w:sz="4" w:space="4" w:color="auto"/>
          <w:bottom w:val="single" w:sz="4" w:space="0" w:color="auto"/>
          <w:right w:val="single" w:sz="4" w:space="4" w:color="auto"/>
        </w:pBdr>
        <w:spacing w:before="120" w:line="240" w:lineRule="auto"/>
        <w:ind w:left="0"/>
        <w:jc w:val="both"/>
        <w:rPr>
          <w:rFonts w:ascii="Times New Roman" w:hAnsi="Times New Roman" w:cs="Times New Roman"/>
          <w:i/>
          <w:noProof/>
          <w:sz w:val="24"/>
          <w:szCs w:val="24"/>
        </w:rPr>
      </w:pPr>
      <w:r>
        <w:rPr>
          <w:rFonts w:ascii="Times New Roman" w:hAnsi="Times New Roman" w:cs="Times New Roman"/>
          <w:i/>
          <w:noProof/>
          <w:sz w:val="24"/>
          <w:szCs w:val="24"/>
        </w:rPr>
        <w:t>Key steps</w:t>
      </w:r>
    </w:p>
    <w:p w:rsidR="0049469F" w:rsidRDefault="0049469F">
      <w:pPr>
        <w:pStyle w:val="ListParagraph"/>
        <w:keepNext/>
        <w:pBdr>
          <w:top w:val="single" w:sz="4" w:space="0" w:color="auto"/>
          <w:left w:val="single" w:sz="4" w:space="4" w:color="auto"/>
          <w:bottom w:val="single" w:sz="4" w:space="0" w:color="auto"/>
          <w:right w:val="single" w:sz="4" w:space="4" w:color="auto"/>
        </w:pBdr>
        <w:spacing w:before="120" w:line="240" w:lineRule="auto"/>
        <w:ind w:left="0"/>
        <w:jc w:val="both"/>
        <w:rPr>
          <w:rFonts w:ascii="Times New Roman" w:hAnsi="Times New Roman" w:cs="Times New Roman"/>
          <w:i/>
          <w:noProof/>
          <w:sz w:val="24"/>
          <w:szCs w:val="24"/>
        </w:rPr>
      </w:pPr>
    </w:p>
    <w:p w:rsidR="0049469F" w:rsidRDefault="002523FD">
      <w:pPr>
        <w:pStyle w:val="ListParagraph"/>
        <w:pBdr>
          <w:top w:val="single" w:sz="4" w:space="0" w:color="auto"/>
          <w:left w:val="single" w:sz="4" w:space="4" w:color="auto"/>
          <w:bottom w:val="single" w:sz="4" w:space="0" w:color="auto"/>
          <w:right w:val="single" w:sz="4" w:space="4" w:color="auto"/>
        </w:pBdr>
        <w:spacing w:before="240" w:line="240" w:lineRule="auto"/>
        <w:ind w:left="284" w:hanging="284"/>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b/>
          <w:noProof/>
          <w:sz w:val="24"/>
          <w:szCs w:val="24"/>
        </w:rPr>
        <w:t xml:space="preserve">Build </w:t>
      </w:r>
      <w:r>
        <w:rPr>
          <w:rFonts w:ascii="Times New Roman" w:hAnsi="Times New Roman" w:cs="Times New Roman"/>
          <w:b/>
          <w:noProof/>
          <w:sz w:val="24"/>
          <w:szCs w:val="24"/>
        </w:rPr>
        <w:t>future-proof EU and national regulatory frameworks that apply the innovation principle</w:t>
      </w:r>
      <w:r>
        <w:rPr>
          <w:rFonts w:ascii="Times New Roman" w:hAnsi="Times New Roman" w:cs="Times New Roman"/>
          <w:noProof/>
          <w:sz w:val="24"/>
          <w:szCs w:val="24"/>
        </w:rPr>
        <w:t xml:space="preserve">. </w:t>
      </w:r>
      <w:r>
        <w:rPr>
          <w:rFonts w:ascii="Times New Roman" w:hAnsi="Times New Roman" w:cs="Times New Roman"/>
          <w:b/>
          <w:noProof/>
          <w:sz w:val="24"/>
          <w:szCs w:val="24"/>
        </w:rPr>
        <w:t>This would</w:t>
      </w:r>
      <w:r>
        <w:rPr>
          <w:rFonts w:ascii="Times New Roman" w:hAnsi="Times New Roman" w:cs="Times New Roman"/>
          <w:noProof/>
          <w:sz w:val="24"/>
          <w:szCs w:val="24"/>
        </w:rPr>
        <w:t xml:space="preserve"> </w:t>
      </w:r>
      <w:r>
        <w:rPr>
          <w:rFonts w:ascii="Times New Roman" w:hAnsi="Times New Roman" w:cs="Times New Roman"/>
          <w:b/>
          <w:noProof/>
          <w:sz w:val="24"/>
          <w:szCs w:val="24"/>
        </w:rPr>
        <w:t>ensure that whenever policy and legislation are reviewed, developed or implemented, the impact on innovation is fully assessed</w:t>
      </w:r>
      <w:r>
        <w:rPr>
          <w:rFonts w:ascii="Times New Roman" w:hAnsi="Times New Roman" w:cs="Times New Roman"/>
          <w:noProof/>
          <w:sz w:val="24"/>
          <w:szCs w:val="24"/>
        </w:rPr>
        <w:t>.</w:t>
      </w:r>
    </w:p>
    <w:p w:rsidR="0049469F" w:rsidRDefault="002523FD">
      <w:pPr>
        <w:pStyle w:val="ListParagraph"/>
        <w:pBdr>
          <w:top w:val="single" w:sz="4" w:space="0" w:color="auto"/>
          <w:left w:val="single" w:sz="4" w:space="4" w:color="auto"/>
          <w:bottom w:val="single" w:sz="4" w:space="0" w:color="auto"/>
          <w:right w:val="single" w:sz="4" w:space="4" w:color="auto"/>
        </w:pBdr>
        <w:spacing w:before="240" w:line="240" w:lineRule="auto"/>
        <w:ind w:left="284" w:hanging="284"/>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b/>
          <w:noProof/>
          <w:sz w:val="24"/>
          <w:szCs w:val="24"/>
        </w:rPr>
        <w:t>Give priority to the transp</w:t>
      </w:r>
      <w:r>
        <w:rPr>
          <w:rFonts w:ascii="Times New Roman" w:hAnsi="Times New Roman" w:cs="Times New Roman"/>
          <w:b/>
          <w:noProof/>
          <w:sz w:val="24"/>
          <w:szCs w:val="24"/>
        </w:rPr>
        <w:t>osition of the Directive on preventing restructuring frameworks, second chances and measures to increase the efficiency of restructuring, insolvency and discharge procedures.</w:t>
      </w:r>
    </w:p>
    <w:p w:rsidR="0049469F" w:rsidRDefault="002523FD">
      <w:pPr>
        <w:pStyle w:val="ListParagraph"/>
        <w:pBdr>
          <w:top w:val="single" w:sz="4" w:space="0" w:color="auto"/>
          <w:left w:val="single" w:sz="4" w:space="4" w:color="auto"/>
          <w:bottom w:val="single" w:sz="4" w:space="0" w:color="auto"/>
          <w:right w:val="single" w:sz="4" w:space="4" w:color="auto"/>
        </w:pBdr>
        <w:spacing w:before="240" w:line="240" w:lineRule="auto"/>
        <w:ind w:left="284" w:hanging="284"/>
        <w:jc w:val="both"/>
        <w:rPr>
          <w:rFonts w:ascii="Times New Roman" w:hAnsi="Times New Roman" w:cs="Times New Roman"/>
          <w:b/>
          <w:noProof/>
          <w:sz w:val="24"/>
          <w:szCs w:val="24"/>
        </w:rPr>
      </w:pPr>
      <w:r>
        <w:rPr>
          <w:rFonts w:ascii="Times New Roman" w:hAnsi="Times New Roman" w:cs="Times New Roman"/>
          <w:b/>
          <w:noProof/>
          <w:sz w:val="24"/>
          <w:szCs w:val="24"/>
        </w:rPr>
        <w:t>-</w:t>
      </w:r>
      <w:r>
        <w:rPr>
          <w:rFonts w:ascii="Times New Roman" w:hAnsi="Times New Roman" w:cs="Times New Roman"/>
          <w:b/>
          <w:noProof/>
          <w:sz w:val="24"/>
          <w:szCs w:val="24"/>
        </w:rPr>
        <w:tab/>
        <w:t>The Commission will further simplify its state aid rules. This will help facili</w:t>
      </w:r>
      <w:r>
        <w:rPr>
          <w:rFonts w:ascii="Times New Roman" w:hAnsi="Times New Roman" w:cs="Times New Roman"/>
          <w:b/>
          <w:noProof/>
          <w:sz w:val="24"/>
          <w:szCs w:val="24"/>
        </w:rPr>
        <w:t xml:space="preserve">tate the seamless combination of different funds, as well help improve the use of common assessment standards for research and innovation projects. </w:t>
      </w:r>
    </w:p>
    <w:p w:rsidR="0049469F" w:rsidRDefault="002523FD">
      <w:pPr>
        <w:keepNext/>
        <w:spacing w:before="360" w:after="240" w:line="240" w:lineRule="auto"/>
        <w:rPr>
          <w:rFonts w:ascii="Times New Roman" w:hAnsi="Times New Roman" w:cs="Times New Roman"/>
          <w:b/>
          <w:noProof/>
          <w:sz w:val="24"/>
          <w:szCs w:val="24"/>
        </w:rPr>
      </w:pPr>
      <w:r>
        <w:rPr>
          <w:rFonts w:ascii="Times New Roman" w:hAnsi="Times New Roman" w:cs="Times New Roman"/>
          <w:b/>
          <w:noProof/>
          <w:sz w:val="24"/>
          <w:szCs w:val="24"/>
        </w:rPr>
        <w:t>2.3 Making Europe a frontrunner in market-creating innovation</w:t>
      </w:r>
    </w:p>
    <w:p w:rsidR="0049469F" w:rsidRDefault="002523FD">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Europe is a world leader in science. We are h</w:t>
      </w:r>
      <w:r>
        <w:rPr>
          <w:rFonts w:ascii="Times New Roman" w:hAnsi="Times New Roman" w:cs="Times New Roman"/>
          <w:noProof/>
          <w:sz w:val="24"/>
          <w:szCs w:val="24"/>
        </w:rPr>
        <w:t xml:space="preserve">ome to some of the most creative and entrepreneurial minds and some of most innovative ideas anywhere in the world. This takes a long way but we still struggle to bring that innovation to the market. </w:t>
      </w:r>
    </w:p>
    <w:p w:rsidR="0049469F" w:rsidRDefault="002523FD">
      <w:pPr>
        <w:tabs>
          <w:tab w:val="left" w:pos="284"/>
        </w:tabs>
        <w:spacing w:line="240" w:lineRule="auto"/>
        <w:jc w:val="both"/>
        <w:rPr>
          <w:rFonts w:ascii="Times New Roman" w:hAnsi="Times New Roman" w:cs="Times New Roman"/>
          <w:noProof/>
          <w:sz w:val="24"/>
          <w:szCs w:val="24"/>
        </w:rPr>
      </w:pPr>
      <w:r>
        <w:rPr>
          <w:rFonts w:ascii="Times New Roman" w:hAnsi="Times New Roman"/>
          <w:noProof/>
          <w:sz w:val="24"/>
        </w:rPr>
        <w:t xml:space="preserve">Europe is relatively strong in </w:t>
      </w:r>
      <w:r>
        <w:rPr>
          <w:rFonts w:ascii="Times New Roman" w:hAnsi="Times New Roman" w:cs="Times New Roman"/>
          <w:noProof/>
          <w:sz w:val="24"/>
          <w:szCs w:val="24"/>
        </w:rPr>
        <w:t xml:space="preserve">adding or sustaining </w:t>
      </w:r>
      <w:r>
        <w:rPr>
          <w:rFonts w:ascii="Times New Roman" w:hAnsi="Times New Roman" w:cs="Times New Roman"/>
          <w:noProof/>
          <w:sz w:val="24"/>
          <w:szCs w:val="24"/>
        </w:rPr>
        <w:t>value for existing products, services and processes, known as incremental innovation. We have seen this in sectors as varied as space, aeronautics, pharmaceuticals, electronics, renewable energy, bio-based industries and advanced manufacturing. We have als</w:t>
      </w:r>
      <w:r>
        <w:rPr>
          <w:rFonts w:ascii="Times New Roman" w:hAnsi="Times New Roman" w:cs="Times New Roman"/>
          <w:noProof/>
          <w:sz w:val="24"/>
          <w:szCs w:val="24"/>
        </w:rPr>
        <w:t>o taken strides forward in supporting innovation through Key Enabling Technologies, such as robotics, photonics, and biotechnology.</w:t>
      </w:r>
      <w:r>
        <w:rPr>
          <w:rStyle w:val="FootnoteReference"/>
          <w:rFonts w:ascii="Times New Roman" w:hAnsi="Times New Roman" w:cs="Times New Roman"/>
          <w:noProof/>
          <w:sz w:val="24"/>
          <w:szCs w:val="24"/>
        </w:rPr>
        <w:footnoteReference w:id="38"/>
      </w:r>
      <w:r>
        <w:rPr>
          <w:rFonts w:ascii="Times New Roman" w:hAnsi="Times New Roman" w:cs="Times New Roman"/>
          <w:noProof/>
          <w:sz w:val="24"/>
          <w:szCs w:val="24"/>
        </w:rPr>
        <w:t xml:space="preserve"> These technologies can be used and applied across many industries, generate knowledge and new forms of participation and ar</w:t>
      </w:r>
      <w:r>
        <w:rPr>
          <w:rFonts w:ascii="Times New Roman" w:hAnsi="Times New Roman" w:cs="Times New Roman"/>
          <w:noProof/>
          <w:sz w:val="24"/>
          <w:szCs w:val="24"/>
        </w:rPr>
        <w:t>e crucial for addressing key societal challenges, while supporting the EU's industrial leadership.</w:t>
      </w:r>
      <w:r>
        <w:rPr>
          <w:rStyle w:val="FootnoteReference"/>
          <w:rFonts w:ascii="Times New Roman" w:hAnsi="Times New Roman" w:cs="Times New Roman"/>
          <w:noProof/>
          <w:sz w:val="24"/>
          <w:szCs w:val="24"/>
        </w:rPr>
        <w:footnoteReference w:id="39"/>
      </w:r>
    </w:p>
    <w:p w:rsidR="0049469F" w:rsidRDefault="002523FD">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But Europe needs to do better at generating disruptive and breakthrough innovations.  </w:t>
      </w:r>
    </w:p>
    <w:p w:rsidR="0049469F" w:rsidRDefault="002523FD">
      <w:pPr>
        <w:spacing w:after="0" w:line="240" w:lineRule="auto"/>
        <w:jc w:val="both"/>
        <w:rPr>
          <w:rFonts w:ascii="Calibri" w:eastAsia="Calibri" w:hAnsi="Calibri" w:cs="Times New Roman"/>
          <w:noProof/>
          <w:color w:val="1F497D"/>
          <w:sz w:val="24"/>
        </w:rPr>
      </w:pPr>
      <w:r>
        <w:rPr>
          <w:rFonts w:ascii="Times New Roman" w:eastAsia="Calibri" w:hAnsi="Times New Roman" w:cs="Times New Roman"/>
          <w:noProof/>
          <w:sz w:val="24"/>
          <w:highlight w:val="lightGray"/>
        </w:rPr>
        <w:t xml:space="preserve">A </w:t>
      </w:r>
      <w:r>
        <w:rPr>
          <w:rFonts w:ascii="Times New Roman" w:eastAsia="Calibri" w:hAnsi="Times New Roman" w:cs="Times New Roman"/>
          <w:i/>
          <w:noProof/>
          <w:sz w:val="24"/>
          <w:highlight w:val="lightGray"/>
        </w:rPr>
        <w:t>breakthrough innovation</w:t>
      </w:r>
      <w:r>
        <w:rPr>
          <w:rFonts w:ascii="Times New Roman" w:eastAsia="Calibri" w:hAnsi="Times New Roman" w:cs="Times New Roman"/>
          <w:noProof/>
          <w:sz w:val="24"/>
          <w:highlight w:val="lightGray"/>
        </w:rPr>
        <w:t xml:space="preserve"> leads to entirely new products, services or</w:t>
      </w:r>
      <w:r>
        <w:rPr>
          <w:rFonts w:ascii="Times New Roman" w:eastAsia="Calibri" w:hAnsi="Times New Roman" w:cs="Times New Roman"/>
          <w:noProof/>
          <w:sz w:val="24"/>
          <w:highlight w:val="lightGray"/>
        </w:rPr>
        <w:t xml:space="preserve"> processes or to substantial improvements in the quality of existing ones. An example would be doubling the energy density in a battery for an electric car. This opens up whole new business models and market opportunities.</w:t>
      </w:r>
      <w:r>
        <w:rPr>
          <w:rFonts w:ascii="Calibri" w:eastAsia="Calibri" w:hAnsi="Calibri" w:cs="Times New Roman"/>
          <w:noProof/>
          <w:color w:val="1F497D"/>
          <w:sz w:val="24"/>
          <w:highlight w:val="lightGray"/>
        </w:rPr>
        <w:t xml:space="preserve"> </w:t>
      </w:r>
      <w:r>
        <w:rPr>
          <w:rFonts w:ascii="Times New Roman" w:eastAsia="Calibri" w:hAnsi="Times New Roman" w:cs="Times New Roman"/>
          <w:noProof/>
          <w:sz w:val="24"/>
          <w:highlight w:val="lightGray"/>
        </w:rPr>
        <w:t xml:space="preserve">Compared to incremental innovation, breakthrough innovations tend to come from new entrants, often start-ups without existing assets or cash flows. They tend to entail higher risks, in terms of technology, market and regulation. A </w:t>
      </w:r>
      <w:r>
        <w:rPr>
          <w:rFonts w:ascii="Times New Roman" w:eastAsia="Calibri" w:hAnsi="Times New Roman" w:cs="Times New Roman"/>
          <w:i/>
          <w:noProof/>
          <w:sz w:val="24"/>
          <w:highlight w:val="lightGray"/>
        </w:rPr>
        <w:t>disruptive innovation</w:t>
      </w:r>
      <w:r>
        <w:rPr>
          <w:rFonts w:ascii="Times New Roman" w:eastAsia="Calibri" w:hAnsi="Times New Roman" w:cs="Times New Roman"/>
          <w:noProof/>
          <w:sz w:val="24"/>
          <w:highlight w:val="lightGray"/>
        </w:rPr>
        <w:t xml:space="preserve"> is </w:t>
      </w:r>
      <w:r>
        <w:rPr>
          <w:rFonts w:ascii="Times New Roman" w:eastAsia="Calibri" w:hAnsi="Times New Roman" w:cs="Times New Roman"/>
          <w:noProof/>
          <w:sz w:val="24"/>
          <w:highlight w:val="lightGray"/>
        </w:rPr>
        <w:t xml:space="preserve">one that threatens to make an existing solution or industry obsolete. Classic examples include the smart phone and on-line music and video streaming services. Disruptive innovations create entirely new products and services, as well as new business models </w:t>
      </w:r>
      <w:r>
        <w:rPr>
          <w:rFonts w:ascii="Times New Roman" w:eastAsia="Calibri" w:hAnsi="Times New Roman" w:cs="Times New Roman"/>
          <w:noProof/>
          <w:sz w:val="24"/>
          <w:highlight w:val="lightGray"/>
        </w:rPr>
        <w:t>or in some cases even new markets.</w:t>
      </w:r>
    </w:p>
    <w:p w:rsidR="0049469F" w:rsidRDefault="0049469F">
      <w:pPr>
        <w:tabs>
          <w:tab w:val="left" w:pos="426"/>
        </w:tabs>
        <w:spacing w:after="0" w:line="240" w:lineRule="auto"/>
        <w:jc w:val="both"/>
        <w:rPr>
          <w:rFonts w:ascii="Times New Roman" w:hAnsi="Times New Roman" w:cs="Times New Roman"/>
          <w:noProof/>
          <w:sz w:val="24"/>
          <w:szCs w:val="24"/>
        </w:rPr>
      </w:pPr>
    </w:p>
    <w:p w:rsidR="0049469F" w:rsidRDefault="002523FD">
      <w:pPr>
        <w:tabs>
          <w:tab w:val="left" w:pos="426"/>
        </w:tabs>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Disruptive and b</w:t>
      </w:r>
      <w:r>
        <w:rPr>
          <w:rFonts w:ascii="Times New Roman" w:hAnsi="Times New Roman"/>
          <w:noProof/>
          <w:sz w:val="24"/>
        </w:rPr>
        <w:t xml:space="preserve">reakthrough innovations are still too rare in Europe. </w:t>
      </w:r>
      <w:r>
        <w:rPr>
          <w:rFonts w:ascii="Times New Roman" w:hAnsi="Times New Roman" w:cs="Times New Roman"/>
          <w:noProof/>
          <w:sz w:val="24"/>
          <w:szCs w:val="24"/>
        </w:rPr>
        <w:t>This is down to a range factors, including lack of venture capital, a deep-rooted aversion to risk, lack of transfer of new technologies from the rese</w:t>
      </w:r>
      <w:r>
        <w:rPr>
          <w:rFonts w:ascii="Times New Roman" w:hAnsi="Times New Roman" w:cs="Times New Roman"/>
          <w:noProof/>
          <w:sz w:val="24"/>
          <w:szCs w:val="24"/>
        </w:rPr>
        <w:t>arch base, and an inability to exploit the scale of the Union. Too few European start-ups survive beyond the critical initial phase of 2-3 years. Of those that make it beyond that point, too few end up growing into larger firms and scaling up globally.</w:t>
      </w:r>
      <w:r>
        <w:rPr>
          <w:rStyle w:val="FootnoteReference"/>
          <w:rFonts w:ascii="Times New Roman" w:hAnsi="Times New Roman"/>
          <w:noProof/>
          <w:sz w:val="24"/>
          <w:szCs w:val="24"/>
        </w:rPr>
        <w:footnoteReference w:id="40"/>
      </w:r>
      <w:r>
        <w:rPr>
          <w:rFonts w:ascii="Times New Roman" w:hAnsi="Times New Roman" w:cs="Times New Roman"/>
          <w:noProof/>
          <w:sz w:val="24"/>
          <w:szCs w:val="24"/>
        </w:rPr>
        <w:t xml:space="preserve"> Le</w:t>
      </w:r>
      <w:r>
        <w:rPr>
          <w:rFonts w:ascii="Times New Roman" w:hAnsi="Times New Roman" w:cs="Times New Roman"/>
          <w:noProof/>
          <w:sz w:val="24"/>
          <w:szCs w:val="24"/>
        </w:rPr>
        <w:t>ss than 5% of European Small Medium Enterprises grow internationally.</w:t>
      </w:r>
      <w:r>
        <w:rPr>
          <w:rStyle w:val="FootnoteReference"/>
          <w:rFonts w:ascii="Times New Roman" w:hAnsi="Times New Roman" w:cs="Times New Roman"/>
          <w:noProof/>
          <w:sz w:val="24"/>
          <w:szCs w:val="24"/>
        </w:rPr>
        <w:footnoteReference w:id="41"/>
      </w:r>
    </w:p>
    <w:p w:rsidR="0049469F" w:rsidRDefault="002523FD">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To help boost major breakthrough innovations in Europe, the Commission proposes to create a </w:t>
      </w:r>
      <w:r>
        <w:rPr>
          <w:rFonts w:ascii="Times New Roman" w:hAnsi="Times New Roman" w:cs="Times New Roman"/>
          <w:b/>
          <w:noProof/>
          <w:sz w:val="24"/>
          <w:szCs w:val="24"/>
        </w:rPr>
        <w:t xml:space="preserve">European Innovation Council. </w:t>
      </w:r>
      <w:r>
        <w:rPr>
          <w:rFonts w:ascii="Times New Roman" w:hAnsi="Times New Roman" w:cs="Times New Roman"/>
          <w:noProof/>
          <w:sz w:val="24"/>
          <w:szCs w:val="24"/>
        </w:rPr>
        <w:t>The European Innovation Council will offer a one-stop shop for h</w:t>
      </w:r>
      <w:r>
        <w:rPr>
          <w:rFonts w:ascii="Times New Roman" w:hAnsi="Times New Roman" w:cs="Times New Roman"/>
          <w:noProof/>
          <w:sz w:val="24"/>
          <w:szCs w:val="24"/>
        </w:rPr>
        <w:t>igh potential and breakthrough technologies, as well as for innovative companies with potential for scaling up. It will support the commercial pathway of promising ideas from the research to industry. This will be done via start-ups, spin-outs or transfers</w:t>
      </w:r>
      <w:r>
        <w:rPr>
          <w:rFonts w:ascii="Times New Roman" w:hAnsi="Times New Roman" w:cs="Times New Roman"/>
          <w:noProof/>
          <w:sz w:val="24"/>
          <w:szCs w:val="24"/>
        </w:rPr>
        <w:t xml:space="preserve"> to industry. It will support the scaling up of innovation in the start-up phase to make sure that it translates to more jobs and growth.</w:t>
      </w:r>
      <w:r>
        <w:rPr>
          <w:rFonts w:ascii="Times New Roman" w:hAnsi="Times New Roman" w:cs="Times New Roman"/>
          <w:noProof/>
          <w:sz w:val="24"/>
          <w:szCs w:val="24"/>
          <w:vertAlign w:val="superscript"/>
        </w:rPr>
        <w:footnoteReference w:id="42"/>
      </w:r>
      <w:r>
        <w:rPr>
          <w:rFonts w:ascii="Times New Roman" w:hAnsi="Times New Roman" w:cs="Times New Roman"/>
          <w:noProof/>
          <w:sz w:val="24"/>
          <w:szCs w:val="24"/>
        </w:rPr>
        <w:t xml:space="preserve"> It will do so by streamlining, rationalising and simplifying existing structures. It will work in complementarity wit</w:t>
      </w:r>
      <w:r>
        <w:rPr>
          <w:rFonts w:ascii="Times New Roman" w:hAnsi="Times New Roman" w:cs="Times New Roman"/>
          <w:noProof/>
          <w:sz w:val="24"/>
          <w:szCs w:val="24"/>
        </w:rPr>
        <w:t xml:space="preserve">h the </w:t>
      </w:r>
      <w:r>
        <w:rPr>
          <w:rFonts w:ascii="Times New Roman" w:hAnsi="Times New Roman" w:cs="Times New Roman"/>
          <w:b/>
          <w:noProof/>
          <w:sz w:val="24"/>
          <w:szCs w:val="24"/>
        </w:rPr>
        <w:t>European Institute of Innovation and Technology</w:t>
      </w:r>
      <w:r>
        <w:rPr>
          <w:rFonts w:ascii="Times New Roman" w:hAnsi="Times New Roman" w:cs="Times New Roman"/>
          <w:noProof/>
          <w:sz w:val="24"/>
          <w:szCs w:val="24"/>
        </w:rPr>
        <w:t>.</w:t>
      </w:r>
    </w:p>
    <w:p w:rsidR="0049469F" w:rsidRDefault="002523FD">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 pilot has already been launched, grouping relevant existing schemes and introducing first reforms in Horizon 2020. EUR 2.7 billion has been earmarked for this between 2018 and 2020. The future, fully</w:t>
      </w:r>
      <w:r>
        <w:rPr>
          <w:rFonts w:ascii="Times New Roman" w:hAnsi="Times New Roman" w:cs="Times New Roman"/>
          <w:noProof/>
          <w:sz w:val="24"/>
          <w:szCs w:val="24"/>
        </w:rPr>
        <w:t>-fledged European Innovation Council will be managed in a way that allows for investments in higher risk projects. Based on strategic advice from leading innovators, it will prioritise excellence and scale of impact. It should accelerate the commercialisat</w:t>
      </w:r>
      <w:r>
        <w:rPr>
          <w:rFonts w:ascii="Times New Roman" w:hAnsi="Times New Roman" w:cs="Times New Roman"/>
          <w:noProof/>
          <w:sz w:val="24"/>
          <w:szCs w:val="24"/>
        </w:rPr>
        <w:t xml:space="preserve">ion and scale up of innovations by start-ups emerging from Horizon Europe projects. It should also provide advice on research and innovation funding schemes to ensure focus, scale and delivery of European policy priorities. </w:t>
      </w:r>
    </w:p>
    <w:p w:rsidR="0049469F" w:rsidRDefault="002523FD">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Commission will complement </w:t>
      </w:r>
      <w:r>
        <w:rPr>
          <w:rFonts w:ascii="Times New Roman" w:hAnsi="Times New Roman" w:cs="Times New Roman"/>
          <w:noProof/>
          <w:sz w:val="24"/>
          <w:szCs w:val="24"/>
        </w:rPr>
        <w:t xml:space="preserve">this with the </w:t>
      </w:r>
      <w:r>
        <w:rPr>
          <w:rFonts w:ascii="Times New Roman" w:hAnsi="Times New Roman" w:cs="Times New Roman"/>
          <w:b/>
          <w:noProof/>
          <w:sz w:val="24"/>
          <w:szCs w:val="24"/>
        </w:rPr>
        <w:t xml:space="preserve">Innovation Radar </w:t>
      </w:r>
      <w:r>
        <w:rPr>
          <w:rFonts w:ascii="Times New Roman" w:hAnsi="Times New Roman" w:cs="Times New Roman"/>
          <w:noProof/>
          <w:sz w:val="24"/>
          <w:szCs w:val="24"/>
        </w:rPr>
        <w:t>initiative</w:t>
      </w:r>
      <w:r>
        <w:rPr>
          <w:rFonts w:ascii="Times New Roman" w:hAnsi="Times New Roman"/>
          <w:b/>
          <w:noProof/>
          <w:sz w:val="24"/>
        </w:rPr>
        <w:t>,</w:t>
      </w:r>
      <w:r>
        <w:rPr>
          <w:rFonts w:ascii="Times New Roman" w:hAnsi="Times New Roman" w:cs="Times New Roman"/>
          <w:b/>
          <w:noProof/>
          <w:sz w:val="24"/>
          <w:szCs w:val="24"/>
        </w:rPr>
        <w:t xml:space="preserve"> </w:t>
      </w:r>
      <w:r>
        <w:rPr>
          <w:rFonts w:ascii="Times New Roman" w:hAnsi="Times New Roman" w:cs="Times New Roman"/>
          <w:noProof/>
          <w:sz w:val="24"/>
          <w:szCs w:val="24"/>
        </w:rPr>
        <w:t>a tool that allows to spot innovations with market potential financed by the EU budget.</w:t>
      </w:r>
    </w:p>
    <w:p w:rsidR="0049469F" w:rsidRDefault="002523FD">
      <w:pPr>
        <w:pStyle w:val="ListParagraph"/>
        <w:keepNext/>
        <w:pBdr>
          <w:top w:val="single" w:sz="4" w:space="1" w:color="auto"/>
          <w:left w:val="single" w:sz="4" w:space="4" w:color="auto"/>
          <w:bottom w:val="single" w:sz="4" w:space="1" w:color="auto"/>
          <w:right w:val="single" w:sz="4" w:space="4" w:color="auto"/>
        </w:pBdr>
        <w:spacing w:before="240" w:line="240" w:lineRule="auto"/>
        <w:ind w:left="0"/>
        <w:jc w:val="both"/>
        <w:rPr>
          <w:rFonts w:ascii="Times New Roman" w:hAnsi="Times New Roman" w:cs="Times New Roman"/>
          <w:i/>
          <w:noProof/>
          <w:sz w:val="24"/>
          <w:szCs w:val="24"/>
        </w:rPr>
      </w:pPr>
      <w:r>
        <w:rPr>
          <w:rFonts w:ascii="Times New Roman" w:hAnsi="Times New Roman" w:cs="Times New Roman"/>
          <w:i/>
          <w:noProof/>
          <w:sz w:val="24"/>
          <w:szCs w:val="24"/>
        </w:rPr>
        <w:t>Key steps</w:t>
      </w:r>
    </w:p>
    <w:p w:rsidR="0049469F" w:rsidRDefault="0049469F">
      <w:pPr>
        <w:pStyle w:val="ListParagraph"/>
        <w:keepNext/>
        <w:pBdr>
          <w:top w:val="single" w:sz="4" w:space="1" w:color="auto"/>
          <w:left w:val="single" w:sz="4" w:space="4" w:color="auto"/>
          <w:bottom w:val="single" w:sz="4" w:space="1" w:color="auto"/>
          <w:right w:val="single" w:sz="4" w:space="4" w:color="auto"/>
        </w:pBdr>
        <w:spacing w:before="240" w:line="240" w:lineRule="auto"/>
        <w:ind w:left="0"/>
        <w:jc w:val="both"/>
        <w:rPr>
          <w:rFonts w:ascii="Times New Roman" w:hAnsi="Times New Roman" w:cs="Times New Roman"/>
          <w:i/>
          <w:noProof/>
          <w:sz w:val="24"/>
          <w:szCs w:val="24"/>
        </w:rPr>
      </w:pPr>
    </w:p>
    <w:p w:rsidR="0049469F" w:rsidRDefault="002523FD">
      <w:pPr>
        <w:pStyle w:val="ListParagraph"/>
        <w:pBdr>
          <w:top w:val="single" w:sz="4" w:space="1" w:color="auto"/>
          <w:left w:val="single" w:sz="4" w:space="4" w:color="auto"/>
          <w:bottom w:val="single" w:sz="4" w:space="1" w:color="auto"/>
          <w:right w:val="single" w:sz="4" w:space="4" w:color="auto"/>
        </w:pBdr>
        <w:spacing w:before="240" w:line="240" w:lineRule="auto"/>
        <w:ind w:left="284" w:hanging="284"/>
        <w:jc w:val="both"/>
        <w:rPr>
          <w:noProof/>
        </w:rPr>
      </w:pPr>
      <w:r>
        <w:rPr>
          <w:rFonts w:ascii="Times New Roman" w:hAnsi="Times New Roman" w:cs="Times New Roman"/>
          <w:noProof/>
          <w:sz w:val="24"/>
          <w:szCs w:val="24"/>
        </w:rPr>
        <w:t>-</w:t>
      </w:r>
      <w:r>
        <w:rPr>
          <w:rFonts w:ascii="Times New Roman" w:hAnsi="Times New Roman" w:cs="Times New Roman"/>
          <w:noProof/>
          <w:sz w:val="24"/>
          <w:szCs w:val="24"/>
        </w:rPr>
        <w:tab/>
      </w:r>
      <w:r>
        <w:rPr>
          <w:rFonts w:ascii="Times New Roman" w:hAnsi="Times New Roman" w:cs="Times New Roman"/>
          <w:b/>
          <w:noProof/>
          <w:sz w:val="24"/>
          <w:szCs w:val="24"/>
        </w:rPr>
        <w:t xml:space="preserve">Establish a European Innovation Council to identify and scale up breakthrough and disruptive innovations. The </w:t>
      </w:r>
      <w:r>
        <w:rPr>
          <w:rFonts w:ascii="Times New Roman" w:hAnsi="Times New Roman" w:cs="Times New Roman"/>
          <w:b/>
          <w:noProof/>
          <w:sz w:val="24"/>
          <w:szCs w:val="24"/>
        </w:rPr>
        <w:t>focus will be on</w:t>
      </w:r>
      <w:r>
        <w:rPr>
          <w:rFonts w:ascii="Times New Roman" w:hAnsi="Times New Roman"/>
          <w:noProof/>
          <w:sz w:val="24"/>
        </w:rPr>
        <w:t xml:space="preserve"> </w:t>
      </w:r>
      <w:r>
        <w:rPr>
          <w:rFonts w:ascii="Times New Roman" w:hAnsi="Times New Roman" w:cs="Times New Roman"/>
          <w:b/>
          <w:noProof/>
          <w:sz w:val="24"/>
          <w:szCs w:val="24"/>
        </w:rPr>
        <w:t>fast moving, high risk innovations that have a strong potential to create entirely new markets.</w:t>
      </w:r>
      <w:r>
        <w:rPr>
          <w:rFonts w:ascii="Arial" w:eastAsia="Times New Roman" w:hAnsi="Arial" w:cs="Arial"/>
          <w:b/>
          <w:noProof/>
          <w:lang w:eastAsia="en-GB"/>
        </w:rPr>
        <w:t xml:space="preserve"> </w:t>
      </w:r>
    </w:p>
    <w:p w:rsidR="0049469F" w:rsidRDefault="0049469F">
      <w:pPr>
        <w:pStyle w:val="ListParagraph"/>
        <w:spacing w:line="240" w:lineRule="auto"/>
        <w:ind w:left="0"/>
        <w:rPr>
          <w:rFonts w:ascii="Times New Roman" w:hAnsi="Times New Roman" w:cs="Times New Roman"/>
          <w:b/>
          <w:i/>
          <w:noProof/>
          <w:sz w:val="24"/>
          <w:szCs w:val="24"/>
        </w:rPr>
      </w:pPr>
    </w:p>
    <w:p w:rsidR="0049469F" w:rsidRDefault="0049469F">
      <w:pPr>
        <w:pStyle w:val="ListParagraph"/>
        <w:spacing w:line="240" w:lineRule="auto"/>
        <w:ind w:left="0"/>
        <w:rPr>
          <w:rFonts w:ascii="Times New Roman" w:hAnsi="Times New Roman" w:cs="Times New Roman"/>
          <w:b/>
          <w:i/>
          <w:noProof/>
          <w:sz w:val="24"/>
          <w:szCs w:val="24"/>
        </w:rPr>
      </w:pPr>
    </w:p>
    <w:p w:rsidR="0049469F" w:rsidRDefault="002523FD">
      <w:pPr>
        <w:pStyle w:val="ListParagraph"/>
        <w:keepNext/>
        <w:spacing w:line="240" w:lineRule="auto"/>
        <w:ind w:left="0"/>
        <w:jc w:val="both"/>
        <w:rPr>
          <w:rFonts w:ascii="Times New Roman" w:hAnsi="Times New Roman" w:cs="Times New Roman"/>
          <w:b/>
          <w:noProof/>
          <w:sz w:val="24"/>
          <w:szCs w:val="24"/>
        </w:rPr>
      </w:pPr>
      <w:r>
        <w:rPr>
          <w:rFonts w:ascii="Times New Roman" w:hAnsi="Times New Roman" w:cs="Times New Roman"/>
          <w:b/>
          <w:noProof/>
          <w:sz w:val="24"/>
          <w:szCs w:val="24"/>
        </w:rPr>
        <w:t xml:space="preserve">2.4 </w:t>
      </w:r>
      <w:r>
        <w:rPr>
          <w:rFonts w:ascii="Times New Roman" w:hAnsi="Times New Roman" w:cs="Times New Roman"/>
          <w:b/>
          <w:noProof/>
          <w:sz w:val="24"/>
          <w:szCs w:val="24"/>
        </w:rPr>
        <w:tab/>
        <w:t xml:space="preserve">Setting EU-wide research and innovation missions </w:t>
      </w:r>
    </w:p>
    <w:p w:rsidR="0049469F" w:rsidRDefault="002523FD">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European support for research and innovation helps the EU deliver on its priorities, </w:t>
      </w:r>
      <w:r>
        <w:rPr>
          <w:rFonts w:ascii="Times New Roman" w:hAnsi="Times New Roman" w:cs="Times New Roman"/>
          <w:noProof/>
          <w:sz w:val="24"/>
          <w:szCs w:val="24"/>
        </w:rPr>
        <w:t>makes the daily life of citizens that bit easier, and helps make major breakthroughs that will affect millions right around the world. From delivering our Paris Agreement commitments on climate change, to discovering new planets, making major advances on c</w:t>
      </w:r>
      <w:r>
        <w:rPr>
          <w:rFonts w:ascii="Times New Roman" w:hAnsi="Times New Roman" w:cs="Times New Roman"/>
          <w:noProof/>
          <w:sz w:val="24"/>
          <w:szCs w:val="24"/>
        </w:rPr>
        <w:t>ancer treatment, EU funding has a real and demonstrable added-value. It may even help you to print a 3D version of your dream house in the near future.</w:t>
      </w:r>
    </w:p>
    <w:p w:rsidR="0049469F" w:rsidRDefault="002523FD">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Europe can take this added value and impact one step further by setting EU-level research and innovation</w:t>
      </w:r>
      <w:r>
        <w:rPr>
          <w:rFonts w:ascii="Times New Roman" w:hAnsi="Times New Roman" w:cs="Times New Roman"/>
          <w:noProof/>
          <w:sz w:val="24"/>
          <w:szCs w:val="24"/>
        </w:rPr>
        <w:t xml:space="preserve"> missions. These would set ambitious goals that would push the boundaries for research and innovation, drive our jobs, growth and competitiveness agenda, and help solve some of society's biggest challenges. These missions would be defined in close cooperat</w:t>
      </w:r>
      <w:r>
        <w:rPr>
          <w:rFonts w:ascii="Times New Roman" w:hAnsi="Times New Roman" w:cs="Times New Roman"/>
          <w:noProof/>
          <w:sz w:val="24"/>
          <w:szCs w:val="24"/>
        </w:rPr>
        <w:t xml:space="preserve">ion with Member States, stakeholders and citizens. They could range from the fight against disease, to clean transport, or plastic-free oceans. </w:t>
      </w:r>
    </w:p>
    <w:p w:rsidR="0049469F" w:rsidRDefault="002523FD">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Recognising that what gets measured gets done, these missions would need to set ambitious, targeted and time-bo</w:t>
      </w:r>
      <w:r>
        <w:rPr>
          <w:rFonts w:ascii="Times New Roman" w:hAnsi="Times New Roman" w:cs="Times New Roman"/>
          <w:noProof/>
          <w:sz w:val="24"/>
          <w:szCs w:val="24"/>
        </w:rPr>
        <w:t>und objectives. Taking the example of oceans plastics, these objectives could include, for instance, reducing the amount of plastics entering the marine environment by 90% and collecting more than half of the plastics present in our oceans by 2025'.</w:t>
      </w:r>
    </w:p>
    <w:p w:rsidR="0049469F" w:rsidRDefault="002523FD">
      <w:pPr>
        <w:spacing w:line="240" w:lineRule="auto"/>
        <w:jc w:val="both"/>
        <w:rPr>
          <w:rFonts w:ascii="Times New Roman" w:hAnsi="Times New Roman" w:cs="Times New Roman"/>
          <w:b/>
          <w:noProof/>
          <w:sz w:val="24"/>
          <w:szCs w:val="24"/>
        </w:rPr>
      </w:pPr>
      <w:r>
        <w:rPr>
          <w:rFonts w:ascii="Times New Roman" w:hAnsi="Times New Roman" w:cs="Times New Roman"/>
          <w:noProof/>
          <w:sz w:val="24"/>
          <w:szCs w:val="24"/>
        </w:rPr>
        <w:t>The mi</w:t>
      </w:r>
      <w:r>
        <w:rPr>
          <w:rFonts w:ascii="Times New Roman" w:hAnsi="Times New Roman" w:cs="Times New Roman"/>
          <w:noProof/>
          <w:sz w:val="24"/>
          <w:szCs w:val="24"/>
        </w:rPr>
        <w:t>ssions will encourage investment and participation across multiple sectors throughout the value chains, policy areas (e.g. energy and climate, transport, advanced manufacturing, health and nutrition, digital), scientific disciplines (including social scien</w:t>
      </w:r>
      <w:r>
        <w:rPr>
          <w:rFonts w:ascii="Times New Roman" w:hAnsi="Times New Roman" w:cs="Times New Roman"/>
          <w:noProof/>
          <w:sz w:val="24"/>
          <w:szCs w:val="24"/>
        </w:rPr>
        <w:t>ces and humanities), as well as different actors and stakeholders</w:t>
      </w:r>
      <w:r>
        <w:rPr>
          <w:rFonts w:ascii="Times New Roman" w:hAnsi="Times New Roman"/>
          <w:b/>
          <w:noProof/>
          <w:sz w:val="24"/>
        </w:rPr>
        <w:t>.</w:t>
      </w:r>
      <w:r>
        <w:rPr>
          <w:rFonts w:ascii="Times New Roman" w:hAnsi="Times New Roman" w:cs="Times New Roman"/>
          <w:b/>
          <w:noProof/>
          <w:sz w:val="24"/>
          <w:szCs w:val="24"/>
        </w:rPr>
        <w:t xml:space="preserve"> </w:t>
      </w:r>
      <w:r>
        <w:rPr>
          <w:rFonts w:ascii="Times New Roman" w:hAnsi="Times New Roman" w:cs="Times New Roman"/>
          <w:noProof/>
          <w:sz w:val="24"/>
          <w:szCs w:val="24"/>
        </w:rPr>
        <w:t>This requires an inclusive process which identifies areas with greatest potential in terms of scale of economic impact on the one hand, and addresses societal challenges on the other. Missi</w:t>
      </w:r>
      <w:r>
        <w:rPr>
          <w:rFonts w:ascii="Times New Roman" w:hAnsi="Times New Roman" w:cs="Times New Roman"/>
          <w:noProof/>
          <w:sz w:val="24"/>
          <w:szCs w:val="24"/>
        </w:rPr>
        <w:t>ons</w:t>
      </w:r>
      <w:r>
        <w:rPr>
          <w:rFonts w:ascii="Times New Roman" w:hAnsi="Times New Roman" w:cs="Times New Roman"/>
          <w:b/>
          <w:noProof/>
          <w:sz w:val="24"/>
          <w:szCs w:val="24"/>
        </w:rPr>
        <w:t xml:space="preserve"> </w:t>
      </w:r>
      <w:r>
        <w:rPr>
          <w:rFonts w:ascii="Times New Roman" w:hAnsi="Times New Roman" w:cs="Times New Roman"/>
          <w:noProof/>
          <w:sz w:val="24"/>
          <w:szCs w:val="24"/>
        </w:rPr>
        <w:t>could have a societal, scientific or technological focus and</w:t>
      </w:r>
      <w:r>
        <w:rPr>
          <w:rFonts w:ascii="Times New Roman" w:hAnsi="Times New Roman" w:cs="Times New Roman"/>
          <w:b/>
          <w:noProof/>
          <w:sz w:val="24"/>
          <w:szCs w:val="24"/>
        </w:rPr>
        <w:t xml:space="preserve"> </w:t>
      </w:r>
      <w:r>
        <w:rPr>
          <w:rFonts w:ascii="Times New Roman" w:hAnsi="Times New Roman" w:cs="Times New Roman"/>
          <w:noProof/>
          <w:sz w:val="24"/>
          <w:szCs w:val="24"/>
        </w:rPr>
        <w:t>should create synergies with research and innovation strategies at Member State, regional and local level.</w:t>
      </w:r>
      <w:r>
        <w:rPr>
          <w:rFonts w:ascii="Times New Roman" w:hAnsi="Times New Roman"/>
          <w:noProof/>
          <w:sz w:val="24"/>
        </w:rPr>
        <w:t xml:space="preserve"> </w:t>
      </w:r>
    </w:p>
    <w:p w:rsidR="0049469F" w:rsidRDefault="002523FD">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Missions should encourage and even require experimentation and risk-taking. They wi</w:t>
      </w:r>
      <w:r>
        <w:rPr>
          <w:rFonts w:ascii="Times New Roman" w:hAnsi="Times New Roman" w:cs="Times New Roman"/>
          <w:noProof/>
          <w:sz w:val="24"/>
          <w:szCs w:val="24"/>
        </w:rPr>
        <w:t>ll be able to build on and continue the experience of the Graphene and the Human Brain flagship projects</w:t>
      </w:r>
      <w:r>
        <w:rPr>
          <w:rStyle w:val="FootnoteReference"/>
          <w:rFonts w:ascii="Times New Roman" w:hAnsi="Times New Roman" w:cs="Times New Roman"/>
          <w:noProof/>
          <w:sz w:val="24"/>
          <w:szCs w:val="24"/>
        </w:rPr>
        <w:footnoteReference w:id="43"/>
      </w:r>
      <w:r>
        <w:rPr>
          <w:rFonts w:ascii="Times New Roman" w:hAnsi="Times New Roman" w:cs="Times New Roman"/>
          <w:noProof/>
          <w:sz w:val="24"/>
          <w:szCs w:val="24"/>
        </w:rPr>
        <w:t xml:space="preserve">, and more recently the Quantum project, all of which have shown ambition and a strong technology-driven approach based on multi-disciplinary research. </w:t>
      </w:r>
    </w:p>
    <w:p w:rsidR="0049469F" w:rsidRDefault="002523FD">
      <w:pPr>
        <w:pStyle w:val="ListParagraph"/>
        <w:keepNext/>
        <w:pBdr>
          <w:top w:val="single" w:sz="4" w:space="1" w:color="auto"/>
          <w:left w:val="single" w:sz="4" w:space="4" w:color="auto"/>
          <w:bottom w:val="single" w:sz="4" w:space="1" w:color="auto"/>
          <w:right w:val="single" w:sz="4" w:space="4" w:color="auto"/>
        </w:pBdr>
        <w:spacing w:after="240" w:line="240" w:lineRule="auto"/>
        <w:ind w:left="0"/>
        <w:jc w:val="both"/>
        <w:rPr>
          <w:rFonts w:ascii="Times New Roman" w:hAnsi="Times New Roman" w:cs="Times New Roman"/>
          <w:i/>
          <w:noProof/>
          <w:sz w:val="24"/>
          <w:szCs w:val="24"/>
        </w:rPr>
      </w:pPr>
      <w:r>
        <w:rPr>
          <w:rFonts w:ascii="Times New Roman" w:hAnsi="Times New Roman" w:cs="Times New Roman"/>
          <w:i/>
          <w:noProof/>
          <w:sz w:val="24"/>
          <w:szCs w:val="24"/>
        </w:rPr>
        <w:t>Key steps</w:t>
      </w:r>
    </w:p>
    <w:p w:rsidR="0049469F" w:rsidRDefault="0049469F">
      <w:pPr>
        <w:pStyle w:val="ListParagraph"/>
        <w:keepNext/>
        <w:pBdr>
          <w:top w:val="single" w:sz="4" w:space="1" w:color="auto"/>
          <w:left w:val="single" w:sz="4" w:space="4" w:color="auto"/>
          <w:bottom w:val="single" w:sz="4" w:space="1" w:color="auto"/>
          <w:right w:val="single" w:sz="4" w:space="4" w:color="auto"/>
        </w:pBdr>
        <w:spacing w:after="240" w:line="240" w:lineRule="auto"/>
        <w:ind w:left="0"/>
        <w:jc w:val="both"/>
        <w:rPr>
          <w:rFonts w:ascii="Times New Roman" w:hAnsi="Times New Roman" w:cs="Times New Roman"/>
          <w:i/>
          <w:noProof/>
          <w:sz w:val="24"/>
          <w:szCs w:val="24"/>
        </w:rPr>
      </w:pPr>
    </w:p>
    <w:p w:rsidR="0049469F" w:rsidRDefault="002523FD">
      <w:pPr>
        <w:pStyle w:val="ListParagraph"/>
        <w:pBdr>
          <w:top w:val="single" w:sz="4" w:space="1" w:color="auto"/>
          <w:left w:val="single" w:sz="4" w:space="4" w:color="auto"/>
          <w:bottom w:val="single" w:sz="4" w:space="1" w:color="auto"/>
          <w:right w:val="single" w:sz="4" w:space="4" w:color="auto"/>
        </w:pBdr>
        <w:spacing w:before="240" w:after="240" w:line="240" w:lineRule="auto"/>
        <w:ind w:left="284" w:hanging="284"/>
        <w:jc w:val="both"/>
        <w:rPr>
          <w:rFonts w:ascii="Times New Roman" w:hAnsi="Times New Roman" w:cs="Times New Roman"/>
          <w:noProof/>
          <w:sz w:val="24"/>
          <w:szCs w:val="24"/>
        </w:rPr>
      </w:pPr>
      <w:r>
        <w:rPr>
          <w:rFonts w:ascii="Times New Roman" w:hAnsi="Times New Roman" w:cs="Times New Roman"/>
          <w:noProof/>
          <w:sz w:val="24"/>
          <w:szCs w:val="24"/>
        </w:rPr>
        <w:t>-</w:t>
      </w:r>
      <w:r>
        <w:rPr>
          <w:rFonts w:ascii="Times New Roman" w:hAnsi="Times New Roman" w:cs="Times New Roman"/>
          <w:noProof/>
          <w:sz w:val="24"/>
          <w:szCs w:val="24"/>
        </w:rPr>
        <w:tab/>
      </w:r>
      <w:r>
        <w:rPr>
          <w:rFonts w:ascii="Times New Roman" w:hAnsi="Times New Roman" w:cs="Times New Roman"/>
          <w:b/>
          <w:noProof/>
          <w:sz w:val="24"/>
          <w:szCs w:val="24"/>
        </w:rPr>
        <w:t>Launch a first set of EU level research and innovation missions with bold, ambitious goals</w:t>
      </w:r>
      <w:r>
        <w:rPr>
          <w:rFonts w:ascii="Times New Roman" w:hAnsi="Times New Roman" w:cs="Times New Roman"/>
          <w:b/>
          <w:noProof/>
          <w:sz w:val="24"/>
          <w:szCs w:val="24"/>
        </w:rPr>
        <w:t xml:space="preserve"> and strong European added value.</w:t>
      </w:r>
      <w:r>
        <w:rPr>
          <w:rFonts w:ascii="Times New Roman" w:hAnsi="Times New Roman" w:cs="Times New Roman"/>
          <w:noProof/>
          <w:sz w:val="24"/>
          <w:szCs w:val="24"/>
        </w:rPr>
        <w:t xml:space="preserve"> </w:t>
      </w:r>
    </w:p>
    <w:p w:rsidR="0049469F" w:rsidRDefault="0049469F">
      <w:pPr>
        <w:pStyle w:val="ListParagraph"/>
        <w:spacing w:line="240" w:lineRule="auto"/>
        <w:ind w:left="0"/>
        <w:rPr>
          <w:rFonts w:ascii="Times New Roman" w:hAnsi="Times New Roman" w:cs="Times New Roman"/>
          <w:b/>
          <w:i/>
          <w:noProof/>
          <w:sz w:val="24"/>
          <w:szCs w:val="24"/>
        </w:rPr>
      </w:pPr>
    </w:p>
    <w:p w:rsidR="0049469F" w:rsidRDefault="0049469F">
      <w:pPr>
        <w:pStyle w:val="ListParagraph"/>
        <w:spacing w:line="240" w:lineRule="auto"/>
        <w:ind w:left="0"/>
        <w:rPr>
          <w:rFonts w:ascii="Times New Roman" w:hAnsi="Times New Roman" w:cs="Times New Roman"/>
          <w:b/>
          <w:i/>
          <w:noProof/>
          <w:sz w:val="24"/>
          <w:szCs w:val="24"/>
        </w:rPr>
      </w:pPr>
    </w:p>
    <w:p w:rsidR="0049469F" w:rsidRDefault="002523FD">
      <w:pPr>
        <w:pStyle w:val="ListParagraph"/>
        <w:keepNext/>
        <w:spacing w:line="240" w:lineRule="auto"/>
        <w:ind w:left="0"/>
        <w:jc w:val="both"/>
        <w:rPr>
          <w:rFonts w:ascii="Times New Roman" w:hAnsi="Times New Roman" w:cs="Times New Roman"/>
          <w:b/>
          <w:noProof/>
          <w:sz w:val="24"/>
          <w:szCs w:val="24"/>
        </w:rPr>
      </w:pPr>
      <w:r>
        <w:rPr>
          <w:rFonts w:ascii="Times New Roman" w:hAnsi="Times New Roman" w:cs="Times New Roman"/>
          <w:b/>
          <w:noProof/>
          <w:sz w:val="24"/>
          <w:szCs w:val="24"/>
        </w:rPr>
        <w:t xml:space="preserve">2.5 Support rapid dissemination of innovation and uptake throughout the Union </w:t>
      </w:r>
    </w:p>
    <w:p w:rsidR="0049469F" w:rsidRDefault="002523FD">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There used to be a clear innovation divide in Europe between North and South, and West and East. However, that division is now much more </w:t>
      </w:r>
      <w:r>
        <w:rPr>
          <w:rFonts w:ascii="Times New Roman" w:hAnsi="Times New Roman" w:cs="Times New Roman"/>
          <w:noProof/>
          <w:sz w:val="24"/>
          <w:szCs w:val="24"/>
        </w:rPr>
        <w:t xml:space="preserve">nuanced, as a number of countries have made significant progress in catching up, notably in terms of investment levels. Pockets of scientific and technological excellence have emerged in all parts of Europe. But the innovation divide between regions still </w:t>
      </w:r>
      <w:r>
        <w:rPr>
          <w:rFonts w:ascii="Times New Roman" w:hAnsi="Times New Roman" w:cs="Times New Roman"/>
          <w:noProof/>
          <w:sz w:val="24"/>
          <w:szCs w:val="24"/>
        </w:rPr>
        <w:t>persists, with several areas lagging significantly behind in terms of investment, innovation capacity and performance. Weaknesses in innovation dissemination explain a large part of Europe's slow aggregate productivity growth.</w:t>
      </w:r>
      <w:r>
        <w:rPr>
          <w:rStyle w:val="FootnoteReference"/>
          <w:rFonts w:ascii="Times New Roman" w:hAnsi="Times New Roman" w:cs="Times New Roman"/>
          <w:noProof/>
          <w:sz w:val="24"/>
          <w:szCs w:val="24"/>
        </w:rPr>
        <w:footnoteReference w:id="44"/>
      </w:r>
    </w:p>
    <w:p w:rsidR="0049469F" w:rsidRDefault="002523FD">
      <w:pPr>
        <w:keepNext/>
        <w:spacing w:after="120" w:line="240" w:lineRule="auto"/>
        <w:jc w:val="center"/>
        <w:rPr>
          <w:rFonts w:ascii="Times New Roman" w:hAnsi="Times New Roman" w:cs="Times New Roman"/>
          <w:i/>
          <w:noProof/>
          <w:szCs w:val="24"/>
        </w:rPr>
      </w:pPr>
      <w:r>
        <w:rPr>
          <w:rFonts w:ascii="Times New Roman" w:hAnsi="Times New Roman" w:cs="Times New Roman"/>
          <w:b/>
          <w:noProof/>
          <w:szCs w:val="24"/>
        </w:rPr>
        <w:t>Performance of EU regions in</w:t>
      </w:r>
      <w:r>
        <w:rPr>
          <w:rFonts w:ascii="Times New Roman" w:hAnsi="Times New Roman" w:cs="Times New Roman"/>
          <w:b/>
          <w:noProof/>
          <w:szCs w:val="24"/>
        </w:rPr>
        <w:t xml:space="preserve"> terms of innovation</w:t>
      </w:r>
      <w:r>
        <w:rPr>
          <w:rStyle w:val="FootnoteReference"/>
          <w:rFonts w:ascii="Times New Roman" w:hAnsi="Times New Roman"/>
          <w:noProof/>
        </w:rPr>
        <w:footnoteReference w:id="45"/>
      </w:r>
      <w:r>
        <w:rPr>
          <w:rFonts w:ascii="Times New Roman" w:hAnsi="Times New Roman" w:cs="Times New Roman"/>
          <w:i/>
          <w:noProof/>
          <w:szCs w:val="24"/>
        </w:rPr>
        <w:t xml:space="preserve"> </w:t>
      </w:r>
    </w:p>
    <w:p w:rsidR="0049469F" w:rsidRDefault="002523FD">
      <w:pPr>
        <w:spacing w:after="0" w:line="240" w:lineRule="auto"/>
        <w:jc w:val="center"/>
        <w:rPr>
          <w:rFonts w:ascii="Times New Roman" w:hAnsi="Times New Roman" w:cs="Times New Roman"/>
          <w:noProof/>
          <w:sz w:val="24"/>
          <w:szCs w:val="24"/>
        </w:rPr>
      </w:pPr>
      <w:r>
        <w:rPr>
          <w:noProof/>
          <w:lang w:eastAsia="en-GB"/>
        </w:rPr>
        <w:drawing>
          <wp:inline distT="0" distB="0" distL="0" distR="0" wp14:anchorId="4295EA99" wp14:editId="0C55CD9F">
            <wp:extent cx="4286580" cy="48243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7982" cy="4814682"/>
                    </a:xfrm>
                    <a:prstGeom prst="rect">
                      <a:avLst/>
                    </a:prstGeom>
                    <a:noFill/>
                    <a:ln>
                      <a:noFill/>
                    </a:ln>
                  </pic:spPr>
                </pic:pic>
              </a:graphicData>
            </a:graphic>
          </wp:inline>
        </w:drawing>
      </w:r>
    </w:p>
    <w:p w:rsidR="0049469F" w:rsidRDefault="0049469F">
      <w:pPr>
        <w:spacing w:line="240" w:lineRule="auto"/>
        <w:jc w:val="both"/>
        <w:rPr>
          <w:rFonts w:ascii="Times New Roman" w:hAnsi="Times New Roman" w:cs="Times New Roman"/>
          <w:noProof/>
          <w:sz w:val="24"/>
          <w:szCs w:val="24"/>
        </w:rPr>
      </w:pPr>
    </w:p>
    <w:p w:rsidR="0049469F" w:rsidRDefault="002523FD">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Additional efforts are needed to accelerate the uptake of innovation in less developed regions and in more traditional sectors. Investments need to be made more efficient, effective and better tailored to regional and local needs.</w:t>
      </w:r>
      <w:r>
        <w:rPr>
          <w:rFonts w:ascii="Calibri" w:hAnsi="Calibri"/>
          <w:noProof/>
        </w:rPr>
        <w:t xml:space="preserve"> </w:t>
      </w:r>
      <w:r>
        <w:rPr>
          <w:rFonts w:ascii="Times New Roman" w:hAnsi="Times New Roman" w:cs="Times New Roman"/>
          <w:noProof/>
          <w:sz w:val="24"/>
          <w:szCs w:val="24"/>
        </w:rPr>
        <w:t xml:space="preserve">EU funding has been instrumental in developing regional innovation eco-systems, including "Innovation Hubs" that give Small and Medium Enterprises easy access to infrastructure and expertise to experiment with new technologies.  To support these efforts, </w:t>
      </w:r>
      <w:r>
        <w:rPr>
          <w:rFonts w:ascii="Times New Roman" w:hAnsi="Times New Roman" w:cs="Times New Roman"/>
          <w:b/>
          <w:noProof/>
          <w:sz w:val="24"/>
          <w:szCs w:val="24"/>
        </w:rPr>
        <w:t>Smart Specialisation Strategies</w:t>
      </w:r>
      <w:r>
        <w:rPr>
          <w:rFonts w:ascii="Times New Roman" w:hAnsi="Times New Roman" w:cs="Times New Roman"/>
          <w:noProof/>
          <w:sz w:val="24"/>
          <w:szCs w:val="24"/>
        </w:rPr>
        <w:t xml:space="preserve"> are key to ensuring that all EU regions can harness their potential and succeed with innovation-based industrial transition.</w:t>
      </w:r>
      <w:r>
        <w:rPr>
          <w:rStyle w:val="FootnoteReference"/>
          <w:rFonts w:ascii="Times New Roman" w:hAnsi="Times New Roman" w:cs="Times New Roman"/>
          <w:noProof/>
          <w:sz w:val="24"/>
          <w:szCs w:val="24"/>
        </w:rPr>
        <w:footnoteReference w:id="46"/>
      </w:r>
    </w:p>
    <w:p w:rsidR="0049469F" w:rsidRDefault="002523FD">
      <w:pPr>
        <w:shd w:val="clear" w:color="auto" w:fill="B3ABAF" w:themeFill="background1" w:themeFillShade="BF"/>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Since 2014, the focus on innovation within the </w:t>
      </w:r>
      <w:r>
        <w:rPr>
          <w:rFonts w:ascii="Times New Roman" w:hAnsi="Times New Roman" w:cs="Times New Roman"/>
          <w:b/>
          <w:noProof/>
          <w:sz w:val="24"/>
          <w:szCs w:val="24"/>
        </w:rPr>
        <w:t xml:space="preserve">European Structural and Investment Funds </w:t>
      </w:r>
      <w:r>
        <w:rPr>
          <w:rFonts w:ascii="Times New Roman" w:hAnsi="Times New Roman" w:cs="Times New Roman"/>
          <w:noProof/>
          <w:sz w:val="24"/>
          <w:szCs w:val="24"/>
        </w:rPr>
        <w:t>has been r</w:t>
      </w:r>
      <w:r>
        <w:rPr>
          <w:rFonts w:ascii="Times New Roman" w:hAnsi="Times New Roman" w:cs="Times New Roman"/>
          <w:noProof/>
          <w:sz w:val="24"/>
          <w:szCs w:val="24"/>
        </w:rPr>
        <w:t xml:space="preserve">einforced through 120 Smart Specialisation Strategies that promote innovation based on the strengths of each region. Around EUR 80 billion is available from the </w:t>
      </w:r>
      <w:r>
        <w:rPr>
          <w:rFonts w:ascii="Times New Roman" w:hAnsi="Times New Roman" w:cs="Times New Roman"/>
          <w:b/>
          <w:noProof/>
          <w:sz w:val="24"/>
          <w:szCs w:val="24"/>
        </w:rPr>
        <w:t>European Regional Development Fund</w:t>
      </w:r>
      <w:r>
        <w:rPr>
          <w:rFonts w:ascii="Times New Roman" w:hAnsi="Times New Roman" w:cs="Times New Roman"/>
          <w:noProof/>
          <w:sz w:val="24"/>
          <w:szCs w:val="24"/>
        </w:rPr>
        <w:t xml:space="preserve"> to encourage entrepreneurship, digitisation and business res</w:t>
      </w:r>
      <w:r>
        <w:rPr>
          <w:rFonts w:ascii="Times New Roman" w:hAnsi="Times New Roman" w:cs="Times New Roman"/>
          <w:noProof/>
          <w:sz w:val="24"/>
          <w:szCs w:val="24"/>
        </w:rPr>
        <w:t xml:space="preserve">earch, in particular in the least developed regions. The </w:t>
      </w:r>
      <w:r>
        <w:rPr>
          <w:rFonts w:ascii="Times New Roman" w:hAnsi="Times New Roman" w:cs="Times New Roman"/>
          <w:b/>
          <w:noProof/>
          <w:sz w:val="24"/>
          <w:szCs w:val="24"/>
        </w:rPr>
        <w:t>European Social Fund and the Erasmus +Programme</w:t>
      </w:r>
      <w:r>
        <w:rPr>
          <w:rFonts w:ascii="Times New Roman" w:hAnsi="Times New Roman" w:cs="Times New Roman"/>
          <w:noProof/>
          <w:sz w:val="24"/>
          <w:szCs w:val="24"/>
        </w:rPr>
        <w:t xml:space="preserve"> support investment in developing people's skills. The </w:t>
      </w:r>
      <w:r>
        <w:rPr>
          <w:rFonts w:ascii="Times New Roman" w:hAnsi="Times New Roman" w:cs="Times New Roman"/>
          <w:b/>
          <w:noProof/>
          <w:sz w:val="24"/>
          <w:szCs w:val="24"/>
        </w:rPr>
        <w:t xml:space="preserve">Common Agricultural Policy </w:t>
      </w:r>
      <w:r>
        <w:rPr>
          <w:rFonts w:ascii="Times New Roman" w:hAnsi="Times New Roman" w:cs="Times New Roman"/>
          <w:noProof/>
          <w:sz w:val="24"/>
          <w:szCs w:val="24"/>
        </w:rPr>
        <w:t>strengthens innovation capacity in rural areas through support for the</w:t>
      </w:r>
      <w:r>
        <w:rPr>
          <w:rFonts w:ascii="Times New Roman" w:hAnsi="Times New Roman" w:cs="Times New Roman"/>
          <w:noProof/>
          <w:sz w:val="24"/>
          <w:szCs w:val="24"/>
        </w:rPr>
        <w:t xml:space="preserve"> uptake of digital-based opportunities.</w:t>
      </w:r>
    </w:p>
    <w:p w:rsidR="0049469F" w:rsidRDefault="002523FD">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For Europe to build a stronger innovation capacity and more effective and faster innovation diffusion across the Union, we need a stronger and more strategic coordination across different EU funding schemes, with a b</w:t>
      </w:r>
      <w:r>
        <w:rPr>
          <w:rFonts w:ascii="Times New Roman" w:hAnsi="Times New Roman" w:cs="Times New Roman"/>
          <w:noProof/>
          <w:sz w:val="24"/>
          <w:szCs w:val="24"/>
        </w:rPr>
        <w:t>etter alignment of priorities at European level, including between Smart Specialisation Strategies and Horizon Europe. More support is needed for cross-border and cross-region collaborations across European and international value chains. Institutional cap</w:t>
      </w:r>
      <w:r>
        <w:rPr>
          <w:rFonts w:ascii="Times New Roman" w:hAnsi="Times New Roman" w:cs="Times New Roman"/>
          <w:noProof/>
          <w:sz w:val="24"/>
          <w:szCs w:val="24"/>
        </w:rPr>
        <w:t>acity at regional and local level also needs to be strengthened to support reforms of innovation systems and help develop the new skills needed.</w:t>
      </w:r>
    </w:p>
    <w:tbl>
      <w:tblPr>
        <w:tblStyle w:val="TableGrid"/>
        <w:tblW w:w="0" w:type="auto"/>
        <w:tblLook w:val="04A0" w:firstRow="1" w:lastRow="0" w:firstColumn="1" w:lastColumn="0" w:noHBand="0" w:noVBand="1"/>
      </w:tblPr>
      <w:tblGrid>
        <w:gridCol w:w="9288"/>
      </w:tblGrid>
      <w:tr w:rsidR="0049469F">
        <w:tc>
          <w:tcPr>
            <w:tcW w:w="9288" w:type="dxa"/>
          </w:tcPr>
          <w:p w:rsidR="0049469F" w:rsidRDefault="002523FD">
            <w:pPr>
              <w:pStyle w:val="ListParagraph"/>
              <w:keepNext/>
              <w:pBdr>
                <w:top w:val="single" w:sz="4" w:space="1" w:color="auto"/>
                <w:left w:val="single" w:sz="4" w:space="4" w:color="auto"/>
                <w:bottom w:val="single" w:sz="4" w:space="1" w:color="auto"/>
                <w:right w:val="single" w:sz="4" w:space="4" w:color="auto"/>
              </w:pBdr>
              <w:ind w:left="0"/>
              <w:jc w:val="both"/>
              <w:rPr>
                <w:rFonts w:ascii="Times New Roman" w:hAnsi="Times New Roman" w:cs="Times New Roman"/>
                <w:i/>
                <w:noProof/>
                <w:sz w:val="24"/>
                <w:szCs w:val="24"/>
              </w:rPr>
            </w:pPr>
            <w:r>
              <w:rPr>
                <w:rFonts w:ascii="Times New Roman" w:hAnsi="Times New Roman" w:cs="Times New Roman"/>
                <w:i/>
                <w:noProof/>
                <w:sz w:val="24"/>
                <w:szCs w:val="24"/>
              </w:rPr>
              <w:t>Key steps</w:t>
            </w:r>
          </w:p>
          <w:p w:rsidR="0049469F" w:rsidRDefault="0049469F">
            <w:pPr>
              <w:pStyle w:val="ListParagraph"/>
              <w:keepNext/>
              <w:pBdr>
                <w:top w:val="single" w:sz="4" w:space="1" w:color="auto"/>
                <w:left w:val="single" w:sz="4" w:space="4" w:color="auto"/>
                <w:bottom w:val="single" w:sz="4" w:space="1" w:color="auto"/>
                <w:right w:val="single" w:sz="4" w:space="4" w:color="auto"/>
              </w:pBdr>
              <w:ind w:left="0"/>
              <w:jc w:val="both"/>
              <w:rPr>
                <w:rFonts w:ascii="Times New Roman" w:hAnsi="Times New Roman" w:cs="Times New Roman"/>
                <w:noProof/>
                <w:sz w:val="24"/>
                <w:szCs w:val="24"/>
              </w:rPr>
            </w:pPr>
          </w:p>
          <w:p w:rsidR="0049469F" w:rsidRDefault="002523FD">
            <w:pPr>
              <w:pStyle w:val="ListParagraph"/>
              <w:pBdr>
                <w:top w:val="single" w:sz="4" w:space="1" w:color="auto"/>
                <w:left w:val="single" w:sz="4" w:space="4" w:color="auto"/>
                <w:bottom w:val="single" w:sz="4" w:space="1" w:color="auto"/>
                <w:right w:val="single" w:sz="4" w:space="4" w:color="auto"/>
              </w:pBdr>
              <w:ind w:left="284" w:hanging="284"/>
              <w:jc w:val="both"/>
              <w:rPr>
                <w:noProof/>
              </w:rPr>
            </w:pPr>
            <w:r>
              <w:rPr>
                <w:rFonts w:ascii="Times New Roman" w:hAnsi="Times New Roman" w:cs="Times New Roman"/>
                <w:b/>
                <w:noProof/>
                <w:sz w:val="24"/>
                <w:szCs w:val="24"/>
              </w:rPr>
              <w:t>-</w:t>
            </w:r>
            <w:r>
              <w:rPr>
                <w:rFonts w:ascii="Times New Roman" w:hAnsi="Times New Roman" w:cs="Times New Roman"/>
                <w:b/>
                <w:noProof/>
                <w:sz w:val="24"/>
                <w:szCs w:val="24"/>
              </w:rPr>
              <w:tab/>
              <w:t>Use European Structural and Investment Funds to bring regions into the innovation economy. Smart s</w:t>
            </w:r>
            <w:r>
              <w:rPr>
                <w:rFonts w:ascii="Times New Roman" w:hAnsi="Times New Roman" w:cs="Times New Roman"/>
                <w:b/>
                <w:noProof/>
                <w:sz w:val="24"/>
                <w:szCs w:val="24"/>
              </w:rPr>
              <w:t>pecialisation strategies should be strengthened and streamlined to enable interregional innovation support. Synergies should be created with the Horizon Europe Programme, InvestEU Fund, the European Social Fund, the Erasmus +Programme, the Digital Europe P</w:t>
            </w:r>
            <w:r>
              <w:rPr>
                <w:rFonts w:ascii="Times New Roman" w:hAnsi="Times New Roman" w:cs="Times New Roman"/>
                <w:b/>
                <w:noProof/>
                <w:sz w:val="24"/>
                <w:szCs w:val="24"/>
              </w:rPr>
              <w:t xml:space="preserve">rogramme, the Common Agricultural Policy and other programmes. </w:t>
            </w:r>
          </w:p>
        </w:tc>
      </w:tr>
    </w:tbl>
    <w:p w:rsidR="0049469F" w:rsidRDefault="0049469F">
      <w:pPr>
        <w:pStyle w:val="ListParagraph"/>
        <w:spacing w:line="240" w:lineRule="auto"/>
        <w:ind w:left="1080"/>
        <w:jc w:val="both"/>
        <w:rPr>
          <w:rFonts w:ascii="Times New Roman" w:hAnsi="Times New Roman" w:cs="Times New Roman"/>
          <w:noProof/>
          <w:sz w:val="24"/>
          <w:szCs w:val="24"/>
        </w:rPr>
      </w:pPr>
    </w:p>
    <w:p w:rsidR="0049469F" w:rsidRDefault="002523FD">
      <w:pPr>
        <w:keepNext/>
        <w:spacing w:line="240" w:lineRule="auto"/>
        <w:ind w:left="720" w:hanging="720"/>
        <w:jc w:val="both"/>
        <w:rPr>
          <w:rFonts w:ascii="Times New Roman" w:hAnsi="Times New Roman" w:cs="Times New Roman"/>
          <w:b/>
          <w:noProof/>
          <w:sz w:val="24"/>
          <w:szCs w:val="24"/>
        </w:rPr>
      </w:pPr>
      <w:r>
        <w:rPr>
          <w:rFonts w:ascii="Times New Roman" w:hAnsi="Times New Roman" w:cs="Times New Roman"/>
          <w:b/>
          <w:noProof/>
          <w:sz w:val="24"/>
          <w:szCs w:val="24"/>
        </w:rPr>
        <w:t xml:space="preserve">2.6 </w:t>
      </w:r>
      <w:r>
        <w:rPr>
          <w:rFonts w:ascii="Times New Roman" w:hAnsi="Times New Roman" w:cs="Times New Roman"/>
          <w:b/>
          <w:noProof/>
          <w:sz w:val="24"/>
          <w:szCs w:val="24"/>
        </w:rPr>
        <w:tab/>
        <w:t xml:space="preserve">Invest in skills at all levels and empower European universities to become more entrepreneurial and interdisciplinary </w:t>
      </w:r>
    </w:p>
    <w:p w:rsidR="0049469F" w:rsidRDefault="002523FD">
      <w:pPr>
        <w:autoSpaceDE w:val="0"/>
        <w:autoSpaceDN w:val="0"/>
        <w:adjustRightInd w:val="0"/>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Developing a learning and entrepreneurial society in Europe is </w:t>
      </w:r>
      <w:r>
        <w:rPr>
          <w:rFonts w:ascii="Times New Roman" w:hAnsi="Times New Roman" w:cs="Times New Roman"/>
          <w:noProof/>
          <w:sz w:val="24"/>
          <w:szCs w:val="24"/>
        </w:rPr>
        <w:t>crucial to spur innovation across all sectors of the economy and all segments of the population. It requires major changes in the education and training and research system, as well as in the workplace to ensure that life-long-learning and upskilling becom</w:t>
      </w:r>
      <w:r>
        <w:rPr>
          <w:rFonts w:ascii="Times New Roman" w:hAnsi="Times New Roman" w:cs="Times New Roman"/>
          <w:noProof/>
          <w:sz w:val="24"/>
          <w:szCs w:val="24"/>
        </w:rPr>
        <w:t>es a reality for all. This is needed to address skills gaps and mismatches that exist in Europe. It is estimated that around 40% of the workforce in Europe needs digital upskilling, while 70 million Europeans lack basic literacy and numeracy skills.</w:t>
      </w:r>
    </w:p>
    <w:p w:rsidR="0049469F" w:rsidRDefault="002523FD">
      <w:pPr>
        <w:keepNext/>
        <w:autoSpaceDE w:val="0"/>
        <w:autoSpaceDN w:val="0"/>
        <w:adjustRightInd w:val="0"/>
        <w:spacing w:line="240" w:lineRule="auto"/>
        <w:jc w:val="center"/>
        <w:rPr>
          <w:rFonts w:ascii="Times New Roman" w:hAnsi="Times New Roman" w:cs="Times New Roman"/>
          <w:b/>
          <w:noProof/>
          <w:szCs w:val="20"/>
        </w:rPr>
      </w:pPr>
      <w:r>
        <w:rPr>
          <w:rFonts w:ascii="Times New Roman" w:hAnsi="Times New Roman" w:cs="Times New Roman"/>
          <w:b/>
          <w:noProof/>
          <w:szCs w:val="20"/>
        </w:rPr>
        <w:t>More t</w:t>
      </w:r>
      <w:r>
        <w:rPr>
          <w:rFonts w:ascii="Times New Roman" w:hAnsi="Times New Roman" w:cs="Times New Roman"/>
          <w:b/>
          <w:noProof/>
          <w:szCs w:val="20"/>
        </w:rPr>
        <w:t>han half of all citizens have either basic or no digital skills</w:t>
      </w:r>
      <w:r>
        <w:rPr>
          <w:rStyle w:val="FootnoteReference"/>
          <w:rFonts w:ascii="Times New Roman" w:hAnsi="Times New Roman" w:cs="Times New Roman"/>
          <w:b/>
          <w:noProof/>
          <w:szCs w:val="20"/>
        </w:rPr>
        <w:footnoteReference w:id="47"/>
      </w:r>
    </w:p>
    <w:p w:rsidR="0049469F" w:rsidRDefault="002523FD">
      <w:pPr>
        <w:autoSpaceDE w:val="0"/>
        <w:autoSpaceDN w:val="0"/>
        <w:adjustRightInd w:val="0"/>
        <w:spacing w:line="240" w:lineRule="auto"/>
        <w:ind w:left="-426"/>
        <w:jc w:val="center"/>
        <w:rPr>
          <w:rFonts w:ascii="Times New Roman" w:hAnsi="Times New Roman" w:cs="Times New Roman"/>
          <w:noProof/>
          <w:sz w:val="24"/>
          <w:szCs w:val="24"/>
        </w:rPr>
      </w:pPr>
      <w:r>
        <w:rPr>
          <w:noProof/>
          <w:lang w:eastAsia="en-GB"/>
        </w:rPr>
        <w:drawing>
          <wp:inline distT="0" distB="0" distL="0" distR="0" wp14:anchorId="52BDFEAA" wp14:editId="5DDF988C">
            <wp:extent cx="6616800" cy="2628000"/>
            <wp:effectExtent l="0" t="0" r="12700" b="2032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9469F" w:rsidRDefault="002523FD">
      <w:pPr>
        <w:pStyle w:val="Default"/>
        <w:jc w:val="both"/>
        <w:rPr>
          <w:rFonts w:ascii="Times New Roman" w:hAnsi="Times New Roman" w:cs="Times New Roman"/>
          <w:noProof/>
        </w:rPr>
      </w:pPr>
      <w:r>
        <w:rPr>
          <w:rFonts w:ascii="Times New Roman" w:hAnsi="Times New Roman" w:cs="Times New Roman"/>
          <w:noProof/>
        </w:rPr>
        <w:t>At the other end of skills spectrum, European universities need to better tap-in to their innovation and entrepreneurship potential.</w:t>
      </w:r>
      <w:r>
        <w:rPr>
          <w:rStyle w:val="FootnoteReference"/>
          <w:rFonts w:ascii="Times New Roman" w:hAnsi="Times New Roman" w:cs="Times New Roman"/>
          <w:noProof/>
        </w:rPr>
        <w:footnoteReference w:id="48"/>
      </w:r>
      <w:r>
        <w:rPr>
          <w:rFonts w:ascii="Times New Roman" w:hAnsi="Times New Roman" w:cs="Times New Roman"/>
          <w:noProof/>
        </w:rPr>
        <w:t xml:space="preserve"> This will help generate the ideas and new business models that can translate into start-ups and spin-offs. Universities should also be more ready to break down disciplinary barriers and work with business and civil society. Moreover, both general and tech</w:t>
      </w:r>
      <w:r>
        <w:rPr>
          <w:rFonts w:ascii="Times New Roman" w:hAnsi="Times New Roman" w:cs="Times New Roman"/>
          <w:noProof/>
        </w:rPr>
        <w:t xml:space="preserve">nical education should better match emerging business and societal needs by offering more agile learning programmes that will help to close the skills gap as well as help the faster diffusion, reuse and access to knowledge. </w:t>
      </w:r>
    </w:p>
    <w:p w:rsidR="0049469F" w:rsidRDefault="0049469F">
      <w:pPr>
        <w:shd w:val="clear" w:color="auto" w:fill="EBE9EA" w:themeFill="background1"/>
        <w:spacing w:after="0" w:line="240" w:lineRule="auto"/>
        <w:jc w:val="both"/>
        <w:rPr>
          <w:rFonts w:ascii="Times New Roman" w:hAnsi="Times New Roman" w:cs="Times New Roman"/>
          <w:noProof/>
          <w:sz w:val="24"/>
          <w:szCs w:val="24"/>
        </w:rPr>
      </w:pPr>
    </w:p>
    <w:p w:rsidR="0049469F" w:rsidRDefault="002523FD">
      <w:pPr>
        <w:shd w:val="clear" w:color="auto" w:fill="EBE9EA" w:themeFill="background1"/>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At the Gothenburg Summit in No</w:t>
      </w:r>
      <w:r>
        <w:rPr>
          <w:rFonts w:ascii="Times New Roman" w:hAnsi="Times New Roman" w:cs="Times New Roman"/>
          <w:noProof/>
          <w:sz w:val="24"/>
          <w:szCs w:val="24"/>
        </w:rPr>
        <w:t>vember 2017, Europe's leaders recognised the key role of higher education in providing the future-oriented skills and competences to successfully innovate.</w:t>
      </w:r>
      <w:r>
        <w:rPr>
          <w:rStyle w:val="FootnoteReference"/>
          <w:rFonts w:ascii="Times New Roman" w:hAnsi="Times New Roman" w:cs="Times New Roman"/>
          <w:noProof/>
          <w:sz w:val="24"/>
          <w:szCs w:val="24"/>
        </w:rPr>
        <w:footnoteReference w:id="49"/>
      </w:r>
      <w:r>
        <w:rPr>
          <w:rFonts w:ascii="Times New Roman" w:hAnsi="Times New Roman" w:cs="Times New Roman"/>
          <w:noProof/>
          <w:sz w:val="24"/>
          <w:szCs w:val="24"/>
        </w:rPr>
        <w:t xml:space="preserve"> The European Council called on Member States, the Council and the Commission to take work forward o</w:t>
      </w:r>
      <w:r>
        <w:rPr>
          <w:rFonts w:ascii="Times New Roman" w:hAnsi="Times New Roman" w:cs="Times New Roman"/>
          <w:noProof/>
          <w:sz w:val="24"/>
          <w:szCs w:val="24"/>
        </w:rPr>
        <w:t>n a number of initiatives, including encouraging the emergence by 2024 of some twenty "European Universities" made up of bottom-up networks of universities across the EU.</w:t>
      </w:r>
      <w:r>
        <w:rPr>
          <w:rStyle w:val="FootnoteReference"/>
          <w:rFonts w:ascii="Times New Roman" w:hAnsi="Times New Roman" w:cs="Times New Roman"/>
          <w:noProof/>
          <w:sz w:val="24"/>
          <w:szCs w:val="24"/>
        </w:rPr>
        <w:footnoteReference w:id="50"/>
      </w:r>
      <w:r>
        <w:rPr>
          <w:rFonts w:ascii="Times New Roman" w:hAnsi="Times New Roman" w:cs="Times New Roman"/>
          <w:noProof/>
          <w:sz w:val="24"/>
          <w:szCs w:val="24"/>
        </w:rPr>
        <w:t xml:space="preserve"> The "European Universities" will bring cross-border cooperation to a new level, goin</w:t>
      </w:r>
      <w:r>
        <w:rPr>
          <w:rFonts w:ascii="Times New Roman" w:hAnsi="Times New Roman" w:cs="Times New Roman"/>
          <w:noProof/>
          <w:sz w:val="24"/>
          <w:szCs w:val="24"/>
        </w:rPr>
        <w:t>g beyond what exists today through the development of long-term strategies for top-quality education, research and innovation, more mobility for students, staff and researchers, and true transnational European knowledge-creating teams. They should become k</w:t>
      </w:r>
      <w:r>
        <w:rPr>
          <w:rFonts w:ascii="Times New Roman" w:hAnsi="Times New Roman" w:cs="Times New Roman"/>
          <w:noProof/>
          <w:sz w:val="24"/>
          <w:szCs w:val="24"/>
        </w:rPr>
        <w:t xml:space="preserve">ey drivers in the </w:t>
      </w:r>
      <w:r>
        <w:rPr>
          <w:rFonts w:ascii="Times New Roman" w:hAnsi="Times New Roman" w:cs="Times New Roman"/>
          <w:b/>
          <w:noProof/>
          <w:sz w:val="24"/>
          <w:szCs w:val="24"/>
        </w:rPr>
        <w:t>European Education Area</w:t>
      </w:r>
      <w:r>
        <w:rPr>
          <w:rFonts w:ascii="Times New Roman" w:hAnsi="Times New Roman" w:cs="Times New Roman"/>
          <w:noProof/>
          <w:sz w:val="24"/>
          <w:szCs w:val="24"/>
        </w:rPr>
        <w:t xml:space="preserve"> and contribute to the international competitiveness of universities in Europe.</w:t>
      </w:r>
      <w:r>
        <w:rPr>
          <w:rStyle w:val="FootnoteReference"/>
          <w:rFonts w:ascii="Times New Roman" w:hAnsi="Times New Roman" w:cs="Times New Roman"/>
          <w:noProof/>
          <w:sz w:val="24"/>
          <w:szCs w:val="24"/>
        </w:rPr>
        <w:footnoteReference w:id="51"/>
      </w:r>
      <w:r>
        <w:rPr>
          <w:rFonts w:ascii="Times New Roman" w:hAnsi="Times New Roman" w:cs="Times New Roman"/>
          <w:noProof/>
          <w:sz w:val="24"/>
          <w:szCs w:val="24"/>
        </w:rPr>
        <w:t xml:space="preserve"> </w:t>
      </w:r>
    </w:p>
    <w:p w:rsidR="0049469F" w:rsidRDefault="002523FD">
      <w:pPr>
        <w:autoSpaceDE w:val="0"/>
        <w:autoSpaceDN w:val="0"/>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take up of open science practices at different stages of the researchers' careers can also stimulate attractive career environmen</w:t>
      </w:r>
      <w:r>
        <w:rPr>
          <w:rFonts w:ascii="Times New Roman" w:hAnsi="Times New Roman" w:cs="Times New Roman"/>
          <w:noProof/>
          <w:sz w:val="24"/>
          <w:szCs w:val="24"/>
        </w:rPr>
        <w:t>ts for all, give more recognition and reward international and science-business mobility.</w:t>
      </w:r>
      <w:r>
        <w:rPr>
          <w:rStyle w:val="FootnoteReference"/>
          <w:rFonts w:ascii="Times New Roman" w:hAnsi="Times New Roman" w:cs="Times New Roman"/>
          <w:noProof/>
          <w:sz w:val="24"/>
          <w:szCs w:val="24"/>
        </w:rPr>
        <w:footnoteReference w:id="52"/>
      </w:r>
      <w:r>
        <w:rPr>
          <w:rFonts w:ascii="Times New Roman" w:hAnsi="Times New Roman" w:cs="Times New Roman"/>
          <w:noProof/>
          <w:sz w:val="24"/>
          <w:szCs w:val="24"/>
        </w:rPr>
        <w:t xml:space="preserve"> The modernisation of universities and public research organisations should therefore also be supported with an </w:t>
      </w:r>
      <w:r>
        <w:rPr>
          <w:rFonts w:ascii="Times New Roman" w:hAnsi="Times New Roman" w:cs="Times New Roman"/>
          <w:b/>
          <w:noProof/>
          <w:sz w:val="24"/>
          <w:szCs w:val="24"/>
        </w:rPr>
        <w:t>Open Science label</w:t>
      </w:r>
      <w:r>
        <w:rPr>
          <w:rFonts w:ascii="Times New Roman" w:hAnsi="Times New Roman" w:cs="Times New Roman"/>
          <w:noProof/>
          <w:sz w:val="24"/>
          <w:szCs w:val="24"/>
        </w:rPr>
        <w:t>. Such a high-quality label could be</w:t>
      </w:r>
      <w:r>
        <w:rPr>
          <w:rFonts w:ascii="Times New Roman" w:hAnsi="Times New Roman" w:cs="Times New Roman"/>
          <w:noProof/>
          <w:sz w:val="24"/>
          <w:szCs w:val="24"/>
        </w:rPr>
        <w:t xml:space="preserve"> awarded to individual universities and trans-national university partnerships, and would be recognised in future EU support for trans-national projects involving universities.</w:t>
      </w:r>
      <w:r>
        <w:rPr>
          <w:rStyle w:val="FootnoteReference"/>
          <w:rFonts w:ascii="Times New Roman" w:hAnsi="Times New Roman" w:cs="Times New Roman"/>
          <w:noProof/>
          <w:sz w:val="24"/>
          <w:szCs w:val="24"/>
        </w:rPr>
        <w:footnoteReference w:id="53"/>
      </w:r>
    </w:p>
    <w:p w:rsidR="0049469F" w:rsidRDefault="002523FD">
      <w:pPr>
        <w:autoSpaceDE w:val="0"/>
        <w:autoSpaceDN w:val="0"/>
        <w:adjustRightInd w:val="0"/>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At the European level, we should pursue and further improve initiatives that h</w:t>
      </w:r>
      <w:r>
        <w:rPr>
          <w:rFonts w:ascii="Times New Roman" w:hAnsi="Times New Roman" w:cs="Times New Roman"/>
          <w:noProof/>
          <w:sz w:val="24"/>
          <w:szCs w:val="24"/>
        </w:rPr>
        <w:t xml:space="preserve">ave proven to bear good results, such as </w:t>
      </w:r>
      <w:r>
        <w:rPr>
          <w:rFonts w:ascii="Times New Roman" w:hAnsi="Times New Roman" w:cs="Times New Roman"/>
          <w:b/>
          <w:noProof/>
          <w:sz w:val="24"/>
          <w:szCs w:val="24"/>
        </w:rPr>
        <w:t xml:space="preserve">the European Institute of Innovation and Technology, the Marie Skłodowska-Curie Actions </w:t>
      </w:r>
      <w:r>
        <w:rPr>
          <w:rFonts w:ascii="Times New Roman" w:hAnsi="Times New Roman" w:cs="Times New Roman"/>
          <w:noProof/>
          <w:sz w:val="24"/>
          <w:szCs w:val="24"/>
        </w:rPr>
        <w:t>and the</w:t>
      </w:r>
      <w:r>
        <w:rPr>
          <w:rFonts w:ascii="Times New Roman" w:hAnsi="Times New Roman" w:cs="Times New Roman"/>
          <w:b/>
          <w:noProof/>
          <w:sz w:val="24"/>
          <w:szCs w:val="24"/>
        </w:rPr>
        <w:t xml:space="preserve"> HigherEducation Innovate Initiative</w:t>
      </w:r>
      <w:r>
        <w:rPr>
          <w:rFonts w:ascii="Times New Roman" w:hAnsi="Times New Roman" w:cs="Times New Roman"/>
          <w:noProof/>
          <w:sz w:val="24"/>
          <w:szCs w:val="24"/>
        </w:rPr>
        <w:t>.</w:t>
      </w:r>
      <w:r>
        <w:rPr>
          <w:rStyle w:val="FootnoteReference"/>
          <w:rFonts w:ascii="Times New Roman" w:hAnsi="Times New Roman" w:cs="Times New Roman"/>
          <w:noProof/>
          <w:sz w:val="24"/>
          <w:szCs w:val="24"/>
        </w:rPr>
        <w:footnoteReference w:id="54"/>
      </w:r>
      <w:r>
        <w:rPr>
          <w:bCs/>
          <w:noProof/>
        </w:rPr>
        <w:t xml:space="preserve"> </w:t>
      </w:r>
      <w:r>
        <w:rPr>
          <w:rFonts w:ascii="Times New Roman" w:hAnsi="Times New Roman" w:cs="Times New Roman"/>
          <w:noProof/>
          <w:sz w:val="24"/>
          <w:szCs w:val="24"/>
        </w:rPr>
        <w:t>They</w:t>
      </w:r>
      <w:r>
        <w:rPr>
          <w:bCs/>
          <w:noProof/>
        </w:rPr>
        <w:t xml:space="preserve"> </w:t>
      </w:r>
      <w:r>
        <w:rPr>
          <w:rFonts w:ascii="Times New Roman" w:hAnsi="Times New Roman" w:cs="Times New Roman"/>
          <w:noProof/>
          <w:sz w:val="24"/>
          <w:szCs w:val="24"/>
        </w:rPr>
        <w:t>connect business, education and research organisations and promote entrepren</w:t>
      </w:r>
      <w:r>
        <w:rPr>
          <w:rFonts w:ascii="Times New Roman" w:hAnsi="Times New Roman" w:cs="Times New Roman"/>
          <w:noProof/>
          <w:sz w:val="24"/>
          <w:szCs w:val="24"/>
        </w:rPr>
        <w:t xml:space="preserve">eurship and stronger knowledge flows throughout the value chain. </w:t>
      </w:r>
    </w:p>
    <w:p w:rsidR="0049469F" w:rsidRDefault="002523FD">
      <w:pPr>
        <w:autoSpaceDE w:val="0"/>
        <w:autoSpaceDN w:val="0"/>
        <w:adjustRightInd w:val="0"/>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To strenghten knowledge transfer, a stronger link between vocational education and training and innovation systems is needed, to contribute to skills intelligence and better skills matching in line with the </w:t>
      </w:r>
      <w:r>
        <w:rPr>
          <w:rFonts w:ascii="Times New Roman" w:hAnsi="Times New Roman" w:cs="Times New Roman"/>
          <w:b/>
          <w:noProof/>
          <w:sz w:val="24"/>
          <w:szCs w:val="24"/>
        </w:rPr>
        <w:t>Skills Agenda for Europe</w:t>
      </w:r>
      <w:r>
        <w:rPr>
          <w:rFonts w:ascii="Times New Roman" w:hAnsi="Times New Roman" w:cs="Times New Roman"/>
          <w:noProof/>
          <w:sz w:val="24"/>
          <w:szCs w:val="24"/>
        </w:rPr>
        <w:t>.</w:t>
      </w:r>
      <w:r>
        <w:rPr>
          <w:rStyle w:val="FootnoteReference"/>
          <w:rFonts w:ascii="Times New Roman" w:hAnsi="Times New Roman" w:cs="Times New Roman"/>
          <w:noProof/>
          <w:sz w:val="24"/>
          <w:szCs w:val="24"/>
        </w:rPr>
        <w:footnoteReference w:id="55"/>
      </w:r>
    </w:p>
    <w:p w:rsidR="0049469F" w:rsidRDefault="002523FD">
      <w:pPr>
        <w:autoSpaceDE w:val="0"/>
        <w:autoSpaceDN w:val="0"/>
        <w:adjustRightInd w:val="0"/>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Moreover, to meet the </w:t>
      </w:r>
      <w:r>
        <w:rPr>
          <w:rFonts w:ascii="Times New Roman" w:hAnsi="Times New Roman" w:cs="Times New Roman"/>
          <w:noProof/>
          <w:sz w:val="24"/>
          <w:szCs w:val="24"/>
        </w:rPr>
        <w:t>demands of the new economy and help develop a more agile and enterpreneurial workforce,</w:t>
      </w:r>
      <w:r>
        <w:rPr>
          <w:rFonts w:ascii="Times New Roman" w:hAnsi="Times New Roman" w:cs="Times New Roman"/>
          <w:b/>
          <w:noProof/>
          <w:sz w:val="24"/>
          <w:szCs w:val="24"/>
        </w:rPr>
        <w:t xml:space="preserve"> the European Social Fund</w:t>
      </w:r>
      <w:r>
        <w:rPr>
          <w:rFonts w:ascii="Times New Roman" w:hAnsi="Times New Roman" w:cs="Times New Roman"/>
          <w:noProof/>
          <w:sz w:val="24"/>
          <w:szCs w:val="24"/>
        </w:rPr>
        <w:t xml:space="preserve"> will continue to help Europeans to re-skill and up-skill, while the </w:t>
      </w:r>
      <w:r>
        <w:rPr>
          <w:rFonts w:ascii="Times New Roman" w:hAnsi="Times New Roman" w:cs="Times New Roman"/>
          <w:b/>
          <w:noProof/>
          <w:sz w:val="24"/>
          <w:szCs w:val="24"/>
        </w:rPr>
        <w:t>Blueprint for sectoral cooperation on skills</w:t>
      </w:r>
      <w:r>
        <w:rPr>
          <w:rStyle w:val="FootnoteReference"/>
          <w:rFonts w:ascii="Times New Roman" w:hAnsi="Times New Roman" w:cs="Times New Roman"/>
          <w:noProof/>
          <w:sz w:val="24"/>
          <w:szCs w:val="24"/>
        </w:rPr>
        <w:footnoteReference w:id="56"/>
      </w:r>
      <w:r>
        <w:rPr>
          <w:rFonts w:ascii="Times New Roman" w:hAnsi="Times New Roman" w:cs="Times New Roman"/>
          <w:noProof/>
          <w:sz w:val="24"/>
          <w:szCs w:val="24"/>
        </w:rPr>
        <w:t xml:space="preserve"> can help adjust training for new occupations in selected sectors. The </w:t>
      </w:r>
      <w:r>
        <w:rPr>
          <w:rFonts w:ascii="Times New Roman" w:hAnsi="Times New Roman" w:cs="Times New Roman"/>
          <w:b/>
          <w:noProof/>
          <w:sz w:val="24"/>
          <w:szCs w:val="24"/>
        </w:rPr>
        <w:t>Digital Education Action Plan</w:t>
      </w:r>
      <w:r>
        <w:rPr>
          <w:rFonts w:ascii="Times New Roman" w:hAnsi="Times New Roman" w:cs="Times New Roman"/>
          <w:noProof/>
          <w:sz w:val="24"/>
          <w:szCs w:val="24"/>
        </w:rPr>
        <w:t xml:space="preserve"> and the </w:t>
      </w:r>
      <w:r>
        <w:rPr>
          <w:rFonts w:ascii="Times New Roman" w:hAnsi="Times New Roman" w:cs="Times New Roman"/>
          <w:b/>
          <w:noProof/>
          <w:sz w:val="24"/>
          <w:szCs w:val="24"/>
        </w:rPr>
        <w:t xml:space="preserve">Digital Skills Strategy </w:t>
      </w:r>
      <w:r>
        <w:rPr>
          <w:rFonts w:ascii="Times New Roman" w:hAnsi="Times New Roman" w:cs="Times New Roman"/>
          <w:noProof/>
          <w:sz w:val="24"/>
          <w:szCs w:val="24"/>
        </w:rPr>
        <w:t>work towards identifying and developing future skill needs.</w:t>
      </w:r>
    </w:p>
    <w:p w:rsidR="0049469F" w:rsidRDefault="002523FD">
      <w:pPr>
        <w:pStyle w:val="ListParagraph"/>
        <w:keepNext/>
        <w:pBdr>
          <w:top w:val="single" w:sz="4" w:space="1" w:color="auto"/>
          <w:left w:val="single" w:sz="4" w:space="4" w:color="auto"/>
          <w:bottom w:val="single" w:sz="4" w:space="1" w:color="auto"/>
          <w:right w:val="single" w:sz="4" w:space="4" w:color="auto"/>
        </w:pBdr>
        <w:spacing w:line="240" w:lineRule="auto"/>
        <w:ind w:left="0"/>
        <w:jc w:val="both"/>
        <w:rPr>
          <w:rFonts w:ascii="Times New Roman" w:hAnsi="Times New Roman" w:cs="Times New Roman"/>
          <w:i/>
          <w:noProof/>
          <w:sz w:val="24"/>
          <w:szCs w:val="24"/>
        </w:rPr>
      </w:pPr>
      <w:r>
        <w:rPr>
          <w:rFonts w:ascii="Times New Roman" w:hAnsi="Times New Roman" w:cs="Times New Roman"/>
          <w:i/>
          <w:noProof/>
          <w:sz w:val="24"/>
          <w:szCs w:val="24"/>
        </w:rPr>
        <w:t>Key steps</w:t>
      </w:r>
    </w:p>
    <w:p w:rsidR="0049469F" w:rsidRDefault="0049469F">
      <w:pPr>
        <w:pStyle w:val="ListParagraph"/>
        <w:keepNext/>
        <w:pBdr>
          <w:top w:val="single" w:sz="4" w:space="1" w:color="auto"/>
          <w:left w:val="single" w:sz="4" w:space="4" w:color="auto"/>
          <w:bottom w:val="single" w:sz="4" w:space="1" w:color="auto"/>
          <w:right w:val="single" w:sz="4" w:space="4" w:color="auto"/>
        </w:pBdr>
        <w:spacing w:line="240" w:lineRule="auto"/>
        <w:ind w:left="0"/>
        <w:jc w:val="both"/>
        <w:rPr>
          <w:rFonts w:ascii="Times New Roman" w:hAnsi="Times New Roman" w:cs="Times New Roman"/>
          <w:noProof/>
          <w:sz w:val="24"/>
          <w:szCs w:val="24"/>
        </w:rPr>
      </w:pPr>
    </w:p>
    <w:p w:rsidR="0049469F" w:rsidRDefault="002523FD">
      <w:pPr>
        <w:pStyle w:val="ListParagraph"/>
        <w:pBdr>
          <w:top w:val="single" w:sz="4" w:space="1" w:color="auto"/>
          <w:left w:val="single" w:sz="4" w:space="4" w:color="auto"/>
          <w:bottom w:val="single" w:sz="4" w:space="1" w:color="auto"/>
          <w:right w:val="single" w:sz="4" w:space="4" w:color="auto"/>
        </w:pBdr>
        <w:spacing w:line="240" w:lineRule="auto"/>
        <w:ind w:left="284" w:hanging="284"/>
        <w:jc w:val="both"/>
        <w:rPr>
          <w:rFonts w:ascii="Times New Roman" w:hAnsi="Times New Roman"/>
          <w:noProof/>
          <w:sz w:val="24"/>
          <w:szCs w:val="24"/>
        </w:rPr>
      </w:pPr>
      <w:r>
        <w:rPr>
          <w:rFonts w:ascii="Times New Roman" w:hAnsi="Times New Roman" w:cs="Times New Roman"/>
          <w:noProof/>
          <w:sz w:val="24"/>
          <w:szCs w:val="24"/>
        </w:rPr>
        <w:t>-</w:t>
      </w:r>
      <w:r>
        <w:rPr>
          <w:rFonts w:ascii="Times New Roman" w:hAnsi="Times New Roman" w:cs="Times New Roman"/>
          <w:noProof/>
          <w:sz w:val="24"/>
          <w:szCs w:val="24"/>
        </w:rPr>
        <w:tab/>
      </w:r>
      <w:r>
        <w:rPr>
          <w:rFonts w:ascii="Times New Roman" w:hAnsi="Times New Roman" w:cs="Times New Roman"/>
          <w:b/>
          <w:noProof/>
          <w:sz w:val="24"/>
          <w:szCs w:val="24"/>
        </w:rPr>
        <w:t>Contribute to the modernisation of universities an</w:t>
      </w:r>
      <w:r>
        <w:rPr>
          <w:rFonts w:ascii="Times New Roman" w:hAnsi="Times New Roman" w:cs="Times New Roman"/>
          <w:b/>
          <w:noProof/>
          <w:sz w:val="24"/>
          <w:szCs w:val="24"/>
        </w:rPr>
        <w:t>d public research organisations with an Open Science label.</w:t>
      </w:r>
      <w:r>
        <w:rPr>
          <w:rFonts w:ascii="Times New Roman" w:hAnsi="Times New Roman" w:cs="Times New Roman"/>
          <w:noProof/>
          <w:sz w:val="24"/>
          <w:szCs w:val="24"/>
        </w:rPr>
        <w:t xml:space="preserve"> </w:t>
      </w:r>
    </w:p>
    <w:p w:rsidR="0049469F" w:rsidRDefault="0049469F">
      <w:pPr>
        <w:pStyle w:val="ListParagraph"/>
        <w:spacing w:line="240" w:lineRule="auto"/>
        <w:ind w:left="0"/>
        <w:jc w:val="both"/>
        <w:rPr>
          <w:rFonts w:ascii="Times New Roman" w:hAnsi="Times New Roman" w:cs="Times New Roman"/>
          <w:b/>
          <w:i/>
          <w:noProof/>
          <w:sz w:val="24"/>
          <w:szCs w:val="24"/>
        </w:rPr>
      </w:pPr>
    </w:p>
    <w:p w:rsidR="0049469F" w:rsidRDefault="002523FD">
      <w:pPr>
        <w:keepNext/>
        <w:spacing w:line="240" w:lineRule="auto"/>
        <w:rPr>
          <w:rFonts w:ascii="Times New Roman" w:hAnsi="Times New Roman" w:cs="Times New Roman"/>
          <w:b/>
          <w:noProof/>
          <w:sz w:val="24"/>
          <w:szCs w:val="24"/>
        </w:rPr>
      </w:pPr>
      <w:r>
        <w:rPr>
          <w:rFonts w:ascii="Times New Roman" w:hAnsi="Times New Roman" w:cs="Times New Roman"/>
          <w:b/>
          <w:noProof/>
          <w:sz w:val="24"/>
          <w:szCs w:val="24"/>
        </w:rPr>
        <w:t>3. Conclusions</w:t>
      </w:r>
    </w:p>
    <w:p w:rsidR="0049469F" w:rsidRDefault="002523FD">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Europe's economic and social prosperity depends on our ability to innovate. Sustaining Europe's social and economic model, modernising industry and building a cohesive and inclusi</w:t>
      </w:r>
      <w:r>
        <w:rPr>
          <w:rFonts w:ascii="Times New Roman" w:hAnsi="Times New Roman" w:cs="Times New Roman"/>
          <w:noProof/>
          <w:sz w:val="24"/>
          <w:szCs w:val="24"/>
        </w:rPr>
        <w:t xml:space="preserve">ve European Union means ensuring that innovation permeates all policies as well as social, economic and industrial decisions.    </w:t>
      </w:r>
    </w:p>
    <w:p w:rsidR="0049469F" w:rsidRDefault="002523FD">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changing nature of innovation will bring new opportunities to drive job creation and growth in Europe. We must be in a pos</w:t>
      </w:r>
      <w:r>
        <w:rPr>
          <w:rFonts w:ascii="Times New Roman" w:hAnsi="Times New Roman" w:cs="Times New Roman"/>
          <w:noProof/>
          <w:sz w:val="24"/>
          <w:szCs w:val="24"/>
        </w:rPr>
        <w:t xml:space="preserve">ition to seize these opportunities, while addressing the challenges and uncertainty. In doing so, we must be vigilant that the benefits are fairly distributed within our society. </w:t>
      </w:r>
    </w:p>
    <w:p w:rsidR="0049469F" w:rsidRDefault="002523FD">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This transformation will require a shared ambition and a change in mind-set </w:t>
      </w:r>
      <w:r>
        <w:rPr>
          <w:rFonts w:ascii="Times New Roman" w:hAnsi="Times New Roman" w:cs="Times New Roman"/>
          <w:noProof/>
          <w:sz w:val="24"/>
          <w:szCs w:val="24"/>
        </w:rPr>
        <w:t xml:space="preserve">regarding innovation and science in Europe. A shared agenda between regions, Member States and the European Commission is essential. We must build on Europe's strengths and give a new direction and a new impetus so that Europe becomes a true global leader </w:t>
      </w:r>
      <w:r>
        <w:rPr>
          <w:rFonts w:ascii="Times New Roman" w:hAnsi="Times New Roman" w:cs="Times New Roman"/>
          <w:noProof/>
          <w:sz w:val="24"/>
          <w:szCs w:val="24"/>
        </w:rPr>
        <w:t xml:space="preserve">in innovation for all. </w:t>
      </w:r>
    </w:p>
    <w:p w:rsidR="0049469F" w:rsidRDefault="002523FD">
      <w:pPr>
        <w:keepNext/>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The Commission invites Leaders to discuss and give strategic orientation with a view to: </w:t>
      </w:r>
    </w:p>
    <w:p w:rsidR="0049469F" w:rsidRDefault="002523FD">
      <w:pPr>
        <w:pStyle w:val="ListParagraph"/>
        <w:numPr>
          <w:ilvl w:val="0"/>
          <w:numId w:val="29"/>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Swiftly adopting the next Multiannual Financial Framework with the proposed innovation funding to ensure that research and innovation </w:t>
      </w:r>
      <w:r>
        <w:rPr>
          <w:rFonts w:ascii="Times New Roman" w:hAnsi="Times New Roman" w:cs="Times New Roman"/>
          <w:i/>
          <w:noProof/>
          <w:sz w:val="24"/>
          <w:szCs w:val="24"/>
        </w:rPr>
        <w:t>continues to be one of the essential EU policies and funding priorities in the future, across different budgetary instruments.</w:t>
      </w:r>
    </w:p>
    <w:p w:rsidR="0049469F" w:rsidRDefault="002523FD">
      <w:pPr>
        <w:pStyle w:val="ListParagraph"/>
        <w:numPr>
          <w:ilvl w:val="0"/>
          <w:numId w:val="29"/>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Member States taking the necessary steps to maximise their investments in research and innovation to reach the 3% of Gross Domest</w:t>
      </w:r>
      <w:r>
        <w:rPr>
          <w:rFonts w:ascii="Times New Roman" w:hAnsi="Times New Roman" w:cs="Times New Roman"/>
          <w:i/>
          <w:noProof/>
          <w:sz w:val="24"/>
          <w:szCs w:val="24"/>
        </w:rPr>
        <w:t>ic Product target.</w:t>
      </w:r>
    </w:p>
    <w:p w:rsidR="0049469F" w:rsidRDefault="002523FD">
      <w:pPr>
        <w:pStyle w:val="ListParagraph"/>
        <w:numPr>
          <w:ilvl w:val="0"/>
          <w:numId w:val="29"/>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Increasing private investment in research and innovation and scale-up initiatives such as the VentureEU initiative to boost private investment and patient capital. </w:t>
      </w:r>
    </w:p>
    <w:p w:rsidR="0049469F" w:rsidRDefault="002523FD">
      <w:pPr>
        <w:pStyle w:val="ListParagraph"/>
        <w:numPr>
          <w:ilvl w:val="0"/>
          <w:numId w:val="29"/>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Building future proof EU and national regulatory frameworks by applying </w:t>
      </w:r>
      <w:r>
        <w:rPr>
          <w:rFonts w:ascii="Times New Roman" w:hAnsi="Times New Roman" w:cs="Times New Roman"/>
          <w:i/>
          <w:noProof/>
          <w:sz w:val="24"/>
          <w:szCs w:val="24"/>
        </w:rPr>
        <w:t xml:space="preserve">the innovation principle, ensuring that whenever policy and legislation are reviewed, developed or implemented, the impact on innovation is fully assessed. </w:t>
      </w:r>
    </w:p>
    <w:p w:rsidR="0049469F" w:rsidRDefault="002523FD">
      <w:pPr>
        <w:pStyle w:val="ListParagraph"/>
        <w:numPr>
          <w:ilvl w:val="0"/>
          <w:numId w:val="29"/>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Giving priority to the transposition of the Directive on preventing restructuring frameworks, secon</w:t>
      </w:r>
      <w:r>
        <w:rPr>
          <w:rFonts w:ascii="Times New Roman" w:hAnsi="Times New Roman" w:cs="Times New Roman"/>
          <w:i/>
          <w:noProof/>
          <w:sz w:val="24"/>
          <w:szCs w:val="24"/>
        </w:rPr>
        <w:t>d chances and measures to increase the efficiency of restructuring, insolvency and discharge procedures.</w:t>
      </w:r>
    </w:p>
    <w:p w:rsidR="0049469F" w:rsidRDefault="002523FD">
      <w:pPr>
        <w:pStyle w:val="ListParagraph"/>
        <w:numPr>
          <w:ilvl w:val="0"/>
          <w:numId w:val="29"/>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Further simplifying state aid rules to facilitate the seamless combination of different funds and the better use of common assessment standards for res</w:t>
      </w:r>
      <w:r>
        <w:rPr>
          <w:rFonts w:ascii="Times New Roman" w:hAnsi="Times New Roman" w:cs="Times New Roman"/>
          <w:i/>
          <w:noProof/>
          <w:sz w:val="24"/>
          <w:szCs w:val="24"/>
        </w:rPr>
        <w:t>earch and innovation projects.</w:t>
      </w:r>
    </w:p>
    <w:p w:rsidR="0049469F" w:rsidRDefault="002523FD">
      <w:pPr>
        <w:pStyle w:val="ListParagraph"/>
        <w:numPr>
          <w:ilvl w:val="0"/>
          <w:numId w:val="29"/>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Establishing a European Innovation Council to identify and scale up breakthrough and disruptive innovation, focusing on fast moving, high-risk innovations that have a strong potential to create entirely new markets.</w:t>
      </w:r>
    </w:p>
    <w:p w:rsidR="0049469F" w:rsidRDefault="002523FD">
      <w:pPr>
        <w:pStyle w:val="ListParagraph"/>
        <w:numPr>
          <w:ilvl w:val="0"/>
          <w:numId w:val="29"/>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Launching a set of European research and innovation missions with bold, ambitious goals and strong European added value. </w:t>
      </w:r>
    </w:p>
    <w:p w:rsidR="0049469F" w:rsidRDefault="002523FD">
      <w:pPr>
        <w:pStyle w:val="ListParagraph"/>
        <w:numPr>
          <w:ilvl w:val="0"/>
          <w:numId w:val="29"/>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Using European Structural and Investment Funds to bring the regions into the innovation economy. Smart Specialisation Strategies shoul</w:t>
      </w:r>
      <w:r>
        <w:rPr>
          <w:rFonts w:ascii="Times New Roman" w:hAnsi="Times New Roman" w:cs="Times New Roman"/>
          <w:i/>
          <w:noProof/>
          <w:sz w:val="24"/>
          <w:szCs w:val="24"/>
        </w:rPr>
        <w:t>d be strengthened and streamlined to enable interregional innovation support. Synergies should be created, with the Horizon Europe programme, InvestEU Fund, the European Social Fund, the Erasmus+ Programme, the Digital Europe Programme, the Common Agricult</w:t>
      </w:r>
      <w:r>
        <w:rPr>
          <w:rFonts w:ascii="Times New Roman" w:hAnsi="Times New Roman" w:cs="Times New Roman"/>
          <w:i/>
          <w:noProof/>
          <w:sz w:val="24"/>
          <w:szCs w:val="24"/>
        </w:rPr>
        <w:t>ural Policy and other programmes.</w:t>
      </w:r>
    </w:p>
    <w:p w:rsidR="0049469F" w:rsidRDefault="002523FD">
      <w:pPr>
        <w:pStyle w:val="ListParagraph"/>
        <w:numPr>
          <w:ilvl w:val="0"/>
          <w:numId w:val="29"/>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Contributing to the modernisation of Universities and public research organisations with an Open Science label. </w:t>
      </w:r>
    </w:p>
    <w:p w:rsidR="0049469F" w:rsidRDefault="0049469F">
      <w:pPr>
        <w:spacing w:line="240" w:lineRule="auto"/>
        <w:jc w:val="both"/>
        <w:rPr>
          <w:rFonts w:ascii="Times New Roman" w:hAnsi="Times New Roman" w:cs="Times New Roman"/>
          <w:b/>
          <w:noProof/>
          <w:sz w:val="24"/>
          <w:szCs w:val="24"/>
        </w:rPr>
      </w:pPr>
    </w:p>
    <w:sectPr w:rsidR="0049469F">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B49C7CA" w15:done="0"/>
  <w15:commentEx w15:paraId="48824941" w15:done="0"/>
  <w15:commentEx w15:paraId="49411748" w15:done="0"/>
  <w15:commentEx w15:paraId="612708BC" w15:done="0"/>
  <w15:commentEx w15:paraId="3186FD7F" w15:done="0"/>
  <w15:commentEx w15:paraId="22B7CBE1" w15:done="0"/>
  <w15:commentEx w15:paraId="001528F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49C7CA" w16cid:durableId="1E8F0712"/>
  <w16cid:commentId w16cid:paraId="48824941" w16cid:durableId="1E8EFE5B"/>
  <w16cid:commentId w16cid:paraId="49411748" w16cid:durableId="1E8F0196"/>
  <w16cid:commentId w16cid:paraId="612708BC" w16cid:durableId="1E8F02DD"/>
  <w16cid:commentId w16cid:paraId="3186FD7F" w16cid:durableId="1E8EFBF1"/>
  <w16cid:commentId w16cid:paraId="22B7CBE1" w16cid:durableId="1E8F047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469F" w:rsidRDefault="002523FD">
      <w:pPr>
        <w:spacing w:after="0" w:line="240" w:lineRule="auto"/>
      </w:pPr>
      <w:r>
        <w:separator/>
      </w:r>
    </w:p>
  </w:endnote>
  <w:endnote w:type="continuationSeparator" w:id="0">
    <w:p w:rsidR="0049469F" w:rsidRDefault="002523FD">
      <w:pPr>
        <w:spacing w:after="0" w:line="240" w:lineRule="auto"/>
      </w:pPr>
      <w:r>
        <w:continuationSeparator/>
      </w:r>
    </w:p>
  </w:endnote>
  <w:endnote w:type="continuationNotice" w:id="1">
    <w:p w:rsidR="0049469F" w:rsidRDefault="004946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C Square Sans Pro">
    <w:panose1 w:val="020B0506040000020004"/>
    <w:charset w:val="00"/>
    <w:family w:val="swiss"/>
    <w:pitch w:val="variable"/>
    <w:sig w:usb0="A00002BF" w:usb1="5000E0F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3FD" w:rsidRPr="002523FD" w:rsidRDefault="002523FD" w:rsidP="002523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3FD" w:rsidRPr="002523FD" w:rsidRDefault="002523FD" w:rsidP="002523FD">
    <w:pPr>
      <w:pStyle w:val="FooterCoverPage"/>
      <w:rPr>
        <w:rFonts w:ascii="Arial" w:hAnsi="Arial" w:cs="Arial"/>
        <w:b/>
        <w:sz w:val="48"/>
      </w:rPr>
    </w:pPr>
    <w:r w:rsidRPr="002523FD">
      <w:rPr>
        <w:rFonts w:ascii="Arial" w:hAnsi="Arial" w:cs="Arial"/>
        <w:b/>
        <w:sz w:val="48"/>
      </w:rPr>
      <w:t>EN</w:t>
    </w:r>
    <w:r w:rsidRPr="002523FD">
      <w:rPr>
        <w:rFonts w:ascii="Arial" w:hAnsi="Arial" w:cs="Arial"/>
        <w:b/>
        <w:sz w:val="48"/>
      </w:rPr>
      <w:tab/>
    </w:r>
    <w:r w:rsidRPr="002523FD">
      <w:rPr>
        <w:rFonts w:ascii="Arial" w:hAnsi="Arial" w:cs="Arial"/>
        <w:b/>
        <w:sz w:val="48"/>
      </w:rPr>
      <w:tab/>
    </w:r>
    <w:r w:rsidRPr="002523FD">
      <w:tab/>
    </w:r>
    <w:r w:rsidRPr="002523FD">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3FD" w:rsidRPr="002523FD" w:rsidRDefault="002523FD" w:rsidP="002523FD">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69F" w:rsidRDefault="0049469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138944833"/>
      <w:docPartObj>
        <w:docPartGallery w:val="Page Numbers (Bottom of Page)"/>
        <w:docPartUnique/>
      </w:docPartObj>
    </w:sdtPr>
    <w:sdtEndPr>
      <w:rPr>
        <w:noProof/>
      </w:rPr>
    </w:sdtEndPr>
    <w:sdtContent>
      <w:p w:rsidR="0049469F" w:rsidRDefault="002523FD">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18</w:t>
        </w:r>
        <w:r>
          <w:rPr>
            <w:rFonts w:ascii="Times New Roman" w:hAnsi="Times New Roman" w:cs="Times New Roman"/>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69F" w:rsidRDefault="004946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469F" w:rsidRDefault="002523FD">
      <w:pPr>
        <w:spacing w:after="0" w:line="240" w:lineRule="auto"/>
      </w:pPr>
      <w:r>
        <w:separator/>
      </w:r>
    </w:p>
  </w:footnote>
  <w:footnote w:type="continuationSeparator" w:id="0">
    <w:p w:rsidR="0049469F" w:rsidRDefault="002523FD">
      <w:pPr>
        <w:spacing w:after="0" w:line="240" w:lineRule="auto"/>
      </w:pPr>
      <w:r>
        <w:continuationSeparator/>
      </w:r>
    </w:p>
  </w:footnote>
  <w:footnote w:type="continuationNotice" w:id="1">
    <w:p w:rsidR="0049469F" w:rsidRDefault="0049469F">
      <w:pPr>
        <w:spacing w:after="0" w:line="240" w:lineRule="auto"/>
      </w:pPr>
    </w:p>
  </w:footnote>
  <w:footnote w:id="2">
    <w:p w:rsidR="0049469F" w:rsidRDefault="002523FD">
      <w:pPr>
        <w:pStyle w:val="FootnoteText"/>
        <w:tabs>
          <w:tab w:val="left" w:pos="284"/>
        </w:tabs>
        <w:ind w:left="284" w:hanging="284"/>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rPr>
        <w:tab/>
        <w:t xml:space="preserve">Report "Science, Research and Innovation Performance of the EU </w:t>
      </w:r>
      <w:r>
        <w:rPr>
          <w:rFonts w:ascii="Times New Roman" w:hAnsi="Times New Roman" w:cs="Times New Roman"/>
        </w:rPr>
        <w:t>2018".</w:t>
      </w:r>
    </w:p>
  </w:footnote>
  <w:footnote w:id="3">
    <w:p w:rsidR="0049469F" w:rsidRDefault="002523FD">
      <w:pPr>
        <w:pStyle w:val="FootnoteText"/>
        <w:tabs>
          <w:tab w:val="left" w:pos="284"/>
        </w:tabs>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t xml:space="preserve">COM (2018) 237. </w:t>
      </w:r>
    </w:p>
  </w:footnote>
  <w:footnote w:id="4">
    <w:p w:rsidR="0049469F" w:rsidRDefault="002523FD">
      <w:pPr>
        <w:pStyle w:val="FootnoteText"/>
        <w:tabs>
          <w:tab w:val="left" w:pos="284"/>
        </w:tabs>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t>This is particularly relevant when the EU negotiated trade agreements. See the Commission's proposal for a regulation establishing a framework for screening Foreign Direct Investments into the EU, COM(2017)487.</w:t>
      </w:r>
    </w:p>
  </w:footnote>
  <w:footnote w:id="5">
    <w:p w:rsidR="0049469F" w:rsidRDefault="002523FD">
      <w:pPr>
        <w:pStyle w:val="FootnoteText"/>
        <w:tabs>
          <w:tab w:val="left" w:pos="284"/>
        </w:tabs>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t>Report "</w:t>
      </w:r>
      <w:r>
        <w:rPr>
          <w:rFonts w:ascii="Times New Roman" w:hAnsi="Times New Roman" w:cs="Times New Roman"/>
          <w:i/>
        </w:rPr>
        <w:t>Re-find</w:t>
      </w:r>
      <w:r>
        <w:rPr>
          <w:rFonts w:ascii="Times New Roman" w:hAnsi="Times New Roman" w:cs="Times New Roman"/>
          <w:i/>
        </w:rPr>
        <w:t>ing Industry –Defining Innovation</w:t>
      </w:r>
      <w:r>
        <w:rPr>
          <w:rFonts w:ascii="Times New Roman" w:hAnsi="Times New Roman" w:cs="Times New Roman"/>
        </w:rPr>
        <w:t>", of the independent High Level Group of Industrial Technologies chaired by Jürgen Rüttgers, European Commission, 2018.</w:t>
      </w:r>
    </w:p>
  </w:footnote>
  <w:footnote w:id="6">
    <w:p w:rsidR="0049469F" w:rsidRDefault="002523FD">
      <w:pPr>
        <w:pStyle w:val="FootnoteText"/>
        <w:tabs>
          <w:tab w:val="left" w:pos="284"/>
        </w:tabs>
        <w:ind w:left="284" w:hanging="284"/>
        <w:jc w:val="both"/>
        <w:rPr>
          <w:rFonts w:ascii="Times New Roman" w:hAnsi="Times New Roman" w:cs="Times New Roman"/>
          <w:lang w:val="pt-PT"/>
        </w:rPr>
      </w:pPr>
      <w:r>
        <w:rPr>
          <w:rFonts w:ascii="Times New Roman" w:hAnsi="Times New Roman" w:cs="Times New Roman"/>
          <w:vertAlign w:val="superscript"/>
        </w:rPr>
        <w:footnoteRef/>
      </w:r>
      <w:r>
        <w:rPr>
          <w:rFonts w:ascii="Times New Roman" w:hAnsi="Times New Roman" w:cs="Times New Roman"/>
          <w:lang w:val="pt-PT"/>
        </w:rPr>
        <w:tab/>
        <w:t>COM (2015) 192 , COM (2015) 550.</w:t>
      </w:r>
    </w:p>
  </w:footnote>
  <w:footnote w:id="7">
    <w:p w:rsidR="0049469F" w:rsidRDefault="002523FD">
      <w:pPr>
        <w:pStyle w:val="FootnoteText"/>
        <w:tabs>
          <w:tab w:val="left" w:pos="284"/>
        </w:tabs>
        <w:ind w:left="284" w:hanging="284"/>
        <w:jc w:val="both"/>
        <w:rPr>
          <w:rFonts w:ascii="Times New Roman" w:hAnsi="Times New Roman" w:cs="Times New Roman"/>
          <w:lang w:val="pt-PT"/>
        </w:rPr>
      </w:pPr>
      <w:r>
        <w:rPr>
          <w:rStyle w:val="FootnoteReference"/>
          <w:rFonts w:ascii="Times New Roman" w:hAnsi="Times New Roman" w:cs="Times New Roman"/>
        </w:rPr>
        <w:footnoteRef/>
      </w:r>
      <w:r>
        <w:rPr>
          <w:rFonts w:ascii="Times New Roman" w:hAnsi="Times New Roman" w:cs="Times New Roman"/>
          <w:lang w:val="pt-PT"/>
        </w:rPr>
        <w:tab/>
        <w:t>COM (2015) 80, COM (2016) 763.</w:t>
      </w:r>
    </w:p>
  </w:footnote>
  <w:footnote w:id="8">
    <w:p w:rsidR="0049469F" w:rsidRDefault="002523FD">
      <w:pPr>
        <w:pStyle w:val="FootnoteText"/>
        <w:tabs>
          <w:tab w:val="left" w:pos="284"/>
        </w:tabs>
        <w:ind w:left="284" w:hanging="284"/>
        <w:jc w:val="both"/>
        <w:rPr>
          <w:rFonts w:ascii="Times New Roman" w:hAnsi="Times New Roman" w:cs="Times New Roman"/>
          <w:lang w:val="pt-PT"/>
        </w:rPr>
      </w:pPr>
      <w:r>
        <w:rPr>
          <w:rStyle w:val="FootnoteReference"/>
          <w:rFonts w:ascii="Times New Roman" w:hAnsi="Times New Roman" w:cs="Times New Roman"/>
        </w:rPr>
        <w:footnoteRef/>
      </w:r>
      <w:r>
        <w:rPr>
          <w:rFonts w:ascii="Times New Roman" w:hAnsi="Times New Roman" w:cs="Times New Roman"/>
          <w:lang w:val="pt-PT"/>
        </w:rPr>
        <w:tab/>
        <w:t>COM (2017) 479.</w:t>
      </w:r>
    </w:p>
  </w:footnote>
  <w:footnote w:id="9">
    <w:p w:rsidR="0049469F" w:rsidRDefault="002523FD">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r>
      <w:r>
        <w:rPr>
          <w:rFonts w:ascii="Times New Roman" w:hAnsi="Times New Roman" w:cs="Times New Roman"/>
        </w:rPr>
        <w:t xml:space="preserve">30% of the funds allocated by the Investment Plan were devoted to Small Medium Enterprises, 22% to research and innovation projects and 11% to projects that aim at enhancing Europe's digital capacity. </w:t>
      </w:r>
    </w:p>
  </w:footnote>
  <w:footnote w:id="10">
    <w:p w:rsidR="0049469F" w:rsidRDefault="002523FD">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t>The EU is currently spending close to EUR 80 billion</w:t>
      </w:r>
      <w:r>
        <w:rPr>
          <w:rFonts w:ascii="Times New Roman" w:hAnsi="Times New Roman" w:cs="Times New Roman"/>
        </w:rPr>
        <w:t xml:space="preserve"> for its Horizon 2020 Research and Innovation Framework Programme over 2014-2020. </w:t>
      </w:r>
    </w:p>
  </w:footnote>
  <w:footnote w:id="11">
    <w:p w:rsidR="0049469F" w:rsidRDefault="002523FD">
      <w:pPr>
        <w:pStyle w:val="FootnoteText"/>
        <w:tabs>
          <w:tab w:val="left" w:pos="284"/>
        </w:tabs>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t>The European Structural and Investment Funds are investing over EUR 44 billion in research and innovation, including some EUR 30 billion in transition, less developed, out</w:t>
      </w:r>
      <w:r>
        <w:rPr>
          <w:rFonts w:ascii="Times New Roman" w:hAnsi="Times New Roman" w:cs="Times New Roman"/>
        </w:rPr>
        <w:t>ermost and sparsely populated regions.</w:t>
      </w:r>
    </w:p>
  </w:footnote>
  <w:footnote w:id="12">
    <w:p w:rsidR="0049469F" w:rsidRDefault="002523FD">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t>COM (2018) 2.</w:t>
      </w:r>
    </w:p>
  </w:footnote>
  <w:footnote w:id="13">
    <w:p w:rsidR="0049469F" w:rsidRDefault="002523FD">
      <w:pPr>
        <w:pStyle w:val="FootnoteText"/>
        <w:tabs>
          <w:tab w:val="left" w:pos="284"/>
        </w:tabs>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t>COM (2010) 2020, COM(2017) 690. See also Report "Science, Research and Innovation Performance of the EU 2018", and report "</w:t>
      </w:r>
      <w:r>
        <w:rPr>
          <w:rFonts w:ascii="Times New Roman" w:hAnsi="Times New Roman" w:cs="Times New Roman"/>
          <w:i/>
        </w:rPr>
        <w:t xml:space="preserve">Lab, Fab, App" </w:t>
      </w:r>
      <w:r>
        <w:rPr>
          <w:rFonts w:ascii="Times New Roman" w:hAnsi="Times New Roman" w:cs="Times New Roman"/>
        </w:rPr>
        <w:t xml:space="preserve">of the independent High Level Group on maximising the impact </w:t>
      </w:r>
      <w:r>
        <w:rPr>
          <w:rFonts w:ascii="Times New Roman" w:hAnsi="Times New Roman" w:cs="Times New Roman"/>
        </w:rPr>
        <w:t>of EU research and innovation programmes, chaired by Pascal Lamy.</w:t>
      </w:r>
    </w:p>
  </w:footnote>
  <w:footnote w:id="14">
    <w:p w:rsidR="0049469F" w:rsidRDefault="002523FD">
      <w:pPr>
        <w:tabs>
          <w:tab w:val="left" w:pos="284"/>
        </w:tabs>
        <w:spacing w:after="0" w:line="240" w:lineRule="auto"/>
        <w:ind w:left="284" w:hanging="284"/>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ab/>
        <w:t xml:space="preserve">Source: European Commission, Directorate-General for Research &amp; Innovation. Data: Eurostat. </w:t>
      </w:r>
    </w:p>
  </w:footnote>
  <w:footnote w:id="15">
    <w:p w:rsidR="0049469F" w:rsidRDefault="002523FD">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t>COM (2018) 2, and report "</w:t>
      </w:r>
      <w:r>
        <w:rPr>
          <w:rFonts w:ascii="Times New Roman" w:hAnsi="Times New Roman" w:cs="Times New Roman"/>
          <w:i/>
        </w:rPr>
        <w:t>Lab, Fab, App"</w:t>
      </w:r>
      <w:r>
        <w:rPr>
          <w:rFonts w:ascii="Times New Roman" w:hAnsi="Times New Roman" w:cs="Times New Roman"/>
        </w:rPr>
        <w:t>.</w:t>
      </w:r>
    </w:p>
  </w:footnote>
  <w:footnote w:id="16">
    <w:p w:rsidR="0049469F" w:rsidRDefault="002523FD">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t xml:space="preserve">The European Research Council was established in </w:t>
      </w:r>
      <w:r>
        <w:rPr>
          <w:rFonts w:ascii="Times New Roman" w:hAnsi="Times New Roman" w:cs="Times New Roman"/>
        </w:rPr>
        <w:t>2013 for implementing a part of Horizon 2020. It is composed of an independent Scientific Council, its governing body consisting of distinguished researchers, and an Executive Agency, in charge of the implementation. It forms part of Horizon 2020.</w:t>
      </w:r>
    </w:p>
  </w:footnote>
  <w:footnote w:id="17">
    <w:p w:rsidR="0049469F" w:rsidRDefault="002523FD">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t>To giv</w:t>
      </w:r>
      <w:r>
        <w:rPr>
          <w:rFonts w:ascii="Times New Roman" w:hAnsi="Times New Roman" w:cs="Times New Roman"/>
        </w:rPr>
        <w:t>e an example, Prof Feringa, a European Research Council grantee and scientist in charge for a Marie Skłodowska-Curie co-fund project, won in 2016 the Nobel Prize for Chemistry.</w:t>
      </w:r>
    </w:p>
  </w:footnote>
  <w:footnote w:id="18">
    <w:p w:rsidR="0049469F" w:rsidRDefault="002523FD">
      <w:pPr>
        <w:pStyle w:val="FootnoteText"/>
        <w:tabs>
          <w:tab w:val="left" w:pos="240"/>
        </w:tabs>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t xml:space="preserve">Marie Skłodowska-Curie actions are part of the Horizon 2020 programme. Since </w:t>
      </w:r>
      <w:r>
        <w:rPr>
          <w:rFonts w:ascii="Times New Roman" w:hAnsi="Times New Roman" w:cs="Times New Roman"/>
        </w:rPr>
        <w:t>2013, nine Nobel Prize winners have been either former Marie Skłodowska-Curie fellows or supervisor .</w:t>
      </w:r>
    </w:p>
  </w:footnote>
  <w:footnote w:id="19">
    <w:p w:rsidR="0049469F" w:rsidRDefault="002523FD">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t>30% of the funds allocated by the Investment Plan were devoted to SMEs, 22% to research and innovation projects and 11% to projects that aim at enhancin</w:t>
      </w:r>
      <w:r>
        <w:rPr>
          <w:rFonts w:ascii="Times New Roman" w:hAnsi="Times New Roman" w:cs="Times New Roman"/>
        </w:rPr>
        <w:t xml:space="preserve">g Europe's digital capacity. </w:t>
      </w:r>
    </w:p>
  </w:footnote>
  <w:footnote w:id="20">
    <w:p w:rsidR="0049469F" w:rsidRDefault="002523FD">
      <w:pPr>
        <w:pStyle w:val="FootnoteText"/>
        <w:tabs>
          <w:tab w:val="left" w:pos="284"/>
        </w:tabs>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t>See report "Science, Research and Innovation Performance of the EU" in BG, CZ, EE, HR, LV, LT, HU, MT, PL, RO, SI and SK the European Structural and Investment Funds are the main source of funding for research and innovation</w:t>
      </w:r>
      <w:r>
        <w:rPr>
          <w:rFonts w:ascii="Times New Roman" w:hAnsi="Times New Roman" w:cs="Times New Roman"/>
        </w:rPr>
        <w:t>.</w:t>
      </w:r>
    </w:p>
  </w:footnote>
  <w:footnote w:id="21">
    <w:p w:rsidR="0049469F" w:rsidRDefault="002523FD">
      <w:pPr>
        <w:pStyle w:val="FootnoteText"/>
        <w:tabs>
          <w:tab w:val="left" w:pos="284"/>
        </w:tabs>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t>COM(2018) 321.</w:t>
      </w:r>
    </w:p>
  </w:footnote>
  <w:footnote w:id="22">
    <w:p w:rsidR="0049469F" w:rsidRDefault="002523FD">
      <w:pPr>
        <w:pStyle w:val="FootnoteText"/>
        <w:tabs>
          <w:tab w:val="left" w:pos="284"/>
        </w:tabs>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t>Other programmes such as the Innovation Fund, Single Market Programme, Funds for agriculture and maritime policies, the European Social Fund, Erasmus + , the EU Culture and Values programmes, will have key innovation components.</w:t>
      </w:r>
    </w:p>
  </w:footnote>
  <w:footnote w:id="23">
    <w:p w:rsidR="0049469F" w:rsidRDefault="002523FD">
      <w:pPr>
        <w:pStyle w:val="FootnoteText"/>
        <w:tabs>
          <w:tab w:val="left" w:pos="284"/>
        </w:tabs>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t>Repo</w:t>
      </w:r>
      <w:r>
        <w:rPr>
          <w:rFonts w:ascii="Times New Roman" w:hAnsi="Times New Roman" w:cs="Times New Roman"/>
        </w:rPr>
        <w:t xml:space="preserve">rt "Science, Research and Innovation Performance of the EU 2018".  </w:t>
      </w:r>
    </w:p>
  </w:footnote>
  <w:footnote w:id="24">
    <w:p w:rsidR="0049469F" w:rsidRDefault="002523FD">
      <w:pPr>
        <w:pStyle w:val="FootnoteText"/>
        <w:tabs>
          <w:tab w:val="left" w:pos="284"/>
        </w:tabs>
        <w:ind w:left="284" w:hanging="284"/>
        <w:jc w:val="both"/>
        <w:rPr>
          <w:rFonts w:ascii="Times New Roman" w:hAnsi="Times New Roman" w:cs="Times New Roman"/>
          <w:lang w:val="pt-PT"/>
        </w:rPr>
      </w:pPr>
      <w:r>
        <w:rPr>
          <w:rStyle w:val="FootnoteReference"/>
          <w:rFonts w:ascii="Times New Roman" w:hAnsi="Times New Roman" w:cs="Times New Roman"/>
        </w:rPr>
        <w:footnoteRef/>
      </w:r>
      <w:r>
        <w:rPr>
          <w:rFonts w:ascii="Times New Roman" w:hAnsi="Times New Roman" w:cs="Times New Roman"/>
        </w:rPr>
        <w:tab/>
        <w:t xml:space="preserve">Source: European Commission DG Research and Innovation. </w:t>
      </w:r>
      <w:r>
        <w:rPr>
          <w:rFonts w:ascii="Times New Roman" w:hAnsi="Times New Roman" w:cs="Times New Roman"/>
          <w:lang w:val="pt-PT"/>
        </w:rPr>
        <w:t>Data: Eurostat, OECD.</w:t>
      </w:r>
    </w:p>
  </w:footnote>
  <w:footnote w:id="25">
    <w:p w:rsidR="0049469F" w:rsidRDefault="002523FD">
      <w:pPr>
        <w:pStyle w:val="FootnoteText"/>
        <w:tabs>
          <w:tab w:val="left" w:pos="284"/>
        </w:tabs>
        <w:ind w:left="284" w:hanging="284"/>
        <w:jc w:val="both"/>
        <w:rPr>
          <w:rFonts w:ascii="Times New Roman" w:hAnsi="Times New Roman" w:cs="Times New Roman"/>
          <w:lang w:val="pt-PT"/>
        </w:rPr>
      </w:pPr>
      <w:r>
        <w:rPr>
          <w:rStyle w:val="FootnoteReference"/>
          <w:rFonts w:ascii="Times New Roman" w:hAnsi="Times New Roman" w:cs="Times New Roman"/>
        </w:rPr>
        <w:footnoteRef/>
      </w:r>
      <w:r>
        <w:rPr>
          <w:rFonts w:ascii="Times New Roman" w:hAnsi="Times New Roman" w:cs="Times New Roman"/>
          <w:lang w:val="pt-PT"/>
        </w:rPr>
        <w:tab/>
        <w:t xml:space="preserve">COM(2017) 479. </w:t>
      </w:r>
    </w:p>
  </w:footnote>
  <w:footnote w:id="26">
    <w:p w:rsidR="0049469F" w:rsidRDefault="002523FD">
      <w:pPr>
        <w:pStyle w:val="FootnoteText"/>
        <w:tabs>
          <w:tab w:val="left" w:pos="284"/>
        </w:tabs>
        <w:ind w:left="284" w:hanging="284"/>
        <w:jc w:val="both"/>
        <w:rPr>
          <w:rFonts w:ascii="Times New Roman" w:hAnsi="Times New Roman" w:cs="Times New Roman"/>
          <w:lang w:val="pt-PT"/>
        </w:rPr>
      </w:pPr>
      <w:r>
        <w:rPr>
          <w:rStyle w:val="FootnoteReference"/>
          <w:rFonts w:ascii="Times New Roman" w:hAnsi="Times New Roman" w:cs="Times New Roman"/>
        </w:rPr>
        <w:footnoteRef/>
      </w:r>
      <w:r>
        <w:rPr>
          <w:rFonts w:ascii="Times New Roman" w:hAnsi="Times New Roman" w:cs="Times New Roman"/>
          <w:lang w:val="pt-PT"/>
        </w:rPr>
        <w:tab/>
        <w:t>COM(2015) 215 and COM(2017) 651.</w:t>
      </w:r>
    </w:p>
  </w:footnote>
  <w:footnote w:id="27">
    <w:p w:rsidR="0049469F" w:rsidRDefault="002523FD">
      <w:pPr>
        <w:pStyle w:val="FootnoteText"/>
        <w:tabs>
          <w:tab w:val="left" w:pos="284"/>
        </w:tabs>
        <w:ind w:left="284" w:hanging="284"/>
        <w:jc w:val="both"/>
        <w:rPr>
          <w:rFonts w:ascii="Times New Roman" w:hAnsi="Times New Roman" w:cs="Times New Roman"/>
          <w:lang w:val="pt-PT"/>
        </w:rPr>
      </w:pPr>
      <w:r>
        <w:rPr>
          <w:rStyle w:val="FootnoteReference"/>
          <w:rFonts w:ascii="Times New Roman" w:hAnsi="Times New Roman" w:cs="Times New Roman"/>
        </w:rPr>
        <w:footnoteRef/>
      </w:r>
      <w:r>
        <w:rPr>
          <w:rFonts w:ascii="Times New Roman" w:hAnsi="Times New Roman" w:cs="Times New Roman"/>
          <w:lang w:val="pt-PT"/>
        </w:rPr>
        <w:tab/>
        <w:t>COM(2018) 008, COM(2018)237.</w:t>
      </w:r>
    </w:p>
  </w:footnote>
  <w:footnote w:id="28">
    <w:p w:rsidR="0049469F" w:rsidRDefault="002523FD">
      <w:pPr>
        <w:pStyle w:val="FootnoteText"/>
        <w:tabs>
          <w:tab w:val="left" w:pos="284"/>
        </w:tabs>
        <w:ind w:left="284" w:hanging="284"/>
        <w:jc w:val="both"/>
        <w:rPr>
          <w:rFonts w:ascii="Times New Roman" w:hAnsi="Times New Roman" w:cs="Times New Roman"/>
          <w:lang w:val="pt-PT"/>
        </w:rPr>
      </w:pPr>
      <w:r>
        <w:rPr>
          <w:rFonts w:ascii="Times New Roman" w:hAnsi="Times New Roman" w:cs="Times New Roman"/>
          <w:vertAlign w:val="superscript"/>
          <w:lang w:val="en"/>
        </w:rPr>
        <w:footnoteRef/>
      </w:r>
      <w:r>
        <w:rPr>
          <w:rFonts w:ascii="Times New Roman" w:hAnsi="Times New Roman" w:cs="Times New Roman"/>
          <w:vertAlign w:val="superscript"/>
          <w:lang w:val="pt-PT"/>
        </w:rPr>
        <w:t xml:space="preserve"> </w:t>
      </w:r>
      <w:r>
        <w:rPr>
          <w:rFonts w:ascii="Times New Roman" w:hAnsi="Times New Roman" w:cs="Times New Roman"/>
          <w:vertAlign w:val="superscript"/>
          <w:lang w:val="pt-PT"/>
        </w:rPr>
        <w:tab/>
      </w:r>
      <w:hyperlink r:id="rId1" w:history="1">
        <w:r>
          <w:rPr>
            <w:rStyle w:val="Hyperlink"/>
            <w:rFonts w:ascii="Times New Roman" w:hAnsi="Times New Roman" w:cs="Times New Roman"/>
            <w:lang w:val="pt-PT"/>
          </w:rPr>
          <w:t>http://www.consilium.europa.eu/en/policies/investment-plan/</w:t>
        </w:r>
      </w:hyperlink>
      <w:r>
        <w:rPr>
          <w:rFonts w:ascii="Times New Roman" w:hAnsi="Times New Roman" w:cs="Times New Roman"/>
          <w:lang w:val="pt-PT"/>
        </w:rPr>
        <w:t xml:space="preserve"> </w:t>
      </w:r>
    </w:p>
  </w:footnote>
  <w:footnote w:id="29">
    <w:p w:rsidR="0049469F" w:rsidRDefault="002523FD">
      <w:pPr>
        <w:pStyle w:val="FootnoteText"/>
        <w:tabs>
          <w:tab w:val="left" w:pos="284"/>
        </w:tabs>
        <w:ind w:left="284" w:hanging="284"/>
        <w:jc w:val="both"/>
        <w:rPr>
          <w:rFonts w:ascii="Times New Roman" w:hAnsi="Times New Roman" w:cs="Times New Roman"/>
          <w:lang w:val="en"/>
        </w:rPr>
      </w:pPr>
      <w:r>
        <w:rPr>
          <w:rFonts w:ascii="Times New Roman" w:hAnsi="Times New Roman" w:cs="Times New Roman"/>
          <w:vertAlign w:val="superscript"/>
          <w:lang w:val="en"/>
        </w:rPr>
        <w:footnoteRef/>
      </w:r>
      <w:r>
        <w:rPr>
          <w:rFonts w:ascii="Times New Roman" w:hAnsi="Times New Roman" w:cs="Times New Roman"/>
          <w:vertAlign w:val="superscript"/>
          <w:lang w:val="en"/>
        </w:rPr>
        <w:tab/>
      </w:r>
      <w:r>
        <w:rPr>
          <w:rFonts w:ascii="Times New Roman" w:hAnsi="Times New Roman" w:cs="Times New Roman"/>
          <w:lang w:val="en"/>
        </w:rPr>
        <w:t>PwC / CB Insights MoneyTree™ Report, Q4 2017.</w:t>
      </w:r>
    </w:p>
  </w:footnote>
  <w:footnote w:id="30">
    <w:p w:rsidR="0049469F" w:rsidRDefault="002523FD">
      <w:pPr>
        <w:pStyle w:val="FootnoteText"/>
        <w:tabs>
          <w:tab w:val="left" w:pos="284"/>
        </w:tabs>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t xml:space="preserve">Source: European Commission, DG Research and Innovation – Data: Invest </w:t>
      </w:r>
      <w:r>
        <w:rPr>
          <w:rFonts w:ascii="Times New Roman" w:hAnsi="Times New Roman" w:cs="Times New Roman"/>
        </w:rPr>
        <w:t xml:space="preserve">Europe, NVCA / Pitchbook / </w:t>
      </w:r>
    </w:p>
  </w:footnote>
  <w:footnote w:id="31">
    <w:p w:rsidR="0049469F" w:rsidRDefault="002523FD">
      <w:pPr>
        <w:pStyle w:val="FootnoteText"/>
        <w:ind w:left="284" w:hanging="284"/>
        <w:jc w:val="both"/>
      </w:pPr>
      <w:r>
        <w:rPr>
          <w:rStyle w:val="FootnoteReference"/>
        </w:rPr>
        <w:footnoteRef/>
      </w:r>
      <w:r>
        <w:t xml:space="preserve"> </w:t>
      </w:r>
      <w:r>
        <w:tab/>
      </w:r>
      <w:r>
        <w:rPr>
          <w:rFonts w:ascii="Times New Roman" w:hAnsi="Times New Roman" w:cs="Times New Roman"/>
        </w:rPr>
        <w:t>Currently EUR 9.2 billion are planned for smart growth related loan, guarantee and equity instruments leveraging important additional public and private funding.</w:t>
      </w:r>
    </w:p>
  </w:footnote>
  <w:footnote w:id="32">
    <w:p w:rsidR="0049469F" w:rsidRDefault="002523FD">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t>The Common Consolidated Corporate Tax Base proposal aims at i</w:t>
      </w:r>
      <w:r>
        <w:rPr>
          <w:rFonts w:ascii="Times New Roman" w:hAnsi="Times New Roman" w:cs="Times New Roman"/>
        </w:rPr>
        <w:t>ncentivising R&amp;D investment with a super-deduction. COM(2016) 685.</w:t>
      </w:r>
    </w:p>
  </w:footnote>
  <w:footnote w:id="33">
    <w:p w:rsidR="0049469F" w:rsidRDefault="002523FD">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t>VentureEU is a pan-European venture capital Fund of Funds encompassed by a set of six private-led funds (</w:t>
      </w:r>
      <w:hyperlink r:id="rId2" w:history="1">
        <w:r>
          <w:rPr>
            <w:rStyle w:val="Hyperlink"/>
            <w:rFonts w:ascii="Times New Roman" w:hAnsi="Times New Roman" w:cs="Times New Roman"/>
          </w:rPr>
          <w:t>http://euro</w:t>
        </w:r>
        <w:r>
          <w:rPr>
            <w:rStyle w:val="Hyperlink"/>
            <w:rFonts w:ascii="Times New Roman" w:hAnsi="Times New Roman" w:cs="Times New Roman"/>
          </w:rPr>
          <w:t>pa.eu/rapid/press-release_IP-18-2763_en.htm</w:t>
        </w:r>
      </w:hyperlink>
      <w:r>
        <w:rPr>
          <w:rFonts w:ascii="Times New Roman" w:hAnsi="Times New Roman" w:cs="Times New Roman"/>
        </w:rPr>
        <w:t xml:space="preserve">). </w:t>
      </w:r>
    </w:p>
  </w:footnote>
  <w:footnote w:id="34">
    <w:p w:rsidR="0049469F" w:rsidRDefault="002523FD">
      <w:pPr>
        <w:pStyle w:val="FootnoteText"/>
        <w:tabs>
          <w:tab w:val="left" w:pos="284"/>
        </w:tabs>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t>The Seal of Excellence certifies internationally excellent, but unfunded projects, submitted to the Horizon 2020 programme so that they can be financed by the Structural Funds.</w:t>
      </w:r>
    </w:p>
  </w:footnote>
  <w:footnote w:id="35">
    <w:p w:rsidR="0049469F" w:rsidRDefault="002523FD">
      <w:pPr>
        <w:pStyle w:val="FootnoteText"/>
        <w:tabs>
          <w:tab w:val="left" w:pos="284"/>
        </w:tabs>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t xml:space="preserve">The Innovation Principle is </w:t>
      </w:r>
      <w:r>
        <w:rPr>
          <w:rFonts w:ascii="Times New Roman" w:hAnsi="Times New Roman" w:cs="Times New Roman"/>
        </w:rPr>
        <w:t>an integral part of the EU Better Regulation approach, and ensures that whenever policy and legislation are developed, the impact on innovation is fully assessed.</w:t>
      </w:r>
    </w:p>
  </w:footnote>
  <w:footnote w:id="36">
    <w:p w:rsidR="0049469F" w:rsidRDefault="002523FD">
      <w:pPr>
        <w:pStyle w:val="FootnoteText"/>
        <w:tabs>
          <w:tab w:val="left" w:pos="284"/>
        </w:tabs>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t>European Commission proposal for a Directive on preventive restructuring frameworks, second</w:t>
      </w:r>
      <w:r>
        <w:rPr>
          <w:rFonts w:ascii="Times New Roman" w:hAnsi="Times New Roman" w:cs="Times New Roman"/>
        </w:rPr>
        <w:t xml:space="preserve"> chance and measures to increase the efficiency of restructuring, insolvency and discharge procedures (</w:t>
      </w:r>
      <w:hyperlink r:id="rId3" w:history="1">
        <w:r>
          <w:rPr>
            <w:rStyle w:val="Hyperlink"/>
            <w:rFonts w:ascii="Times New Roman" w:hAnsi="Times New Roman" w:cs="Times New Roman"/>
          </w:rPr>
          <w:t>http://ec.europa.eu/information_society/newsro</w:t>
        </w:r>
        <w:r>
          <w:rPr>
            <w:rStyle w:val="Hyperlink"/>
            <w:rFonts w:ascii="Times New Roman" w:hAnsi="Times New Roman" w:cs="Times New Roman"/>
          </w:rPr>
          <w:t>om/image/document/2016-48/proposal_40046.pdf</w:t>
        </w:r>
      </w:hyperlink>
      <w:r>
        <w:rPr>
          <w:rFonts w:ascii="Times New Roman" w:hAnsi="Times New Roman" w:cs="Times New Roman"/>
        </w:rPr>
        <w:t>).</w:t>
      </w:r>
    </w:p>
  </w:footnote>
  <w:footnote w:id="37">
    <w:p w:rsidR="0049469F" w:rsidRDefault="002523FD">
      <w:pPr>
        <w:pStyle w:val="FootnoteText"/>
        <w:tabs>
          <w:tab w:val="left" w:pos="284"/>
        </w:tabs>
        <w:ind w:left="284" w:hanging="284"/>
        <w:jc w:val="both"/>
        <w:rPr>
          <w:rFonts w:ascii="Times New Roman" w:hAnsi="Times New Roman" w:cs="Times New Roman"/>
          <w:lang w:val="it-IT"/>
        </w:rPr>
      </w:pPr>
      <w:r>
        <w:rPr>
          <w:rStyle w:val="FootnoteReference"/>
          <w:rFonts w:ascii="Times New Roman" w:hAnsi="Times New Roman" w:cs="Times New Roman"/>
        </w:rPr>
        <w:footnoteRef/>
      </w:r>
      <w:r>
        <w:rPr>
          <w:rFonts w:ascii="Times New Roman" w:hAnsi="Times New Roman" w:cs="Times New Roman"/>
          <w:lang w:val="it-IT"/>
        </w:rPr>
        <w:tab/>
        <w:t>C(2018) 3051.</w:t>
      </w:r>
    </w:p>
  </w:footnote>
  <w:footnote w:id="38">
    <w:p w:rsidR="0049469F" w:rsidRDefault="002523FD">
      <w:pPr>
        <w:pStyle w:val="FootnoteText"/>
        <w:tabs>
          <w:tab w:val="left" w:pos="284"/>
        </w:tabs>
        <w:ind w:left="284" w:hanging="284"/>
        <w:jc w:val="both"/>
        <w:rPr>
          <w:rFonts w:ascii="Times New Roman" w:hAnsi="Times New Roman" w:cs="Times New Roman"/>
          <w:lang w:val="it-IT"/>
        </w:rPr>
      </w:pPr>
      <w:r>
        <w:rPr>
          <w:rStyle w:val="FootnoteReference"/>
          <w:rFonts w:ascii="Times New Roman" w:hAnsi="Times New Roman" w:cs="Times New Roman"/>
        </w:rPr>
        <w:footnoteRef/>
      </w:r>
      <w:r>
        <w:rPr>
          <w:rStyle w:val="Hyperlink"/>
          <w:rFonts w:ascii="Times New Roman" w:hAnsi="Times New Roman" w:cs="Times New Roman"/>
          <w:lang w:val="it-IT"/>
        </w:rPr>
        <w:tab/>
      </w:r>
      <w:hyperlink r:id="rId4" w:anchor="view=fit&amp;pagemod e=none" w:history="1">
        <w:r>
          <w:rPr>
            <w:rStyle w:val="Hyperlink"/>
            <w:rFonts w:ascii="Times New Roman" w:hAnsi="Times New Roman" w:cs="Times New Roman"/>
            <w:lang w:val="it-IT"/>
          </w:rPr>
          <w:t>http://ec.europa.eu/research/industrial_technologies/pdf/r</w:t>
        </w:r>
        <w:r>
          <w:rPr>
            <w:rStyle w:val="Hyperlink"/>
            <w:rFonts w:ascii="Times New Roman" w:hAnsi="Times New Roman" w:cs="Times New Roman"/>
            <w:lang w:val="it-IT"/>
          </w:rPr>
          <w:t>e_finding_industry_022018.pdf#view=fit&amp;pagemod e=none</w:t>
        </w:r>
      </w:hyperlink>
    </w:p>
  </w:footnote>
  <w:footnote w:id="39">
    <w:p w:rsidR="0049469F" w:rsidRDefault="002523FD">
      <w:pPr>
        <w:pStyle w:val="FootnoteText"/>
        <w:tabs>
          <w:tab w:val="left" w:pos="284"/>
        </w:tabs>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t>Report "Re-finding Industry –Defining Innovation", High Level Group of Industrial Technologies, European Commission, 2018.</w:t>
      </w:r>
    </w:p>
  </w:footnote>
  <w:footnote w:id="40">
    <w:p w:rsidR="0049469F" w:rsidRDefault="002523FD">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t>The percentage of firms that do not grow at all or by less than 5 % is over</w:t>
      </w:r>
      <w:r>
        <w:rPr>
          <w:rFonts w:ascii="Times New Roman" w:hAnsi="Times New Roman" w:cs="Times New Roman"/>
        </w:rPr>
        <w:t xml:space="preserve"> 45 % in Europe compared to 37 % in the USA. European Parliament (2017), Helping European SMEs to grow.</w:t>
      </w:r>
    </w:p>
    <w:p w:rsidR="0049469F" w:rsidRDefault="002523FD">
      <w:pPr>
        <w:pStyle w:val="FootnoteText"/>
        <w:ind w:left="284" w:hanging="284"/>
        <w:jc w:val="both"/>
        <w:rPr>
          <w:rFonts w:ascii="Times New Roman" w:hAnsi="Times New Roman" w:cs="Times New Roman"/>
        </w:rPr>
      </w:pPr>
      <w:r>
        <w:rPr>
          <w:rFonts w:ascii="Times New Roman" w:hAnsi="Times New Roman" w:cs="Times New Roman"/>
        </w:rPr>
        <w:tab/>
      </w:r>
      <w:hyperlink r:id="rId5" w:history="1">
        <w:r>
          <w:rPr>
            <w:rStyle w:val="Hyperlink"/>
            <w:rFonts w:ascii="Times New Roman" w:hAnsi="Times New Roman" w:cs="Times New Roman"/>
          </w:rPr>
          <w:t>http://www.europarl.europa.eu/thinktank/en/docu</w:t>
        </w:r>
        <w:r>
          <w:rPr>
            <w:rStyle w:val="Hyperlink"/>
            <w:rFonts w:ascii="Times New Roman" w:hAnsi="Times New Roman" w:cs="Times New Roman"/>
          </w:rPr>
          <w:t>ment.html?reference=EPRS_IDA(2017)603967</w:t>
        </w:r>
      </w:hyperlink>
    </w:p>
  </w:footnote>
  <w:footnote w:id="41">
    <w:p w:rsidR="0049469F" w:rsidRDefault="002523FD">
      <w:pPr>
        <w:pStyle w:val="FootnoteText"/>
        <w:tabs>
          <w:tab w:val="left" w:pos="284"/>
        </w:tabs>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t>The EU's shortcomings are evident from the almost complete absence of EU based companies in leading global technology companies.</w:t>
      </w:r>
    </w:p>
  </w:footnote>
  <w:footnote w:id="42">
    <w:p w:rsidR="0049469F" w:rsidRDefault="002523FD">
      <w:pPr>
        <w:pStyle w:val="FootnoteText"/>
        <w:ind w:left="284" w:hanging="284"/>
        <w:jc w:val="both"/>
        <w:rPr>
          <w:rFonts w:ascii="Times New Roman" w:hAnsi="Times New Roman" w:cs="Times New Roman"/>
          <w:i/>
        </w:rPr>
      </w:pPr>
      <w:r>
        <w:rPr>
          <w:rStyle w:val="FootnoteReference"/>
          <w:rFonts w:ascii="Times New Roman" w:hAnsi="Times New Roman" w:cs="Times New Roman"/>
        </w:rPr>
        <w:footnoteRef/>
      </w:r>
      <w:r>
        <w:rPr>
          <w:rFonts w:ascii="Times New Roman" w:hAnsi="Times New Roman" w:cs="Times New Roman"/>
        </w:rPr>
        <w:tab/>
        <w:t xml:space="preserve">High Level Group of Innovators in their report "Europe is back: accelerating </w:t>
      </w:r>
      <w:r>
        <w:rPr>
          <w:rFonts w:ascii="Times New Roman" w:hAnsi="Times New Roman" w:cs="Times New Roman"/>
        </w:rPr>
        <w:t>breakthrough innovation" (</w:t>
      </w:r>
      <w:hyperlink r:id="rId6" w:history="1">
        <w:r>
          <w:rPr>
            <w:rStyle w:val="Hyperlink"/>
            <w:rFonts w:ascii="Times New Roman" w:hAnsi="Times New Roman" w:cs="Times New Roman"/>
          </w:rPr>
          <w:t>https://ec.europa.eu/info/sites/info/files/eic_hlg_bz_web.pdf</w:t>
        </w:r>
      </w:hyperlink>
      <w:r>
        <w:rPr>
          <w:rFonts w:ascii="Times New Roman" w:hAnsi="Times New Roman" w:cs="Times New Roman"/>
        </w:rPr>
        <w:t xml:space="preserve"> ).</w:t>
      </w:r>
    </w:p>
  </w:footnote>
  <w:footnote w:id="43">
    <w:p w:rsidR="0049469F" w:rsidRDefault="002523FD">
      <w:pPr>
        <w:pStyle w:val="FootnoteText"/>
        <w:tabs>
          <w:tab w:val="left" w:pos="284"/>
        </w:tabs>
        <w:ind w:left="284" w:hanging="284"/>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rPr>
        <w:tab/>
        <w:t xml:space="preserve">Graphene is a Horizon 2020 Project launched by the EU in 2013. It is one of Europe's </w:t>
      </w:r>
      <w:r>
        <w:rPr>
          <w:rFonts w:ascii="Times New Roman" w:hAnsi="Times New Roman" w:cs="Times New Roman"/>
        </w:rPr>
        <w:t>biggest ever research initiatives that aims to take graphene (an ultra-thin carbon material that could replace silicon) and two-dimensional materials from laboratories to the European society. Human Brain is a Horizon 2020 Project launched in 2013, which s</w:t>
      </w:r>
      <w:r>
        <w:rPr>
          <w:rFonts w:ascii="Times New Roman" w:hAnsi="Times New Roman" w:cs="Times New Roman"/>
        </w:rPr>
        <w:t>trives to accelerate the fields of neurosciences, computing and brain related medicine. They are both facilitated by the European Development Fund investments, respectively in the Graphene Institute in Manchester and the European Institute for Neuromorphic</w:t>
      </w:r>
      <w:r>
        <w:rPr>
          <w:rFonts w:ascii="Times New Roman" w:hAnsi="Times New Roman" w:cs="Times New Roman"/>
        </w:rPr>
        <w:t xml:space="preserve"> Computing in Heidelberg.</w:t>
      </w:r>
    </w:p>
  </w:footnote>
  <w:footnote w:id="44">
    <w:p w:rsidR="0049469F" w:rsidRDefault="002523FD">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t>"Science Research and Innovation Performance of the EU 2018"(</w:t>
      </w:r>
      <w:hyperlink r:id="rId7" w:history="1">
        <w:r>
          <w:rPr>
            <w:rStyle w:val="Hyperlink"/>
            <w:rFonts w:ascii="Times New Roman" w:hAnsi="Times New Roman" w:cs="Times New Roman"/>
          </w:rPr>
          <w:t>https://ec.europa.eu/info/support-policy-making</w:t>
        </w:r>
        <w:r>
          <w:rPr>
            <w:rStyle w:val="Hyperlink"/>
            <w:rFonts w:ascii="Times New Roman" w:hAnsi="Times New Roman" w:cs="Times New Roman"/>
          </w:rPr>
          <w:t>-eu-and-horizon-2020-associated-countries/srip-report_en</w:t>
        </w:r>
      </w:hyperlink>
      <w:r>
        <w:rPr>
          <w:rFonts w:ascii="Times New Roman" w:hAnsi="Times New Roman" w:cs="Times New Roman"/>
        </w:rPr>
        <w:t xml:space="preserve">). </w:t>
      </w:r>
    </w:p>
  </w:footnote>
  <w:footnote w:id="45">
    <w:p w:rsidR="0049469F" w:rsidRDefault="002523FD">
      <w:pPr>
        <w:spacing w:after="0" w:line="240" w:lineRule="auto"/>
        <w:ind w:left="284" w:hanging="284"/>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ab/>
        <w:t>Source: European Commission, Directorate –General for Regional and Urban Policy.</w:t>
      </w:r>
    </w:p>
  </w:footnote>
  <w:footnote w:id="46">
    <w:p w:rsidR="0049469F" w:rsidRDefault="002523FD">
      <w:pPr>
        <w:pStyle w:val="FootnoteText"/>
        <w:tabs>
          <w:tab w:val="left" w:pos="284"/>
        </w:tabs>
        <w:ind w:left="284" w:hanging="284"/>
        <w:contextualSpacing/>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t>COM(2017) 376.</w:t>
      </w:r>
    </w:p>
  </w:footnote>
  <w:footnote w:id="47">
    <w:p w:rsidR="0049469F" w:rsidRDefault="002523FD">
      <w:pPr>
        <w:pStyle w:val="FootnoteText"/>
        <w:tabs>
          <w:tab w:val="left" w:pos="284"/>
        </w:tabs>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t>Source: Data from the Digital Scoreboard, European Commission.</w:t>
      </w:r>
    </w:p>
  </w:footnote>
  <w:footnote w:id="48">
    <w:p w:rsidR="0049469F" w:rsidRDefault="002523FD">
      <w:pPr>
        <w:pStyle w:val="FootnoteText"/>
        <w:tabs>
          <w:tab w:val="left" w:pos="284"/>
        </w:tabs>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r>
      <w:hyperlink r:id="rId8" w:history="1">
        <w:r>
          <w:rPr>
            <w:rStyle w:val="Hyperlink"/>
            <w:rFonts w:ascii="Times New Roman" w:hAnsi="Times New Roman" w:cs="Times New Roman"/>
          </w:rPr>
          <w:t>https://heinnovate.eu/en</w:t>
        </w:r>
      </w:hyperlink>
      <w:r>
        <w:rPr>
          <w:rFonts w:ascii="Times New Roman" w:hAnsi="Times New Roman" w:cs="Times New Roman"/>
        </w:rPr>
        <w:t xml:space="preserve"> </w:t>
      </w:r>
    </w:p>
  </w:footnote>
  <w:footnote w:id="49">
    <w:p w:rsidR="0049469F" w:rsidRDefault="002523FD">
      <w:pPr>
        <w:pStyle w:val="FootnoteText"/>
        <w:tabs>
          <w:tab w:val="left" w:pos="284"/>
        </w:tabs>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r>
      <w:hyperlink r:id="rId9" w:history="1">
        <w:r>
          <w:rPr>
            <w:rStyle w:val="Hyperlink"/>
            <w:rFonts w:ascii="Times New Roman" w:hAnsi="Times New Roman" w:cs="Times New Roman"/>
          </w:rPr>
          <w:t>https://ec.europa.eu/commission/publications/eu-leaders-meeting-education-culture_en</w:t>
        </w:r>
      </w:hyperlink>
    </w:p>
  </w:footnote>
  <w:footnote w:id="50">
    <w:p w:rsidR="0049469F" w:rsidRDefault="002523FD">
      <w:pPr>
        <w:pStyle w:val="FootnoteText"/>
        <w:tabs>
          <w:tab w:val="left" w:pos="284"/>
        </w:tabs>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t>E</w:t>
      </w:r>
      <w:r>
        <w:rPr>
          <w:rFonts w:ascii="Times New Roman" w:hAnsi="Times New Roman" w:cs="Times New Roman"/>
        </w:rPr>
        <w:t>uropean Council of December 2017. In response, the Commission presented on 17 January 2018 a first package of measures addressing key competences, digital skills as well as common values and inclusive education. A second package on facilitating recognition</w:t>
      </w:r>
      <w:r>
        <w:rPr>
          <w:rFonts w:ascii="Times New Roman" w:hAnsi="Times New Roman" w:cs="Times New Roman"/>
        </w:rPr>
        <w:t>, boost language learning, increase quality of early childhood education and care and present progress on European universities and the EU student card, has been presented on 16 May 2018 with the COM (2018) 267-272.</w:t>
      </w:r>
    </w:p>
  </w:footnote>
  <w:footnote w:id="51">
    <w:p w:rsidR="0049469F" w:rsidRDefault="002523FD">
      <w:pPr>
        <w:pStyle w:val="FootnoteText"/>
        <w:tabs>
          <w:tab w:val="left" w:pos="284"/>
        </w:tabs>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t>Work on the "European Universities" ha</w:t>
      </w:r>
      <w:r>
        <w:rPr>
          <w:rFonts w:ascii="Times New Roman" w:hAnsi="Times New Roman" w:cs="Times New Roman"/>
        </w:rPr>
        <w:t>s progressed fast since the European Council Conclusions and a first call for pilot projects will already be published next October in the framework of Erasmus+.</w:t>
      </w:r>
    </w:p>
  </w:footnote>
  <w:footnote w:id="52">
    <w:p w:rsidR="0049469F" w:rsidRDefault="002523FD">
      <w:pPr>
        <w:pStyle w:val="FootnoteText"/>
        <w:tabs>
          <w:tab w:val="left" w:pos="284"/>
        </w:tabs>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r>
      <w:hyperlink r:id="rId10" w:history="1">
        <w:r>
          <w:rPr>
            <w:rStyle w:val="Hyperlink"/>
            <w:rFonts w:ascii="Times New Roman" w:hAnsi="Times New Roman" w:cs="Times New Roman"/>
          </w:rPr>
          <w:t>https://ec.europa.eu/research/openscience/index.cfm?pg=home&amp;section=monitor</w:t>
        </w:r>
      </w:hyperlink>
    </w:p>
  </w:footnote>
  <w:footnote w:id="53">
    <w:p w:rsidR="0049469F" w:rsidRDefault="002523FD">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t>A package of incentives shall be put in place, recognising existing successful schemes and supporting new ones that develop digital and entrepreneurial skills, knowledge transfer</w:t>
      </w:r>
      <w:r>
        <w:rPr>
          <w:rFonts w:ascii="Times New Roman" w:hAnsi="Times New Roman" w:cs="Times New Roman"/>
        </w:rPr>
        <w:t>, innovative curricula, career incentives, cross-sectorial mobility, and trans-disciplinarity.</w:t>
      </w:r>
    </w:p>
  </w:footnote>
  <w:footnote w:id="54">
    <w:p w:rsidR="0049469F" w:rsidRDefault="002523FD">
      <w:pPr>
        <w:pStyle w:val="FootnoteText"/>
        <w:tabs>
          <w:tab w:val="left" w:pos="284"/>
        </w:tabs>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ab/>
        <w:t>The 'HEInnovate' Initiative enables universities to assess their entrepreneurial capabilities and supports Member States in enhancing them.</w:t>
      </w:r>
    </w:p>
  </w:footnote>
  <w:footnote w:id="55">
    <w:p w:rsidR="0049469F" w:rsidRDefault="002523FD">
      <w:pPr>
        <w:pStyle w:val="FootnoteText"/>
        <w:tabs>
          <w:tab w:val="left" w:pos="284"/>
        </w:tabs>
        <w:ind w:left="284" w:hanging="284"/>
        <w:jc w:val="both"/>
        <w:rPr>
          <w:rFonts w:ascii="Times New Roman" w:hAnsi="Times New Roman" w:cs="Times New Roman"/>
          <w:lang w:val="pt-PT"/>
        </w:rPr>
      </w:pPr>
      <w:r>
        <w:rPr>
          <w:rStyle w:val="FootnoteReference"/>
          <w:rFonts w:ascii="Times New Roman" w:hAnsi="Times New Roman" w:cs="Times New Roman"/>
        </w:rPr>
        <w:footnoteRef/>
      </w:r>
      <w:r>
        <w:rPr>
          <w:rFonts w:ascii="Times New Roman" w:hAnsi="Times New Roman" w:cs="Times New Roman"/>
          <w:lang w:val="pt-PT"/>
        </w:rPr>
        <w:tab/>
        <w:t xml:space="preserve">COM(2016) 381. </w:t>
      </w:r>
    </w:p>
  </w:footnote>
  <w:footnote w:id="56">
    <w:p w:rsidR="0049469F" w:rsidRDefault="002523FD">
      <w:pPr>
        <w:pStyle w:val="FootnoteText"/>
        <w:tabs>
          <w:tab w:val="left" w:pos="284"/>
        </w:tabs>
        <w:ind w:left="284" w:hanging="284"/>
        <w:jc w:val="both"/>
        <w:rPr>
          <w:rFonts w:ascii="Times New Roman" w:hAnsi="Times New Roman" w:cs="Times New Roman"/>
          <w:lang w:val="pt-PT"/>
        </w:rPr>
      </w:pPr>
      <w:r>
        <w:rPr>
          <w:rStyle w:val="FootnoteReference"/>
          <w:rFonts w:ascii="Times New Roman" w:hAnsi="Times New Roman" w:cs="Times New Roman"/>
        </w:rPr>
        <w:footnoteRef/>
      </w:r>
      <w:r>
        <w:rPr>
          <w:rFonts w:ascii="Times New Roman" w:hAnsi="Times New Roman" w:cs="Times New Roman"/>
          <w:lang w:val="pt-PT"/>
        </w:rPr>
        <w:tab/>
      </w:r>
      <w:hyperlink r:id="rId11" w:history="1">
        <w:r>
          <w:rPr>
            <w:rStyle w:val="Hyperlink"/>
            <w:rFonts w:ascii="Times New Roman" w:hAnsi="Times New Roman" w:cs="Times New Roman"/>
            <w:lang w:val="pt-PT"/>
          </w:rPr>
          <w:t>http://ec.europa.eu/social/main.jsp?catId=1415&amp;langId=en</w:t>
        </w:r>
      </w:hyperlink>
      <w:r>
        <w:rPr>
          <w:rFonts w:ascii="Times New Roman" w:hAnsi="Times New Roman" w:cs="Times New Roman"/>
          <w:lang w:val="pt-PT"/>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3FD" w:rsidRPr="002523FD" w:rsidRDefault="002523FD" w:rsidP="002523F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3FD" w:rsidRPr="002523FD" w:rsidRDefault="002523FD" w:rsidP="002523FD">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3FD" w:rsidRPr="002523FD" w:rsidRDefault="002523FD" w:rsidP="002523FD">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69F" w:rsidRDefault="0049469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69F" w:rsidRDefault="0049469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69F" w:rsidRDefault="004946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2415F"/>
    <w:multiLevelType w:val="hybridMultilevel"/>
    <w:tmpl w:val="C8B09DE8"/>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85D0A27"/>
    <w:multiLevelType w:val="hybridMultilevel"/>
    <w:tmpl w:val="53543E90"/>
    <w:lvl w:ilvl="0" w:tplc="94E47F1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FCA6AFF"/>
    <w:multiLevelType w:val="multilevel"/>
    <w:tmpl w:val="19B49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8D7F98"/>
    <w:multiLevelType w:val="hybridMultilevel"/>
    <w:tmpl w:val="9940D3F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
    <w:nsid w:val="17927861"/>
    <w:multiLevelType w:val="hybridMultilevel"/>
    <w:tmpl w:val="C37A9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955158D"/>
    <w:multiLevelType w:val="hybridMultilevel"/>
    <w:tmpl w:val="F2380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BF8299D"/>
    <w:multiLevelType w:val="hybridMultilevel"/>
    <w:tmpl w:val="481E3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E0C79EA"/>
    <w:multiLevelType w:val="hybridMultilevel"/>
    <w:tmpl w:val="BA7A5E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460378E"/>
    <w:multiLevelType w:val="hybridMultilevel"/>
    <w:tmpl w:val="04B26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BC70E0"/>
    <w:multiLevelType w:val="multilevel"/>
    <w:tmpl w:val="38C41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5F76EF"/>
    <w:multiLevelType w:val="hybridMultilevel"/>
    <w:tmpl w:val="DDB63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EF63DBE"/>
    <w:multiLevelType w:val="hybridMultilevel"/>
    <w:tmpl w:val="E3224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6B87707"/>
    <w:multiLevelType w:val="hybridMultilevel"/>
    <w:tmpl w:val="1E9E18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7AE59B7"/>
    <w:multiLevelType w:val="hybridMultilevel"/>
    <w:tmpl w:val="3A2AA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B8E6B86"/>
    <w:multiLevelType w:val="hybridMultilevel"/>
    <w:tmpl w:val="69347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5D81F84"/>
    <w:multiLevelType w:val="hybridMultilevel"/>
    <w:tmpl w:val="71AE92F4"/>
    <w:lvl w:ilvl="0" w:tplc="87C4D08E">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463A6512"/>
    <w:multiLevelType w:val="hybridMultilevel"/>
    <w:tmpl w:val="7E305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B8F6B91"/>
    <w:multiLevelType w:val="hybridMultilevel"/>
    <w:tmpl w:val="D99A9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DC67BEF"/>
    <w:multiLevelType w:val="hybridMultilevel"/>
    <w:tmpl w:val="1936A688"/>
    <w:lvl w:ilvl="0" w:tplc="7AA2142C">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F8556DB"/>
    <w:multiLevelType w:val="hybridMultilevel"/>
    <w:tmpl w:val="A62EE10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0772D59"/>
    <w:multiLevelType w:val="hybridMultilevel"/>
    <w:tmpl w:val="CAE0ABA0"/>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524D1B5A"/>
    <w:multiLevelType w:val="hybridMultilevel"/>
    <w:tmpl w:val="9940D3F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2">
    <w:nsid w:val="52513A43"/>
    <w:multiLevelType w:val="hybridMultilevel"/>
    <w:tmpl w:val="DDB069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5F85DB9"/>
    <w:multiLevelType w:val="multilevel"/>
    <w:tmpl w:val="7BB09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7C61E58"/>
    <w:multiLevelType w:val="hybridMultilevel"/>
    <w:tmpl w:val="A462AE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646E1288"/>
    <w:multiLevelType w:val="hybridMultilevel"/>
    <w:tmpl w:val="501E2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59A0B3A"/>
    <w:multiLevelType w:val="hybridMultilevel"/>
    <w:tmpl w:val="DB2A8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5D7287E"/>
    <w:multiLevelType w:val="hybridMultilevel"/>
    <w:tmpl w:val="0E147DC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C071001"/>
    <w:multiLevelType w:val="hybridMultilevel"/>
    <w:tmpl w:val="8A627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F322E72"/>
    <w:multiLevelType w:val="multilevel"/>
    <w:tmpl w:val="F92ED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29B6E7E"/>
    <w:multiLevelType w:val="hybridMultilevel"/>
    <w:tmpl w:val="667ABAE0"/>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31">
    <w:nsid w:val="79AA43BD"/>
    <w:multiLevelType w:val="hybridMultilevel"/>
    <w:tmpl w:val="E8C2EB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7BB05D5B"/>
    <w:multiLevelType w:val="hybridMultilevel"/>
    <w:tmpl w:val="0F92C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32"/>
  </w:num>
  <w:num w:numId="4">
    <w:abstractNumId w:val="6"/>
  </w:num>
  <w:num w:numId="5">
    <w:abstractNumId w:val="30"/>
  </w:num>
  <w:num w:numId="6">
    <w:abstractNumId w:val="10"/>
  </w:num>
  <w:num w:numId="7">
    <w:abstractNumId w:val="25"/>
  </w:num>
  <w:num w:numId="8">
    <w:abstractNumId w:val="4"/>
  </w:num>
  <w:num w:numId="9">
    <w:abstractNumId w:val="24"/>
  </w:num>
  <w:num w:numId="10">
    <w:abstractNumId w:val="27"/>
  </w:num>
  <w:num w:numId="11">
    <w:abstractNumId w:val="29"/>
  </w:num>
  <w:num w:numId="12">
    <w:abstractNumId w:val="28"/>
  </w:num>
  <w:num w:numId="13">
    <w:abstractNumId w:val="26"/>
  </w:num>
  <w:num w:numId="14">
    <w:abstractNumId w:val="17"/>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5"/>
  </w:num>
  <w:num w:numId="19">
    <w:abstractNumId w:val="3"/>
  </w:num>
  <w:num w:numId="20">
    <w:abstractNumId w:val="16"/>
  </w:num>
  <w:num w:numId="21">
    <w:abstractNumId w:val="14"/>
  </w:num>
  <w:num w:numId="22">
    <w:abstractNumId w:val="13"/>
  </w:num>
  <w:num w:numId="23">
    <w:abstractNumId w:val="2"/>
  </w:num>
  <w:num w:numId="24">
    <w:abstractNumId w:val="8"/>
  </w:num>
  <w:num w:numId="25">
    <w:abstractNumId w:val="19"/>
  </w:num>
  <w:num w:numId="26">
    <w:abstractNumId w:val="0"/>
    <w:lvlOverride w:ilvl="0">
      <w:startOverride w:val="1"/>
    </w:lvlOverride>
    <w:lvlOverride w:ilvl="1"/>
    <w:lvlOverride w:ilvl="2"/>
    <w:lvlOverride w:ilvl="3"/>
    <w:lvlOverride w:ilvl="4"/>
    <w:lvlOverride w:ilvl="5"/>
    <w:lvlOverride w:ilvl="6"/>
    <w:lvlOverride w:ilvl="7"/>
    <w:lvlOverride w:ilvl="8"/>
  </w:num>
  <w:num w:numId="27">
    <w:abstractNumId w:val="0"/>
  </w:num>
  <w:num w:numId="28">
    <w:abstractNumId w:val="22"/>
  </w:num>
  <w:num w:numId="29">
    <w:abstractNumId w:val="20"/>
  </w:num>
  <w:num w:numId="30">
    <w:abstractNumId w:val="1"/>
  </w:num>
  <w:num w:numId="31">
    <w:abstractNumId w:val="31"/>
  </w:num>
  <w:num w:numId="32">
    <w:abstractNumId w:val="23"/>
  </w:num>
  <w:num w:numId="33">
    <w:abstractNumId w:val="11"/>
  </w:num>
  <w:num w:numId="34">
    <w:abstractNumId w:val="12"/>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hideSpellingErrors/>
  <w:hideGrammaticalErrors/>
  <w:defaultTabStop w:val="720"/>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B1A86269-A6C4-4F00-BEA3-504BF818C259"/>
    <w:docVar w:name="LW_COVERPAGE_TYPE" w:val="1"/>
    <w:docVar w:name="LW_CROSSREFERENCE" w:val="&lt;UNUSED&gt;"/>
    <w:docVar w:name="LW_DocType" w:val="NORMAL"/>
    <w:docVar w:name="LW_EMISSION" w:val="15.5.2018"/>
    <w:docVar w:name="LW_EMISSION_ISODATE" w:val="2018-05-15"/>
    <w:docVar w:name="LW_EMISSION_LOCATION" w:val="BRX"/>
    <w:docVar w:name="LW_EMISSION_PREFIX" w:val="Brussels,"/>
    <w:docVar w:name="LW_EMISSION_SUFFIX" w:val="&lt;EMPTY&gt;"/>
    <w:docVar w:name="LW_ID_DOCTYPE_NONLW" w:val="CP-009"/>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18) 30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A renewed European Agenda for Research and Innovation - Europe's chance to shape its future_x000b__x000b_&lt;FMT:Italic&gt;The European Commission's contribution to the Informal EU Leaders' meeting on innovation in Sofia on 16 May 2018&lt;/FMT&gt;"/>
    <w:docVar w:name="LW_TYPE.DOC.CP" w:val="COMMUNICATION FROM THE COMMISSION"/>
    <w:docVar w:name="LW_TYPE.DOC.CP.USERTEXT" w:val="TO THE EUROPEAN PARLIAMENT, THE EUROPEAN COUNCIL, THE COUNCIL, THE EUROPEAN ECONOMIC AND SOCIAL COMMITTEE AND THE COMMITTEE OF THE REGIONS"/>
  </w:docVars>
  <w:rsids>
    <w:rsidRoot w:val="0049469F"/>
    <w:rsid w:val="002523FD"/>
    <w:rsid w:val="004946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iche List Paragraph,Task Body,Viñetas (Inicio Parrafo),3 Txt tabla,Zerrenda-paragrafoa,Lista multicolor - Énfasis 11,Paragrafo elenco"/>
    <w:basedOn w:val="Normal"/>
    <w:link w:val="ListParagraphChar"/>
    <w:uiPriority w:val="34"/>
    <w:qFormat/>
    <w:pPr>
      <w:ind w:left="720"/>
      <w:contextualSpacing/>
    </w:pPr>
  </w:style>
  <w:style w:type="paragraph" w:styleId="FootnoteText">
    <w:name w:val="footnote text"/>
    <w:aliases w:val="Char,Fußnote,Carattere,fn,Footnotes,Footnote ak,Footnote Text Char Char,fn Char Char,footnote text Char Char,Footnotes Char Char,Footnote ak Char Char,fn Char1,footnote text Char1,Footnotes Char1,ft,Footnote Text_EP-LC,Schriftart: 9 pt,o,f"/>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 Char Char,fn Char Char Char,footnote text Char Char Char,Footnotes Char Char Char,Footnote ak Char Char Char,fn Char1 Char,ft Char,o Char"/>
    <w:basedOn w:val="DefaultParagraphFont"/>
    <w:link w:val="FootnoteText"/>
    <w:uiPriority w:val="99"/>
    <w:qFormat/>
    <w:rPr>
      <w:sz w:val="20"/>
      <w:szCs w:val="20"/>
    </w:rPr>
  </w:style>
  <w:style w:type="character" w:styleId="FootnoteReference">
    <w:name w:val="footnote reference"/>
    <w:aliases w:val="Footnote Reference Superscript,BVI fnr,Footnote symbol,Footnote reference number,note TESI,Appel note de bas de p,Nota,SUPERS,Footnote number,EN Footnote Reference,-E Fußnotenzeichen,number Char Char,number,Ref,styl,styli,fr, BVI fnr"/>
    <w:basedOn w:val="DefaultParagraphFont"/>
    <w:link w:val="CharCharChar1"/>
    <w:uiPriority w:val="99"/>
    <w:unhideWhenUsed/>
    <w:qFormat/>
    <w:rPr>
      <w:vertAlign w:val="superscript"/>
    </w:r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fault">
    <w:name w:val="Default"/>
    <w:pPr>
      <w:autoSpaceDE w:val="0"/>
      <w:autoSpaceDN w:val="0"/>
      <w:adjustRightInd w:val="0"/>
      <w:spacing w:after="0" w:line="240" w:lineRule="auto"/>
    </w:pPr>
    <w:rPr>
      <w:rFonts w:ascii="EC Square Sans Pro" w:hAnsi="EC Square Sans Pro" w:cs="EC Square Sans Pro"/>
      <w:color w:val="000000"/>
      <w:sz w:val="24"/>
      <w:szCs w:val="24"/>
    </w:rPr>
  </w:style>
  <w:style w:type="paragraph" w:customStyle="1" w:styleId="CharCharChar1">
    <w:name w:val="Char Char Char1"/>
    <w:basedOn w:val="Normal"/>
    <w:link w:val="FootnoteReference"/>
    <w:uiPriority w:val="99"/>
    <w:pPr>
      <w:spacing w:after="160" w:line="240" w:lineRule="exact"/>
      <w:jc w:val="both"/>
    </w:pPr>
    <w:rPr>
      <w:vertAlign w:val="superscript"/>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paragraph" w:styleId="BodyText">
    <w:name w:val="Body Text"/>
    <w:basedOn w:val="Normal"/>
    <w:link w:val="BodyTextChar"/>
    <w:uiPriority w:val="99"/>
    <w:semiHidden/>
    <w:unhideWhenUsed/>
    <w:pPr>
      <w:spacing w:after="120" w:line="240" w:lineRule="auto"/>
      <w:jc w:val="both"/>
    </w:pPr>
    <w:rPr>
      <w:rFonts w:ascii="Times New Roman" w:eastAsia="Calibri" w:hAnsi="Times New Roman" w:cs="Times New Roman"/>
      <w:sz w:val="24"/>
      <w:szCs w:val="24"/>
    </w:rPr>
  </w:style>
  <w:style w:type="character" w:customStyle="1" w:styleId="BodyTextChar">
    <w:name w:val="Body Text Char"/>
    <w:basedOn w:val="DefaultParagraphFont"/>
    <w:link w:val="BodyText"/>
    <w:uiPriority w:val="99"/>
    <w:semiHidden/>
    <w:rPr>
      <w:rFonts w:ascii="Times New Roman" w:eastAsia="Calibri" w:hAnsi="Times New Roman" w:cs="Times New Roman"/>
      <w:sz w:val="24"/>
      <w:szCs w:val="24"/>
    </w:rPr>
  </w:style>
  <w:style w:type="character" w:customStyle="1" w:styleId="ListParagraphChar">
    <w:name w:val="List Paragraph Char"/>
    <w:aliases w:val="Fiche List Paragraph Char,Task Body Char,Viñetas (Inicio Parrafo) Char,3 Txt tabla Char,Zerrenda-paragrafoa Char,Lista multicolor - Énfasis 11 Char,Paragrafo elenco Char"/>
    <w:link w:val="ListParagraph"/>
    <w:uiPriority w:val="34"/>
    <w:locked/>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qFormat/>
    <w:pPr>
      <w:spacing w:after="160" w:line="240" w:lineRule="exact"/>
      <w:jc w:val="both"/>
    </w:pPr>
    <w:rPr>
      <w:vertAlign w:val="superscript"/>
    </w:rPr>
  </w:style>
  <w:style w:type="paragraph" w:customStyle="1" w:styleId="Briefingtext">
    <w:name w:val="Briefing text"/>
    <w:basedOn w:val="Normal"/>
    <w:link w:val="BriefingtextChar"/>
    <w:pPr>
      <w:spacing w:after="240" w:line="240" w:lineRule="auto"/>
      <w:jc w:val="both"/>
    </w:pPr>
    <w:rPr>
      <w:rFonts w:ascii="Arial" w:eastAsia="Times New Roman" w:hAnsi="Arial" w:cs="Arial"/>
      <w:szCs w:val="24"/>
    </w:rPr>
  </w:style>
  <w:style w:type="character" w:customStyle="1" w:styleId="BriefingtextChar">
    <w:name w:val="Briefing text Char"/>
    <w:link w:val="Briefingtext"/>
    <w:rPr>
      <w:rFonts w:ascii="Arial" w:eastAsia="Times New Roman" w:hAnsi="Arial" w:cs="Arial"/>
      <w:szCs w:val="24"/>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table" w:styleId="TableGrid">
    <w:name w:val="Table Grid"/>
    <w:basedOn w:val="TableNormal"/>
    <w:uiPriority w:val="59"/>
    <w:unhideWhenUs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Pa4">
    <w:name w:val="Pa4"/>
    <w:basedOn w:val="Default"/>
    <w:next w:val="Default"/>
    <w:uiPriority w:val="99"/>
    <w:pPr>
      <w:spacing w:line="211" w:lineRule="atLeast"/>
    </w:pPr>
    <w:rPr>
      <w:rFonts w:cstheme="minorBidi"/>
      <w:color w:val="auto"/>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FollowedHyperlink">
    <w:name w:val="FollowedHyperlink"/>
    <w:basedOn w:val="DefaultParagraphFont"/>
    <w:uiPriority w:val="99"/>
    <w:semiHidden/>
    <w:unhideWhenUse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iche List Paragraph,Task Body,Viñetas (Inicio Parrafo),3 Txt tabla,Zerrenda-paragrafoa,Lista multicolor - Énfasis 11,Paragrafo elenco"/>
    <w:basedOn w:val="Normal"/>
    <w:link w:val="ListParagraphChar"/>
    <w:uiPriority w:val="34"/>
    <w:qFormat/>
    <w:pPr>
      <w:ind w:left="720"/>
      <w:contextualSpacing/>
    </w:pPr>
  </w:style>
  <w:style w:type="paragraph" w:styleId="FootnoteText">
    <w:name w:val="footnote text"/>
    <w:aliases w:val="Char,Fußnote,Carattere,fn,Footnotes,Footnote ak,Footnote Text Char Char,fn Char Char,footnote text Char Char,Footnotes Char Char,Footnote ak Char Char,fn Char1,footnote text Char1,Footnotes Char1,ft,Footnote Text_EP-LC,Schriftart: 9 pt,o,f"/>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 Char Char,fn Char Char Char,footnote text Char Char Char,Footnotes Char Char Char,Footnote ak Char Char Char,fn Char1 Char,ft Char,o Char"/>
    <w:basedOn w:val="DefaultParagraphFont"/>
    <w:link w:val="FootnoteText"/>
    <w:uiPriority w:val="99"/>
    <w:qFormat/>
    <w:rPr>
      <w:sz w:val="20"/>
      <w:szCs w:val="20"/>
    </w:rPr>
  </w:style>
  <w:style w:type="character" w:styleId="FootnoteReference">
    <w:name w:val="footnote reference"/>
    <w:aliases w:val="Footnote Reference Superscript,BVI fnr,Footnote symbol,Footnote reference number,note TESI,Appel note de bas de p,Nota,SUPERS,Footnote number,EN Footnote Reference,-E Fußnotenzeichen,number Char Char,number,Ref,styl,styli,fr, BVI fnr"/>
    <w:basedOn w:val="DefaultParagraphFont"/>
    <w:link w:val="CharCharChar1"/>
    <w:uiPriority w:val="99"/>
    <w:unhideWhenUsed/>
    <w:qFormat/>
    <w:rPr>
      <w:vertAlign w:val="superscript"/>
    </w:r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fault">
    <w:name w:val="Default"/>
    <w:pPr>
      <w:autoSpaceDE w:val="0"/>
      <w:autoSpaceDN w:val="0"/>
      <w:adjustRightInd w:val="0"/>
      <w:spacing w:after="0" w:line="240" w:lineRule="auto"/>
    </w:pPr>
    <w:rPr>
      <w:rFonts w:ascii="EC Square Sans Pro" w:hAnsi="EC Square Sans Pro" w:cs="EC Square Sans Pro"/>
      <w:color w:val="000000"/>
      <w:sz w:val="24"/>
      <w:szCs w:val="24"/>
    </w:rPr>
  </w:style>
  <w:style w:type="paragraph" w:customStyle="1" w:styleId="CharCharChar1">
    <w:name w:val="Char Char Char1"/>
    <w:basedOn w:val="Normal"/>
    <w:link w:val="FootnoteReference"/>
    <w:uiPriority w:val="99"/>
    <w:pPr>
      <w:spacing w:after="160" w:line="240" w:lineRule="exact"/>
      <w:jc w:val="both"/>
    </w:pPr>
    <w:rPr>
      <w:vertAlign w:val="superscript"/>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paragraph" w:styleId="BodyText">
    <w:name w:val="Body Text"/>
    <w:basedOn w:val="Normal"/>
    <w:link w:val="BodyTextChar"/>
    <w:uiPriority w:val="99"/>
    <w:semiHidden/>
    <w:unhideWhenUsed/>
    <w:pPr>
      <w:spacing w:after="120" w:line="240" w:lineRule="auto"/>
      <w:jc w:val="both"/>
    </w:pPr>
    <w:rPr>
      <w:rFonts w:ascii="Times New Roman" w:eastAsia="Calibri" w:hAnsi="Times New Roman" w:cs="Times New Roman"/>
      <w:sz w:val="24"/>
      <w:szCs w:val="24"/>
    </w:rPr>
  </w:style>
  <w:style w:type="character" w:customStyle="1" w:styleId="BodyTextChar">
    <w:name w:val="Body Text Char"/>
    <w:basedOn w:val="DefaultParagraphFont"/>
    <w:link w:val="BodyText"/>
    <w:uiPriority w:val="99"/>
    <w:semiHidden/>
    <w:rPr>
      <w:rFonts w:ascii="Times New Roman" w:eastAsia="Calibri" w:hAnsi="Times New Roman" w:cs="Times New Roman"/>
      <w:sz w:val="24"/>
      <w:szCs w:val="24"/>
    </w:rPr>
  </w:style>
  <w:style w:type="character" w:customStyle="1" w:styleId="ListParagraphChar">
    <w:name w:val="List Paragraph Char"/>
    <w:aliases w:val="Fiche List Paragraph Char,Task Body Char,Viñetas (Inicio Parrafo) Char,3 Txt tabla Char,Zerrenda-paragrafoa Char,Lista multicolor - Énfasis 11 Char,Paragrafo elenco Char"/>
    <w:link w:val="ListParagraph"/>
    <w:uiPriority w:val="34"/>
    <w:locked/>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qFormat/>
    <w:pPr>
      <w:spacing w:after="160" w:line="240" w:lineRule="exact"/>
      <w:jc w:val="both"/>
    </w:pPr>
    <w:rPr>
      <w:vertAlign w:val="superscript"/>
    </w:rPr>
  </w:style>
  <w:style w:type="paragraph" w:customStyle="1" w:styleId="Briefingtext">
    <w:name w:val="Briefing text"/>
    <w:basedOn w:val="Normal"/>
    <w:link w:val="BriefingtextChar"/>
    <w:pPr>
      <w:spacing w:after="240" w:line="240" w:lineRule="auto"/>
      <w:jc w:val="both"/>
    </w:pPr>
    <w:rPr>
      <w:rFonts w:ascii="Arial" w:eastAsia="Times New Roman" w:hAnsi="Arial" w:cs="Arial"/>
      <w:szCs w:val="24"/>
    </w:rPr>
  </w:style>
  <w:style w:type="character" w:customStyle="1" w:styleId="BriefingtextChar">
    <w:name w:val="Briefing text Char"/>
    <w:link w:val="Briefingtext"/>
    <w:rPr>
      <w:rFonts w:ascii="Arial" w:eastAsia="Times New Roman" w:hAnsi="Arial" w:cs="Arial"/>
      <w:szCs w:val="24"/>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table" w:styleId="TableGrid">
    <w:name w:val="Table Grid"/>
    <w:basedOn w:val="TableNormal"/>
    <w:uiPriority w:val="59"/>
    <w:unhideWhenUs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Pa4">
    <w:name w:val="Pa4"/>
    <w:basedOn w:val="Default"/>
    <w:next w:val="Default"/>
    <w:uiPriority w:val="99"/>
    <w:pPr>
      <w:spacing w:line="211" w:lineRule="atLeast"/>
    </w:pPr>
    <w:rPr>
      <w:rFonts w:cstheme="minorBidi"/>
      <w:color w:val="auto"/>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FollowedHyperlink">
    <w:name w:val="FollowedHyperlink"/>
    <w:basedOn w:val="DefaultParagraphFont"/>
    <w:uiPriority w:val="99"/>
    <w:semiHidden/>
    <w:unhideWhenUs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341346">
      <w:bodyDiv w:val="1"/>
      <w:marLeft w:val="0"/>
      <w:marRight w:val="0"/>
      <w:marTop w:val="0"/>
      <w:marBottom w:val="0"/>
      <w:divBdr>
        <w:top w:val="none" w:sz="0" w:space="0" w:color="auto"/>
        <w:left w:val="none" w:sz="0" w:space="0" w:color="auto"/>
        <w:bottom w:val="none" w:sz="0" w:space="0" w:color="auto"/>
        <w:right w:val="none" w:sz="0" w:space="0" w:color="auto"/>
      </w:divBdr>
    </w:div>
    <w:div w:id="415636836">
      <w:bodyDiv w:val="1"/>
      <w:marLeft w:val="0"/>
      <w:marRight w:val="0"/>
      <w:marTop w:val="0"/>
      <w:marBottom w:val="0"/>
      <w:divBdr>
        <w:top w:val="none" w:sz="0" w:space="0" w:color="auto"/>
        <w:left w:val="none" w:sz="0" w:space="0" w:color="auto"/>
        <w:bottom w:val="none" w:sz="0" w:space="0" w:color="auto"/>
        <w:right w:val="none" w:sz="0" w:space="0" w:color="auto"/>
      </w:divBdr>
    </w:div>
    <w:div w:id="424498189">
      <w:bodyDiv w:val="1"/>
      <w:marLeft w:val="0"/>
      <w:marRight w:val="0"/>
      <w:marTop w:val="0"/>
      <w:marBottom w:val="0"/>
      <w:divBdr>
        <w:top w:val="none" w:sz="0" w:space="0" w:color="auto"/>
        <w:left w:val="none" w:sz="0" w:space="0" w:color="auto"/>
        <w:bottom w:val="none" w:sz="0" w:space="0" w:color="auto"/>
        <w:right w:val="none" w:sz="0" w:space="0" w:color="auto"/>
      </w:divBdr>
    </w:div>
    <w:div w:id="430472862">
      <w:bodyDiv w:val="1"/>
      <w:marLeft w:val="0"/>
      <w:marRight w:val="0"/>
      <w:marTop w:val="0"/>
      <w:marBottom w:val="0"/>
      <w:divBdr>
        <w:top w:val="none" w:sz="0" w:space="0" w:color="auto"/>
        <w:left w:val="none" w:sz="0" w:space="0" w:color="auto"/>
        <w:bottom w:val="none" w:sz="0" w:space="0" w:color="auto"/>
        <w:right w:val="none" w:sz="0" w:space="0" w:color="auto"/>
      </w:divBdr>
    </w:div>
    <w:div w:id="467477679">
      <w:bodyDiv w:val="1"/>
      <w:marLeft w:val="0"/>
      <w:marRight w:val="0"/>
      <w:marTop w:val="0"/>
      <w:marBottom w:val="0"/>
      <w:divBdr>
        <w:top w:val="none" w:sz="0" w:space="0" w:color="auto"/>
        <w:left w:val="none" w:sz="0" w:space="0" w:color="auto"/>
        <w:bottom w:val="none" w:sz="0" w:space="0" w:color="auto"/>
        <w:right w:val="none" w:sz="0" w:space="0" w:color="auto"/>
      </w:divBdr>
    </w:div>
    <w:div w:id="593586381">
      <w:bodyDiv w:val="1"/>
      <w:marLeft w:val="0"/>
      <w:marRight w:val="0"/>
      <w:marTop w:val="0"/>
      <w:marBottom w:val="0"/>
      <w:divBdr>
        <w:top w:val="none" w:sz="0" w:space="0" w:color="auto"/>
        <w:left w:val="none" w:sz="0" w:space="0" w:color="auto"/>
        <w:bottom w:val="none" w:sz="0" w:space="0" w:color="auto"/>
        <w:right w:val="none" w:sz="0" w:space="0" w:color="auto"/>
      </w:divBdr>
    </w:div>
    <w:div w:id="705637187">
      <w:bodyDiv w:val="1"/>
      <w:marLeft w:val="0"/>
      <w:marRight w:val="0"/>
      <w:marTop w:val="0"/>
      <w:marBottom w:val="0"/>
      <w:divBdr>
        <w:top w:val="none" w:sz="0" w:space="0" w:color="auto"/>
        <w:left w:val="none" w:sz="0" w:space="0" w:color="auto"/>
        <w:bottom w:val="none" w:sz="0" w:space="0" w:color="auto"/>
        <w:right w:val="none" w:sz="0" w:space="0" w:color="auto"/>
      </w:divBdr>
    </w:div>
    <w:div w:id="724643493">
      <w:bodyDiv w:val="1"/>
      <w:marLeft w:val="0"/>
      <w:marRight w:val="0"/>
      <w:marTop w:val="0"/>
      <w:marBottom w:val="0"/>
      <w:divBdr>
        <w:top w:val="none" w:sz="0" w:space="0" w:color="auto"/>
        <w:left w:val="none" w:sz="0" w:space="0" w:color="auto"/>
        <w:bottom w:val="none" w:sz="0" w:space="0" w:color="auto"/>
        <w:right w:val="none" w:sz="0" w:space="0" w:color="auto"/>
      </w:divBdr>
    </w:div>
    <w:div w:id="903829688">
      <w:bodyDiv w:val="1"/>
      <w:marLeft w:val="0"/>
      <w:marRight w:val="0"/>
      <w:marTop w:val="0"/>
      <w:marBottom w:val="0"/>
      <w:divBdr>
        <w:top w:val="none" w:sz="0" w:space="0" w:color="auto"/>
        <w:left w:val="none" w:sz="0" w:space="0" w:color="auto"/>
        <w:bottom w:val="none" w:sz="0" w:space="0" w:color="auto"/>
        <w:right w:val="none" w:sz="0" w:space="0" w:color="auto"/>
      </w:divBdr>
    </w:div>
    <w:div w:id="964045252">
      <w:bodyDiv w:val="1"/>
      <w:marLeft w:val="0"/>
      <w:marRight w:val="0"/>
      <w:marTop w:val="0"/>
      <w:marBottom w:val="0"/>
      <w:divBdr>
        <w:top w:val="none" w:sz="0" w:space="0" w:color="auto"/>
        <w:left w:val="none" w:sz="0" w:space="0" w:color="auto"/>
        <w:bottom w:val="none" w:sz="0" w:space="0" w:color="auto"/>
        <w:right w:val="none" w:sz="0" w:space="0" w:color="auto"/>
      </w:divBdr>
    </w:div>
    <w:div w:id="980882398">
      <w:bodyDiv w:val="1"/>
      <w:marLeft w:val="0"/>
      <w:marRight w:val="0"/>
      <w:marTop w:val="0"/>
      <w:marBottom w:val="0"/>
      <w:divBdr>
        <w:top w:val="none" w:sz="0" w:space="0" w:color="auto"/>
        <w:left w:val="none" w:sz="0" w:space="0" w:color="auto"/>
        <w:bottom w:val="none" w:sz="0" w:space="0" w:color="auto"/>
        <w:right w:val="none" w:sz="0" w:space="0" w:color="auto"/>
      </w:divBdr>
    </w:div>
    <w:div w:id="1101996297">
      <w:bodyDiv w:val="1"/>
      <w:marLeft w:val="0"/>
      <w:marRight w:val="0"/>
      <w:marTop w:val="0"/>
      <w:marBottom w:val="0"/>
      <w:divBdr>
        <w:top w:val="none" w:sz="0" w:space="0" w:color="auto"/>
        <w:left w:val="none" w:sz="0" w:space="0" w:color="auto"/>
        <w:bottom w:val="none" w:sz="0" w:space="0" w:color="auto"/>
        <w:right w:val="none" w:sz="0" w:space="0" w:color="auto"/>
      </w:divBdr>
    </w:div>
    <w:div w:id="1109206432">
      <w:bodyDiv w:val="1"/>
      <w:marLeft w:val="0"/>
      <w:marRight w:val="0"/>
      <w:marTop w:val="0"/>
      <w:marBottom w:val="0"/>
      <w:divBdr>
        <w:top w:val="none" w:sz="0" w:space="0" w:color="auto"/>
        <w:left w:val="none" w:sz="0" w:space="0" w:color="auto"/>
        <w:bottom w:val="none" w:sz="0" w:space="0" w:color="auto"/>
        <w:right w:val="none" w:sz="0" w:space="0" w:color="auto"/>
      </w:divBdr>
    </w:div>
    <w:div w:id="1184979315">
      <w:bodyDiv w:val="1"/>
      <w:marLeft w:val="0"/>
      <w:marRight w:val="0"/>
      <w:marTop w:val="0"/>
      <w:marBottom w:val="0"/>
      <w:divBdr>
        <w:top w:val="none" w:sz="0" w:space="0" w:color="auto"/>
        <w:left w:val="none" w:sz="0" w:space="0" w:color="auto"/>
        <w:bottom w:val="none" w:sz="0" w:space="0" w:color="auto"/>
        <w:right w:val="none" w:sz="0" w:space="0" w:color="auto"/>
      </w:divBdr>
      <w:divsChild>
        <w:div w:id="32773019">
          <w:marLeft w:val="0"/>
          <w:marRight w:val="0"/>
          <w:marTop w:val="0"/>
          <w:marBottom w:val="0"/>
          <w:divBdr>
            <w:top w:val="none" w:sz="0" w:space="0" w:color="auto"/>
            <w:left w:val="none" w:sz="0" w:space="0" w:color="auto"/>
            <w:bottom w:val="none" w:sz="0" w:space="0" w:color="auto"/>
            <w:right w:val="none" w:sz="0" w:space="0" w:color="auto"/>
          </w:divBdr>
        </w:div>
        <w:div w:id="87848989">
          <w:marLeft w:val="0"/>
          <w:marRight w:val="0"/>
          <w:marTop w:val="0"/>
          <w:marBottom w:val="0"/>
          <w:divBdr>
            <w:top w:val="none" w:sz="0" w:space="0" w:color="auto"/>
            <w:left w:val="none" w:sz="0" w:space="0" w:color="auto"/>
            <w:bottom w:val="none" w:sz="0" w:space="0" w:color="auto"/>
            <w:right w:val="none" w:sz="0" w:space="0" w:color="auto"/>
          </w:divBdr>
        </w:div>
        <w:div w:id="363792170">
          <w:marLeft w:val="0"/>
          <w:marRight w:val="0"/>
          <w:marTop w:val="0"/>
          <w:marBottom w:val="0"/>
          <w:divBdr>
            <w:top w:val="none" w:sz="0" w:space="0" w:color="auto"/>
            <w:left w:val="none" w:sz="0" w:space="0" w:color="auto"/>
            <w:bottom w:val="none" w:sz="0" w:space="0" w:color="auto"/>
            <w:right w:val="none" w:sz="0" w:space="0" w:color="auto"/>
          </w:divBdr>
        </w:div>
        <w:div w:id="511259503">
          <w:marLeft w:val="0"/>
          <w:marRight w:val="0"/>
          <w:marTop w:val="0"/>
          <w:marBottom w:val="0"/>
          <w:divBdr>
            <w:top w:val="none" w:sz="0" w:space="0" w:color="auto"/>
            <w:left w:val="none" w:sz="0" w:space="0" w:color="auto"/>
            <w:bottom w:val="none" w:sz="0" w:space="0" w:color="auto"/>
            <w:right w:val="none" w:sz="0" w:space="0" w:color="auto"/>
          </w:divBdr>
        </w:div>
        <w:div w:id="717826808">
          <w:marLeft w:val="0"/>
          <w:marRight w:val="0"/>
          <w:marTop w:val="0"/>
          <w:marBottom w:val="0"/>
          <w:divBdr>
            <w:top w:val="none" w:sz="0" w:space="0" w:color="auto"/>
            <w:left w:val="none" w:sz="0" w:space="0" w:color="auto"/>
            <w:bottom w:val="none" w:sz="0" w:space="0" w:color="auto"/>
            <w:right w:val="none" w:sz="0" w:space="0" w:color="auto"/>
          </w:divBdr>
        </w:div>
        <w:div w:id="997271842">
          <w:marLeft w:val="0"/>
          <w:marRight w:val="0"/>
          <w:marTop w:val="0"/>
          <w:marBottom w:val="0"/>
          <w:divBdr>
            <w:top w:val="none" w:sz="0" w:space="0" w:color="auto"/>
            <w:left w:val="none" w:sz="0" w:space="0" w:color="auto"/>
            <w:bottom w:val="none" w:sz="0" w:space="0" w:color="auto"/>
            <w:right w:val="none" w:sz="0" w:space="0" w:color="auto"/>
          </w:divBdr>
        </w:div>
        <w:div w:id="1214654909">
          <w:marLeft w:val="0"/>
          <w:marRight w:val="0"/>
          <w:marTop w:val="0"/>
          <w:marBottom w:val="0"/>
          <w:divBdr>
            <w:top w:val="none" w:sz="0" w:space="0" w:color="auto"/>
            <w:left w:val="none" w:sz="0" w:space="0" w:color="auto"/>
            <w:bottom w:val="none" w:sz="0" w:space="0" w:color="auto"/>
            <w:right w:val="none" w:sz="0" w:space="0" w:color="auto"/>
          </w:divBdr>
        </w:div>
        <w:div w:id="1347975252">
          <w:marLeft w:val="0"/>
          <w:marRight w:val="0"/>
          <w:marTop w:val="0"/>
          <w:marBottom w:val="0"/>
          <w:divBdr>
            <w:top w:val="none" w:sz="0" w:space="0" w:color="auto"/>
            <w:left w:val="none" w:sz="0" w:space="0" w:color="auto"/>
            <w:bottom w:val="none" w:sz="0" w:space="0" w:color="auto"/>
            <w:right w:val="none" w:sz="0" w:space="0" w:color="auto"/>
          </w:divBdr>
        </w:div>
        <w:div w:id="1533878045">
          <w:marLeft w:val="0"/>
          <w:marRight w:val="0"/>
          <w:marTop w:val="0"/>
          <w:marBottom w:val="0"/>
          <w:divBdr>
            <w:top w:val="none" w:sz="0" w:space="0" w:color="auto"/>
            <w:left w:val="none" w:sz="0" w:space="0" w:color="auto"/>
            <w:bottom w:val="none" w:sz="0" w:space="0" w:color="auto"/>
            <w:right w:val="none" w:sz="0" w:space="0" w:color="auto"/>
          </w:divBdr>
        </w:div>
        <w:div w:id="1694844968">
          <w:marLeft w:val="0"/>
          <w:marRight w:val="0"/>
          <w:marTop w:val="0"/>
          <w:marBottom w:val="0"/>
          <w:divBdr>
            <w:top w:val="none" w:sz="0" w:space="0" w:color="auto"/>
            <w:left w:val="none" w:sz="0" w:space="0" w:color="auto"/>
            <w:bottom w:val="none" w:sz="0" w:space="0" w:color="auto"/>
            <w:right w:val="none" w:sz="0" w:space="0" w:color="auto"/>
          </w:divBdr>
        </w:div>
        <w:div w:id="2087531297">
          <w:marLeft w:val="0"/>
          <w:marRight w:val="0"/>
          <w:marTop w:val="0"/>
          <w:marBottom w:val="0"/>
          <w:divBdr>
            <w:top w:val="none" w:sz="0" w:space="0" w:color="auto"/>
            <w:left w:val="none" w:sz="0" w:space="0" w:color="auto"/>
            <w:bottom w:val="none" w:sz="0" w:space="0" w:color="auto"/>
            <w:right w:val="none" w:sz="0" w:space="0" w:color="auto"/>
          </w:divBdr>
        </w:div>
      </w:divsChild>
    </w:div>
    <w:div w:id="1293712827">
      <w:bodyDiv w:val="1"/>
      <w:marLeft w:val="0"/>
      <w:marRight w:val="0"/>
      <w:marTop w:val="0"/>
      <w:marBottom w:val="0"/>
      <w:divBdr>
        <w:top w:val="none" w:sz="0" w:space="0" w:color="auto"/>
        <w:left w:val="none" w:sz="0" w:space="0" w:color="auto"/>
        <w:bottom w:val="none" w:sz="0" w:space="0" w:color="auto"/>
        <w:right w:val="none" w:sz="0" w:space="0" w:color="auto"/>
      </w:divBdr>
    </w:div>
    <w:div w:id="1387608775">
      <w:bodyDiv w:val="1"/>
      <w:marLeft w:val="0"/>
      <w:marRight w:val="0"/>
      <w:marTop w:val="0"/>
      <w:marBottom w:val="0"/>
      <w:divBdr>
        <w:top w:val="none" w:sz="0" w:space="0" w:color="auto"/>
        <w:left w:val="none" w:sz="0" w:space="0" w:color="auto"/>
        <w:bottom w:val="none" w:sz="0" w:space="0" w:color="auto"/>
        <w:right w:val="none" w:sz="0" w:space="0" w:color="auto"/>
      </w:divBdr>
    </w:div>
    <w:div w:id="1401249415">
      <w:bodyDiv w:val="1"/>
      <w:marLeft w:val="0"/>
      <w:marRight w:val="0"/>
      <w:marTop w:val="0"/>
      <w:marBottom w:val="0"/>
      <w:divBdr>
        <w:top w:val="none" w:sz="0" w:space="0" w:color="auto"/>
        <w:left w:val="none" w:sz="0" w:space="0" w:color="auto"/>
        <w:bottom w:val="none" w:sz="0" w:space="0" w:color="auto"/>
        <w:right w:val="none" w:sz="0" w:space="0" w:color="auto"/>
      </w:divBdr>
    </w:div>
    <w:div w:id="1424883786">
      <w:bodyDiv w:val="1"/>
      <w:marLeft w:val="0"/>
      <w:marRight w:val="0"/>
      <w:marTop w:val="0"/>
      <w:marBottom w:val="0"/>
      <w:divBdr>
        <w:top w:val="none" w:sz="0" w:space="0" w:color="auto"/>
        <w:left w:val="none" w:sz="0" w:space="0" w:color="auto"/>
        <w:bottom w:val="none" w:sz="0" w:space="0" w:color="auto"/>
        <w:right w:val="none" w:sz="0" w:space="0" w:color="auto"/>
      </w:divBdr>
    </w:div>
    <w:div w:id="1559827029">
      <w:bodyDiv w:val="1"/>
      <w:marLeft w:val="0"/>
      <w:marRight w:val="0"/>
      <w:marTop w:val="0"/>
      <w:marBottom w:val="0"/>
      <w:divBdr>
        <w:top w:val="none" w:sz="0" w:space="0" w:color="auto"/>
        <w:left w:val="none" w:sz="0" w:space="0" w:color="auto"/>
        <w:bottom w:val="none" w:sz="0" w:space="0" w:color="auto"/>
        <w:right w:val="none" w:sz="0" w:space="0" w:color="auto"/>
      </w:divBdr>
    </w:div>
    <w:div w:id="1590121254">
      <w:bodyDiv w:val="1"/>
      <w:marLeft w:val="0"/>
      <w:marRight w:val="0"/>
      <w:marTop w:val="0"/>
      <w:marBottom w:val="0"/>
      <w:divBdr>
        <w:top w:val="none" w:sz="0" w:space="0" w:color="auto"/>
        <w:left w:val="none" w:sz="0" w:space="0" w:color="auto"/>
        <w:bottom w:val="none" w:sz="0" w:space="0" w:color="auto"/>
        <w:right w:val="none" w:sz="0" w:space="0" w:color="auto"/>
      </w:divBdr>
    </w:div>
    <w:div w:id="1780635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theme" Target="theme/theme1.xml"/><Relationship Id="rId36" Type="http://schemas.microsoft.com/office/2016/09/relationships/commentsIds" Target="commentsIds.xml"/><Relationship Id="rId10" Type="http://schemas.openxmlformats.org/officeDocument/2006/relationships/header" Target="header1.xm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fontTable" Target="fontTable.xml"/><Relationship Id="rId35" Type="http://schemas.microsoft.com/office/2011/relationships/commentsExtended" Target="commentsExtended.xml"/></Relationships>
</file>

<file path=word/_rels/footnotes.xml.rels><?xml version="1.0" encoding="UTF-8" standalone="yes"?>
<Relationships xmlns="http://schemas.openxmlformats.org/package/2006/relationships"><Relationship Id="rId8" Type="http://schemas.openxmlformats.org/officeDocument/2006/relationships/hyperlink" Target="https://heinnovate.eu/en" TargetMode="External"/><Relationship Id="rId3" Type="http://schemas.openxmlformats.org/officeDocument/2006/relationships/hyperlink" Target="http://ec.europa.eu/information_society/newsroom/image/document/2016-48/proposal_40046.pdf" TargetMode="External"/><Relationship Id="rId7" Type="http://schemas.openxmlformats.org/officeDocument/2006/relationships/hyperlink" Target="https://ec.europa.eu/info/support-policy-making-eu-and-horizon-2020-associated-countries/srip-report_en" TargetMode="External"/><Relationship Id="rId2" Type="http://schemas.openxmlformats.org/officeDocument/2006/relationships/hyperlink" Target="http://europa.eu/rapid/press-release_IP-18-2763_en.htm" TargetMode="External"/><Relationship Id="rId1" Type="http://schemas.openxmlformats.org/officeDocument/2006/relationships/hyperlink" Target="http://www.consilium.europa.eu/en/policies/investment-plan/" TargetMode="External"/><Relationship Id="rId6" Type="http://schemas.openxmlformats.org/officeDocument/2006/relationships/hyperlink" Target="https://ec.europa.eu/info/sites/info/files/eic_hlg_bz_web.pdf" TargetMode="External"/><Relationship Id="rId11" Type="http://schemas.openxmlformats.org/officeDocument/2006/relationships/hyperlink" Target="http://ec.europa.eu/social/main.jsp?catId=1415&amp;langId=en" TargetMode="External"/><Relationship Id="rId5" Type="http://schemas.openxmlformats.org/officeDocument/2006/relationships/hyperlink" Target="http://www.europarl.europa.eu/thinktank/en/document.html?reference=EPRS_IDA(2017)603967" TargetMode="External"/><Relationship Id="rId10" Type="http://schemas.openxmlformats.org/officeDocument/2006/relationships/hyperlink" Target="https://ec.europa.eu/research/openscience/index.cfm?pg=home&amp;section=monitor" TargetMode="External"/><Relationship Id="rId4" Type="http://schemas.openxmlformats.org/officeDocument/2006/relationships/hyperlink" Target="http://ec.europa.eu/research/industrial_technologies/pdf/re_finding_industry_022018.pdf" TargetMode="External"/><Relationship Id="rId9" Type="http://schemas.openxmlformats.org/officeDocument/2006/relationships/hyperlink" Target="https://ec.europa.eu/commission/publications/eu-leaders-meeting-education-culture_en"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CCFF"/>
            </a:solidFill>
          </c:spPr>
          <c:invertIfNegative val="0"/>
          <c:dPt>
            <c:idx val="0"/>
            <c:invertIfNegative val="0"/>
            <c:bubble3D val="0"/>
            <c:spPr>
              <a:solidFill>
                <a:srgbClr val="3333FF"/>
              </a:solidFill>
            </c:spPr>
            <c:extLst xmlns:c16r2="http://schemas.microsoft.com/office/drawing/2015/06/chart">
              <c:ext xmlns:c16="http://schemas.microsoft.com/office/drawing/2014/chart" uri="{C3380CC4-5D6E-409C-BE32-E72D297353CC}">
                <c16:uniqueId val="{00000001-4420-1B47-A4EF-34A9E1EBB602}"/>
              </c:ext>
            </c:extLst>
          </c:dPt>
          <c:dPt>
            <c:idx val="1"/>
            <c:invertIfNegative val="0"/>
            <c:bubble3D val="0"/>
            <c:extLst xmlns:c16r2="http://schemas.microsoft.com/office/drawing/2015/06/chart">
              <c:ext xmlns:c16="http://schemas.microsoft.com/office/drawing/2014/chart" uri="{C3380CC4-5D6E-409C-BE32-E72D297353CC}">
                <c16:uniqueId val="{00000002-4420-1B47-A4EF-34A9E1EBB602}"/>
              </c:ext>
            </c:extLst>
          </c:dPt>
          <c:dPt>
            <c:idx val="2"/>
            <c:invertIfNegative val="0"/>
            <c:bubble3D val="0"/>
            <c:extLst xmlns:c16r2="http://schemas.microsoft.com/office/drawing/2015/06/chart">
              <c:ext xmlns:c16="http://schemas.microsoft.com/office/drawing/2014/chart" uri="{C3380CC4-5D6E-409C-BE32-E72D297353CC}">
                <c16:uniqueId val="{00000003-4420-1B47-A4EF-34A9E1EBB602}"/>
              </c:ext>
            </c:extLst>
          </c:dPt>
          <c:dPt>
            <c:idx val="3"/>
            <c:invertIfNegative val="0"/>
            <c:bubble3D val="0"/>
            <c:extLst xmlns:c16r2="http://schemas.microsoft.com/office/drawing/2015/06/chart">
              <c:ext xmlns:c16="http://schemas.microsoft.com/office/drawing/2014/chart" uri="{C3380CC4-5D6E-409C-BE32-E72D297353CC}">
                <c16:uniqueId val="{00000004-4420-1B47-A4EF-34A9E1EBB602}"/>
              </c:ext>
            </c:extLst>
          </c:dPt>
          <c:dLbls>
            <c:spPr>
              <a:noFill/>
              <a:ln>
                <a:noFill/>
              </a:ln>
              <a:effectLst/>
            </c:spPr>
            <c:txPr>
              <a:bodyPr/>
              <a:lstStyle/>
              <a:p>
                <a:pPr>
                  <a:defRPr sz="800" b="1">
                    <a:latin typeface="Arial Narrow" panose="020B0606020202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'R&amp;D intensity'!$S$8:$S$37</c:f>
              <c:strCache>
                <c:ptCount val="30"/>
                <c:pt idx="0">
                  <c:v>EU</c:v>
                </c:pt>
                <c:pt idx="2">
                  <c:v>Sweden</c:v>
                </c:pt>
                <c:pt idx="3">
                  <c:v>Austria</c:v>
                </c:pt>
                <c:pt idx="4">
                  <c:v>Germany </c:v>
                </c:pt>
                <c:pt idx="5">
                  <c:v>Denmark</c:v>
                </c:pt>
                <c:pt idx="6">
                  <c:v>Finland</c:v>
                </c:pt>
                <c:pt idx="7">
                  <c:v>Belgium</c:v>
                </c:pt>
                <c:pt idx="8">
                  <c:v>France</c:v>
                </c:pt>
                <c:pt idx="9">
                  <c:v>Netherlands</c:v>
                </c:pt>
                <c:pt idx="10">
                  <c:v>Slovenia</c:v>
                </c:pt>
                <c:pt idx="11">
                  <c:v>United Kingdom</c:v>
                </c:pt>
                <c:pt idx="12">
                  <c:v>Czech Republic</c:v>
                </c:pt>
                <c:pt idx="13">
                  <c:v>Italy</c:v>
                </c:pt>
                <c:pt idx="14">
                  <c:v>Estonia</c:v>
                </c:pt>
                <c:pt idx="15">
                  <c:v>Portugal</c:v>
                </c:pt>
                <c:pt idx="16">
                  <c:v>Luxembourg</c:v>
                </c:pt>
                <c:pt idx="17">
                  <c:v>Hungary</c:v>
                </c:pt>
                <c:pt idx="18">
                  <c:v>Spain</c:v>
                </c:pt>
                <c:pt idx="19">
                  <c:v>Ireland</c:v>
                </c:pt>
                <c:pt idx="20">
                  <c:v>Greece</c:v>
                </c:pt>
                <c:pt idx="21">
                  <c:v>Poland</c:v>
                </c:pt>
                <c:pt idx="22">
                  <c:v>Lithuania</c:v>
                </c:pt>
                <c:pt idx="23">
                  <c:v>Croatia</c:v>
                </c:pt>
                <c:pt idx="24">
                  <c:v>Slovakia</c:v>
                </c:pt>
                <c:pt idx="25">
                  <c:v>Bulgaria</c:v>
                </c:pt>
                <c:pt idx="26">
                  <c:v>Malta</c:v>
                </c:pt>
                <c:pt idx="27">
                  <c:v>Cyprus</c:v>
                </c:pt>
                <c:pt idx="28">
                  <c:v>Romania</c:v>
                </c:pt>
                <c:pt idx="29">
                  <c:v>Latvia</c:v>
                </c:pt>
              </c:strCache>
            </c:strRef>
          </c:cat>
          <c:val>
            <c:numRef>
              <c:f>'R&amp;D intensity'!$T$8:$T$37</c:f>
              <c:numCache>
                <c:formatCode>General</c:formatCode>
                <c:ptCount val="30"/>
                <c:pt idx="0" formatCode="0.00">
                  <c:v>2.0320096747404031</c:v>
                </c:pt>
                <c:pt idx="2" formatCode="0.00">
                  <c:v>3.2549026604830491</c:v>
                </c:pt>
                <c:pt idx="3" formatCode="0.00">
                  <c:v>3.0869475503464647</c:v>
                </c:pt>
                <c:pt idx="4" formatCode="0.00">
                  <c:v>2.9394947281372747</c:v>
                </c:pt>
                <c:pt idx="5" formatCode="0.00">
                  <c:v>2.8712533213016296</c:v>
                </c:pt>
                <c:pt idx="6" formatCode="0.00">
                  <c:v>2.746451131513211</c:v>
                </c:pt>
                <c:pt idx="7" formatCode="0.00">
                  <c:v>2.4861651763722543</c:v>
                </c:pt>
                <c:pt idx="8" formatCode="0.00">
                  <c:v>2.2477588288526364</c:v>
                </c:pt>
                <c:pt idx="9" formatCode="0.00">
                  <c:v>2.0324746207522759</c:v>
                </c:pt>
                <c:pt idx="10" formatCode="0.00">
                  <c:v>2.0020238457522743</c:v>
                </c:pt>
                <c:pt idx="11" formatCode="0.00">
                  <c:v>1.6884330125916134</c:v>
                </c:pt>
                <c:pt idx="12" formatCode="0.00">
                  <c:v>1.6782973681542646</c:v>
                </c:pt>
                <c:pt idx="13" formatCode="0.00">
                  <c:v>1.2859846947628439</c:v>
                </c:pt>
                <c:pt idx="14" formatCode="0.00">
                  <c:v>1.2812880658631265</c:v>
                </c:pt>
                <c:pt idx="15" formatCode="0.00">
                  <c:v>1.2677969213654858</c:v>
                </c:pt>
                <c:pt idx="16" formatCode="0.00">
                  <c:v>1.2436609514609998</c:v>
                </c:pt>
                <c:pt idx="17" formatCode="0.00">
                  <c:v>1.2060646720149686</c:v>
                </c:pt>
                <c:pt idx="18" formatCode="0.00">
                  <c:v>1.1854929987966263</c:v>
                </c:pt>
                <c:pt idx="19" formatCode="0.00">
                  <c:v>1.1768095683410684</c:v>
                </c:pt>
                <c:pt idx="20" formatCode="0.00">
                  <c:v>1.0069960097428636</c:v>
                </c:pt>
                <c:pt idx="21" formatCode="0.00">
                  <c:v>0.96538501085261708</c:v>
                </c:pt>
                <c:pt idx="22" formatCode="0.00">
                  <c:v>0.84723662534944655</c:v>
                </c:pt>
                <c:pt idx="23" formatCode="0.00">
                  <c:v>0.84580473932831857</c:v>
                </c:pt>
                <c:pt idx="24" formatCode="0.00">
                  <c:v>0.78965300539714611</c:v>
                </c:pt>
                <c:pt idx="25" formatCode="0.00">
                  <c:v>0.7800642445448237</c:v>
                </c:pt>
                <c:pt idx="26" formatCode="0.00">
                  <c:v>0.61321096850885504</c:v>
                </c:pt>
                <c:pt idx="27" formatCode="0.00">
                  <c:v>0.50434542695544216</c:v>
                </c:pt>
                <c:pt idx="28" formatCode="0.00">
                  <c:v>0.4820856268572758</c:v>
                </c:pt>
                <c:pt idx="29" formatCode="0.00">
                  <c:v>0.44289857863255061</c:v>
                </c:pt>
              </c:numCache>
            </c:numRef>
          </c:val>
          <c:extLst xmlns:c16r2="http://schemas.microsoft.com/office/drawing/2015/06/chart">
            <c:ext xmlns:c16="http://schemas.microsoft.com/office/drawing/2014/chart" uri="{C3380CC4-5D6E-409C-BE32-E72D297353CC}">
              <c16:uniqueId val="{00000005-4420-1B47-A4EF-34A9E1EBB602}"/>
            </c:ext>
          </c:extLst>
        </c:ser>
        <c:dLbls>
          <c:showLegendKey val="0"/>
          <c:showVal val="0"/>
          <c:showCatName val="0"/>
          <c:showSerName val="0"/>
          <c:showPercent val="0"/>
          <c:showBubbleSize val="0"/>
        </c:dLbls>
        <c:gapWidth val="50"/>
        <c:axId val="131539328"/>
        <c:axId val="131540864"/>
      </c:barChart>
      <c:catAx>
        <c:axId val="131539328"/>
        <c:scaling>
          <c:orientation val="minMax"/>
        </c:scaling>
        <c:delete val="0"/>
        <c:axPos val="b"/>
        <c:numFmt formatCode="General" sourceLinked="0"/>
        <c:majorTickMark val="none"/>
        <c:minorTickMark val="none"/>
        <c:tickLblPos val="nextTo"/>
        <c:spPr>
          <a:ln w="25400">
            <a:solidFill>
              <a:schemeClr val="tx1"/>
            </a:solidFill>
          </a:ln>
        </c:spPr>
        <c:txPr>
          <a:bodyPr/>
          <a:lstStyle/>
          <a:p>
            <a:pPr>
              <a:defRPr sz="900" b="1">
                <a:latin typeface="Arial" panose="020B0604020202020204" pitchFamily="34" charset="0"/>
                <a:cs typeface="Arial" panose="020B0604020202020204" pitchFamily="34" charset="0"/>
              </a:defRPr>
            </a:pPr>
            <a:endParaRPr lang="en-US"/>
          </a:p>
        </c:txPr>
        <c:crossAx val="131540864"/>
        <c:crosses val="autoZero"/>
        <c:auto val="1"/>
        <c:lblAlgn val="ctr"/>
        <c:lblOffset val="100"/>
        <c:noMultiLvlLbl val="0"/>
      </c:catAx>
      <c:valAx>
        <c:axId val="131540864"/>
        <c:scaling>
          <c:orientation val="minMax"/>
          <c:max val="3.5"/>
          <c:min val="0"/>
        </c:scaling>
        <c:delete val="0"/>
        <c:axPos val="l"/>
        <c:majorGridlines>
          <c:spPr>
            <a:ln>
              <a:solidFill>
                <a:schemeClr val="bg1"/>
              </a:solidFill>
            </a:ln>
          </c:spPr>
        </c:majorGridlines>
        <c:title>
          <c:tx>
            <c:rich>
              <a:bodyPr rot="-5400000" vert="horz"/>
              <a:lstStyle/>
              <a:p>
                <a:pPr>
                  <a:defRPr sz="900">
                    <a:latin typeface="Arial" panose="020B0604020202020204" pitchFamily="34" charset="0"/>
                    <a:cs typeface="Arial" panose="020B0604020202020204" pitchFamily="34" charset="0"/>
                  </a:defRPr>
                </a:pPr>
                <a:r>
                  <a:rPr lang="en-GB" sz="900">
                    <a:latin typeface="Arial" panose="020B0604020202020204" pitchFamily="34" charset="0"/>
                    <a:cs typeface="Arial" panose="020B0604020202020204" pitchFamily="34" charset="0"/>
                  </a:rPr>
                  <a:t>%</a:t>
                </a:r>
              </a:p>
            </c:rich>
          </c:tx>
          <c:layout/>
          <c:overlay val="0"/>
        </c:title>
        <c:numFmt formatCode="0.0" sourceLinked="0"/>
        <c:majorTickMark val="out"/>
        <c:minorTickMark val="none"/>
        <c:tickLblPos val="nextTo"/>
        <c:spPr>
          <a:ln w="25400">
            <a:solidFill>
              <a:schemeClr val="tx1"/>
            </a:solidFill>
          </a:ln>
        </c:spPr>
        <c:txPr>
          <a:bodyPr/>
          <a:lstStyle/>
          <a:p>
            <a:pPr>
              <a:defRPr sz="900" b="1">
                <a:latin typeface="Arial" panose="020B0604020202020204" pitchFamily="34" charset="0"/>
                <a:cs typeface="Arial" panose="020B0604020202020204" pitchFamily="34" charset="0"/>
              </a:defRPr>
            </a:pPr>
            <a:endParaRPr lang="en-US"/>
          </a:p>
        </c:txPr>
        <c:crossAx val="131539328"/>
        <c:crosses val="autoZero"/>
        <c:crossBetween val="between"/>
        <c:majorUnit val="0.5"/>
      </c:valAx>
      <c:spPr>
        <a:solidFill>
          <a:srgbClr val="EAEAEA"/>
        </a:solidFill>
      </c:spPr>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'BERD intensity'!$R$8</c:f>
              <c:strCache>
                <c:ptCount val="1"/>
                <c:pt idx="0">
                  <c:v> EU</c:v>
                </c:pt>
              </c:strCache>
            </c:strRef>
          </c:tx>
          <c:spPr>
            <a:ln w="38100">
              <a:solidFill>
                <a:srgbClr val="0000FF"/>
              </a:solidFill>
              <a:prstDash val="solid"/>
            </a:ln>
          </c:spPr>
          <c:marker>
            <c:symbol val="none"/>
          </c:marker>
          <c:dLbls>
            <c:dLbl>
              <c:idx val="13"/>
              <c:layout>
                <c:manualLayout>
                  <c:x val="0.12245187129386605"/>
                  <c:y val="-4.411538721594227E-2"/>
                </c:manualLayout>
              </c:layout>
              <c:tx>
                <c:rich>
                  <a:bodyPr/>
                  <a:lstStyle/>
                  <a:p>
                    <a:r>
                      <a:rPr lang="en-US"/>
                      <a:t>EU</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A13-4B66-83E8-BFA47803262F}"/>
                </c:ext>
              </c:extLst>
            </c:dLbl>
            <c:dLbl>
              <c:idx val="20"/>
              <c:layout>
                <c:manualLayout>
                  <c:x val="-3.0690671338716807E-2"/>
                  <c:y val="5.2245423140935103E-2"/>
                </c:manualLayout>
              </c:layout>
              <c:tx>
                <c:rich>
                  <a:bodyPr/>
                  <a:lstStyle/>
                  <a:p>
                    <a:pPr>
                      <a:defRPr sz="900" b="1" i="0" u="none" strike="noStrike" baseline="0">
                        <a:solidFill>
                          <a:srgbClr val="000000"/>
                        </a:solidFill>
                        <a:latin typeface="Arial"/>
                        <a:ea typeface="Arial"/>
                        <a:cs typeface="Arial"/>
                      </a:defRPr>
                    </a:pPr>
                    <a:r>
                      <a:rPr lang="en-GB" sz="1000" b="1" i="0" u="none" strike="noStrike" baseline="0">
                        <a:solidFill>
                          <a:srgbClr val="000000"/>
                        </a:solidFill>
                        <a:latin typeface="Arial"/>
                        <a:cs typeface="Arial"/>
                      </a:rPr>
                      <a:t> EU </a:t>
                    </a:r>
                    <a:r>
                      <a:rPr lang="en-GB" sz="1000" b="1" i="0" u="none" strike="noStrike" baseline="30000">
                        <a:solidFill>
                          <a:srgbClr val="000000"/>
                        </a:solidFill>
                        <a:latin typeface="Arial"/>
                        <a:cs typeface="Arial"/>
                      </a:rPr>
                      <a:t>(4)</a:t>
                    </a:r>
                    <a:endParaRPr lang="en-GB"/>
                  </a:p>
                </c:rich>
              </c:tx>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A13-4B66-83E8-BFA47803262F}"/>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'BERD intensity'!$S$7:$AI$7</c:f>
              <c:strCach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strCache>
            </c:strRef>
          </c:cat>
          <c:val>
            <c:numRef>
              <c:f>'BERD intensity'!$S$8:$AI$8</c:f>
              <c:numCache>
                <c:formatCode>0.00</c:formatCode>
                <c:ptCount val="17"/>
                <c:pt idx="0">
                  <c:v>1.1450049598509544</c:v>
                </c:pt>
                <c:pt idx="1">
                  <c:v>1.1519789889363385</c:v>
                </c:pt>
                <c:pt idx="2">
                  <c:v>1.1439555485878432</c:v>
                </c:pt>
                <c:pt idx="3">
                  <c:v>1.1335142758732237</c:v>
                </c:pt>
                <c:pt idx="4">
                  <c:v>1.1086715152170987</c:v>
                </c:pt>
                <c:pt idx="5">
                  <c:v>1.0955103458674389</c:v>
                </c:pt>
                <c:pt idx="6">
                  <c:v>1.1179408629333702</c:v>
                </c:pt>
                <c:pt idx="7">
                  <c:v>1.1235800048507625</c:v>
                </c:pt>
                <c:pt idx="8">
                  <c:v>1.1604757598370641</c:v>
                </c:pt>
                <c:pt idx="9">
                  <c:v>1.1902670670745317</c:v>
                </c:pt>
                <c:pt idx="10">
                  <c:v>1.1909592279826136</c:v>
                </c:pt>
                <c:pt idx="11">
                  <c:v>1.2437623168495535</c:v>
                </c:pt>
                <c:pt idx="12">
                  <c:v>1.2731226643910265</c:v>
                </c:pt>
                <c:pt idx="13">
                  <c:v>1.2797155113129877</c:v>
                </c:pt>
                <c:pt idx="14">
                  <c:v>1.2981164661478302</c:v>
                </c:pt>
                <c:pt idx="15">
                  <c:v>1.311803873855564</c:v>
                </c:pt>
                <c:pt idx="16">
                  <c:v>1.3193336931526598</c:v>
                </c:pt>
              </c:numCache>
            </c:numRef>
          </c:val>
          <c:smooth val="0"/>
          <c:extLst xmlns:c16r2="http://schemas.microsoft.com/office/drawing/2015/06/chart">
            <c:ext xmlns:c16="http://schemas.microsoft.com/office/drawing/2014/chart" uri="{C3380CC4-5D6E-409C-BE32-E72D297353CC}">
              <c16:uniqueId val="{00000002-EA13-4B66-83E8-BFA47803262F}"/>
            </c:ext>
          </c:extLst>
        </c:ser>
        <c:ser>
          <c:idx val="1"/>
          <c:order val="1"/>
          <c:tx>
            <c:strRef>
              <c:f>'BERD intensity'!$R$9</c:f>
              <c:strCache>
                <c:ptCount val="1"/>
                <c:pt idx="0">
                  <c:v> United States  (2)</c:v>
                </c:pt>
              </c:strCache>
            </c:strRef>
          </c:tx>
          <c:spPr>
            <a:ln w="38100">
              <a:solidFill>
                <a:srgbClr val="FF0000"/>
              </a:solidFill>
              <a:prstDash val="solid"/>
            </a:ln>
          </c:spPr>
          <c:marker>
            <c:symbol val="none"/>
          </c:marker>
          <c:dLbls>
            <c:dLbl>
              <c:idx val="13"/>
              <c:layout>
                <c:manualLayout>
                  <c:x val="2.1758413531641877E-2"/>
                  <c:y val="-4.7838285948522109E-2"/>
                </c:manualLayout>
              </c:layout>
              <c:tx>
                <c:rich>
                  <a:bodyPr/>
                  <a:lstStyle/>
                  <a:p>
                    <a:r>
                      <a:rPr lang="en-US"/>
                      <a:t>United States</a:t>
                    </a:r>
                    <a:endParaRPr lang="en-US" baseline="3000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A13-4B66-83E8-BFA47803262F}"/>
                </c:ext>
              </c:extLst>
            </c:dLbl>
            <c:dLbl>
              <c:idx val="20"/>
              <c:layout>
                <c:manualLayout>
                  <c:x val="-3.0690537084399002E-2"/>
                  <c:y val="-2.8520499108734373E-2"/>
                </c:manualLayout>
              </c:layout>
              <c:tx>
                <c:rich>
                  <a:bodyPr/>
                  <a:lstStyle/>
                  <a:p>
                    <a:pPr>
                      <a:defRPr sz="900" b="1" i="0" u="none" strike="noStrike" baseline="0">
                        <a:solidFill>
                          <a:srgbClr val="000000"/>
                        </a:solidFill>
                        <a:latin typeface="Arial"/>
                        <a:ea typeface="Arial"/>
                        <a:cs typeface="Arial"/>
                      </a:defRPr>
                    </a:pPr>
                    <a:r>
                      <a:rPr lang="en-GB" sz="1000" b="1" i="0" u="none" strike="noStrike" baseline="0">
                        <a:solidFill>
                          <a:srgbClr val="000000"/>
                        </a:solidFill>
                        <a:latin typeface="Arial"/>
                        <a:cs typeface="Arial"/>
                      </a:rPr>
                      <a:t> United States </a:t>
                    </a:r>
                    <a:r>
                      <a:rPr lang="en-GB" sz="1000" b="1" i="0" u="none" strike="noStrike" baseline="30000">
                        <a:solidFill>
                          <a:srgbClr val="000000"/>
                        </a:solidFill>
                        <a:latin typeface="Arial"/>
                        <a:cs typeface="Arial"/>
                      </a:rPr>
                      <a:t>(3)</a:t>
                    </a:r>
                    <a:endParaRPr lang="en-GB"/>
                  </a:p>
                </c:rich>
              </c:tx>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A13-4B66-83E8-BFA47803262F}"/>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'BERD intensity'!$S$7:$AI$7</c:f>
              <c:strCach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strCache>
            </c:strRef>
          </c:cat>
          <c:val>
            <c:numRef>
              <c:f>'BERD intensity'!$S$9:$AI$9</c:f>
              <c:numCache>
                <c:formatCode>0.00</c:formatCode>
                <c:ptCount val="17"/>
                <c:pt idx="0">
                  <c:v>1.9442420687892272</c:v>
                </c:pt>
                <c:pt idx="1">
                  <c:v>1.9019049835508479</c:v>
                </c:pt>
                <c:pt idx="2">
                  <c:v>1.7660464837485061</c:v>
                </c:pt>
                <c:pt idx="3">
                  <c:v>1.743808136277037</c:v>
                </c:pt>
                <c:pt idx="4">
                  <c:v>1.6969631104964527</c:v>
                </c:pt>
                <c:pt idx="5">
                  <c:v>1.7272318055227367</c:v>
                </c:pt>
                <c:pt idx="6">
                  <c:v>1.7874639286922642</c:v>
                </c:pt>
                <c:pt idx="7">
                  <c:v>1.8598825015273559</c:v>
                </c:pt>
                <c:pt idx="8">
                  <c:v>1.9749253019074799</c:v>
                </c:pt>
                <c:pt idx="9">
                  <c:v>1.9585138478475823</c:v>
                </c:pt>
                <c:pt idx="10">
                  <c:v>1.8642746919149029</c:v>
                </c:pt>
                <c:pt idx="11">
                  <c:v>1.8951759403930655</c:v>
                </c:pt>
                <c:pt idx="12">
                  <c:v>1.8709144717420363</c:v>
                </c:pt>
                <c:pt idx="13">
                  <c:v>1.9322869215542244</c:v>
                </c:pt>
                <c:pt idx="14">
                  <c:v>1.9551046847562394</c:v>
                </c:pt>
                <c:pt idx="15">
                  <c:v>1.9636146787593469</c:v>
                </c:pt>
                <c:pt idx="16">
                  <c:v>1.9530912951908712</c:v>
                </c:pt>
              </c:numCache>
            </c:numRef>
          </c:val>
          <c:smooth val="0"/>
          <c:extLst xmlns:c16r2="http://schemas.microsoft.com/office/drawing/2015/06/chart">
            <c:ext xmlns:c16="http://schemas.microsoft.com/office/drawing/2014/chart" uri="{C3380CC4-5D6E-409C-BE32-E72D297353CC}">
              <c16:uniqueId val="{00000005-EA13-4B66-83E8-BFA47803262F}"/>
            </c:ext>
          </c:extLst>
        </c:ser>
        <c:ser>
          <c:idx val="2"/>
          <c:order val="2"/>
          <c:tx>
            <c:strRef>
              <c:f>'BERD intensity'!$R$10</c:f>
              <c:strCache>
                <c:ptCount val="1"/>
                <c:pt idx="0">
                  <c:v> Japan</c:v>
                </c:pt>
              </c:strCache>
            </c:strRef>
          </c:tx>
          <c:spPr>
            <a:ln w="38100">
              <a:solidFill>
                <a:srgbClr val="FFFF00"/>
              </a:solidFill>
              <a:prstDash val="solid"/>
            </a:ln>
          </c:spPr>
          <c:marker>
            <c:symbol val="none"/>
          </c:marker>
          <c:dLbls>
            <c:dLbl>
              <c:idx val="13"/>
              <c:layout>
                <c:manualLayout>
                  <c:x val="9.3393059200933215E-2"/>
                  <c:y val="-3.9938329387148287E-2"/>
                </c:manualLayout>
              </c:layout>
              <c:tx>
                <c:rich>
                  <a:bodyPr/>
                  <a:lstStyle/>
                  <a:p>
                    <a:r>
                      <a:rPr lang="en-US"/>
                      <a:t>Japan</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A13-4B66-83E8-BFA47803262F}"/>
                </c:ext>
              </c:extLst>
            </c:dLbl>
            <c:dLbl>
              <c:idx val="20"/>
              <c:layout>
                <c:manualLayout>
                  <c:x val="-3.0690675459072548E-2"/>
                  <c:y val="-3.0897207367795606E-2"/>
                </c:manualLayout>
              </c:layout>
              <c:tx>
                <c:rich>
                  <a:bodyPr/>
                  <a:lstStyle/>
                  <a:p>
                    <a:pPr>
                      <a:defRPr sz="900" b="1" i="0" u="none" strike="noStrike" baseline="0">
                        <a:solidFill>
                          <a:srgbClr val="000000"/>
                        </a:solidFill>
                        <a:latin typeface="Arial"/>
                        <a:ea typeface="Arial"/>
                        <a:cs typeface="Arial"/>
                      </a:defRPr>
                    </a:pPr>
                    <a:r>
                      <a:rPr lang="en-GB" sz="1000" b="1" i="0" u="none" strike="noStrike" baseline="0">
                        <a:solidFill>
                          <a:srgbClr val="000000"/>
                        </a:solidFill>
                        <a:latin typeface="Arial"/>
                        <a:cs typeface="Arial"/>
                      </a:rPr>
                      <a:t> Japan </a:t>
                    </a:r>
                    <a:r>
                      <a:rPr lang="en-GB" sz="1000" b="1" i="0" u="none" strike="noStrike" baseline="30000">
                        <a:solidFill>
                          <a:srgbClr val="000000"/>
                        </a:solidFill>
                        <a:latin typeface="Arial"/>
                        <a:cs typeface="Arial"/>
                      </a:rPr>
                      <a:t>(2)</a:t>
                    </a:r>
                    <a:endParaRPr lang="en-GB"/>
                  </a:p>
                </c:rich>
              </c:tx>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A13-4B66-83E8-BFA47803262F}"/>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'BERD intensity'!$S$7:$AI$7</c:f>
              <c:strCach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strCache>
            </c:strRef>
          </c:cat>
          <c:val>
            <c:numRef>
              <c:f>'BERD intensity'!$S$10:$AI$10</c:f>
              <c:numCache>
                <c:formatCode>0.00</c:formatCode>
                <c:ptCount val="17"/>
                <c:pt idx="0">
                  <c:v>2.0619121483332257</c:v>
                </c:pt>
                <c:pt idx="1">
                  <c:v>2.1894649190734317</c:v>
                </c:pt>
                <c:pt idx="2">
                  <c:v>2.2436336475665435</c:v>
                </c:pt>
                <c:pt idx="3">
                  <c:v>2.2815139754369755</c:v>
                </c:pt>
                <c:pt idx="4">
                  <c:v>2.2779393794674272</c:v>
                </c:pt>
                <c:pt idx="5">
                  <c:v>2.4317959112652368</c:v>
                </c:pt>
                <c:pt idx="6">
                  <c:v>2.5294941141213072</c:v>
                </c:pt>
                <c:pt idx="7">
                  <c:v>2.6012300066091365</c:v>
                </c:pt>
                <c:pt idx="8">
                  <c:v>2.6184111598709237</c:v>
                </c:pt>
                <c:pt idx="9">
                  <c:v>2.4481755910611009</c:v>
                </c:pt>
                <c:pt idx="10">
                  <c:v>2.4003076622366688</c:v>
                </c:pt>
                <c:pt idx="11">
                  <c:v>2.4972661238053471</c:v>
                </c:pt>
                <c:pt idx="12">
                  <c:v>2.4588944256190235</c:v>
                </c:pt>
                <c:pt idx="13">
                  <c:v>2.5223709178266991</c:v>
                </c:pt>
                <c:pt idx="14">
                  <c:v>2.6438985280495686</c:v>
                </c:pt>
                <c:pt idx="15">
                  <c:v>2.5725771251789049</c:v>
                </c:pt>
                <c:pt idx="16">
                  <c:v>2.4734691959710702</c:v>
                </c:pt>
              </c:numCache>
            </c:numRef>
          </c:val>
          <c:smooth val="0"/>
          <c:extLst xmlns:c16r2="http://schemas.microsoft.com/office/drawing/2015/06/chart">
            <c:ext xmlns:c16="http://schemas.microsoft.com/office/drawing/2014/chart" uri="{C3380CC4-5D6E-409C-BE32-E72D297353CC}">
              <c16:uniqueId val="{00000008-EA13-4B66-83E8-BFA47803262F}"/>
            </c:ext>
          </c:extLst>
        </c:ser>
        <c:ser>
          <c:idx val="3"/>
          <c:order val="3"/>
          <c:tx>
            <c:strRef>
              <c:f>'BERD intensity'!$R$11</c:f>
              <c:strCache>
                <c:ptCount val="1"/>
                <c:pt idx="0">
                  <c:v> China (3)</c:v>
                </c:pt>
              </c:strCache>
            </c:strRef>
          </c:tx>
          <c:spPr>
            <a:ln w="38100">
              <a:solidFill>
                <a:srgbClr val="CC99FF"/>
              </a:solidFill>
              <a:prstDash val="solid"/>
            </a:ln>
          </c:spPr>
          <c:marker>
            <c:symbol val="none"/>
          </c:marker>
          <c:dLbls>
            <c:dLbl>
              <c:idx val="13"/>
              <c:layout>
                <c:manualLayout>
                  <c:x val="8.52970934188782E-2"/>
                  <c:y val="-5.9618596626470642E-2"/>
                </c:manualLayout>
              </c:layout>
              <c:tx>
                <c:rich>
                  <a:bodyPr/>
                  <a:lstStyle/>
                  <a:p>
                    <a:r>
                      <a:rPr lang="en-US"/>
                      <a:t>China</a:t>
                    </a:r>
                    <a:endParaRPr lang="en-US" baseline="30000"/>
                  </a:p>
                </c:rich>
              </c:tx>
              <c:showLegendKey val="0"/>
              <c:showVal val="1"/>
              <c:showCatName val="0"/>
              <c:showSerName val="0"/>
              <c:showPercent val="0"/>
              <c:showBubbleSize val="0"/>
            </c:dLbl>
            <c:dLbl>
              <c:idx val="20"/>
              <c:layout>
                <c:manualLayout>
                  <c:x val="-2.8985511137806709E-2"/>
                  <c:y val="5.2287581699346476E-2"/>
                </c:manualLayout>
              </c:layout>
              <c:tx>
                <c:rich>
                  <a:bodyPr/>
                  <a:lstStyle/>
                  <a:p>
                    <a:pPr>
                      <a:defRPr sz="900" b="1" i="0" u="none" strike="noStrike" baseline="0">
                        <a:solidFill>
                          <a:srgbClr val="000000"/>
                        </a:solidFill>
                        <a:latin typeface="Arial"/>
                        <a:ea typeface="Arial"/>
                        <a:cs typeface="Arial"/>
                      </a:defRPr>
                    </a:pPr>
                    <a:r>
                      <a:rPr lang="en-GB" sz="1000" b="1" i="0" u="none" strike="noStrike" baseline="0">
                        <a:solidFill>
                          <a:srgbClr val="000000"/>
                        </a:solidFill>
                        <a:latin typeface="Arial"/>
                        <a:cs typeface="Arial"/>
                      </a:rPr>
                      <a:t> China </a:t>
                    </a:r>
                    <a:r>
                      <a:rPr lang="en-GB" sz="1000" b="1" i="0" u="none" strike="noStrike" baseline="30000">
                        <a:solidFill>
                          <a:srgbClr val="000000"/>
                        </a:solidFill>
                        <a:latin typeface="Arial"/>
                        <a:cs typeface="Arial"/>
                      </a:rPr>
                      <a:t>(5)</a:t>
                    </a:r>
                    <a:endParaRPr lang="en-GB"/>
                  </a:p>
                </c:rich>
              </c:tx>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A13-4B66-83E8-BFA47803262F}"/>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'BERD intensity'!$S$7:$AI$7</c:f>
              <c:strCach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strCache>
            </c:strRef>
          </c:cat>
          <c:val>
            <c:numRef>
              <c:f>'BERD intensity'!$S$11:$AI$11</c:f>
              <c:numCache>
                <c:formatCode>0.00</c:formatCode>
                <c:ptCount val="17"/>
                <c:pt idx="0">
                  <c:v>0.53554572221379027</c:v>
                </c:pt>
                <c:pt idx="1">
                  <c:v>0.56829538984650618</c:v>
                </c:pt>
                <c:pt idx="2">
                  <c:v>0.64723685401810194</c:v>
                </c:pt>
                <c:pt idx="3">
                  <c:v>0.69875259447120674</c:v>
                </c:pt>
                <c:pt idx="4">
                  <c:v>0.81189366100478411</c:v>
                </c:pt>
                <c:pt idx="5">
                  <c:v>0.89356322293158885</c:v>
                </c:pt>
                <c:pt idx="6">
                  <c:v>0.97272802713216155</c:v>
                </c:pt>
                <c:pt idx="7">
                  <c:v>0.99245771054656051</c:v>
                </c:pt>
                <c:pt idx="8">
                  <c:v>1.058379662586062</c:v>
                </c:pt>
                <c:pt idx="9">
                  <c:v>1.2170809917469956</c:v>
                </c:pt>
                <c:pt idx="10">
                  <c:v>1.2554683940750015</c:v>
                </c:pt>
                <c:pt idx="11">
                  <c:v>1.3446404936744709</c:v>
                </c:pt>
                <c:pt idx="12">
                  <c:v>1.451279363746997</c:v>
                </c:pt>
                <c:pt idx="13">
                  <c:v>1.5247258348885628</c:v>
                </c:pt>
                <c:pt idx="14">
                  <c:v>1.562273464280121</c:v>
                </c:pt>
                <c:pt idx="15">
                  <c:v>1.5873462418075999</c:v>
                </c:pt>
                <c:pt idx="16">
                  <c:v>1.640416331272881</c:v>
                </c:pt>
              </c:numCache>
            </c:numRef>
          </c:val>
          <c:smooth val="0"/>
          <c:extLst xmlns:c16r2="http://schemas.microsoft.com/office/drawing/2015/06/chart">
            <c:ext xmlns:c16="http://schemas.microsoft.com/office/drawing/2014/chart" uri="{C3380CC4-5D6E-409C-BE32-E72D297353CC}">
              <c16:uniqueId val="{0000000B-EA13-4B66-83E8-BFA47803262F}"/>
            </c:ext>
          </c:extLst>
        </c:ser>
        <c:ser>
          <c:idx val="4"/>
          <c:order val="4"/>
          <c:tx>
            <c:strRef>
              <c:f>'BERD intensity'!$R$12</c:f>
              <c:strCache>
                <c:ptCount val="1"/>
                <c:pt idx="0">
                  <c:v> South Korea (1)</c:v>
                </c:pt>
              </c:strCache>
            </c:strRef>
          </c:tx>
          <c:spPr>
            <a:ln w="38100">
              <a:solidFill>
                <a:srgbClr val="FF9999"/>
              </a:solidFill>
              <a:prstDash val="solid"/>
            </a:ln>
          </c:spPr>
          <c:marker>
            <c:symbol val="none"/>
          </c:marker>
          <c:dLbls>
            <c:dLbl>
              <c:idx val="13"/>
              <c:layout>
                <c:manualLayout>
                  <c:x val="1.7116599894617949E-2"/>
                  <c:y val="-4.816271327215358E-2"/>
                </c:manualLayout>
              </c:layout>
              <c:tx>
                <c:rich>
                  <a:bodyPr/>
                  <a:lstStyle/>
                  <a:p>
                    <a:r>
                      <a:rPr lang="en-US"/>
                      <a:t>South Korea</a:t>
                    </a:r>
                    <a:endParaRPr lang="en-US" baseline="30000"/>
                  </a:p>
                </c:rich>
              </c:tx>
              <c:showLegendKey val="0"/>
              <c:showVal val="1"/>
              <c:showCatName val="0"/>
              <c:showSerName val="0"/>
              <c:showPercent val="0"/>
              <c:showBubbleSize val="0"/>
            </c:dLbl>
            <c:dLbl>
              <c:idx val="20"/>
              <c:layout>
                <c:manualLayout>
                  <c:x val="-2.7280477408354698E-2"/>
                  <c:y val="-2.3767082590611988E-2"/>
                </c:manualLayout>
              </c:layout>
              <c:tx>
                <c:rich>
                  <a:bodyPr/>
                  <a:lstStyle/>
                  <a:p>
                    <a:pPr>
                      <a:defRPr sz="900" b="1" i="0" u="none" strike="noStrike" baseline="0">
                        <a:solidFill>
                          <a:srgbClr val="000000"/>
                        </a:solidFill>
                        <a:latin typeface="Arial"/>
                        <a:ea typeface="Arial"/>
                        <a:cs typeface="Arial"/>
                      </a:defRPr>
                    </a:pPr>
                    <a:r>
                      <a:rPr lang="en-GB" sz="1000" b="1" i="0" u="none" strike="noStrike" baseline="0">
                        <a:solidFill>
                          <a:srgbClr val="000000"/>
                        </a:solidFill>
                        <a:latin typeface="Arial"/>
                        <a:cs typeface="Arial"/>
                      </a:rPr>
                      <a:t> South Korea </a:t>
                    </a:r>
                    <a:r>
                      <a:rPr lang="en-GB" sz="1000" b="1" i="0" u="none" strike="noStrike" baseline="30000">
                        <a:solidFill>
                          <a:srgbClr val="000000"/>
                        </a:solidFill>
                        <a:latin typeface="Arial"/>
                        <a:cs typeface="Arial"/>
                      </a:rPr>
                      <a:t>(1)</a:t>
                    </a:r>
                    <a:endParaRPr lang="en-GB"/>
                  </a:p>
                </c:rich>
              </c:tx>
              <c:sp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A13-4B66-83E8-BFA47803262F}"/>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'BERD intensity'!$S$7:$AI$7</c:f>
              <c:strCach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strCache>
            </c:strRef>
          </c:cat>
          <c:val>
            <c:numRef>
              <c:f>'BERD intensity'!$S$12:$AI$12</c:f>
              <c:numCache>
                <c:formatCode>0.00</c:formatCode>
                <c:ptCount val="17"/>
                <c:pt idx="0">
                  <c:v>1.6144369684025712</c:v>
                </c:pt>
                <c:pt idx="1">
                  <c:v>1.7835229608484826</c:v>
                </c:pt>
                <c:pt idx="2">
                  <c:v>1.7029389101934549</c:v>
                </c:pt>
                <c:pt idx="3">
                  <c:v>1.789294516948934</c:v>
                </c:pt>
                <c:pt idx="4">
                  <c:v>1.942827365313023</c:v>
                </c:pt>
                <c:pt idx="5">
                  <c:v>2.0182971835207604</c:v>
                </c:pt>
                <c:pt idx="6">
                  <c:v>2.186913658917415</c:v>
                </c:pt>
                <c:pt idx="7">
                  <c:v>2.2875355439470475</c:v>
                </c:pt>
                <c:pt idx="8">
                  <c:v>2.3540291945927732</c:v>
                </c:pt>
                <c:pt idx="9">
                  <c:v>2.4455733598400564</c:v>
                </c:pt>
                <c:pt idx="10">
                  <c:v>2.5925102473073749</c:v>
                </c:pt>
                <c:pt idx="11">
                  <c:v>2.8651486244645197</c:v>
                </c:pt>
                <c:pt idx="12">
                  <c:v>3.137879073803191</c:v>
                </c:pt>
                <c:pt idx="13">
                  <c:v>3.2572014470087485</c:v>
                </c:pt>
                <c:pt idx="14">
                  <c:v>3.3547647820678215</c:v>
                </c:pt>
                <c:pt idx="15">
                  <c:v>3.2693331071790412</c:v>
                </c:pt>
                <c:pt idx="16">
                  <c:v>3.2949667709119121</c:v>
                </c:pt>
              </c:numCache>
            </c:numRef>
          </c:val>
          <c:smooth val="0"/>
          <c:extLst xmlns:c16r2="http://schemas.microsoft.com/office/drawing/2015/06/chart">
            <c:ext xmlns:c16="http://schemas.microsoft.com/office/drawing/2014/chart" uri="{C3380CC4-5D6E-409C-BE32-E72D297353CC}">
              <c16:uniqueId val="{0000000E-EA13-4B66-83E8-BFA47803262F}"/>
            </c:ext>
          </c:extLst>
        </c:ser>
        <c:dLbls>
          <c:showLegendKey val="0"/>
          <c:showVal val="0"/>
          <c:showCatName val="0"/>
          <c:showSerName val="0"/>
          <c:showPercent val="0"/>
          <c:showBubbleSize val="0"/>
        </c:dLbls>
        <c:marker val="1"/>
        <c:smooth val="0"/>
        <c:axId val="131639552"/>
        <c:axId val="131641344"/>
      </c:lineChart>
      <c:catAx>
        <c:axId val="131639552"/>
        <c:scaling>
          <c:orientation val="minMax"/>
        </c:scaling>
        <c:delete val="0"/>
        <c:axPos val="b"/>
        <c:numFmt formatCode="General" sourceLinked="1"/>
        <c:majorTickMark val="none"/>
        <c:minorTickMark val="none"/>
        <c:tickLblPos val="nextTo"/>
        <c:spPr>
          <a:ln w="25400">
            <a:solidFill>
              <a:schemeClr val="tx1"/>
            </a:solidFill>
          </a:ln>
        </c:spPr>
        <c:txPr>
          <a:bodyPr rot="0" vert="horz"/>
          <a:lstStyle/>
          <a:p>
            <a:pPr>
              <a:defRPr sz="900" b="1" i="0" u="none" strike="noStrike" baseline="0">
                <a:solidFill>
                  <a:srgbClr val="000000"/>
                </a:solidFill>
                <a:latin typeface="Arial"/>
                <a:ea typeface="Arial"/>
                <a:cs typeface="Arial"/>
              </a:defRPr>
            </a:pPr>
            <a:endParaRPr lang="en-US"/>
          </a:p>
        </c:txPr>
        <c:crossAx val="131641344"/>
        <c:crosses val="autoZero"/>
        <c:auto val="1"/>
        <c:lblAlgn val="ctr"/>
        <c:lblOffset val="100"/>
        <c:noMultiLvlLbl val="0"/>
      </c:catAx>
      <c:valAx>
        <c:axId val="131641344"/>
        <c:scaling>
          <c:orientation val="minMax"/>
          <c:max val="3.5"/>
          <c:min val="0.5"/>
        </c:scaling>
        <c:delete val="0"/>
        <c:axPos val="l"/>
        <c:title>
          <c:tx>
            <c:rich>
              <a:bodyPr/>
              <a:lstStyle/>
              <a:p>
                <a:pPr>
                  <a:defRPr sz="900" b="1" i="0" u="none" strike="noStrike" baseline="0">
                    <a:solidFill>
                      <a:srgbClr val="000000"/>
                    </a:solidFill>
                    <a:latin typeface="Arial"/>
                    <a:ea typeface="Arial"/>
                    <a:cs typeface="Arial"/>
                  </a:defRPr>
                </a:pPr>
                <a:r>
                  <a:rPr lang="en-GB"/>
                  <a:t>Business R&amp;D intensity (%)</a:t>
                </a:r>
              </a:p>
            </c:rich>
          </c:tx>
          <c:layout/>
          <c:overlay val="0"/>
        </c:title>
        <c:numFmt formatCode="0.0" sourceLinked="0"/>
        <c:majorTickMark val="out"/>
        <c:minorTickMark val="none"/>
        <c:tickLblPos val="nextTo"/>
        <c:spPr>
          <a:ln w="25400">
            <a:solidFill>
              <a:schemeClr val="tx1"/>
            </a:solidFill>
          </a:ln>
        </c:spPr>
        <c:txPr>
          <a:bodyPr rot="0" vert="horz"/>
          <a:lstStyle/>
          <a:p>
            <a:pPr>
              <a:defRPr sz="900" b="1" i="0" u="none" strike="noStrike" baseline="0">
                <a:solidFill>
                  <a:srgbClr val="000000"/>
                </a:solidFill>
                <a:latin typeface="Arial"/>
                <a:ea typeface="Arial"/>
                <a:cs typeface="Arial"/>
              </a:defRPr>
            </a:pPr>
            <a:endParaRPr lang="en-US"/>
          </a:p>
        </c:txPr>
        <c:crossAx val="131639552"/>
        <c:crosses val="autoZero"/>
        <c:crossBetween val="between"/>
        <c:majorUnit val="0.5"/>
      </c:valAx>
      <c:spPr>
        <a:solidFill>
          <a:srgbClr val="EAEAEA"/>
        </a:solidFill>
      </c:spPr>
    </c:plotArea>
    <c:plotVisOnly val="1"/>
    <c:dispBlanksAs val="gap"/>
    <c:showDLblsOverMax val="0"/>
  </c:chart>
  <c:spPr>
    <a:noFill/>
    <a:ln>
      <a:noFill/>
    </a:ln>
  </c:spPr>
  <c:txPr>
    <a:bodyPr/>
    <a:lstStyle/>
    <a:p>
      <a:pPr>
        <a:defRPr sz="900" b="1"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Sheet1!$S$11</c:f>
              <c:strCache>
                <c:ptCount val="1"/>
                <c:pt idx="0">
                  <c:v>United States</c:v>
                </c:pt>
              </c:strCache>
            </c:strRef>
          </c:tx>
          <c:spPr>
            <a:solidFill>
              <a:srgbClr val="FF0000"/>
            </a:solidFill>
          </c:spPr>
          <c:invertIfNegative val="0"/>
          <c:dLbls>
            <c:dLbl>
              <c:idx val="9"/>
              <c:layout>
                <c:manualLayout>
                  <c:x val="0"/>
                  <c:y val="1.30718954248366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9B1-4D36-9459-F02C60B942A0}"/>
                </c:ext>
              </c:extLst>
            </c:dLbl>
            <c:numFmt formatCode="0.0" sourceLinked="0"/>
            <c:spPr>
              <a:noFill/>
              <a:ln>
                <a:noFill/>
              </a:ln>
              <a:effectLst/>
            </c:spPr>
            <c:txPr>
              <a:bodyPr/>
              <a:lstStyle/>
              <a:p>
                <a:pPr>
                  <a:defRPr sz="1000" b="1">
                    <a:latin typeface="Arial Narrow" panose="020B0606020202030204" pitchFamily="34" charset="0"/>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Sheet1!$T$10:$AC$10</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Sheet1!$T$11:$AC$11</c:f>
              <c:numCache>
                <c:formatCode>0.00</c:formatCode>
                <c:ptCount val="10"/>
                <c:pt idx="0">
                  <c:v>25.571349999999999</c:v>
                </c:pt>
                <c:pt idx="1">
                  <c:v>24.595559999999999</c:v>
                </c:pt>
                <c:pt idx="2">
                  <c:v>8.6273999999999997</c:v>
                </c:pt>
                <c:pt idx="3">
                  <c:v>15.0928</c:v>
                </c:pt>
                <c:pt idx="4">
                  <c:v>16.531479999999998</c:v>
                </c:pt>
                <c:pt idx="5">
                  <c:v>18.673439999999999</c:v>
                </c:pt>
                <c:pt idx="6">
                  <c:v>15.816360000000001</c:v>
                </c:pt>
                <c:pt idx="7">
                  <c:v>26.373899999999999</c:v>
                </c:pt>
                <c:pt idx="8">
                  <c:v>31.531500000000001</c:v>
                </c:pt>
                <c:pt idx="9">
                  <c:v>37.956240000000001</c:v>
                </c:pt>
              </c:numCache>
            </c:numRef>
          </c:val>
          <c:extLst xmlns:c16r2="http://schemas.microsoft.com/office/drawing/2015/06/chart">
            <c:ext xmlns:c16="http://schemas.microsoft.com/office/drawing/2014/chart" uri="{C3380CC4-5D6E-409C-BE32-E72D297353CC}">
              <c16:uniqueId val="{00000001-79B1-4D36-9459-F02C60B942A0}"/>
            </c:ext>
          </c:extLst>
        </c:ser>
        <c:ser>
          <c:idx val="1"/>
          <c:order val="1"/>
          <c:tx>
            <c:strRef>
              <c:f>Sheet1!$S$12</c:f>
              <c:strCache>
                <c:ptCount val="1"/>
                <c:pt idx="0">
                  <c:v>EU</c:v>
                </c:pt>
              </c:strCache>
            </c:strRef>
          </c:tx>
          <c:spPr>
            <a:solidFill>
              <a:schemeClr val="bg2">
                <a:lumMod val="50000"/>
              </a:schemeClr>
            </a:solidFill>
          </c:spPr>
          <c:invertIfNegative val="0"/>
          <c:dLbls>
            <c:numFmt formatCode="#,##0.0" sourceLinked="0"/>
            <c:txPr>
              <a:bodyPr/>
              <a:lstStyle/>
              <a:p>
                <a:pPr>
                  <a:defRPr b="1"/>
                </a:pPr>
                <a:endParaRPr lang="en-US"/>
              </a:p>
            </c:txPr>
            <c:showLegendKey val="0"/>
            <c:showVal val="1"/>
            <c:showCatName val="0"/>
            <c:showSerName val="0"/>
            <c:showPercent val="0"/>
            <c:showBubbleSize val="0"/>
            <c:showLeaderLines val="0"/>
          </c:dLbls>
          <c:cat>
            <c:numRef>
              <c:f>Sheet1!$T$10:$AC$10</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Sheet1!$T$12:$AC$12</c:f>
              <c:numCache>
                <c:formatCode>0.000</c:formatCode>
                <c:ptCount val="10"/>
                <c:pt idx="0">
                  <c:v>6.7152598893680802</c:v>
                </c:pt>
                <c:pt idx="1">
                  <c:v>4.5866474695968069</c:v>
                </c:pt>
                <c:pt idx="2">
                  <c:v>2.5681452048803139</c:v>
                </c:pt>
                <c:pt idx="3">
                  <c:v>3.3211534277983965</c:v>
                </c:pt>
                <c:pt idx="4">
                  <c:v>3.4750637905607169</c:v>
                </c:pt>
                <c:pt idx="5">
                  <c:v>3.1786559356210802</c:v>
                </c:pt>
                <c:pt idx="6">
                  <c:v>3.4541120814716191</c:v>
                </c:pt>
                <c:pt idx="7">
                  <c:v>4.8081125821272748</c:v>
                </c:pt>
                <c:pt idx="8">
                  <c:v>4.8987459911259013</c:v>
                </c:pt>
                <c:pt idx="9">
                  <c:v>6.0097959081582566</c:v>
                </c:pt>
              </c:numCache>
            </c:numRef>
          </c:val>
        </c:ser>
        <c:dLbls>
          <c:showLegendKey val="0"/>
          <c:showVal val="0"/>
          <c:showCatName val="0"/>
          <c:showSerName val="0"/>
          <c:showPercent val="0"/>
          <c:showBubbleSize val="0"/>
        </c:dLbls>
        <c:gapWidth val="50"/>
        <c:axId val="133576192"/>
        <c:axId val="133577728"/>
      </c:barChart>
      <c:catAx>
        <c:axId val="133576192"/>
        <c:scaling>
          <c:orientation val="minMax"/>
        </c:scaling>
        <c:delete val="0"/>
        <c:axPos val="b"/>
        <c:numFmt formatCode="General" sourceLinked="1"/>
        <c:majorTickMark val="none"/>
        <c:minorTickMark val="none"/>
        <c:tickLblPos val="nextTo"/>
        <c:spPr>
          <a:ln w="25400">
            <a:solidFill>
              <a:schemeClr val="tx1"/>
            </a:solidFill>
          </a:ln>
        </c:spPr>
        <c:txPr>
          <a:bodyPr/>
          <a:lstStyle/>
          <a:p>
            <a:pPr>
              <a:defRPr sz="900" b="1">
                <a:latin typeface="Arial" panose="020B0604020202020204" pitchFamily="34" charset="0"/>
                <a:cs typeface="Arial" panose="020B0604020202020204" pitchFamily="34" charset="0"/>
              </a:defRPr>
            </a:pPr>
            <a:endParaRPr lang="en-US"/>
          </a:p>
        </c:txPr>
        <c:crossAx val="133577728"/>
        <c:crosses val="autoZero"/>
        <c:auto val="1"/>
        <c:lblAlgn val="ctr"/>
        <c:lblOffset val="100"/>
        <c:noMultiLvlLbl val="0"/>
      </c:catAx>
      <c:valAx>
        <c:axId val="133577728"/>
        <c:scaling>
          <c:orientation val="minMax"/>
        </c:scaling>
        <c:delete val="0"/>
        <c:axPos val="l"/>
        <c:majorGridlines>
          <c:spPr>
            <a:ln>
              <a:solidFill>
                <a:schemeClr val="bg1"/>
              </a:solidFill>
            </a:ln>
          </c:spPr>
        </c:majorGridlines>
        <c:title>
          <c:tx>
            <c:rich>
              <a:bodyPr rot="-5400000" vert="horz"/>
              <a:lstStyle/>
              <a:p>
                <a:pPr>
                  <a:defRPr sz="900">
                    <a:latin typeface="Arial" panose="020B0604020202020204" pitchFamily="34" charset="0"/>
                    <a:cs typeface="Arial" panose="020B0604020202020204" pitchFamily="34" charset="0"/>
                  </a:defRPr>
                </a:pPr>
                <a:r>
                  <a:rPr lang="en-GB" sz="900">
                    <a:latin typeface="Arial" panose="020B0604020202020204" pitchFamily="34" charset="0"/>
                    <a:cs typeface="Arial" panose="020B0604020202020204" pitchFamily="34" charset="0"/>
                  </a:rPr>
                  <a:t>billion euro</a:t>
                </a:r>
              </a:p>
            </c:rich>
          </c:tx>
          <c:layout/>
          <c:overlay val="0"/>
        </c:title>
        <c:numFmt formatCode="0" sourceLinked="0"/>
        <c:majorTickMark val="out"/>
        <c:minorTickMark val="none"/>
        <c:tickLblPos val="nextTo"/>
        <c:spPr>
          <a:ln w="25400">
            <a:solidFill>
              <a:schemeClr val="tx1"/>
            </a:solidFill>
          </a:ln>
        </c:spPr>
        <c:txPr>
          <a:bodyPr/>
          <a:lstStyle/>
          <a:p>
            <a:pPr>
              <a:defRPr sz="900" b="1">
                <a:latin typeface="Arial" panose="020B0604020202020204" pitchFamily="34" charset="0"/>
                <a:cs typeface="Arial" panose="020B0604020202020204" pitchFamily="34" charset="0"/>
              </a:defRPr>
            </a:pPr>
            <a:endParaRPr lang="en-US"/>
          </a:p>
        </c:txPr>
        <c:crossAx val="133576192"/>
        <c:crosses val="autoZero"/>
        <c:crossBetween val="between"/>
      </c:valAx>
      <c:spPr>
        <a:solidFill>
          <a:srgbClr val="EAEAEA"/>
        </a:solidFill>
      </c:spPr>
    </c:plotArea>
    <c:legend>
      <c:legendPos val="t"/>
      <c:layout/>
      <c:overlay val="0"/>
      <c:txPr>
        <a:bodyPr/>
        <a:lstStyle/>
        <a:p>
          <a:pPr>
            <a:defRPr b="1"/>
          </a:pPr>
          <a:endParaRPr lang="en-US"/>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'Digital skills'!$O$4</c:f>
              <c:strCache>
                <c:ptCount val="1"/>
                <c:pt idx="0">
                  <c:v>No skills</c:v>
                </c:pt>
              </c:strCache>
            </c:strRef>
          </c:tx>
          <c:invertIfNegative val="0"/>
          <c:cat>
            <c:strRef>
              <c:f>'Digital skills'!$N$5:$N$33</c:f>
              <c:strCache>
                <c:ptCount val="29"/>
                <c:pt idx="0">
                  <c:v>LU</c:v>
                </c:pt>
                <c:pt idx="1">
                  <c:v>DK</c:v>
                </c:pt>
                <c:pt idx="2">
                  <c:v>NL</c:v>
                </c:pt>
                <c:pt idx="3">
                  <c:v>FI</c:v>
                </c:pt>
                <c:pt idx="4">
                  <c:v>UK</c:v>
                </c:pt>
                <c:pt idx="5">
                  <c:v>SE</c:v>
                </c:pt>
                <c:pt idx="6">
                  <c:v>EE</c:v>
                </c:pt>
                <c:pt idx="7">
                  <c:v>DE</c:v>
                </c:pt>
                <c:pt idx="8">
                  <c:v>BE</c:v>
                </c:pt>
                <c:pt idx="9">
                  <c:v>FR</c:v>
                </c:pt>
                <c:pt idx="10">
                  <c:v>AT</c:v>
                </c:pt>
                <c:pt idx="11">
                  <c:v>CZ</c:v>
                </c:pt>
                <c:pt idx="12">
                  <c:v>IE</c:v>
                </c:pt>
                <c:pt idx="13">
                  <c:v>LV</c:v>
                </c:pt>
                <c:pt idx="14">
                  <c:v>EU28</c:v>
                </c:pt>
                <c:pt idx="15">
                  <c:v>SK</c:v>
                </c:pt>
                <c:pt idx="16">
                  <c:v>ES</c:v>
                </c:pt>
                <c:pt idx="17">
                  <c:v>MT</c:v>
                </c:pt>
                <c:pt idx="18">
                  <c:v>HU</c:v>
                </c:pt>
                <c:pt idx="19">
                  <c:v>SI</c:v>
                </c:pt>
                <c:pt idx="20">
                  <c:v>CY</c:v>
                </c:pt>
                <c:pt idx="21">
                  <c:v>LT</c:v>
                </c:pt>
                <c:pt idx="22">
                  <c:v>HR</c:v>
                </c:pt>
                <c:pt idx="23">
                  <c:v>PT</c:v>
                </c:pt>
                <c:pt idx="24">
                  <c:v>PL</c:v>
                </c:pt>
                <c:pt idx="25">
                  <c:v>EL</c:v>
                </c:pt>
                <c:pt idx="26">
                  <c:v>IT</c:v>
                </c:pt>
                <c:pt idx="27">
                  <c:v>BG</c:v>
                </c:pt>
                <c:pt idx="28">
                  <c:v>RO</c:v>
                </c:pt>
              </c:strCache>
            </c:strRef>
          </c:cat>
          <c:val>
            <c:numRef>
              <c:f>'Digital skills'!$O$5:$O$33</c:f>
              <c:numCache>
                <c:formatCode>0.00%</c:formatCode>
                <c:ptCount val="29"/>
                <c:pt idx="0">
                  <c:v>2.9352E-2</c:v>
                </c:pt>
                <c:pt idx="1">
                  <c:v>4.8586999999999998E-2</c:v>
                </c:pt>
                <c:pt idx="2">
                  <c:v>7.3339000000000001E-2</c:v>
                </c:pt>
                <c:pt idx="3">
                  <c:v>7.6827999999999994E-2</c:v>
                </c:pt>
                <c:pt idx="4">
                  <c:v>8.5388000000000006E-2</c:v>
                </c:pt>
                <c:pt idx="5">
                  <c:v>0.110624</c:v>
                </c:pt>
                <c:pt idx="6">
                  <c:v>0.123046</c:v>
                </c:pt>
                <c:pt idx="7">
                  <c:v>0.12631899999999999</c:v>
                </c:pt>
                <c:pt idx="8">
                  <c:v>0.153174</c:v>
                </c:pt>
                <c:pt idx="9">
                  <c:v>0.155783</c:v>
                </c:pt>
                <c:pt idx="10">
                  <c:v>0.17041100000000001</c:v>
                </c:pt>
                <c:pt idx="11">
                  <c:v>0.199326</c:v>
                </c:pt>
                <c:pt idx="12">
                  <c:v>0.207538</c:v>
                </c:pt>
                <c:pt idx="13">
                  <c:v>0.21327499999999999</c:v>
                </c:pt>
                <c:pt idx="14">
                  <c:v>0.21370800000000001</c:v>
                </c:pt>
                <c:pt idx="15">
                  <c:v>0.226054</c:v>
                </c:pt>
                <c:pt idx="16">
                  <c:v>0.23271900000000001</c:v>
                </c:pt>
                <c:pt idx="17">
                  <c:v>0.246584</c:v>
                </c:pt>
                <c:pt idx="18">
                  <c:v>0.27238600000000002</c:v>
                </c:pt>
                <c:pt idx="19">
                  <c:v>0.27717399999999998</c:v>
                </c:pt>
                <c:pt idx="20">
                  <c:v>0.290047</c:v>
                </c:pt>
                <c:pt idx="21">
                  <c:v>0.292597</c:v>
                </c:pt>
                <c:pt idx="22">
                  <c:v>0.31020700000000001</c:v>
                </c:pt>
                <c:pt idx="23">
                  <c:v>0.324291</c:v>
                </c:pt>
                <c:pt idx="24">
                  <c:v>0.33151999999999998</c:v>
                </c:pt>
                <c:pt idx="25">
                  <c:v>0.338364</c:v>
                </c:pt>
                <c:pt idx="26">
                  <c:v>0.36078900000000003</c:v>
                </c:pt>
                <c:pt idx="27">
                  <c:v>0.43708200000000003</c:v>
                </c:pt>
                <c:pt idx="28">
                  <c:v>0.44236799999999998</c:v>
                </c:pt>
              </c:numCache>
            </c:numRef>
          </c:val>
        </c:ser>
        <c:ser>
          <c:idx val="1"/>
          <c:order val="1"/>
          <c:tx>
            <c:strRef>
              <c:f>'Digital skills'!$P$4</c:f>
              <c:strCache>
                <c:ptCount val="1"/>
                <c:pt idx="0">
                  <c:v>Low</c:v>
                </c:pt>
              </c:strCache>
            </c:strRef>
          </c:tx>
          <c:invertIfNegative val="0"/>
          <c:cat>
            <c:strRef>
              <c:f>'Digital skills'!$N$5:$N$33</c:f>
              <c:strCache>
                <c:ptCount val="29"/>
                <c:pt idx="0">
                  <c:v>LU</c:v>
                </c:pt>
                <c:pt idx="1">
                  <c:v>DK</c:v>
                </c:pt>
                <c:pt idx="2">
                  <c:v>NL</c:v>
                </c:pt>
                <c:pt idx="3">
                  <c:v>FI</c:v>
                </c:pt>
                <c:pt idx="4">
                  <c:v>UK</c:v>
                </c:pt>
                <c:pt idx="5">
                  <c:v>SE</c:v>
                </c:pt>
                <c:pt idx="6">
                  <c:v>EE</c:v>
                </c:pt>
                <c:pt idx="7">
                  <c:v>DE</c:v>
                </c:pt>
                <c:pt idx="8">
                  <c:v>BE</c:v>
                </c:pt>
                <c:pt idx="9">
                  <c:v>FR</c:v>
                </c:pt>
                <c:pt idx="10">
                  <c:v>AT</c:v>
                </c:pt>
                <c:pt idx="11">
                  <c:v>CZ</c:v>
                </c:pt>
                <c:pt idx="12">
                  <c:v>IE</c:v>
                </c:pt>
                <c:pt idx="13">
                  <c:v>LV</c:v>
                </c:pt>
                <c:pt idx="14">
                  <c:v>EU28</c:v>
                </c:pt>
                <c:pt idx="15">
                  <c:v>SK</c:v>
                </c:pt>
                <c:pt idx="16">
                  <c:v>ES</c:v>
                </c:pt>
                <c:pt idx="17">
                  <c:v>MT</c:v>
                </c:pt>
                <c:pt idx="18">
                  <c:v>HU</c:v>
                </c:pt>
                <c:pt idx="19">
                  <c:v>SI</c:v>
                </c:pt>
                <c:pt idx="20">
                  <c:v>CY</c:v>
                </c:pt>
                <c:pt idx="21">
                  <c:v>LT</c:v>
                </c:pt>
                <c:pt idx="22">
                  <c:v>HR</c:v>
                </c:pt>
                <c:pt idx="23">
                  <c:v>PT</c:v>
                </c:pt>
                <c:pt idx="24">
                  <c:v>PL</c:v>
                </c:pt>
                <c:pt idx="25">
                  <c:v>EL</c:v>
                </c:pt>
                <c:pt idx="26">
                  <c:v>IT</c:v>
                </c:pt>
                <c:pt idx="27">
                  <c:v>BG</c:v>
                </c:pt>
                <c:pt idx="28">
                  <c:v>RO</c:v>
                </c:pt>
              </c:strCache>
            </c:strRef>
          </c:cat>
          <c:val>
            <c:numRef>
              <c:f>'Digital skills'!$P$5:$P$33</c:f>
              <c:numCache>
                <c:formatCode>0.00%</c:formatCode>
                <c:ptCount val="29"/>
                <c:pt idx="0">
                  <c:v>0.10852000000000001</c:v>
                </c:pt>
                <c:pt idx="1">
                  <c:v>0.202295</c:v>
                </c:pt>
                <c:pt idx="2">
                  <c:v>0.202374</c:v>
                </c:pt>
                <c:pt idx="3">
                  <c:v>0.17055000000000001</c:v>
                </c:pt>
                <c:pt idx="4">
                  <c:v>0.24196000000000001</c:v>
                </c:pt>
                <c:pt idx="5">
                  <c:v>0.17355899999999999</c:v>
                </c:pt>
                <c:pt idx="6">
                  <c:v>0.23180700000000001</c:v>
                </c:pt>
                <c:pt idx="7">
                  <c:v>0.20994199999999999</c:v>
                </c:pt>
                <c:pt idx="8">
                  <c:v>0.24396599999999999</c:v>
                </c:pt>
                <c:pt idx="9">
                  <c:v>0.27639000000000002</c:v>
                </c:pt>
                <c:pt idx="10">
                  <c:v>0.189555</c:v>
                </c:pt>
                <c:pt idx="11">
                  <c:v>0.231739</c:v>
                </c:pt>
                <c:pt idx="12">
                  <c:v>0.34863899999999998</c:v>
                </c:pt>
                <c:pt idx="13">
                  <c:v>0.29476000000000002</c:v>
                </c:pt>
                <c:pt idx="14">
                  <c:v>0.23343700000000001</c:v>
                </c:pt>
                <c:pt idx="15">
                  <c:v>0.242482</c:v>
                </c:pt>
                <c:pt idx="16">
                  <c:v>0.22831099999999999</c:v>
                </c:pt>
                <c:pt idx="17">
                  <c:v>0.234204</c:v>
                </c:pt>
                <c:pt idx="18">
                  <c:v>0.232409</c:v>
                </c:pt>
                <c:pt idx="19">
                  <c:v>0.213782</c:v>
                </c:pt>
                <c:pt idx="20">
                  <c:v>0.28445599999999999</c:v>
                </c:pt>
                <c:pt idx="21">
                  <c:v>0.195044</c:v>
                </c:pt>
                <c:pt idx="22">
                  <c:v>0.180668</c:v>
                </c:pt>
                <c:pt idx="23">
                  <c:v>0.19941999999999999</c:v>
                </c:pt>
                <c:pt idx="24">
                  <c:v>0.26806099999999999</c:v>
                </c:pt>
                <c:pt idx="25">
                  <c:v>0.22151199999999999</c:v>
                </c:pt>
                <c:pt idx="26">
                  <c:v>0.20619499999999999</c:v>
                </c:pt>
                <c:pt idx="27">
                  <c:v>0.25076100000000001</c:v>
                </c:pt>
                <c:pt idx="28">
                  <c:v>0.29486099999999998</c:v>
                </c:pt>
              </c:numCache>
            </c:numRef>
          </c:val>
        </c:ser>
        <c:ser>
          <c:idx val="2"/>
          <c:order val="2"/>
          <c:tx>
            <c:strRef>
              <c:f>'Digital skills'!$Q$4</c:f>
              <c:strCache>
                <c:ptCount val="1"/>
                <c:pt idx="0">
                  <c:v>Basic</c:v>
                </c:pt>
              </c:strCache>
            </c:strRef>
          </c:tx>
          <c:invertIfNegative val="0"/>
          <c:cat>
            <c:strRef>
              <c:f>'Digital skills'!$N$5:$N$33</c:f>
              <c:strCache>
                <c:ptCount val="29"/>
                <c:pt idx="0">
                  <c:v>LU</c:v>
                </c:pt>
                <c:pt idx="1">
                  <c:v>DK</c:v>
                </c:pt>
                <c:pt idx="2">
                  <c:v>NL</c:v>
                </c:pt>
                <c:pt idx="3">
                  <c:v>FI</c:v>
                </c:pt>
                <c:pt idx="4">
                  <c:v>UK</c:v>
                </c:pt>
                <c:pt idx="5">
                  <c:v>SE</c:v>
                </c:pt>
                <c:pt idx="6">
                  <c:v>EE</c:v>
                </c:pt>
                <c:pt idx="7">
                  <c:v>DE</c:v>
                </c:pt>
                <c:pt idx="8">
                  <c:v>BE</c:v>
                </c:pt>
                <c:pt idx="9">
                  <c:v>FR</c:v>
                </c:pt>
                <c:pt idx="10">
                  <c:v>AT</c:v>
                </c:pt>
                <c:pt idx="11">
                  <c:v>CZ</c:v>
                </c:pt>
                <c:pt idx="12">
                  <c:v>IE</c:v>
                </c:pt>
                <c:pt idx="13">
                  <c:v>LV</c:v>
                </c:pt>
                <c:pt idx="14">
                  <c:v>EU28</c:v>
                </c:pt>
                <c:pt idx="15">
                  <c:v>SK</c:v>
                </c:pt>
                <c:pt idx="16">
                  <c:v>ES</c:v>
                </c:pt>
                <c:pt idx="17">
                  <c:v>MT</c:v>
                </c:pt>
                <c:pt idx="18">
                  <c:v>HU</c:v>
                </c:pt>
                <c:pt idx="19">
                  <c:v>SI</c:v>
                </c:pt>
                <c:pt idx="20">
                  <c:v>CY</c:v>
                </c:pt>
                <c:pt idx="21">
                  <c:v>LT</c:v>
                </c:pt>
                <c:pt idx="22">
                  <c:v>HR</c:v>
                </c:pt>
                <c:pt idx="23">
                  <c:v>PT</c:v>
                </c:pt>
                <c:pt idx="24">
                  <c:v>PL</c:v>
                </c:pt>
                <c:pt idx="25">
                  <c:v>EL</c:v>
                </c:pt>
                <c:pt idx="26">
                  <c:v>IT</c:v>
                </c:pt>
                <c:pt idx="27">
                  <c:v>BG</c:v>
                </c:pt>
                <c:pt idx="28">
                  <c:v>RO</c:v>
                </c:pt>
              </c:strCache>
            </c:strRef>
          </c:cat>
          <c:val>
            <c:numRef>
              <c:f>'Digital skills'!$Q$5:$Q$33</c:f>
              <c:numCache>
                <c:formatCode>0.00%</c:formatCode>
                <c:ptCount val="29"/>
                <c:pt idx="0">
                  <c:v>0.303199</c:v>
                </c:pt>
                <c:pt idx="1">
                  <c:v>0.264511</c:v>
                </c:pt>
                <c:pt idx="2">
                  <c:v>0.299128</c:v>
                </c:pt>
                <c:pt idx="3">
                  <c:v>0.33445999999999998</c:v>
                </c:pt>
                <c:pt idx="4">
                  <c:v>0.27408300000000002</c:v>
                </c:pt>
                <c:pt idx="5">
                  <c:v>0.36345899999999998</c:v>
                </c:pt>
                <c:pt idx="6">
                  <c:v>0.27074199999999998</c:v>
                </c:pt>
                <c:pt idx="7">
                  <c:v>0.31076599999999999</c:v>
                </c:pt>
                <c:pt idx="8">
                  <c:v>0.29156700000000002</c:v>
                </c:pt>
                <c:pt idx="9">
                  <c:v>0.29931400000000002</c:v>
                </c:pt>
                <c:pt idx="10">
                  <c:v>0.31210199999999999</c:v>
                </c:pt>
                <c:pt idx="11">
                  <c:v>0.33965099999999998</c:v>
                </c:pt>
                <c:pt idx="12">
                  <c:v>0.19370299999999999</c:v>
                </c:pt>
                <c:pt idx="13">
                  <c:v>0.23658000000000001</c:v>
                </c:pt>
                <c:pt idx="14">
                  <c:v>0.27043699999999998</c:v>
                </c:pt>
                <c:pt idx="15">
                  <c:v>0.27072400000000002</c:v>
                </c:pt>
                <c:pt idx="16">
                  <c:v>0.238734</c:v>
                </c:pt>
                <c:pt idx="17">
                  <c:v>0.180704</c:v>
                </c:pt>
                <c:pt idx="18">
                  <c:v>0.27097900000000003</c:v>
                </c:pt>
                <c:pt idx="19">
                  <c:v>0.25284000000000001</c:v>
                </c:pt>
                <c:pt idx="20">
                  <c:v>0.27193099999999998</c:v>
                </c:pt>
                <c:pt idx="21">
                  <c:v>0.20948700000000001</c:v>
                </c:pt>
                <c:pt idx="22">
                  <c:v>0.20632800000000001</c:v>
                </c:pt>
                <c:pt idx="23">
                  <c:v>0.19750300000000001</c:v>
                </c:pt>
                <c:pt idx="24">
                  <c:v>0.24976000000000001</c:v>
                </c:pt>
                <c:pt idx="25">
                  <c:v>0.27905799999999997</c:v>
                </c:pt>
                <c:pt idx="26">
                  <c:v>0.23980599999999999</c:v>
                </c:pt>
                <c:pt idx="27">
                  <c:v>0.184645</c:v>
                </c:pt>
                <c:pt idx="28">
                  <c:v>0.17304900000000001</c:v>
                </c:pt>
              </c:numCache>
            </c:numRef>
          </c:val>
        </c:ser>
        <c:ser>
          <c:idx val="3"/>
          <c:order val="3"/>
          <c:tx>
            <c:strRef>
              <c:f>'Digital skills'!$R$4</c:f>
              <c:strCache>
                <c:ptCount val="1"/>
                <c:pt idx="0">
                  <c:v>Above basic</c:v>
                </c:pt>
              </c:strCache>
            </c:strRef>
          </c:tx>
          <c:invertIfNegative val="0"/>
          <c:cat>
            <c:strRef>
              <c:f>'Digital skills'!$N$5:$N$33</c:f>
              <c:strCache>
                <c:ptCount val="29"/>
                <c:pt idx="0">
                  <c:v>LU</c:v>
                </c:pt>
                <c:pt idx="1">
                  <c:v>DK</c:v>
                </c:pt>
                <c:pt idx="2">
                  <c:v>NL</c:v>
                </c:pt>
                <c:pt idx="3">
                  <c:v>FI</c:v>
                </c:pt>
                <c:pt idx="4">
                  <c:v>UK</c:v>
                </c:pt>
                <c:pt idx="5">
                  <c:v>SE</c:v>
                </c:pt>
                <c:pt idx="6">
                  <c:v>EE</c:v>
                </c:pt>
                <c:pt idx="7">
                  <c:v>DE</c:v>
                </c:pt>
                <c:pt idx="8">
                  <c:v>BE</c:v>
                </c:pt>
                <c:pt idx="9">
                  <c:v>FR</c:v>
                </c:pt>
                <c:pt idx="10">
                  <c:v>AT</c:v>
                </c:pt>
                <c:pt idx="11">
                  <c:v>CZ</c:v>
                </c:pt>
                <c:pt idx="12">
                  <c:v>IE</c:v>
                </c:pt>
                <c:pt idx="13">
                  <c:v>LV</c:v>
                </c:pt>
                <c:pt idx="14">
                  <c:v>EU28</c:v>
                </c:pt>
                <c:pt idx="15">
                  <c:v>SK</c:v>
                </c:pt>
                <c:pt idx="16">
                  <c:v>ES</c:v>
                </c:pt>
                <c:pt idx="17">
                  <c:v>MT</c:v>
                </c:pt>
                <c:pt idx="18">
                  <c:v>HU</c:v>
                </c:pt>
                <c:pt idx="19">
                  <c:v>SI</c:v>
                </c:pt>
                <c:pt idx="20">
                  <c:v>CY</c:v>
                </c:pt>
                <c:pt idx="21">
                  <c:v>LT</c:v>
                </c:pt>
                <c:pt idx="22">
                  <c:v>HR</c:v>
                </c:pt>
                <c:pt idx="23">
                  <c:v>PT</c:v>
                </c:pt>
                <c:pt idx="24">
                  <c:v>PL</c:v>
                </c:pt>
                <c:pt idx="25">
                  <c:v>EL</c:v>
                </c:pt>
                <c:pt idx="26">
                  <c:v>IT</c:v>
                </c:pt>
                <c:pt idx="27">
                  <c:v>BG</c:v>
                </c:pt>
                <c:pt idx="28">
                  <c:v>RO</c:v>
                </c:pt>
              </c:strCache>
            </c:strRef>
          </c:cat>
          <c:val>
            <c:numRef>
              <c:f>'Digital skills'!$R$5:$R$33</c:f>
              <c:numCache>
                <c:formatCode>0.00%</c:formatCode>
                <c:ptCount val="29"/>
                <c:pt idx="0">
                  <c:v>0.55892900000000001</c:v>
                </c:pt>
                <c:pt idx="1">
                  <c:v>0.48460700000000001</c:v>
                </c:pt>
                <c:pt idx="2">
                  <c:v>0.42515900000000001</c:v>
                </c:pt>
                <c:pt idx="3">
                  <c:v>0.41816199999999998</c:v>
                </c:pt>
                <c:pt idx="4">
                  <c:v>0.39856900000000001</c:v>
                </c:pt>
                <c:pt idx="5">
                  <c:v>0.352358</c:v>
                </c:pt>
                <c:pt idx="6">
                  <c:v>0.37440499999999999</c:v>
                </c:pt>
                <c:pt idx="7">
                  <c:v>0.35297299999999998</c:v>
                </c:pt>
                <c:pt idx="8">
                  <c:v>0.31129299999999999</c:v>
                </c:pt>
                <c:pt idx="9">
                  <c:v>0.268513</c:v>
                </c:pt>
                <c:pt idx="10">
                  <c:v>0.327932</c:v>
                </c:pt>
                <c:pt idx="11">
                  <c:v>0.22928399999999999</c:v>
                </c:pt>
                <c:pt idx="12">
                  <c:v>0.25012000000000001</c:v>
                </c:pt>
                <c:pt idx="13">
                  <c:v>0.25538499999999997</c:v>
                </c:pt>
                <c:pt idx="14">
                  <c:v>0.282418</c:v>
                </c:pt>
                <c:pt idx="15">
                  <c:v>0.26074000000000003</c:v>
                </c:pt>
                <c:pt idx="16">
                  <c:v>0.300236</c:v>
                </c:pt>
                <c:pt idx="17">
                  <c:v>0.33850799999999998</c:v>
                </c:pt>
                <c:pt idx="18">
                  <c:v>0.22422600000000001</c:v>
                </c:pt>
                <c:pt idx="19">
                  <c:v>0.25620399999999999</c:v>
                </c:pt>
                <c:pt idx="20">
                  <c:v>0.15356600000000001</c:v>
                </c:pt>
                <c:pt idx="21">
                  <c:v>0.30287199999999997</c:v>
                </c:pt>
                <c:pt idx="22">
                  <c:v>0.30279699999999998</c:v>
                </c:pt>
                <c:pt idx="23">
                  <c:v>0.27878599999999998</c:v>
                </c:pt>
                <c:pt idx="24">
                  <c:v>0.15065899999999999</c:v>
                </c:pt>
                <c:pt idx="25">
                  <c:v>0.16106599999999999</c:v>
                </c:pt>
                <c:pt idx="26">
                  <c:v>0.19320999999999999</c:v>
                </c:pt>
                <c:pt idx="27">
                  <c:v>0.12751199999999999</c:v>
                </c:pt>
                <c:pt idx="28">
                  <c:v>8.9721999999999996E-2</c:v>
                </c:pt>
              </c:numCache>
            </c:numRef>
          </c:val>
        </c:ser>
        <c:dLbls>
          <c:showLegendKey val="0"/>
          <c:showVal val="0"/>
          <c:showCatName val="0"/>
          <c:showSerName val="0"/>
          <c:showPercent val="0"/>
          <c:showBubbleSize val="0"/>
        </c:dLbls>
        <c:gapWidth val="150"/>
        <c:shape val="box"/>
        <c:axId val="133616384"/>
        <c:axId val="133617920"/>
        <c:axId val="0"/>
      </c:bar3DChart>
      <c:catAx>
        <c:axId val="133616384"/>
        <c:scaling>
          <c:orientation val="minMax"/>
        </c:scaling>
        <c:delete val="0"/>
        <c:axPos val="b"/>
        <c:numFmt formatCode="General" sourceLinked="1"/>
        <c:majorTickMark val="out"/>
        <c:minorTickMark val="none"/>
        <c:tickLblPos val="nextTo"/>
        <c:crossAx val="133617920"/>
        <c:crosses val="autoZero"/>
        <c:auto val="1"/>
        <c:lblAlgn val="ctr"/>
        <c:lblOffset val="100"/>
        <c:noMultiLvlLbl val="0"/>
      </c:catAx>
      <c:valAx>
        <c:axId val="133617920"/>
        <c:scaling>
          <c:orientation val="minMax"/>
        </c:scaling>
        <c:delete val="0"/>
        <c:axPos val="l"/>
        <c:majorGridlines/>
        <c:numFmt formatCode="0.00%" sourceLinked="1"/>
        <c:majorTickMark val="out"/>
        <c:minorTickMark val="none"/>
        <c:tickLblPos val="nextTo"/>
        <c:crossAx val="133616384"/>
        <c:crosses val="autoZero"/>
        <c:crossBetween val="between"/>
      </c:valAx>
      <c:spPr>
        <a:noFill/>
        <a:ln w="25400">
          <a:noFill/>
        </a:ln>
      </c:spPr>
    </c:plotArea>
    <c:legend>
      <c:legendPos val="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EBE9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EBE9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Elemental">
    <a:dk1>
      <a:sysClr val="windowText" lastClr="000000"/>
    </a:dk1>
    <a:lt1>
      <a:sysClr val="window" lastClr="EBE9EA"/>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C3100-A52D-47E2-9BAC-AEDBE913D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5698</Words>
  <Characters>32344</Characters>
  <Application>Microsoft Office Word</Application>
  <DocSecurity>0</DocSecurity>
  <Lines>512</Lines>
  <Paragraphs>113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2018-05-14T10:05:00Z</dcterms:created>
  <dcterms:modified xsi:type="dcterms:W3CDTF">2018-05-14T16:51:00Z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ies>
</file>