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0B44396-D8A4-400B-B392-A7177CAF71EA" style="width:450.8pt;height:422.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Спогодбата за международни случайни превози на пътници, извършвани с автобуси (Интербус)</w:t>
      </w:r>
      <w:r>
        <w:rPr>
          <w:rStyle w:val="FootnoteReference"/>
          <w:noProof/>
        </w:rPr>
        <w:footnoteReference w:id="1"/>
      </w:r>
      <w:r>
        <w:rPr>
          <w:noProof/>
        </w:rPr>
        <w:t xml:space="preserve"> е в сила от 1 януари 2003 г. По-късно спогодбата беше актуализирана с Решение № 1/2011</w:t>
      </w:r>
      <w:r>
        <w:rPr>
          <w:rStyle w:val="FootnoteReference"/>
          <w:noProof/>
        </w:rPr>
        <w:footnoteReference w:id="2"/>
      </w:r>
      <w:r>
        <w:rPr>
          <w:noProof/>
        </w:rPr>
        <w:t xml:space="preserve"> на смесения комитет, създаден по силата на член 23 от спогодбата.</w:t>
      </w:r>
    </w:p>
    <w:p>
      <w:pPr>
        <w:pBdr>
          <w:top w:val="nil"/>
          <w:left w:val="nil"/>
          <w:bottom w:val="nil"/>
          <w:right w:val="nil"/>
          <w:between w:val="nil"/>
          <w:bar w:val="nil"/>
        </w:pBdr>
        <w:spacing w:before="0" w:after="240"/>
        <w:rPr>
          <w:noProof/>
        </w:rPr>
      </w:pPr>
      <w:r>
        <w:rPr>
          <w:noProof/>
        </w:rPr>
        <w:t>Географският обхват на спогодбата Интербус е ограничен до страните членки на Европейската конференция на министрите на транспорта (ECMT). Освен  Европейския съюз, Република Албания, Босна и Херцеговина, бившата югославска република Македония, Република Молдова, Черна гора, Република Турция и Украйна понастоящем са договарящи страни по спогодбата. Други членове на ECMT могат да се присъединят към спогодбата.</w:t>
      </w:r>
    </w:p>
    <w:p>
      <w:pPr>
        <w:pBdr>
          <w:top w:val="nil"/>
          <w:left w:val="nil"/>
          <w:bottom w:val="nil"/>
          <w:right w:val="nil"/>
          <w:between w:val="nil"/>
          <w:bar w:val="nil"/>
        </w:pBdr>
        <w:spacing w:before="0"/>
        <w:rPr>
          <w:noProof/>
          <w:szCs w:val="24"/>
        </w:rPr>
      </w:pPr>
      <w:r>
        <w:rPr>
          <w:noProof/>
        </w:rPr>
        <w:t>На 5 декември 2014 г. Съветът упълномощи Комисията да започне преговори за изменение на спогодбата Интербус с оглед на разширяването на географския ѝ обхват върху Кралство Мароко.</w:t>
      </w:r>
    </w:p>
    <w:p>
      <w:pPr>
        <w:pBdr>
          <w:top w:val="nil"/>
          <w:left w:val="nil"/>
          <w:bottom w:val="nil"/>
          <w:right w:val="nil"/>
          <w:between w:val="nil"/>
          <w:bar w:val="nil"/>
        </w:pBdr>
        <w:spacing w:before="0" w:after="240"/>
        <w:rPr>
          <w:noProof/>
          <w:szCs w:val="24"/>
        </w:rPr>
      </w:pPr>
      <w:r>
        <w:rPr>
          <w:noProof/>
        </w:rPr>
        <w:t>Бяха проведени три сесии за преговори с договарящите страни, в консултация със специален комитет, определен от Съвета. Държавите членки бяха поканени да участват като експерти във всяка от сесиите.</w:t>
      </w:r>
    </w:p>
    <w:p>
      <w:pPr>
        <w:autoSpaceDE w:val="0"/>
        <w:autoSpaceDN w:val="0"/>
        <w:adjustRightInd w:val="0"/>
        <w:spacing w:before="0" w:after="240"/>
        <w:rPr>
          <w:noProof/>
          <w:szCs w:val="24"/>
        </w:rPr>
      </w:pPr>
      <w:r>
        <w:rPr>
          <w:noProof/>
        </w:rPr>
        <w:t xml:space="preserve">На срещата си на 10 ноември 2017 г. присъстващите договарящи страни се споразумяха по стабилен и окончателен текст. Беше договорен период за подписване. Присъстваха три договарящи страни от Източна и Югоизточна Европа (Република Молдова, Черна гора и Украйна). Освен това, две договарящи страни (Албания и Турция) вече бяха изразили в писмена форма положителното си становище по текста. </w:t>
      </w:r>
    </w:p>
    <w:p>
      <w:pPr>
        <w:spacing w:line="280" w:lineRule="atLeast"/>
        <w:rPr>
          <w:noProof/>
          <w:szCs w:val="24"/>
        </w:rPr>
      </w:pPr>
      <w:r>
        <w:rPr>
          <w:noProof/>
        </w:rPr>
        <w:t>Спогодбата Интербус е отворена за присъединяване на държави, които са пълноправни членове на ECMT. Кралство Мароко не е пълноправен член, а има статут на наблюдател в ECMT от 2006 г.</w:t>
      </w:r>
    </w:p>
    <w:p>
      <w:pPr>
        <w:spacing w:line="280" w:lineRule="atLeast"/>
        <w:rPr>
          <w:noProof/>
          <w:szCs w:val="24"/>
        </w:rPr>
      </w:pPr>
      <w:r>
        <w:rPr>
          <w:noProof/>
        </w:rPr>
        <w:t>Спогодбата следва да предвижда ясно правно основание за присъединяването на Кралство Мароко. От наличните документи Комисията не може да допусне, че МТФ, създаден през май 2006 г. от министрите от 43 държави, е заменил и станал правоприемник на ECMT, което би позволило присъединяване към спогодбата от всеки член на МТФ съгласно член 30, параграф 1 от спогодбата.</w:t>
      </w:r>
    </w:p>
    <w:p>
      <w:pPr>
        <w:pBdr>
          <w:top w:val="nil"/>
          <w:left w:val="nil"/>
          <w:bottom w:val="nil"/>
          <w:right w:val="nil"/>
          <w:between w:val="nil"/>
          <w:bar w:val="nil"/>
        </w:pBdr>
        <w:spacing w:before="0" w:after="240"/>
        <w:rPr>
          <w:noProof/>
          <w:szCs w:val="24"/>
        </w:rPr>
      </w:pPr>
      <w:r>
        <w:rPr>
          <w:noProof/>
        </w:rPr>
        <w:t xml:space="preserve">В приложения проект на протокол се добавя Кралство Мароко към списъка на страните, посочени в член 30, параграф 2, които могат да се присъединяват към спогодбата Интербус. В член 30, параграф 2 вече са посочени Република Сан Марино, Княжество Андора и Княжество Монако. </w:t>
      </w:r>
    </w:p>
    <w:p>
      <w:pPr>
        <w:pBdr>
          <w:top w:val="nil"/>
          <w:left w:val="nil"/>
          <w:bottom w:val="nil"/>
          <w:right w:val="nil"/>
          <w:between w:val="nil"/>
          <w:bar w:val="nil"/>
        </w:pBdr>
        <w:spacing w:before="0" w:after="240"/>
        <w:rPr>
          <w:noProof/>
          <w:szCs w:val="24"/>
        </w:rPr>
      </w:pPr>
      <w:r>
        <w:rPr>
          <w:noProof/>
        </w:rPr>
        <w:t>Възможното присъединяване на Кралство Мароко към спогодбата Интербус ще допринесе за развитието на международните пътнически транспортни връзки, туризма и културния обмен извън държавите, които понастоящем са страни по спогодбата Интербус, и ще улесни организирането им.</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Предложеният протокол в притурката към настоящото решение на Съвета е съгласуван с политката на ЕС в областта на автомобилния транспорт и я допълва. Той подкрепя достъпа на съседните на ЕС държави до пазара на пътническия транспорт в ЕС (както и достъпа на ЕС до съседните пазари), като създава регулаторна рамка за организиране на трансграничния туризъм и в двете посоки.</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Предложението е в съответствие с политиката за съседство и политиката за външните отношения на ЕС.</w:t>
      </w:r>
    </w:p>
    <w:p>
      <w:pPr>
        <w:pStyle w:val="ManualHeading1"/>
        <w:rPr>
          <w:noProof/>
        </w:rPr>
      </w:pPr>
      <w:r>
        <w:rPr>
          <w:noProof/>
        </w:rPr>
        <w:t>2.</w:t>
      </w:r>
      <w:r>
        <w:rPr>
          <w:noProof/>
        </w:rPr>
        <w:tab/>
        <w:t>ПРАВНО ОСНОВАНИЕ</w:t>
      </w:r>
    </w:p>
    <w:p>
      <w:pPr>
        <w:pBdr>
          <w:top w:val="nil"/>
          <w:left w:val="nil"/>
          <w:bottom w:val="nil"/>
          <w:right w:val="nil"/>
          <w:between w:val="nil"/>
          <w:bar w:val="nil"/>
        </w:pBdr>
        <w:spacing w:before="0" w:after="240"/>
        <w:rPr>
          <w:noProof/>
        </w:rPr>
      </w:pPr>
      <w:r>
        <w:rPr>
          <w:noProof/>
        </w:rPr>
        <w:t>Правното основание за предложението е член 91 от ДФЕС заедно с член 218, параграф 5 от ДФЕС.</w:t>
      </w:r>
    </w:p>
    <w:p>
      <w:pPr>
        <w:pBdr>
          <w:top w:val="nil"/>
          <w:left w:val="nil"/>
          <w:bottom w:val="nil"/>
          <w:right w:val="nil"/>
          <w:between w:val="nil"/>
          <w:bar w:val="nil"/>
        </w:pBdr>
        <w:spacing w:before="0" w:after="240"/>
        <w:rPr>
          <w:rFonts w:eastAsia="Arial Unicode MS"/>
          <w:noProof/>
          <w:u w:color="000000"/>
          <w:bdr w:val="nil"/>
        </w:rPr>
      </w:pPr>
      <w:r>
        <w:rPr>
          <w:noProof/>
        </w:rPr>
        <w:t>•</w:t>
      </w:r>
      <w:r>
        <w:rPr>
          <w:noProof/>
        </w:rPr>
        <w:tab/>
      </w:r>
      <w:r>
        <w:rPr>
          <w:b/>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В член 218, параграф 5 от ДФЕС се предвижда използването на решение на Съвета като приложим инструмент.</w:t>
      </w:r>
    </w:p>
    <w:p>
      <w:pPr>
        <w:pStyle w:val="ManualHeading1"/>
        <w:rPr>
          <w:noProof/>
        </w:rPr>
      </w:pPr>
      <w:r>
        <w:rPr>
          <w:noProof/>
        </w:rPr>
        <w:t>3.</w:t>
      </w:r>
      <w:r>
        <w:rPr>
          <w:noProof/>
        </w:rPr>
        <w:tab/>
        <w:t>СЪБИРАНЕ И ИЗПОЛЗВАНЕ НА ЕКСПЕРТНИ СТАНОВИЩА И ОЦЕНКА НА ВЪЗДЕЙСТВИЕТО/ОПРОСТЯВАНЕ</w:t>
      </w:r>
    </w:p>
    <w:p>
      <w:pPr>
        <w:pStyle w:val="ManualHeading2"/>
        <w:rPr>
          <w:rFonts w:eastAsia="Arial Unicode MS"/>
          <w:noProof/>
          <w:u w:color="000000"/>
          <w:bdr w:val="nil"/>
        </w:rPr>
      </w:pPr>
      <w:r>
        <w:rPr>
          <w:noProof/>
        </w:rPr>
        <w:t>•</w:t>
      </w:r>
      <w:r>
        <w:rPr>
          <w:noProof/>
        </w:rPr>
        <w:tab/>
        <w:t>Събиране и използване на експертни становища и оценка на въздействието</w:t>
      </w:r>
    </w:p>
    <w:p>
      <w:pPr>
        <w:pBdr>
          <w:top w:val="nil"/>
          <w:left w:val="nil"/>
          <w:bottom w:val="nil"/>
          <w:right w:val="nil"/>
          <w:between w:val="nil"/>
          <w:bar w:val="nil"/>
        </w:pBdr>
        <w:spacing w:before="0" w:after="240"/>
        <w:rPr>
          <w:noProof/>
        </w:rPr>
      </w:pPr>
      <w:r>
        <w:rPr>
          <w:noProof/>
        </w:rPr>
        <w:t xml:space="preserve">При изготвянето на настоящото предложение, наред с други източници, Комисията получи информация от експертите на държавите членки, участващи в подготовката на преговорите. </w:t>
      </w:r>
    </w:p>
    <w:p>
      <w:pPr>
        <w:pBdr>
          <w:top w:val="nil"/>
          <w:left w:val="nil"/>
          <w:bottom w:val="nil"/>
          <w:right w:val="nil"/>
          <w:between w:val="nil"/>
          <w:bar w:val="nil"/>
        </w:pBdr>
        <w:spacing w:before="0" w:after="240"/>
        <w:rPr>
          <w:noProof/>
        </w:rPr>
      </w:pPr>
      <w:r>
        <w:rPr>
          <w:noProof/>
        </w:rPr>
        <w:t>Очакваните въздействия са положителни: отварянето на спогодбата Интербус към още една държава ще предостави нови възможности както за сегашните договарящи страни, така и за Кралство Мароко. Тъй като това спомага за разширяване на обхвата на достиженията на правото на ЕС в областта на пътническия транспорт върху тази държава, то ще упражни положително въздействие върху техническите, икономическите и социалните условия, при които се извършват съответните дейности. Цялостното въздействие върху околната среда ще бъде ограничено.</w:t>
      </w:r>
    </w:p>
    <w:p>
      <w:pPr>
        <w:pStyle w:val="ManualHeading2"/>
        <w:rPr>
          <w:rFonts w:eastAsia="Arial Unicode MS"/>
          <w:noProof/>
          <w:u w:color="000000"/>
          <w:bdr w:val="nil"/>
        </w:rPr>
      </w:pPr>
      <w:r>
        <w:rPr>
          <w:noProof/>
        </w:rPr>
        <w:t>•</w:t>
      </w:r>
      <w:r>
        <w:rPr>
          <w:noProof/>
        </w:rPr>
        <w:tab/>
        <w:t>Опростяване</w:t>
      </w:r>
    </w:p>
    <w:p>
      <w:pPr>
        <w:pBdr>
          <w:top w:val="nil"/>
          <w:left w:val="nil"/>
          <w:bottom w:val="nil"/>
          <w:right w:val="nil"/>
          <w:between w:val="nil"/>
          <w:bar w:val="nil"/>
        </w:pBdr>
        <w:spacing w:before="0" w:after="240"/>
        <w:rPr>
          <w:noProof/>
        </w:rPr>
      </w:pPr>
      <w:r>
        <w:rPr>
          <w:noProof/>
        </w:rPr>
        <w:t>Разширяването на географския обхват на правилата, приложими за дейностите по случайния превоз на пътници с автобуси съгласно спогодбата Интербус, ще допринесе за опростяване на провеждането на такива дейности с още една трета държава.</w:t>
      </w:r>
    </w:p>
    <w:p>
      <w:pPr>
        <w:spacing w:before="0" w:after="240" w:line="280" w:lineRule="atLeast"/>
        <w:rPr>
          <w:noProof/>
        </w:rPr>
      </w:pPr>
      <w:r>
        <w:rPr>
          <w:noProof/>
        </w:rPr>
        <w:t>Както и досега, превозвачите могат да бъдат МСП с по-малък парк от автобуси или по-големи дружества с по-голям парк.</w:t>
      </w:r>
    </w:p>
    <w:p>
      <w:pPr>
        <w:pStyle w:val="ManualHeading1"/>
        <w:rPr>
          <w:noProof/>
        </w:rPr>
      </w:pPr>
      <w:r>
        <w:rPr>
          <w:noProof/>
        </w:rPr>
        <w:t>4.</w:t>
      </w:r>
      <w:r>
        <w:rPr>
          <w:noProof/>
        </w:rPr>
        <w:tab/>
        <w:t>ОТРАЖЕНИЕ ВЪРХУ БЮДЖЕТА</w:t>
      </w:r>
    </w:p>
    <w:p>
      <w:pPr>
        <w:spacing w:before="0" w:after="240" w:line="280" w:lineRule="atLeast"/>
        <w:rPr>
          <w:noProof/>
        </w:rPr>
      </w:pPr>
      <w:r>
        <w:rPr>
          <w:noProof/>
        </w:rPr>
        <w:t>Няма.</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Мерки за мониторинг, оценка и докладване</w:t>
      </w:r>
    </w:p>
    <w:p>
      <w:pPr>
        <w:spacing w:before="0" w:after="240" w:line="280" w:lineRule="atLeast"/>
        <w:rPr>
          <w:noProof/>
        </w:rPr>
      </w:pPr>
      <w:r>
        <w:rPr>
          <w:noProof/>
        </w:rPr>
        <w:t>Функционирането на спогодбата Интербус се оценява на всеки пет години от смесения комитет, създаден по силата на член 23 от спогодбата.</w:t>
      </w:r>
    </w:p>
    <w:p>
      <w:pPr>
        <w:pStyle w:val="ManualHeading2"/>
        <w:rPr>
          <w:noProof/>
        </w:rPr>
      </w:pPr>
      <w:r>
        <w:rPr>
          <w:noProof/>
        </w:rPr>
        <w:tab/>
        <w:t xml:space="preserve">По-нататъшна процедура </w:t>
      </w:r>
    </w:p>
    <w:p>
      <w:pPr>
        <w:rPr>
          <w:noProof/>
        </w:rPr>
      </w:pPr>
      <w:r>
        <w:rPr>
          <w:noProof/>
        </w:rPr>
        <w:t>Комисията счита, че е необходимо да се стартира процедура с оглед подписване и последващо сключване на проекта на протокола. Поради това Комисията представя на Съвета настоящото предложение за решение на Съвета за подписване на проекта на протокол за изменение на Спогодбата за международни случайни превози на пътници с автобуси (спогодбата Интербус), с което се предоставя възможността за присъединяване на Кралство Мароко.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Style w:val="ManualHeading3"/>
        <w:rPr>
          <w:noProof/>
        </w:rPr>
      </w:pPr>
      <w:r>
        <w:rPr>
          <w:noProof/>
        </w:rPr>
        <w:t>Конкретни разпоредби на предложението за решение на Съвета:</w:t>
      </w:r>
    </w:p>
    <w:p>
      <w:pPr>
        <w:pStyle w:val="Bullet1"/>
        <w:numPr>
          <w:ilvl w:val="0"/>
          <w:numId w:val="10"/>
        </w:numPr>
        <w:rPr>
          <w:noProof/>
        </w:rPr>
      </w:pPr>
      <w:r>
        <w:rPr>
          <w:noProof/>
        </w:rPr>
        <w:t>В член 1 се предвижда подписването на проекта на протокола, с който спогодбата Интербус се разширява за евентуално присъединяване на Кралство Мароко.</w:t>
      </w:r>
    </w:p>
    <w:p>
      <w:pPr>
        <w:pStyle w:val="Bullet1"/>
        <w:rPr>
          <w:noProof/>
          <w:szCs w:val="24"/>
        </w:rPr>
      </w:pPr>
      <w:r>
        <w:rPr>
          <w:noProof/>
        </w:rPr>
        <w:t>С член 2 на преговарящия по протокола се разрешава да посочи лицето (или лицата) с правомощия за подписване на проекта на протокола от името на Съюза.</w:t>
      </w:r>
    </w:p>
    <w:p>
      <w:pPr>
        <w:pStyle w:val="Bullet1"/>
        <w:rPr>
          <w:noProof/>
          <w:szCs w:val="24"/>
        </w:rPr>
      </w:pPr>
      <w:r>
        <w:rPr>
          <w:noProof/>
        </w:rPr>
        <w:t>Член 3 се отнася до влизането в сила на решението на Съвета.</w:t>
      </w:r>
    </w:p>
    <w:p>
      <w:pPr>
        <w:pStyle w:val="ManualHeading3"/>
        <w:rPr>
          <w:noProof/>
        </w:rPr>
      </w:pPr>
      <w:r>
        <w:rPr>
          <w:noProof/>
        </w:rPr>
        <w:t>Конкретни разпоредби на притурката към предложението за решение на Съвета:</w:t>
      </w:r>
    </w:p>
    <w:p>
      <w:pPr>
        <w:pStyle w:val="Bullet1"/>
        <w:rPr>
          <w:noProof/>
        </w:rPr>
      </w:pPr>
      <w:r>
        <w:rPr>
          <w:noProof/>
        </w:rPr>
        <w:t>В член 1 се предвижда изменение на спогодбата Интербус за международни случайни превози на пътници, извършвани с автобуси, с което се предоставя на Кралство Мароко възможност да се присъедини към спогодбата.</w:t>
      </w:r>
    </w:p>
    <w:p>
      <w:pPr>
        <w:pStyle w:val="Bullet1"/>
        <w:spacing w:after="0"/>
        <w:rPr>
          <w:noProof/>
          <w:szCs w:val="24"/>
        </w:rPr>
      </w:pPr>
      <w:r>
        <w:rPr>
          <w:noProof/>
        </w:rPr>
        <w:t>Членове 2—6 обхващат административните процедури за влизане в сила на протокола, както и разпоредби относно езиковия режим.</w:t>
      </w:r>
    </w:p>
    <w:p>
      <w:pPr>
        <w:pBdr>
          <w:top w:val="nil"/>
          <w:left w:val="nil"/>
          <w:bottom w:val="nil"/>
          <w:right w:val="nil"/>
          <w:between w:val="nil"/>
          <w:bar w:val="nil"/>
        </w:pBdr>
        <w:spacing w:before="0" w:after="240"/>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2018/0151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подписването, от името на Европейския съюз, на протокол</w:t>
      </w:r>
      <w:r>
        <w:rPr>
          <w:noProof/>
        </w:rPr>
        <w:br/>
        <w:t xml:space="preserve">за изменение на Спогодбата за международни случайни превози на пътници, извършвани с автобуси (спогодбата Интербус), с което се предоставя възможността за присъединяване на Кралство Мароко </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91, във връзка с член 218, параграф 5 от него,</w:t>
      </w:r>
    </w:p>
    <w:p>
      <w:pPr>
        <w:rPr>
          <w:noProof/>
        </w:rPr>
      </w:pPr>
      <w:r>
        <w:rPr>
          <w:noProof/>
        </w:rPr>
        <w:t>като взе предвид предложението на Европейската комисия</w:t>
      </w:r>
      <w:r>
        <w:rPr>
          <w:rStyle w:val="FootnoteReference"/>
          <w:noProof/>
        </w:rPr>
        <w:footnoteReference w:id="3"/>
      </w:r>
      <w:r>
        <w:rPr>
          <w:noProof/>
        </w:rPr>
        <w:t>,</w:t>
      </w:r>
    </w:p>
    <w:p>
      <w:pPr>
        <w:rPr>
          <w:noProof/>
        </w:rPr>
      </w:pPr>
      <w:r>
        <w:rPr>
          <w:noProof/>
        </w:rPr>
        <w:t>като има предвид, че:</w:t>
      </w:r>
    </w:p>
    <w:p>
      <w:pPr>
        <w:pStyle w:val="ManualConsidrant"/>
        <w:rPr>
          <w:noProof/>
          <w:szCs w:val="24"/>
        </w:rPr>
      </w:pPr>
      <w:r>
        <w:t>(1)</w:t>
      </w:r>
      <w:r>
        <w:tab/>
      </w:r>
      <w:r>
        <w:rPr>
          <w:noProof/>
        </w:rPr>
        <w:t>Съгласно Решение 2002/917/ЕО на Съвета</w:t>
      </w:r>
      <w:r>
        <w:rPr>
          <w:rStyle w:val="FootnoteReference"/>
          <w:noProof/>
        </w:rPr>
        <w:footnoteReference w:id="4"/>
      </w:r>
      <w:r>
        <w:rPr>
          <w:noProof/>
        </w:rPr>
        <w:t xml:space="preserve"> Спогодбата за международни случайни превози на пътници, извършвани с автобуси (спогодбата Интербус), беше сключена от името на Съюза на 3 октомври 2002 г. и влезе в сила на 1 януари 2003 г.</w:t>
      </w:r>
      <w:r>
        <w:rPr>
          <w:rStyle w:val="FootnoteReference"/>
          <w:noProof/>
        </w:rPr>
        <w:footnoteReference w:id="5"/>
      </w:r>
    </w:p>
    <w:p>
      <w:pPr>
        <w:pStyle w:val="ManualConsidrant"/>
        <w:rPr>
          <w:noProof/>
          <w:szCs w:val="24"/>
        </w:rPr>
      </w:pPr>
      <w:r>
        <w:t>(2)</w:t>
      </w:r>
      <w:r>
        <w:tab/>
      </w:r>
      <w:r>
        <w:rPr>
          <w:noProof/>
        </w:rPr>
        <w:t>На 5 декември 2014 г. Съветът упълномощи Комисията да започне преговори за изменение на спогодбата Интербус, така че географският ѝ обхват да се разшири и допусне присъединяването на Кралство Мароко, което понастоящем не е предвидено. От името на Европейския съюз Комисията договори протокол за изменение на спогодбата, с който се дава възможност за присъединяване на Кралство Мароко. Преговорите приключиха на 10 ноември 2017 г.</w:t>
      </w:r>
    </w:p>
    <w:p>
      <w:pPr>
        <w:pStyle w:val="ManualConsidrant"/>
        <w:rPr>
          <w:noProof/>
        </w:rPr>
      </w:pPr>
      <w:r>
        <w:t>(3)</w:t>
      </w:r>
      <w:r>
        <w:tab/>
      </w:r>
      <w:r>
        <w:rPr>
          <w:noProof/>
        </w:rPr>
        <w:t>Евентуалното присъединяване на Кралство Мароко към спогодбата Интербус следва да допринесе за развитието на международните пътнически транспортни връзки, туризма и културния обмен извън държавите, които понастоящем са страни по спогодбата Интербус. На Кралство Мароко, което не е пълноправен член на Европейската конференция на министрите на транспорта, а има статут на наблюдател, който не е достатъчен за присъединяване към спогодбата Интербус, следва да се даде възможност да се присъедини към спогодбата.</w:t>
      </w:r>
    </w:p>
    <w:p>
      <w:pPr>
        <w:pStyle w:val="ManualConsidrant"/>
        <w:rPr>
          <w:rFonts w:eastAsia="Times New Roman"/>
          <w:noProof/>
          <w:szCs w:val="24"/>
        </w:rPr>
      </w:pPr>
      <w:r>
        <w:t>(4)</w:t>
      </w:r>
      <w:r>
        <w:tab/>
      </w:r>
      <w:r>
        <w:rPr>
          <w:noProof/>
        </w:rPr>
        <w:t>Поради това проектът за протокол към спогодбата Интербус следва да бъде подписан от името на Европейския съюз, при условие че бъде сключен на по-късна дата,</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Подписването на протокола за изменение на Сспогодбата за международни случайни превози на пътници, извършвани с автобуси (спогодбата Интербус), с което се предоставя възможността за присъединяване на Кралство Мароко, се одобрява от името на Съюза, при условие, че той бъде сключен.</w:t>
      </w:r>
    </w:p>
    <w:p>
      <w:pPr>
        <w:rPr>
          <w:noProof/>
        </w:rPr>
      </w:pPr>
      <w:r>
        <w:rPr>
          <w:noProof/>
        </w:rPr>
        <w:t>Текстът на протокола, който подлежи на подписване, е приложен към настоящото решение.</w:t>
      </w:r>
    </w:p>
    <w:p>
      <w:pPr>
        <w:pStyle w:val="Titrearticle"/>
        <w:rPr>
          <w:noProof/>
        </w:rPr>
      </w:pPr>
      <w:r>
        <w:rPr>
          <w:noProof/>
        </w:rPr>
        <w:t>Член 2</w:t>
      </w:r>
    </w:p>
    <w:p>
      <w:pPr>
        <w:rPr>
          <w:noProof/>
        </w:rPr>
      </w:pPr>
      <w:r>
        <w:rPr>
          <w:noProof/>
        </w:rPr>
        <w:t>Генералният секретариат на Съвета изготвя акта за предоставяне на пълномощия за подписване на протокола, при условие че той бъде сключен, на лицето или лицата, посочени от преговарящия по протокола.</w:t>
      </w:r>
    </w:p>
    <w:p>
      <w:pPr>
        <w:pStyle w:val="Titrearticle"/>
        <w:rPr>
          <w:noProof/>
          <w:szCs w:val="24"/>
        </w:rPr>
      </w:pPr>
      <w:r>
        <w:rPr>
          <w:noProof/>
        </w:rPr>
        <w:t>Член 3</w:t>
      </w:r>
    </w:p>
    <w:p>
      <w:pPr>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spacing w:after="720"/>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321, 26.11.2002 г., стр. 11.</w:t>
      </w:r>
    </w:p>
  </w:footnote>
  <w:footnote w:id="2">
    <w:p>
      <w:pPr>
        <w:pStyle w:val="FootnoteText"/>
      </w:pPr>
      <w:r>
        <w:rPr>
          <w:rStyle w:val="FootnoteReference"/>
        </w:rPr>
        <w:footnoteRef/>
      </w:r>
      <w:r>
        <w:tab/>
        <w:t>Решение № 1/2011 на Смесения комитет, създаден съгласно Спогодбата за международни случайни превози на пътници, извършвани с автобуси (Интербус) от 11 ноември 2011 г. за приемане на вътрешен правилник за работа и за адаптиране на приложение 1 към спогодбата по отношение на изискванията към автомобилните превозвачи, извършващи превоз на пътници, на приложение 2 към Спогодбата относно техническите изисквания към автобусите, и на изискванията относно социалните разпоредби, посочени в член 8 от Спогодбата (2012/25/ЕС) (ОВ L 8, 12.1.2012 г., стр. 38).</w:t>
      </w:r>
    </w:p>
  </w:footnote>
  <w:footnote w:id="3">
    <w:p>
      <w:pPr>
        <w:pStyle w:val="FootnoteText"/>
      </w:pPr>
      <w:r>
        <w:rPr>
          <w:rStyle w:val="FootnoteReference"/>
        </w:rPr>
        <w:footnoteRef/>
      </w:r>
      <w:r>
        <w:tab/>
        <w:t>COM(2018)290</w:t>
      </w:r>
    </w:p>
  </w:footnote>
  <w:footnote w:id="4">
    <w:p>
      <w:pPr>
        <w:pStyle w:val="FootnoteText"/>
      </w:pPr>
      <w:r>
        <w:rPr>
          <w:rStyle w:val="FootnoteReference"/>
        </w:rPr>
        <w:footnoteRef/>
      </w:r>
      <w:r>
        <w:tab/>
        <w:t>Решение 2002/917/ЕО на Съвета от 3 октомври 2002 г. относно сключването на Спогодбата за международни случайни превози на пътници, извършвани с автобуси (ОВ L 321, 26.11.2002 г., стр. 11).</w:t>
      </w:r>
    </w:p>
  </w:footnote>
  <w:footnote w:id="5">
    <w:p>
      <w:pPr>
        <w:pStyle w:val="FootnoteText"/>
        <w:rPr>
          <w:lang w:val="fi-FI"/>
        </w:rPr>
      </w:pPr>
      <w:r>
        <w:rPr>
          <w:rStyle w:val="FootnoteReference"/>
        </w:rPr>
        <w:footnoteRef/>
      </w:r>
      <w:r>
        <w:tab/>
        <w:t>ОВ L 321, 26.11.2002 г., стр.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9423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EE8831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064144"/>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FE54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00AEC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B76AE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15C3A2A"/>
    <w:lvl w:ilvl="0">
      <w:start w:val="1"/>
      <w:numFmt w:val="decimal"/>
      <w:pStyle w:val="ListNumber"/>
      <w:lvlText w:val="%1."/>
      <w:lvlJc w:val="left"/>
      <w:pPr>
        <w:tabs>
          <w:tab w:val="num" w:pos="360"/>
        </w:tabs>
        <w:ind w:left="360" w:hanging="360"/>
      </w:pPr>
    </w:lvl>
  </w:abstractNum>
  <w:abstractNum w:abstractNumId="7">
    <w:nsid w:val="FFFFFF89"/>
    <w:multiLevelType w:val="singleLevel"/>
    <w:tmpl w:val="E36C577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6"/>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66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5 13:42:4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0B44396-D8A4-400B-B392-A7177CAF71EA"/>
    <w:docVar w:name="LW_COVERPAGE_TYPE" w:val="1"/>
    <w:docVar w:name="LW_CROSSREFERENCE" w:val="&lt;UNUSED&gt;"/>
    <w:docVar w:name="LW_DocType" w:val="COM"/>
    <w:docVar w:name="LW_EMISSION" w:val="16.5.2018"/>
    <w:docVar w:name="LW_EMISSION_ISODATE" w:val="2018-05-1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51"/>
    <w:docVar w:name="LW_REF.II.NEW.CP_YEAR" w:val="2018"/>
    <w:docVar w:name="LW_REF.INST.NEW" w:val="COM"/>
    <w:docVar w:name="LW_REF.INST.NEW_ADOPTED" w:val="final"/>
    <w:docVar w:name="LW_REF.INST.NEW_TEXT" w:val="(2018) 2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6?\u1087?\u1080?\u1089?\u1074?\u1072?\u1085?\u1077?\u1090?\u1086?, \u1086?\u1090? \u1080?\u1084?\u1077?\u1090?\u1086? \u1085?\u1072? \u1045?\u1074?\u1088?\u1086?\u1087?\u1077?\u1081?\u1089?\u1082?\u1080?\u1103? \u1089?\u1098?\u1102?\u1079?, \u1085?\u1072? \u1087?\u1088?\u1086?\u1090?\u1086?\u1082?\u1086?\u1083?_x000b_\u1079?\u1072? \u1080?\u1079?\u1084?\u1077?\u1085?\u1077?\u1085?\u1080?\u1077? \u1085?\u1072?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89?\u1087?\u1086?\u1075?\u1086?\u1076?\u1073?\u1072?\u1090?\u1072? \u1048?\u1085?\u1090?\u1077?\u1088?\u1073?\u1091?\u1089?), \u1089? \u1082?\u1086?\u1077?\u1090?\u1086? \u1089?\u1077? \u1087?\u1088?\u1077?\u1076?\u1086?\u1089?\u1090?\u1072?\u1074?\u1103? \u1074?\u1098?\u1079?\u1084?\u1086?\u1078?\u1085?\u1086?\u1089?\u1090?\u1090?\u1072? \u1079?\u1072? \u1087?\u1088?\u1080?\u1089?\u1098?\u1077?\u1076?\u1080?\u1085?\u1103?\u1074?\u1072?\u1085?\u1077? \u1085?\u1072? \u1050?\u1088?\u1072?\u1083?\u1089?\u1090?\u1074?\u1086? \u1052?\u1072?\u1088?\u1086?\u1082?\u1086?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customStyle="1" w:styleId="NoteList">
    <w:name w:val="NoteList"/>
    <w:basedOn w:val="Normal"/>
    <w:next w:val="Normal"/>
    <w:pPr>
      <w:tabs>
        <w:tab w:val="left" w:pos="5823"/>
      </w:tabs>
      <w:spacing w:before="720" w:after="720"/>
      <w:ind w:left="5104" w:hanging="3119"/>
      <w:jc w:val="left"/>
    </w:pPr>
    <w:rPr>
      <w:rFonts w:eastAsia="Times New Roman"/>
      <w:b/>
      <w:smallCaps/>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066021">
      <w:bodyDiv w:val="1"/>
      <w:marLeft w:val="0"/>
      <w:marRight w:val="0"/>
      <w:marTop w:val="0"/>
      <w:marBottom w:val="0"/>
      <w:divBdr>
        <w:top w:val="none" w:sz="0" w:space="0" w:color="auto"/>
        <w:left w:val="none" w:sz="0" w:space="0" w:color="auto"/>
        <w:bottom w:val="none" w:sz="0" w:space="0" w:color="auto"/>
        <w:right w:val="none" w:sz="0" w:space="0" w:color="auto"/>
      </w:divBdr>
    </w:div>
    <w:div w:id="153854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5B9D5-30E7-4454-BDA3-03807809D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1307</Words>
  <Characters>7571</Characters>
  <Application>Microsoft Office Word</Application>
  <DocSecurity>0</DocSecurity>
  <Lines>157</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2016-05-25T14:42:00Z</cp:lastPrinted>
  <dcterms:created xsi:type="dcterms:W3CDTF">2018-05-03T08:28:00Z</dcterms:created>
  <dcterms:modified xsi:type="dcterms:W3CDTF">2018-05-15T11:42:00Z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