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8046589C-F99C-4831-B073-E1BE18D4CCEB" style="width:450.8pt;height:465.3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ПРОТОКОЛ</w:t>
      </w:r>
    </w:p>
    <w:p>
      <w:pPr>
        <w:rPr>
          <w:noProof/>
        </w:rPr>
      </w:pP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</w:rPr>
        <w:t>за изменение на Спогодбата за международни случайни превози на пътници, извършвани с автобуси (спогодбата Интербус), с което се предоставя възможността за присъединяване на Кралство Мароко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ДОГОВАРЯЩИТЕ СЕ СТРАНИ,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като взеха предвид Спогодбата за международни случайни превози на пътници, извършвани с автобуси (спогодбата Интербус)</w:t>
      </w:r>
      <w:r>
        <w:rPr>
          <w:rStyle w:val="FootnoteReference"/>
          <w:noProof/>
        </w:rPr>
        <w:footnoteReference w:id="1"/>
      </w:r>
      <w:r>
        <w:rPr>
          <w:noProof/>
        </w:rPr>
        <w:t>, и влизането ѝ в сила на 1 януари 2003 г.</w:t>
      </w:r>
      <w:r>
        <w:rPr>
          <w:rStyle w:val="FootnoteReference"/>
          <w:noProof/>
        </w:rPr>
        <w:footnoteReference w:id="2"/>
      </w:r>
      <w:r>
        <w:rPr>
          <w:noProof/>
        </w:rPr>
        <w:t>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като взеха предвид желанието за по-нататъшно развитие на международните пътнически транспортни връзки, туризма и културния обмен извън държавите, които понастоящем отговарят на условията за членство,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желаейки да отворят спогодбата Интербус за присъединяването на Кралство Мароко,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като имат предвид, че:</w:t>
      </w:r>
    </w:p>
    <w:p>
      <w:pPr>
        <w:spacing w:before="0" w:after="0"/>
        <w:rPr>
          <w:noProof/>
          <w:szCs w:val="24"/>
        </w:rPr>
      </w:pPr>
    </w:p>
    <w:p>
      <w:pPr>
        <w:pStyle w:val="Considrant"/>
        <w:numPr>
          <w:ilvl w:val="0"/>
          <w:numId w:val="9"/>
        </w:numPr>
        <w:spacing w:after="240"/>
        <w:rPr>
          <w:noProof/>
        </w:rPr>
      </w:pPr>
      <w:r>
        <w:rPr>
          <w:noProof/>
        </w:rPr>
        <w:t>Спогодбата Интербус е отворена за присъединяване само за членове на Европейската конференция на министрите на транспорта (ECMT) и някои други европейски държави, както е посочено в нея.</w:t>
      </w:r>
    </w:p>
    <w:p>
      <w:pPr>
        <w:pStyle w:val="Considrant"/>
        <w:numPr>
          <w:ilvl w:val="0"/>
          <w:numId w:val="9"/>
        </w:numPr>
        <w:spacing w:after="240"/>
        <w:rPr>
          <w:rFonts w:eastAsia="Times New Roman"/>
          <w:noProof/>
          <w:szCs w:val="24"/>
        </w:rPr>
      </w:pPr>
      <w:r>
        <w:rPr>
          <w:noProof/>
        </w:rPr>
        <w:t>Кралство Мароко има статут на наблюдател в ECMT, но не е неин член, нито по друг начин разполага с правото да се присъедини на този етап към спогодбата Интербус.</w:t>
      </w:r>
    </w:p>
    <w:p>
      <w:pPr>
        <w:pStyle w:val="Considrant"/>
        <w:rPr>
          <w:noProof/>
        </w:rPr>
      </w:pPr>
      <w:r>
        <w:rPr>
          <w:noProof/>
        </w:rPr>
        <w:t>За да се отвори спогодбата Интербус за присъединяването на Кралство Мароко, тя следва да бъде изменена,</w:t>
      </w:r>
    </w:p>
    <w:p>
      <w:pPr>
        <w:spacing w:after="0"/>
        <w:rPr>
          <w:rFonts w:eastAsia="Times New Roman"/>
          <w:noProof/>
          <w:szCs w:val="24"/>
        </w:rPr>
      </w:pPr>
    </w:p>
    <w:p>
      <w:pPr>
        <w:spacing w:after="0"/>
        <w:rPr>
          <w:rFonts w:eastAsia="Times New Roman"/>
          <w:noProof/>
          <w:szCs w:val="24"/>
        </w:rPr>
      </w:pPr>
      <w:r>
        <w:rPr>
          <w:noProof/>
        </w:rPr>
        <w:t>РЕШИХА да изменят съответно спогодбата Интербус и</w:t>
      </w:r>
    </w:p>
    <w:p>
      <w:pPr>
        <w:spacing w:after="0"/>
        <w:rPr>
          <w:rFonts w:eastAsia="Times New Roman"/>
          <w:noProof/>
          <w:szCs w:val="24"/>
        </w:rPr>
      </w:pPr>
    </w:p>
    <w:p>
      <w:pPr>
        <w:spacing w:after="0"/>
        <w:rPr>
          <w:rFonts w:eastAsia="Times New Roman"/>
          <w:noProof/>
          <w:szCs w:val="24"/>
        </w:rPr>
      </w:pPr>
      <w:r>
        <w:rPr>
          <w:noProof/>
        </w:rPr>
        <w:t>СЕ СПОРАЗУМЯХА ЗА СЛЕДНОТО: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200" w:line="276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br w:type="page"/>
      </w:r>
    </w:p>
    <w:p>
      <w:pPr>
        <w:pStyle w:val="NormalCentered"/>
        <w:rPr>
          <w:b/>
          <w:noProof/>
        </w:rPr>
      </w:pPr>
      <w:r>
        <w:rPr>
          <w:b/>
          <w:noProof/>
        </w:rPr>
        <w:t>Изменение на спогодбата Интербус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pStyle w:val="NormalCentered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В член 30 от Спогодбата за международни случайни превози на пътници, извършвани с автобуси (спогодбата Интербус), параграф 2 се заменя със следното:</w:t>
      </w:r>
    </w:p>
    <w:p>
      <w:pPr>
        <w:spacing w:before="0" w:after="0"/>
        <w:rPr>
          <w:noProof/>
          <w:szCs w:val="24"/>
        </w:rPr>
      </w:pPr>
    </w:p>
    <w:p>
      <w:pPr>
        <w:ind w:left="720"/>
        <w:rPr>
          <w:noProof/>
        </w:rPr>
      </w:pPr>
      <w:r>
        <w:rPr>
          <w:i/>
          <w:noProof/>
        </w:rPr>
        <w:t>„Тази спогодба е открита за присъединяване и за Република Сан Марино, Княжество Андора, Княжество Монако и Кралство Мароко.“</w:t>
      </w:r>
      <w:r>
        <w:rPr>
          <w:noProof/>
        </w:rPr>
        <w:t>.</w:t>
      </w:r>
    </w:p>
    <w:p>
      <w:pPr>
        <w:spacing w:before="0" w:after="0"/>
        <w:rPr>
          <w:noProof/>
          <w:szCs w:val="24"/>
        </w:rPr>
      </w:pPr>
    </w:p>
    <w:p>
      <w:pPr>
        <w:pStyle w:val="NormalCentered"/>
        <w:rPr>
          <w:b/>
          <w:noProof/>
        </w:rPr>
      </w:pPr>
      <w:r>
        <w:rPr>
          <w:b/>
          <w:noProof/>
        </w:rPr>
        <w:t>Общи и заключителни разпоредби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spacing w:before="0" w:after="0"/>
        <w:rPr>
          <w:rFonts w:eastAsia="Times New Roman"/>
          <w:i/>
          <w:noProof/>
          <w:szCs w:val="24"/>
        </w:rPr>
      </w:pPr>
    </w:p>
    <w:p>
      <w:pPr>
        <w:spacing w:before="0" w:after="0"/>
        <w:rPr>
          <w:noProof/>
        </w:rPr>
      </w:pPr>
      <w:r>
        <w:rPr>
          <w:noProof/>
        </w:rPr>
        <w:t xml:space="preserve">Настоящият протокол е открит за подписване от договарящите се страни по спогодбата Интербус </w:t>
      </w:r>
      <w:r>
        <w:rPr>
          <w:noProof/>
          <w:highlight w:val="yellow"/>
        </w:rPr>
        <w:t>[ДА СЕ ДОБАВЯТ ДАТИ: ОТ ДАТАТА НА ПРИЕМАНЕ НА РЕШЕНИЕТО НА СЪВЕТА ДО НЕ ПОВЕЧЕ ОТ 9 МЕСЕЦА СЛЕД НЕЯ]</w:t>
      </w:r>
      <w:r>
        <w:rPr>
          <w:noProof/>
        </w:rPr>
        <w:t xml:space="preserve"> в Генералния секретариат на Съвета на Европейския съюз, който е депозитар на протокола.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Настоящият протокол се подписва, одобрява или ратифицира от подписалите го договарящи се страни в съответствие с националните им процедури. Инструментите за одобрение или ратифициране се депозират при депозитаря на протокола, който уведомява всички останали договарящи страни.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Член 4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Настоящият протокол влиза в сила за договарящите страни, които са го одобрили или ратифицирали, на първия ден от третия месец след като най-малко три договарящи страни, включително Европейският съюз, са депозирали инструментите си за одобрение или ратифициране.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Член 5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Настоящият протокол, съставен на английски, немски и френски език, всеки от които е еднакво автентичен, се депозира при депозитаря, който изпраща заверено копие на всяка от договарящите страни.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Член 6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Всяка договаряща страна осигурява точен превод на настоящия протокол на своя официален език, различен от автентичните езици, посочени в член 5. Копие на всеки от тези преводи се депозира при депозитаря, който изпраща копие от всеки от преводите на всяка от договарящите страни.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pStyle w:val="Fait"/>
        <w:rPr>
          <w:noProof/>
        </w:rPr>
      </w:pPr>
      <w:r>
        <w:rPr>
          <w:noProof/>
        </w:rPr>
        <w:t>Съставено в Брюксел на […] година.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В ДОКАЗАТЕЛСТВО ЗА КОЕТО долуподписаните, надлежно упълномощени за целта представители, положиха подписите си под настоящия протокол.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 xml:space="preserve">Открит за подписване в Брюксел </w:t>
      </w:r>
      <w:r>
        <w:rPr>
          <w:noProof/>
          <w:highlight w:val="yellow"/>
        </w:rPr>
        <w:t>[ДА СЕ ДОБАВЯТ ДАТИ: ОТ ДАТАТА НА ПРИЕМАНЕ НА РЕШЕНИЕТО НА СЪВЕТА ДО ДАТА 9 МЕСЕЦА СЛЕД НЕЯ]</w:t>
      </w:r>
      <w:r>
        <w:rPr>
          <w:noProof/>
        </w:rPr>
        <w:t>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 xml:space="preserve">Ouvert à la signature à Bruxelles entre le </w:t>
      </w:r>
      <w:r>
        <w:rPr>
          <w:noProof/>
          <w:highlight w:val="yellow"/>
        </w:rPr>
        <w:t>[ДА СЕ ДОБАВЯТ ДАТИ: ДАТАТА НА ПРИЕМАНЕ НА РЕШЕНИЕТО НА СЪВЕТА И ДАТА 9 МЕСЕЦА СЛЕД НЕЯ]</w:t>
      </w:r>
      <w:r>
        <w:rPr>
          <w:noProof/>
        </w:rPr>
        <w:t>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Liegt zwischen dem </w:t>
      </w:r>
      <w:r>
        <w:rPr>
          <w:noProof/>
          <w:highlight w:val="yellow"/>
        </w:rPr>
        <w:t>[ДА СЕ ДОБАВЯТ ДАТИ: ДАТАТА НА ПРИЕМАНЕ НА РЕШЕНИЕТО НА СЪВЕТА И ДАТА 9 МЕСЕЦА СЛЕД НЕЯ]</w:t>
      </w:r>
      <w:r>
        <w:rPr>
          <w:noProof/>
        </w:rPr>
        <w:t xml:space="preserve"> in Brüssel zur Unterzeichnung auf.</w:t>
      </w:r>
    </w:p>
    <w:p>
      <w:pPr>
        <w:spacing w:before="0" w:after="0"/>
        <w:rPr>
          <w:noProof/>
        </w:rPr>
      </w:pPr>
    </w:p>
    <w:p>
      <w:pPr>
        <w:spacing w:before="0" w:after="0"/>
        <w:rPr>
          <w:noProof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Европейския съюз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Union européenne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Europäische Union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Република Албания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d'Albanie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Albanien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Босна и Херцеговина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Bosnie et Herzégovine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Bosnien und Herzegowina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бивша югославска република Македония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l'ancienne République yougoslave de Macédoine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ehemalige jugoslawische Republik Mazedonien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Република Молдова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de Moldova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Moldau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Черна гора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Monténégro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Montenegro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Република Турция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de Turquie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Türkei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За Украйна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l'Ukraine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Ukraine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 321, 26.11.2002 г., стр. 13.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ОВ L 321, 26.11.2002 г., стр. 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B66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EBAD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A0C21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84D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003B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885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5203E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5EAB4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15 13:45:0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046589C-F99C-4831-B073-E1BE18D4CCEB"/>
    <w:docVar w:name="LW_COVERPAGE_TYPE" w:val="1"/>
    <w:docVar w:name="LW_CROSSREFERENCE" w:val="&lt;UNUSED&gt;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5?\u1072? \u1087?\u1088?\u1086?\u1090?\u1086?\u1082?\u1086?\u1083?_x000b_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89?\u1087?\u1086?\u1075?\u1086?\u1076?\u1073?\u1072?\u1090?\u1072? \u1048?\u1085?\u1090?\u1077?\u1088?\u1073?\u1091?\u1089?), \u1089? \u1082?\u1086?\u1077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 _x000b__x000b__x000b__x000b_"/>
    <w:docVar w:name="LW_OBJETACTEPRINCIPAL.CP" w:val="\u1086?\u1090?\u1085?\u1086?\u1089?\u1085?\u1086? \u1087?\u1086?\u1076?\u1087?\u1080?\u1089?\u1074?\u1072?\u1085?\u1077?\u1090?\u1086?, \u1086?\u1090? \u1080?\u1084?\u1077?\u1090?\u1086? \u1085?\u1072? \u1045?\u1074?\u1088?\u1086?\u1087?\u1077?\u1081?\u1089?\u1082?\u1080?\u1103? \u1089?\u1098?\u1102?\u1079?, \u1085?\u1072? \u1087?\u1088?\u1086?\u1090?\u1086?\u1082?\u1086?\u1083?_x000b_\u1079?\u1072? \u1080?\u1079?\u1084?\u1077?\u1085?\u1077?\u1085?\u1080?\u1077? \u1085?\u1072? \u1057?\u1087?\u1086?\u1075?\u1086?\u1076?\u1073?\u1072?\u1090?\u1072? \u1079?\u1072? \u1084?\u1077?\u1078?\u1076?\u1091?\u1085?\u1072?\u1088?\u1086?\u1076?\u1085?\u1080? \u1089?\u1083?\u1091?\u1095?\u1072?\u1081?\u1085?\u1080? \u1087?\u1088?\u1077?\u1074?\u1086?\u1079?\u1080? \u1085?\u1072? \u1087?\u1098?\u1090?\u1085?\u1080?\u1094?\u1080?, \u1080?\u1079?\u1074?\u1098?\u1088?\u1096?\u1074?\u1072?\u1085?\u1080? \u1089? \u1072?\u1074?\u1090?\u1086?\u1073?\u1091?\u1089?\u1080? (\u1089?\u1087?\u1086?\u1075?\u1086?\u1076?\u1073?\u1072?\u1090?\u1072? \u1048?\u1085?\u1090?\u1077?\u1088?\u1073?\u1091?\u1089?), \u1089? \u1082?\u1086?\u1077?\u1090?\u1086? \u1089?\u1077? \u1087?\u1088?\u1077?\u1076?\u1086?\u1089?\u1090?\u1072?\u1074?\u1103? \u1074?\u1098?\u1079?\u1084?\u1086?\u1078?\u1085?\u1086?\u1089?\u1090?\u1090?\u1072? \u1079?\u1072? \u1087?\u1088?\u1080?\u1089?\u1098?\u1077?\u1076?\u1080?\u1085?\u1103?\u1074?\u1072?\u1085?\u1077? \u1085?\u1072? \u1050?\u1088?\u1072?\u1083?\u1089?\u1090?\u1074?\u1086? \u1052?\u1072?\u1088?\u1086?\u1082?\u1086? _x000b__x000b_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9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87?\u1088?\u1077?\u1076?\u1083?\u1086?\u1078?\u1077?\u1085?\u1080?\u1077? \u1079?\u1072? \u1056?\u1045?\u1064?\u1045?\u1053?\u1048?\u1045? \u1053?\u1040? \u1057?\u1066?\u1042?\u1045?\u1058?\u1040?"/>
    <w:docVar w:name="LW_TYPEACTEPRINCIPAL.CP" w:val="\u1087?\u1088?\u1077?\u1076?\u1083?\u1086?\u1078?\u1077?\u1085?\u1080?\u1077? \u1079?\u1072? 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5</Pages>
  <Words>619</Words>
  <Characters>3485</Characters>
  <Application>Microsoft Office Word</Application>
  <DocSecurity>0</DocSecurity>
  <Lines>129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Ismo (MOVE)</dc:creator>
  <cp:lastModifiedBy>DIGIT/A3</cp:lastModifiedBy>
  <cp:revision>7</cp:revision>
  <dcterms:created xsi:type="dcterms:W3CDTF">2018-05-03T09:13:00Z</dcterms:created>
  <dcterms:modified xsi:type="dcterms:W3CDTF">2018-05-15T11:45:00Z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