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1680CCEC-6F03-43F8-B92C-BBC1F8AE90CD" style="width:451.85pt;height:397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djustRightInd w:val="0"/>
        <w:spacing w:before="0" w:after="0"/>
        <w:jc w:val="left"/>
        <w:rPr>
          <w:noProof/>
          <w:lang w:val="en-US"/>
        </w:rPr>
      </w:pPr>
      <w:bookmarkStart w:id="0" w:name="_GoBack"/>
      <w:bookmarkEnd w:id="0"/>
    </w:p>
    <w:p>
      <w:pPr>
        <w:pStyle w:val="CRSeparator"/>
        <w:rPr>
          <w:noProof/>
          <w:lang w:val="en-GB"/>
        </w:rPr>
      </w:pPr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é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é</w:t>
      </w:r>
      <w:r>
        <w:rPr>
          <w:noProof/>
          <w:lang w:val="en-GB"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 I</w:t>
      </w:r>
    </w:p>
    <w:p>
      <w:pPr>
        <w:jc w:val="center"/>
        <w:rPr>
          <w:b/>
          <w:noProof/>
        </w:rPr>
      </w:pPr>
      <w:bookmarkStart w:id="1" w:name="_CopyToNewDocument_"/>
      <w:bookmarkEnd w:id="1"/>
      <w:r>
        <w:rPr>
          <w:b/>
          <w:noProof/>
        </w:rPr>
        <w:t xml:space="preserve">Repealed Regulation with </w:t>
      </w:r>
      <w:r>
        <w:rPr>
          <w:b/>
          <w:bCs/>
          <w:noProof/>
        </w:rPr>
        <w:t>the amendment thereto</w:t>
      </w:r>
    </w:p>
    <w:tbl>
      <w:tblPr>
        <w:tblW w:w="90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3428"/>
      </w:tblGrid>
      <w:tr>
        <w:trPr>
          <w:cantSplit/>
        </w:trPr>
        <w:tc>
          <w:tcPr>
            <w:tcW w:w="5572" w:type="dxa"/>
          </w:tcPr>
          <w:p>
            <w:pPr>
              <w:jc w:val="left"/>
              <w:rPr>
                <w:rStyle w:val="Strong"/>
                <w:bCs/>
                <w:noProof/>
                <w:color w:val="444444"/>
                <w:lang w:val="en"/>
              </w:rPr>
            </w:pPr>
            <w:r>
              <w:rPr>
                <w:rStyle w:val="Strong"/>
                <w:bCs/>
                <w:noProof/>
                <w:color w:val="444444"/>
                <w:lang w:val="en"/>
              </w:rPr>
              <w:t>Council Regulation (EC) No 377/2004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(OJ L 064, 2.3.2004, p. 1)</w:t>
            </w:r>
          </w:p>
        </w:tc>
      </w:tr>
      <w:tr>
        <w:trPr>
          <w:cantSplit/>
        </w:trPr>
        <w:tc>
          <w:tcPr>
            <w:tcW w:w="5572" w:type="dxa"/>
          </w:tcPr>
          <w:p>
            <w:pPr>
              <w:spacing w:before="240" w:after="60"/>
              <w:jc w:val="left"/>
              <w:rPr>
                <w:rFonts w:eastAsia="Times New Roman"/>
                <w:bCs/>
                <w:noProof/>
              </w:rPr>
            </w:pPr>
            <w:r>
              <w:rPr>
                <w:rStyle w:val="Strong"/>
                <w:bCs/>
                <w:noProof/>
                <w:color w:val="444444"/>
                <w:lang w:val="en"/>
              </w:rPr>
              <w:t>Commission Regulation (EU) No 493/2011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(OJ L 141, 27.5.2011, p. 13)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lastRenderedPageBreak/>
        <w:t>ANNEX VII</w:t>
      </w:r>
    </w:p>
    <w:p>
      <w:pPr>
        <w:keepNext/>
        <w:spacing w:before="360"/>
        <w:jc w:val="center"/>
        <w:outlineLvl w:val="0"/>
        <w:rPr>
          <w:b/>
          <w:smallCaps/>
          <w:noProof/>
        </w:rPr>
      </w:pPr>
      <w:r>
        <w:rPr>
          <w:b/>
          <w:smallCaps/>
          <w:noProof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Regulation (EC) No 377/2004</w:t>
            </w:r>
          </w:p>
        </w:tc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This Regulation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1(1)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introductory wording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1(1)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point (1), introductory wording, and point (1)(a)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points (1)(b) and (c)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1(2)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point (1)(d)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2(2)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1(3)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1(4)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1(2)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2(1)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3(1)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2(2), introductory wording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3(2), introductory wording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2(2), first indent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3(2)(a)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2(2), second indent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3(2)(b)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 I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 II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6:16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1680CCEC-6F03-43F8-B92C-BBC1F8AE90CD"/>
    <w:docVar w:name="LW_COVERPAGE_TYPE" w:val="1"/>
    <w:docVar w:name="LW_CROSSREFERENCE" w:val="{SWD(2018) 197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creation of a European network of immigration liaison officers  (recast)_x000b_"/>
    <w:docVar w:name="LW_OBJETACTEPRINCIPAL.CP" w:val="on the creation of a European network of immigration liaison officers  (recast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Regulation from the European Parliament and of the Council"/>
    <w:docVar w:name="LW_TYPEACTEPRINCIPAL.CP" w:val="Regulation from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120</Words>
  <Characters>660</Characters>
  <Application>Microsoft Office Word</Application>
  <DocSecurity>0</DocSecurity>
  <Lines>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9</cp:revision>
  <dcterms:created xsi:type="dcterms:W3CDTF">2018-05-08T14:23:00Z</dcterms:created>
  <dcterms:modified xsi:type="dcterms:W3CDTF">2018-05-15T16:11:00Z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