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5193C20-FD54-463B-A3B4-02B014DBFC27" style="width:450.75pt;height:480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w:t>
      </w:r>
    </w:p>
    <w:p>
      <w:pPr>
        <w:rPr>
          <w:noProof/>
        </w:rPr>
      </w:pPr>
    </w:p>
    <w:tbl>
      <w:tblPr>
        <w:tblW w:w="9289" w:type="dxa"/>
        <w:tblCellMar>
          <w:left w:w="57" w:type="dxa"/>
          <w:right w:w="57" w:type="dxa"/>
        </w:tblCellMar>
        <w:tblLook w:val="01E0" w:firstRow="1" w:lastRow="1" w:firstColumn="1" w:lastColumn="1" w:noHBand="0" w:noVBand="0"/>
      </w:tblPr>
      <w:tblGrid>
        <w:gridCol w:w="589"/>
        <w:gridCol w:w="742"/>
        <w:gridCol w:w="2571"/>
        <w:gridCol w:w="1741"/>
        <w:gridCol w:w="2235"/>
        <w:gridCol w:w="1411"/>
      </w:tblGrid>
      <w:tr>
        <w:tc>
          <w:tcPr>
            <w:tcW w:w="589" w:type="dxa"/>
            <w:shd w:val="clear" w:color="auto" w:fill="auto"/>
          </w:tcPr>
          <w:p>
            <w:pPr>
              <w:rPr>
                <w:noProof/>
              </w:rPr>
            </w:pPr>
          </w:p>
        </w:tc>
        <w:tc>
          <w:tcPr>
            <w:tcW w:w="8700" w:type="dxa"/>
            <w:gridSpan w:val="5"/>
            <w:shd w:val="clear" w:color="auto" w:fill="auto"/>
          </w:tcPr>
          <w:p>
            <w:pPr>
              <w:jc w:val="center"/>
              <w:rPr>
                <w:b/>
                <w:noProof/>
              </w:rPr>
            </w:pPr>
            <w:r>
              <w:rPr>
                <w:b/>
                <w:noProof/>
              </w:rPr>
              <w:t>Liste des règlements de l’ONU visés à l’article 4, paragraphe 2</w:t>
            </w:r>
          </w:p>
          <w:p>
            <w:pPr>
              <w:jc w:val="center"/>
              <w:rPr>
                <w:b/>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noProof/>
              </w:rPr>
            </w:pPr>
            <w:r>
              <w:rPr>
                <w:b/>
                <w:noProof/>
              </w:rPr>
              <w:t>Numéro du règlement</w:t>
            </w:r>
          </w:p>
        </w:tc>
        <w:tc>
          <w:tcPr>
            <w:tcW w:w="2588" w:type="dxa"/>
          </w:tcPr>
          <w:p>
            <w:pPr>
              <w:jc w:val="center"/>
              <w:rPr>
                <w:b/>
                <w:noProof/>
              </w:rPr>
            </w:pPr>
            <w:r>
              <w:rPr>
                <w:b/>
                <w:noProof/>
              </w:rPr>
              <w:t>Objet</w:t>
            </w:r>
          </w:p>
        </w:tc>
        <w:tc>
          <w:tcPr>
            <w:tcW w:w="1595" w:type="dxa"/>
          </w:tcPr>
          <w:p>
            <w:pPr>
              <w:jc w:val="center"/>
              <w:rPr>
                <w:b/>
                <w:noProof/>
              </w:rPr>
            </w:pPr>
            <w:r>
              <w:rPr>
                <w:b/>
                <w:noProof/>
              </w:rPr>
              <w:t>Série d’amendements publiée au JO</w:t>
            </w:r>
          </w:p>
        </w:tc>
        <w:tc>
          <w:tcPr>
            <w:tcW w:w="2323" w:type="dxa"/>
          </w:tcPr>
          <w:p>
            <w:pPr>
              <w:jc w:val="center"/>
              <w:rPr>
                <w:b/>
                <w:noProof/>
              </w:rPr>
            </w:pPr>
            <w:r>
              <w:rPr>
                <w:b/>
                <w:noProof/>
              </w:rPr>
              <w:t>Références JO</w:t>
            </w:r>
          </w:p>
        </w:tc>
        <w:tc>
          <w:tcPr>
            <w:tcW w:w="1435" w:type="dxa"/>
          </w:tcPr>
          <w:p>
            <w:pPr>
              <w:jc w:val="center"/>
              <w:rPr>
                <w:b/>
                <w:noProof/>
              </w:rPr>
            </w:pPr>
            <w:r>
              <w:rPr>
                <w:b/>
                <w:noProof/>
              </w:rPr>
              <w:t>Domaine couvert par le règlement de l’ONU</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w:t>
            </w:r>
          </w:p>
        </w:tc>
        <w:tc>
          <w:tcPr>
            <w:tcW w:w="2588" w:type="dxa"/>
          </w:tcPr>
          <w:p>
            <w:pPr>
              <w:rPr>
                <w:noProof/>
              </w:rPr>
            </w:pPr>
            <w:r>
              <w:rPr>
                <w:noProof/>
              </w:rPr>
              <w:t>Projecteurs émettant un faisceau-croisement asymétrique et/ou un faisceau-route, équipés de lampes à incandescence R2 et/ou HS1</w:t>
            </w:r>
          </w:p>
        </w:tc>
        <w:tc>
          <w:tcPr>
            <w:tcW w:w="1595" w:type="dxa"/>
          </w:tcPr>
          <w:p>
            <w:pPr>
              <w:rPr>
                <w:noProof/>
              </w:rPr>
            </w:pPr>
            <w:r>
              <w:rPr>
                <w:noProof/>
              </w:rPr>
              <w:t>Série 02 d’amendements</w:t>
            </w:r>
          </w:p>
        </w:tc>
        <w:tc>
          <w:tcPr>
            <w:tcW w:w="2323" w:type="dxa"/>
          </w:tcPr>
          <w:p>
            <w:pPr>
              <w:jc w:val="left"/>
              <w:rPr>
                <w:noProof/>
              </w:rPr>
            </w:pPr>
            <w:r>
              <w:rPr>
                <w:noProof/>
              </w:rPr>
              <w:t>JO L 177 du 10.7.2010, p. 1.</w:t>
            </w:r>
          </w:p>
        </w:tc>
        <w:tc>
          <w:tcPr>
            <w:tcW w:w="1435" w:type="dxa"/>
          </w:tcPr>
          <w:p>
            <w:pPr>
              <w:rPr>
                <w:noProof/>
              </w:rPr>
            </w:pPr>
            <w:r>
              <w:rPr>
                <w:noProof/>
              </w:rPr>
              <w:t>M, N (</w:t>
            </w:r>
            <w:r>
              <w:rPr>
                <w:noProof/>
                <w:vertAlign w:val="superscript"/>
              </w:rPr>
              <w:t>a</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3</w:t>
            </w:r>
          </w:p>
        </w:tc>
        <w:tc>
          <w:tcPr>
            <w:tcW w:w="2588" w:type="dxa"/>
          </w:tcPr>
          <w:p>
            <w:pPr>
              <w:rPr>
                <w:noProof/>
              </w:rPr>
            </w:pPr>
            <w:r>
              <w:rPr>
                <w:noProof/>
              </w:rPr>
              <w:t xml:space="preserve">Dispositifs catadioptriques pour véhicules à moteur </w:t>
            </w:r>
          </w:p>
        </w:tc>
        <w:tc>
          <w:tcPr>
            <w:tcW w:w="1595" w:type="dxa"/>
          </w:tcPr>
          <w:p>
            <w:pPr>
              <w:rPr>
                <w:noProof/>
              </w:rPr>
            </w:pPr>
            <w:r>
              <w:rPr>
                <w:noProof/>
              </w:rPr>
              <w:t>Complément 12 à la série 02 d’amendements</w:t>
            </w:r>
          </w:p>
        </w:tc>
        <w:tc>
          <w:tcPr>
            <w:tcW w:w="2323" w:type="dxa"/>
          </w:tcPr>
          <w:p>
            <w:pPr>
              <w:jc w:val="left"/>
              <w:rPr>
                <w:noProof/>
              </w:rPr>
            </w:pPr>
            <w:r>
              <w:rPr>
                <w:noProof/>
              </w:rPr>
              <w:t>JO L 323 du 6.12.2011, p. 1.</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4</w:t>
            </w:r>
          </w:p>
        </w:tc>
        <w:tc>
          <w:tcPr>
            <w:tcW w:w="2588" w:type="dxa"/>
          </w:tcPr>
          <w:p>
            <w:pPr>
              <w:rPr>
                <w:noProof/>
              </w:rPr>
            </w:pPr>
            <w:r>
              <w:rPr>
                <w:noProof/>
              </w:rPr>
              <w:t xml:space="preserve">Éclairage des plaques d’immatriculation arrière des véhicules à moteur et de leurs remorques </w:t>
            </w:r>
          </w:p>
        </w:tc>
        <w:tc>
          <w:tcPr>
            <w:tcW w:w="1595" w:type="dxa"/>
          </w:tcPr>
          <w:p>
            <w:pPr>
              <w:rPr>
                <w:noProof/>
              </w:rPr>
            </w:pPr>
            <w:r>
              <w:rPr>
                <w:noProof/>
              </w:rPr>
              <w:t>Complément 15 à la version originale du règlement</w:t>
            </w:r>
          </w:p>
        </w:tc>
        <w:tc>
          <w:tcPr>
            <w:tcW w:w="2323" w:type="dxa"/>
          </w:tcPr>
          <w:p>
            <w:pPr>
              <w:jc w:val="left"/>
              <w:rPr>
                <w:noProof/>
              </w:rPr>
            </w:pPr>
            <w:r>
              <w:rPr>
                <w:noProof/>
              </w:rPr>
              <w:t>JO L 4 du 7.1.2012, p. 7.</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6</w:t>
            </w:r>
          </w:p>
        </w:tc>
        <w:tc>
          <w:tcPr>
            <w:tcW w:w="2588" w:type="dxa"/>
          </w:tcPr>
          <w:p>
            <w:pPr>
              <w:rPr>
                <w:noProof/>
              </w:rPr>
            </w:pPr>
            <w:r>
              <w:rPr>
                <w:noProof/>
              </w:rPr>
              <w:t>Feux indicateurs de direction pour véhicules à moteur et leurs remorques</w:t>
            </w:r>
          </w:p>
        </w:tc>
        <w:tc>
          <w:tcPr>
            <w:tcW w:w="1595" w:type="dxa"/>
          </w:tcPr>
          <w:p>
            <w:pPr>
              <w:rPr>
                <w:noProof/>
              </w:rPr>
            </w:pPr>
            <w:r>
              <w:rPr>
                <w:noProof/>
              </w:rPr>
              <w:t>Complément 25 à la série 01 d’amendements</w:t>
            </w:r>
          </w:p>
        </w:tc>
        <w:tc>
          <w:tcPr>
            <w:tcW w:w="2323" w:type="dxa"/>
          </w:tcPr>
          <w:p>
            <w:pPr>
              <w:jc w:val="left"/>
              <w:rPr>
                <w:noProof/>
              </w:rPr>
            </w:pPr>
            <w:r>
              <w:rPr>
                <w:noProof/>
              </w:rPr>
              <w:t>JO L 213 du 18.7.2014, p. 1.</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7</w:t>
            </w:r>
          </w:p>
        </w:tc>
        <w:tc>
          <w:tcPr>
            <w:tcW w:w="2588" w:type="dxa"/>
          </w:tcPr>
          <w:p>
            <w:pPr>
              <w:rPr>
                <w:noProof/>
              </w:rPr>
            </w:pPr>
            <w:r>
              <w:rPr>
                <w:noProof/>
              </w:rPr>
              <w:t xml:space="preserve">Feux de position avant et arrière, feux-stop et feux d’encombrement des véhicules automobiles et de leurs remorques </w:t>
            </w:r>
          </w:p>
        </w:tc>
        <w:tc>
          <w:tcPr>
            <w:tcW w:w="1595" w:type="dxa"/>
          </w:tcPr>
          <w:p>
            <w:pPr>
              <w:rPr>
                <w:noProof/>
              </w:rPr>
            </w:pPr>
            <w:r>
              <w:rPr>
                <w:noProof/>
              </w:rPr>
              <w:t>Complément 23 à la série 02 d’amendements</w:t>
            </w:r>
          </w:p>
        </w:tc>
        <w:tc>
          <w:tcPr>
            <w:tcW w:w="2323" w:type="dxa"/>
          </w:tcPr>
          <w:p>
            <w:pPr>
              <w:jc w:val="left"/>
              <w:rPr>
                <w:noProof/>
              </w:rPr>
            </w:pPr>
            <w:r>
              <w:rPr>
                <w:noProof/>
              </w:rPr>
              <w:t>JO L 285 du 30.9.2014, p. 1.</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8</w:t>
            </w:r>
          </w:p>
        </w:tc>
        <w:tc>
          <w:tcPr>
            <w:tcW w:w="2588" w:type="dxa"/>
          </w:tcPr>
          <w:p>
            <w:pPr>
              <w:rPr>
                <w:noProof/>
                <w:lang w:val="pt-PT"/>
              </w:rPr>
            </w:pPr>
            <w:r>
              <w:rPr>
                <w:noProof/>
                <w:lang w:val="pt-PT"/>
              </w:rPr>
              <w:t>Projecteurs pour véhicules automobiles (H1, H2, H3, HB3, HB4, H7, H8, H9, HIR1, HIR2 et/ou H11)</w:t>
            </w:r>
          </w:p>
        </w:tc>
        <w:tc>
          <w:tcPr>
            <w:tcW w:w="1595" w:type="dxa"/>
          </w:tcPr>
          <w:p>
            <w:pPr>
              <w:rPr>
                <w:noProof/>
              </w:rPr>
            </w:pPr>
            <w:r>
              <w:rPr>
                <w:noProof/>
              </w:rPr>
              <w:t>Rectificatif 1 de la série 05 d’amendements à la révision 4</w:t>
            </w:r>
          </w:p>
        </w:tc>
        <w:tc>
          <w:tcPr>
            <w:tcW w:w="2323" w:type="dxa"/>
          </w:tcPr>
          <w:p>
            <w:pPr>
              <w:jc w:val="left"/>
              <w:rPr>
                <w:noProof/>
              </w:rPr>
            </w:pPr>
            <w:r>
              <w:rPr>
                <w:noProof/>
              </w:rPr>
              <w:br/>
              <w:t>JO L 177 du 10.7.2010, p. 71.</w:t>
            </w:r>
          </w:p>
        </w:tc>
        <w:tc>
          <w:tcPr>
            <w:tcW w:w="1435" w:type="dxa"/>
          </w:tcPr>
          <w:p>
            <w:pPr>
              <w:rPr>
                <w:noProof/>
              </w:rPr>
            </w:pPr>
            <w:r>
              <w:rPr>
                <w:noProof/>
              </w:rPr>
              <w:t>M, N (</w:t>
            </w:r>
            <w:r>
              <w:rPr>
                <w:noProof/>
                <w:vertAlign w:val="superscript"/>
              </w:rPr>
              <w:t>a</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10</w:t>
            </w:r>
          </w:p>
        </w:tc>
        <w:tc>
          <w:tcPr>
            <w:tcW w:w="2588" w:type="dxa"/>
          </w:tcPr>
          <w:p>
            <w:pPr>
              <w:rPr>
                <w:noProof/>
              </w:rPr>
            </w:pPr>
            <w:r>
              <w:rPr>
                <w:noProof/>
              </w:rPr>
              <w:t xml:space="preserve">Compatibilité électromagnétique </w:t>
            </w:r>
          </w:p>
        </w:tc>
        <w:tc>
          <w:tcPr>
            <w:tcW w:w="1595" w:type="dxa"/>
          </w:tcPr>
          <w:p>
            <w:pPr>
              <w:rPr>
                <w:noProof/>
              </w:rPr>
            </w:pPr>
            <w:r>
              <w:rPr>
                <w:noProof/>
              </w:rPr>
              <w:t>Complément 01 à la série 05 d’amendements</w:t>
            </w:r>
          </w:p>
        </w:tc>
        <w:tc>
          <w:tcPr>
            <w:tcW w:w="2323" w:type="dxa"/>
          </w:tcPr>
          <w:p>
            <w:pPr>
              <w:jc w:val="left"/>
              <w:rPr>
                <w:b/>
                <w:bCs/>
                <w:noProof/>
              </w:rPr>
            </w:pPr>
            <w:r>
              <w:rPr>
                <w:noProof/>
              </w:rPr>
              <w:t>JO L 41 du 17.2.2017, p. 1.</w:t>
            </w:r>
          </w:p>
        </w:tc>
        <w:tc>
          <w:tcPr>
            <w:tcW w:w="1435" w:type="dxa"/>
          </w:tcPr>
          <w:p>
            <w:pPr>
              <w:rPr>
                <w:b/>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11</w:t>
            </w:r>
          </w:p>
        </w:tc>
        <w:tc>
          <w:tcPr>
            <w:tcW w:w="2588" w:type="dxa"/>
          </w:tcPr>
          <w:p>
            <w:pPr>
              <w:rPr>
                <w:noProof/>
              </w:rPr>
            </w:pPr>
            <w:r>
              <w:rPr>
                <w:noProof/>
              </w:rPr>
              <w:t>Serrures et organes de fixation des portes</w:t>
            </w:r>
          </w:p>
        </w:tc>
        <w:tc>
          <w:tcPr>
            <w:tcW w:w="1595" w:type="dxa"/>
          </w:tcPr>
          <w:p>
            <w:pPr>
              <w:rPr>
                <w:noProof/>
              </w:rPr>
            </w:pPr>
            <w:r>
              <w:rPr>
                <w:noProof/>
              </w:rPr>
              <w:t>Complément 2 à la série 03 d’amendements</w:t>
            </w:r>
          </w:p>
        </w:tc>
        <w:tc>
          <w:tcPr>
            <w:tcW w:w="2323" w:type="dxa"/>
          </w:tcPr>
          <w:p>
            <w:pPr>
              <w:jc w:val="left"/>
              <w:rPr>
                <w:noProof/>
              </w:rPr>
            </w:pPr>
            <w:r>
              <w:rPr>
                <w:noProof/>
              </w:rPr>
              <w:t>JO L 120 du 13.5.2010, p. 1.</w:t>
            </w:r>
          </w:p>
          <w:p>
            <w:pPr>
              <w:jc w:val="left"/>
              <w:rPr>
                <w:i/>
                <w:noProof/>
              </w:rPr>
            </w:pPr>
            <w:r>
              <w:rPr>
                <w:i/>
                <w:noProof/>
              </w:rPr>
              <w:t>[OP: programmé pour traduction en 2018, prière d'actualiser les références lorsque disponible]</w:t>
            </w:r>
          </w:p>
        </w:tc>
        <w:tc>
          <w:tcPr>
            <w:tcW w:w="1435" w:type="dxa"/>
          </w:tcPr>
          <w:p>
            <w:pPr>
              <w:rPr>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w:t>
            </w:r>
          </w:p>
        </w:tc>
        <w:tc>
          <w:tcPr>
            <w:tcW w:w="2588" w:type="dxa"/>
          </w:tcPr>
          <w:p>
            <w:pPr>
              <w:rPr>
                <w:noProof/>
              </w:rPr>
            </w:pPr>
            <w:r>
              <w:rPr>
                <w:noProof/>
              </w:rPr>
              <w:t xml:space="preserve">Protection du conducteur contre le mécanisme de direction en cas de choc </w:t>
            </w:r>
          </w:p>
        </w:tc>
        <w:tc>
          <w:tcPr>
            <w:tcW w:w="1595" w:type="dxa"/>
          </w:tcPr>
          <w:p>
            <w:pPr>
              <w:rPr>
                <w:b/>
                <w:bCs/>
                <w:noProof/>
              </w:rPr>
            </w:pPr>
            <w:r>
              <w:rPr>
                <w:noProof/>
              </w:rPr>
              <w:t>Complément 1 à la série 04 d’amendements</w:t>
            </w:r>
          </w:p>
        </w:tc>
        <w:tc>
          <w:tcPr>
            <w:tcW w:w="2323" w:type="dxa"/>
          </w:tcPr>
          <w:p>
            <w:pPr>
              <w:jc w:val="left"/>
              <w:rPr>
                <w:noProof/>
              </w:rPr>
            </w:pPr>
            <w:r>
              <w:rPr>
                <w:noProof/>
              </w:rPr>
              <w:t>JO L 89 du 27.3.2013, p. 1.</w:t>
            </w:r>
          </w:p>
          <w:p>
            <w:pPr>
              <w:jc w:val="left"/>
              <w:rPr>
                <w:bCs/>
                <w:noProof/>
              </w:rPr>
            </w:pPr>
            <w:r>
              <w:rPr>
                <w:i/>
                <w:noProof/>
              </w:rPr>
              <w:t>[OP: programmé pour traduction en 2018, prière d'actualiser les références lorsque disponible]</w:t>
            </w:r>
          </w:p>
        </w:tc>
        <w:tc>
          <w:tcPr>
            <w:tcW w:w="1435" w:type="dxa"/>
          </w:tcPr>
          <w:p>
            <w:pPr>
              <w:rPr>
                <w:b/>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13</w:t>
            </w:r>
          </w:p>
        </w:tc>
        <w:tc>
          <w:tcPr>
            <w:tcW w:w="2588" w:type="dxa"/>
          </w:tcPr>
          <w:p>
            <w:pPr>
              <w:rPr>
                <w:noProof/>
              </w:rPr>
            </w:pPr>
            <w:r>
              <w:rPr>
                <w:noProof/>
              </w:rPr>
              <w:t>Freinage des véhicules et remorques</w:t>
            </w:r>
          </w:p>
        </w:tc>
        <w:tc>
          <w:tcPr>
            <w:tcW w:w="1595" w:type="dxa"/>
          </w:tcPr>
          <w:p>
            <w:pPr>
              <w:rPr>
                <w:noProof/>
              </w:rPr>
            </w:pPr>
            <w:r>
              <w:rPr>
                <w:noProof/>
              </w:rPr>
              <w:t>Complément 13 à la série 11 d’amendements</w:t>
            </w:r>
          </w:p>
        </w:tc>
        <w:tc>
          <w:tcPr>
            <w:tcW w:w="2323" w:type="dxa"/>
          </w:tcPr>
          <w:p>
            <w:pPr>
              <w:jc w:val="left"/>
              <w:rPr>
                <w:noProof/>
              </w:rPr>
            </w:pPr>
            <w:r>
              <w:rPr>
                <w:noProof/>
              </w:rPr>
              <w:t>JO L 42 du 18.2.2016, p. 1.</w:t>
            </w:r>
          </w:p>
        </w:tc>
        <w:tc>
          <w:tcPr>
            <w:tcW w:w="1435" w:type="dxa"/>
          </w:tcPr>
          <w:p>
            <w:pPr>
              <w:rPr>
                <w:noProof/>
              </w:rPr>
            </w:pPr>
            <w:r>
              <w:rPr>
                <w:noProof/>
                <w:color w:val="000000"/>
              </w:rPr>
              <w:t>M</w:t>
            </w:r>
            <w:r>
              <w:rPr>
                <w:noProof/>
                <w:color w:val="000000"/>
                <w:vertAlign w:val="subscript"/>
              </w:rPr>
              <w:t>2</w:t>
            </w:r>
            <w:r>
              <w:rPr>
                <w:noProof/>
                <w:color w:val="000000"/>
              </w:rPr>
              <w:t>, M</w:t>
            </w:r>
            <w:r>
              <w:rPr>
                <w:noProof/>
                <w:color w:val="000000"/>
                <w:vertAlign w:val="subscript"/>
              </w:rPr>
              <w:t>3</w:t>
            </w:r>
            <w:r>
              <w:rPr>
                <w:noProof/>
                <w:color w:val="000000"/>
              </w:rPr>
              <w:t>, N, O</w:t>
            </w:r>
            <w:r>
              <w:rPr>
                <w:noProof/>
                <w:color w:val="000000"/>
                <w:sz w:val="18"/>
              </w:rPr>
              <w:t xml:space="preserve"> </w:t>
            </w:r>
            <w:r>
              <w:rPr>
                <w:noProof/>
              </w:rPr>
              <w:t>(</w:t>
            </w:r>
            <w:r>
              <w:rPr>
                <w:noProof/>
                <w:vertAlign w:val="superscript"/>
              </w:rPr>
              <w:t>b</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13-H</w:t>
            </w:r>
          </w:p>
        </w:tc>
        <w:tc>
          <w:tcPr>
            <w:tcW w:w="2588" w:type="dxa"/>
          </w:tcPr>
          <w:p>
            <w:pPr>
              <w:rPr>
                <w:noProof/>
              </w:rPr>
            </w:pPr>
            <w:r>
              <w:rPr>
                <w:noProof/>
              </w:rPr>
              <w:t xml:space="preserve">Freinage des voitures particulières </w:t>
            </w:r>
          </w:p>
        </w:tc>
        <w:tc>
          <w:tcPr>
            <w:tcW w:w="1595" w:type="dxa"/>
          </w:tcPr>
          <w:p>
            <w:pPr>
              <w:rPr>
                <w:noProof/>
              </w:rPr>
            </w:pPr>
            <w:r>
              <w:rPr>
                <w:noProof/>
              </w:rPr>
              <w:t>Complément 16 à la version originale du règlement</w:t>
            </w:r>
          </w:p>
        </w:tc>
        <w:tc>
          <w:tcPr>
            <w:tcW w:w="2323" w:type="dxa"/>
          </w:tcPr>
          <w:p>
            <w:pPr>
              <w:jc w:val="left"/>
              <w:rPr>
                <w:noProof/>
              </w:rPr>
            </w:pPr>
            <w:r>
              <w:rPr>
                <w:noProof/>
              </w:rPr>
              <w:t>JO L 335 du 22.12.2015, p. 1.</w:t>
            </w:r>
          </w:p>
        </w:tc>
        <w:tc>
          <w:tcPr>
            <w:tcW w:w="1435" w:type="dxa"/>
          </w:tcPr>
          <w:p>
            <w:pPr>
              <w:rPr>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14</w:t>
            </w:r>
          </w:p>
        </w:tc>
        <w:tc>
          <w:tcPr>
            <w:tcW w:w="2588" w:type="dxa"/>
          </w:tcPr>
          <w:p>
            <w:pPr>
              <w:rPr>
                <w:noProof/>
              </w:rPr>
            </w:pPr>
            <w:r>
              <w:rPr>
                <w:noProof/>
              </w:rPr>
              <w:t>Ancrages de ceinture de sécurité, systèmes d’ancrages ISOFIX et ancrages pour fixation supérieure ISOFIX</w:t>
            </w:r>
          </w:p>
        </w:tc>
        <w:tc>
          <w:tcPr>
            <w:tcW w:w="1595" w:type="dxa"/>
          </w:tcPr>
          <w:p>
            <w:pPr>
              <w:rPr>
                <w:noProof/>
              </w:rPr>
            </w:pPr>
            <w:r>
              <w:rPr>
                <w:noProof/>
              </w:rPr>
              <w:t>Complément 5 à la série 07 d’amendements</w:t>
            </w:r>
          </w:p>
        </w:tc>
        <w:tc>
          <w:tcPr>
            <w:tcW w:w="2323" w:type="dxa"/>
          </w:tcPr>
          <w:p>
            <w:pPr>
              <w:jc w:val="left"/>
              <w:rPr>
                <w:noProof/>
              </w:rPr>
            </w:pPr>
            <w:r>
              <w:rPr>
                <w:noProof/>
              </w:rPr>
              <w:t>JO L 218 du 19.8.2015, p. 27.</w:t>
            </w:r>
          </w:p>
          <w:p>
            <w:pPr>
              <w:jc w:val="left"/>
              <w:rPr>
                <w:noProof/>
              </w:rPr>
            </w:pPr>
            <w:r>
              <w:rPr>
                <w:i/>
                <w:noProof/>
              </w:rPr>
              <w:t>[OP: programmé pour traduction en 2018, prière d'actualiser les références lorsque disponible]</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16</w:t>
            </w:r>
          </w:p>
        </w:tc>
        <w:tc>
          <w:tcPr>
            <w:tcW w:w="2588" w:type="dxa"/>
          </w:tcPr>
          <w:p>
            <w:pPr>
              <w:rPr>
                <w:noProof/>
              </w:rPr>
            </w:pPr>
            <w:r>
              <w:rPr>
                <w:noProof/>
              </w:rPr>
              <w:t>Ceintures de sécurité, systèmes de retenue, dispositifs de retenue pour enfants et dispositifs de retenue pour enfants ISOFIX</w:t>
            </w:r>
          </w:p>
        </w:tc>
        <w:tc>
          <w:tcPr>
            <w:tcW w:w="1595" w:type="dxa"/>
          </w:tcPr>
          <w:p>
            <w:pPr>
              <w:rPr>
                <w:noProof/>
              </w:rPr>
            </w:pPr>
            <w:r>
              <w:rPr>
                <w:noProof/>
              </w:rPr>
              <w:t>Complément 2 à la série 07 d’amendements</w:t>
            </w:r>
          </w:p>
        </w:tc>
        <w:tc>
          <w:tcPr>
            <w:tcW w:w="2323" w:type="dxa"/>
          </w:tcPr>
          <w:p>
            <w:pPr>
              <w:jc w:val="left"/>
              <w:rPr>
                <w:noProof/>
              </w:rPr>
            </w:pPr>
            <w:r>
              <w:rPr>
                <w:noProof/>
              </w:rPr>
              <w:t>JO L 109 du 27.4.2018, p.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17</w:t>
            </w:r>
          </w:p>
        </w:tc>
        <w:tc>
          <w:tcPr>
            <w:tcW w:w="2588" w:type="dxa"/>
          </w:tcPr>
          <w:p>
            <w:pPr>
              <w:rPr>
                <w:noProof/>
              </w:rPr>
            </w:pPr>
            <w:r>
              <w:rPr>
                <w:noProof/>
              </w:rPr>
              <w:t>Sièges, leurs ancrages et les appuie-tête</w:t>
            </w:r>
          </w:p>
        </w:tc>
        <w:tc>
          <w:tcPr>
            <w:tcW w:w="1595" w:type="dxa"/>
          </w:tcPr>
          <w:p>
            <w:pPr>
              <w:rPr>
                <w:noProof/>
              </w:rPr>
            </w:pPr>
            <w:r>
              <w:rPr>
                <w:noProof/>
              </w:rPr>
              <w:t>Série 08 d’amendements</w:t>
            </w:r>
          </w:p>
        </w:tc>
        <w:tc>
          <w:tcPr>
            <w:tcW w:w="2323" w:type="dxa"/>
          </w:tcPr>
          <w:p>
            <w:pPr>
              <w:jc w:val="left"/>
              <w:rPr>
                <w:noProof/>
              </w:rPr>
            </w:pPr>
            <w:r>
              <w:rPr>
                <w:noProof/>
              </w:rPr>
              <w:t>JO L 230 du 31.8.2010, p. 81.</w:t>
            </w:r>
          </w:p>
          <w:p>
            <w:pPr>
              <w:jc w:val="left"/>
              <w:rPr>
                <w:noProof/>
              </w:rPr>
            </w:pPr>
            <w:r>
              <w:rPr>
                <w:i/>
                <w:noProof/>
              </w:rPr>
              <w:t>[OP: programmé pour traduction en 2018, prière d'actualiser les références lorsque disponible]</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18</w:t>
            </w:r>
          </w:p>
        </w:tc>
        <w:tc>
          <w:tcPr>
            <w:tcW w:w="2588" w:type="dxa"/>
          </w:tcPr>
          <w:p>
            <w:pPr>
              <w:rPr>
                <w:noProof/>
              </w:rPr>
            </w:pPr>
            <w:r>
              <w:rPr>
                <w:noProof/>
              </w:rPr>
              <w:t>Protection des véhicules à moteur contre une utilisation non autorisée</w:t>
            </w:r>
          </w:p>
        </w:tc>
        <w:tc>
          <w:tcPr>
            <w:tcW w:w="1595" w:type="dxa"/>
          </w:tcPr>
          <w:p>
            <w:pPr>
              <w:rPr>
                <w:noProof/>
              </w:rPr>
            </w:pPr>
            <w:r>
              <w:rPr>
                <w:noProof/>
              </w:rPr>
              <w:t>Complément 2 à la série 03 d’amendements</w:t>
            </w:r>
          </w:p>
        </w:tc>
        <w:tc>
          <w:tcPr>
            <w:tcW w:w="2323" w:type="dxa"/>
          </w:tcPr>
          <w:p>
            <w:pPr>
              <w:jc w:val="left"/>
              <w:rPr>
                <w:b/>
                <w:bCs/>
                <w:noProof/>
              </w:rPr>
            </w:pPr>
            <w:r>
              <w:rPr>
                <w:noProof/>
              </w:rPr>
              <w:t>JO L 120 du 13.5.2010, p. 29.</w:t>
            </w:r>
          </w:p>
        </w:tc>
        <w:tc>
          <w:tcPr>
            <w:tcW w:w="1435" w:type="dxa"/>
          </w:tcPr>
          <w:p>
            <w:pPr>
              <w:rPr>
                <w:b/>
                <w:bCs/>
                <w:noProof/>
              </w:rPr>
            </w:pPr>
            <w:r>
              <w:rPr>
                <w:noProof/>
              </w:rPr>
              <w:t>M</w:t>
            </w:r>
            <w:r>
              <w:rPr>
                <w:noProof/>
                <w:vertAlign w:val="subscript"/>
              </w:rPr>
              <w:t>2</w:t>
            </w:r>
            <w:r>
              <w:rPr>
                <w:noProof/>
              </w:rPr>
              <w:t>, M</w:t>
            </w:r>
            <w:r>
              <w:rPr>
                <w:noProof/>
                <w:vertAlign w:val="subscript"/>
              </w:rPr>
              <w:t>3</w:t>
            </w:r>
            <w:r>
              <w:rPr>
                <w:noProof/>
              </w:rPr>
              <w:t>, N</w:t>
            </w:r>
            <w:r>
              <w:rPr>
                <w:noProof/>
                <w:vertAlign w:val="subscript"/>
              </w:rPr>
              <w:t>2</w:t>
            </w:r>
            <w:r>
              <w:rPr>
                <w:noProof/>
              </w:rPr>
              <w:t>, N</w:t>
            </w:r>
            <w:r>
              <w:rPr>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19</w:t>
            </w:r>
          </w:p>
        </w:tc>
        <w:tc>
          <w:tcPr>
            <w:tcW w:w="2588" w:type="dxa"/>
          </w:tcPr>
          <w:p>
            <w:pPr>
              <w:rPr>
                <w:noProof/>
              </w:rPr>
            </w:pPr>
            <w:r>
              <w:rPr>
                <w:noProof/>
              </w:rPr>
              <w:t>Feux de brouillard avant pour véhicules à moteur</w:t>
            </w:r>
          </w:p>
        </w:tc>
        <w:tc>
          <w:tcPr>
            <w:tcW w:w="1595" w:type="dxa"/>
          </w:tcPr>
          <w:p>
            <w:pPr>
              <w:rPr>
                <w:noProof/>
              </w:rPr>
            </w:pPr>
            <w:r>
              <w:rPr>
                <w:noProof/>
              </w:rPr>
              <w:t>Complément 6 à la série 04 d’amendements</w:t>
            </w:r>
          </w:p>
        </w:tc>
        <w:tc>
          <w:tcPr>
            <w:tcW w:w="2323" w:type="dxa"/>
          </w:tcPr>
          <w:p>
            <w:pPr>
              <w:jc w:val="left"/>
              <w:rPr>
                <w:noProof/>
              </w:rPr>
            </w:pPr>
            <w:r>
              <w:rPr>
                <w:noProof/>
              </w:rPr>
              <w:t>JO L 250 du 22.8.2014, p.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20</w:t>
            </w:r>
          </w:p>
        </w:tc>
        <w:tc>
          <w:tcPr>
            <w:tcW w:w="2588" w:type="dxa"/>
          </w:tcPr>
          <w:p>
            <w:pPr>
              <w:rPr>
                <w:noProof/>
              </w:rPr>
            </w:pPr>
            <w:r>
              <w:rPr>
                <w:noProof/>
              </w:rPr>
              <w:t>Projecteurs émettant un faisceau-croisement asymétrique et/ou un faisceau-route et équipés de lampes halogènes à incandescence (H4)</w:t>
            </w:r>
          </w:p>
        </w:tc>
        <w:tc>
          <w:tcPr>
            <w:tcW w:w="1595" w:type="dxa"/>
          </w:tcPr>
          <w:p>
            <w:pPr>
              <w:rPr>
                <w:noProof/>
              </w:rPr>
            </w:pPr>
            <w:r>
              <w:rPr>
                <w:noProof/>
              </w:rPr>
              <w:t>Série 03 d’amendements</w:t>
            </w:r>
          </w:p>
        </w:tc>
        <w:tc>
          <w:tcPr>
            <w:tcW w:w="2323" w:type="dxa"/>
          </w:tcPr>
          <w:p>
            <w:pPr>
              <w:jc w:val="left"/>
              <w:rPr>
                <w:noProof/>
              </w:rPr>
            </w:pPr>
            <w:r>
              <w:rPr>
                <w:noProof/>
              </w:rPr>
              <w:t>JO L 177 du 10.7.2010, p. 170.</w:t>
            </w:r>
          </w:p>
        </w:tc>
        <w:tc>
          <w:tcPr>
            <w:tcW w:w="1435" w:type="dxa"/>
          </w:tcPr>
          <w:p>
            <w:pPr>
              <w:rPr>
                <w:noProof/>
              </w:rPr>
            </w:pPr>
            <w:r>
              <w:rPr>
                <w:noProof/>
              </w:rPr>
              <w:t>M, N (</w:t>
            </w:r>
            <w:r>
              <w:rPr>
                <w:noProof/>
                <w:vertAlign w:val="superscript"/>
              </w:rPr>
              <w:t>a</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21</w:t>
            </w:r>
          </w:p>
        </w:tc>
        <w:tc>
          <w:tcPr>
            <w:tcW w:w="2588" w:type="dxa"/>
          </w:tcPr>
          <w:p>
            <w:pPr>
              <w:rPr>
                <w:noProof/>
              </w:rPr>
            </w:pPr>
            <w:r>
              <w:rPr>
                <w:noProof/>
              </w:rPr>
              <w:t>Aménagement intérieur</w:t>
            </w:r>
          </w:p>
        </w:tc>
        <w:tc>
          <w:tcPr>
            <w:tcW w:w="1595" w:type="dxa"/>
          </w:tcPr>
          <w:p>
            <w:pPr>
              <w:rPr>
                <w:noProof/>
              </w:rPr>
            </w:pPr>
            <w:r>
              <w:rPr>
                <w:noProof/>
              </w:rPr>
              <w:t>Complément 3 à la série 01 d’amendements</w:t>
            </w:r>
          </w:p>
        </w:tc>
        <w:tc>
          <w:tcPr>
            <w:tcW w:w="2323" w:type="dxa"/>
          </w:tcPr>
          <w:p>
            <w:pPr>
              <w:jc w:val="left"/>
              <w:rPr>
                <w:b/>
                <w:bCs/>
                <w:noProof/>
              </w:rPr>
            </w:pPr>
            <w:r>
              <w:rPr>
                <w:noProof/>
              </w:rPr>
              <w:t>JO L 188 du 16.7.2008, p. 32.</w:t>
            </w:r>
          </w:p>
        </w:tc>
        <w:tc>
          <w:tcPr>
            <w:tcW w:w="1435" w:type="dxa"/>
          </w:tcPr>
          <w:p>
            <w:pPr>
              <w:rPr>
                <w:b/>
                <w:bCs/>
                <w:noProof/>
              </w:rPr>
            </w:pPr>
            <w:r>
              <w:rPr>
                <w:noProof/>
              </w:rPr>
              <w:t>M</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23</w:t>
            </w:r>
          </w:p>
        </w:tc>
        <w:tc>
          <w:tcPr>
            <w:tcW w:w="2588" w:type="dxa"/>
          </w:tcPr>
          <w:p>
            <w:pPr>
              <w:rPr>
                <w:noProof/>
              </w:rPr>
            </w:pPr>
            <w:r>
              <w:rPr>
                <w:noProof/>
              </w:rPr>
              <w:t>Feux de marche arrière pour véhicules à moteur et leurs remorques</w:t>
            </w:r>
          </w:p>
        </w:tc>
        <w:tc>
          <w:tcPr>
            <w:tcW w:w="1595" w:type="dxa"/>
          </w:tcPr>
          <w:p>
            <w:pPr>
              <w:rPr>
                <w:noProof/>
              </w:rPr>
            </w:pPr>
            <w:r>
              <w:rPr>
                <w:noProof/>
              </w:rPr>
              <w:t>Complément 19 à la version originale du règlement</w:t>
            </w:r>
          </w:p>
        </w:tc>
        <w:tc>
          <w:tcPr>
            <w:tcW w:w="2323" w:type="dxa"/>
          </w:tcPr>
          <w:p>
            <w:pPr>
              <w:jc w:val="left"/>
              <w:rPr>
                <w:b/>
                <w:bCs/>
                <w:noProof/>
              </w:rPr>
            </w:pPr>
            <w:r>
              <w:rPr>
                <w:noProof/>
              </w:rPr>
              <w:t>JO L 237 du 8.8.2014, p. 1.</w:t>
            </w:r>
          </w:p>
        </w:tc>
        <w:tc>
          <w:tcPr>
            <w:tcW w:w="1435" w:type="dxa"/>
          </w:tcPr>
          <w:p>
            <w:pPr>
              <w:rPr>
                <w:b/>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25</w:t>
            </w:r>
          </w:p>
        </w:tc>
        <w:tc>
          <w:tcPr>
            <w:tcW w:w="2588" w:type="dxa"/>
          </w:tcPr>
          <w:p>
            <w:pPr>
              <w:rPr>
                <w:noProof/>
              </w:rPr>
            </w:pPr>
            <w:r>
              <w:rPr>
                <w:noProof/>
              </w:rPr>
              <w:t>Appuis-tête incorporés ou non dans les sièges des véhicules</w:t>
            </w:r>
          </w:p>
        </w:tc>
        <w:tc>
          <w:tcPr>
            <w:tcW w:w="1595" w:type="dxa"/>
          </w:tcPr>
          <w:p>
            <w:pPr>
              <w:rPr>
                <w:noProof/>
              </w:rPr>
            </w:pPr>
            <w:r>
              <w:rPr>
                <w:noProof/>
              </w:rPr>
              <w:t>Rectificatif 2 de la série 04 d’amendements à la révision 1</w:t>
            </w:r>
          </w:p>
        </w:tc>
        <w:tc>
          <w:tcPr>
            <w:tcW w:w="2323" w:type="dxa"/>
          </w:tcPr>
          <w:p>
            <w:pPr>
              <w:jc w:val="left"/>
              <w:rPr>
                <w:noProof/>
              </w:rPr>
            </w:pPr>
            <w:r>
              <w:rPr>
                <w:noProof/>
              </w:rPr>
              <w:br/>
              <w:t>JO L 215 du 14.8.2010, p. 1.</w:t>
            </w:r>
          </w:p>
          <w:p>
            <w:pPr>
              <w:jc w:val="left"/>
              <w:rPr>
                <w:b/>
                <w:bCs/>
                <w:noProof/>
              </w:rPr>
            </w:pPr>
            <w:r>
              <w:rPr>
                <w:i/>
                <w:noProof/>
              </w:rPr>
              <w:t>[OP: programmé pour traduction en 2018, prière d'actualiser les références lorsque disponible]</w:t>
            </w:r>
          </w:p>
        </w:tc>
        <w:tc>
          <w:tcPr>
            <w:tcW w:w="1435" w:type="dxa"/>
          </w:tcPr>
          <w:p>
            <w:pPr>
              <w:rPr>
                <w:b/>
                <w:bCs/>
                <w:noProof/>
              </w:rPr>
            </w:pPr>
            <w:r>
              <w:rPr>
                <w:noProof/>
              </w:rPr>
              <w:t>M</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26</w:t>
            </w:r>
          </w:p>
        </w:tc>
        <w:tc>
          <w:tcPr>
            <w:tcW w:w="2588" w:type="dxa"/>
          </w:tcPr>
          <w:p>
            <w:pPr>
              <w:rPr>
                <w:noProof/>
              </w:rPr>
            </w:pPr>
            <w:r>
              <w:rPr>
                <w:noProof/>
              </w:rPr>
              <w:t>Saillies extérieures</w:t>
            </w:r>
          </w:p>
        </w:tc>
        <w:tc>
          <w:tcPr>
            <w:tcW w:w="1595" w:type="dxa"/>
          </w:tcPr>
          <w:p>
            <w:pPr>
              <w:rPr>
                <w:noProof/>
              </w:rPr>
            </w:pPr>
            <w:r>
              <w:rPr>
                <w:noProof/>
              </w:rPr>
              <w:t>Complément 1 à la série 03 d’amendements</w:t>
            </w:r>
          </w:p>
        </w:tc>
        <w:tc>
          <w:tcPr>
            <w:tcW w:w="2323" w:type="dxa"/>
          </w:tcPr>
          <w:p>
            <w:pPr>
              <w:jc w:val="left"/>
              <w:rPr>
                <w:noProof/>
              </w:rPr>
            </w:pPr>
            <w:r>
              <w:rPr>
                <w:noProof/>
              </w:rPr>
              <w:t>JO L 215 du 14.8.2010, p. 27.</w:t>
            </w:r>
          </w:p>
        </w:tc>
        <w:tc>
          <w:tcPr>
            <w:tcW w:w="1435" w:type="dxa"/>
          </w:tcPr>
          <w:p>
            <w:pPr>
              <w:rPr>
                <w:noProof/>
              </w:rPr>
            </w:pPr>
            <w:r>
              <w:rPr>
                <w:noProof/>
              </w:rPr>
              <w:t>M</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28</w:t>
            </w:r>
          </w:p>
        </w:tc>
        <w:tc>
          <w:tcPr>
            <w:tcW w:w="2588" w:type="dxa"/>
          </w:tcPr>
          <w:p>
            <w:pPr>
              <w:rPr>
                <w:noProof/>
              </w:rPr>
            </w:pPr>
            <w:r>
              <w:rPr>
                <w:noProof/>
              </w:rPr>
              <w:t>Avertisseurs sonores et leur signalisation sonore</w:t>
            </w:r>
          </w:p>
        </w:tc>
        <w:tc>
          <w:tcPr>
            <w:tcW w:w="1595" w:type="dxa"/>
          </w:tcPr>
          <w:p>
            <w:pPr>
              <w:rPr>
                <w:b/>
                <w:bCs/>
                <w:noProof/>
              </w:rPr>
            </w:pPr>
            <w:r>
              <w:rPr>
                <w:noProof/>
              </w:rPr>
              <w:t>Complément 3 à la version originale du règlement</w:t>
            </w:r>
          </w:p>
        </w:tc>
        <w:tc>
          <w:tcPr>
            <w:tcW w:w="2323" w:type="dxa"/>
          </w:tcPr>
          <w:p>
            <w:pPr>
              <w:jc w:val="left"/>
              <w:rPr>
                <w:bCs/>
                <w:noProof/>
              </w:rPr>
            </w:pPr>
            <w:r>
              <w:rPr>
                <w:noProof/>
              </w:rPr>
              <w:t>JO L 323 du 6.12.2011, p. 33.</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29</w:t>
            </w:r>
          </w:p>
        </w:tc>
        <w:tc>
          <w:tcPr>
            <w:tcW w:w="2588" w:type="dxa"/>
          </w:tcPr>
          <w:p>
            <w:pPr>
              <w:rPr>
                <w:noProof/>
              </w:rPr>
            </w:pPr>
            <w:r>
              <w:rPr>
                <w:noProof/>
              </w:rPr>
              <w:t>Protection des occupants de la cabine d’un véhicule utilitaire</w:t>
            </w:r>
          </w:p>
        </w:tc>
        <w:tc>
          <w:tcPr>
            <w:tcW w:w="1595" w:type="dxa"/>
          </w:tcPr>
          <w:p>
            <w:pPr>
              <w:rPr>
                <w:noProof/>
              </w:rPr>
            </w:pPr>
            <w:r>
              <w:rPr>
                <w:noProof/>
              </w:rPr>
              <w:t>Série 03 d’amendements</w:t>
            </w:r>
          </w:p>
        </w:tc>
        <w:tc>
          <w:tcPr>
            <w:tcW w:w="2323" w:type="dxa"/>
          </w:tcPr>
          <w:p>
            <w:pPr>
              <w:jc w:val="left"/>
              <w:rPr>
                <w:bCs/>
                <w:noProof/>
              </w:rPr>
            </w:pPr>
            <w:r>
              <w:rPr>
                <w:noProof/>
              </w:rPr>
              <w:t>JO L 304 du 20.11.2010, p. 21.</w:t>
            </w:r>
          </w:p>
          <w:p>
            <w:pPr>
              <w:jc w:val="left"/>
              <w:rPr>
                <w:bCs/>
                <w:noProof/>
              </w:rPr>
            </w:pPr>
            <w:r>
              <w:rPr>
                <w:i/>
                <w:noProof/>
              </w:rPr>
              <w:t>[OP: programmé pour traduction en 2018, prière d'actualiser les références lorsque disponible]</w:t>
            </w:r>
          </w:p>
        </w:tc>
        <w:tc>
          <w:tcPr>
            <w:tcW w:w="1435" w:type="dxa"/>
          </w:tcPr>
          <w:p>
            <w:pPr>
              <w:rPr>
                <w:bCs/>
                <w:noProof/>
              </w:rPr>
            </w:pPr>
            <w:r>
              <w:rPr>
                <w:noProof/>
              </w:rPr>
              <w:t>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30</w:t>
            </w:r>
          </w:p>
        </w:tc>
        <w:tc>
          <w:tcPr>
            <w:tcW w:w="2588" w:type="dxa"/>
          </w:tcPr>
          <w:p>
            <w:pPr>
              <w:rPr>
                <w:noProof/>
              </w:rPr>
            </w:pPr>
            <w:r>
              <w:rPr>
                <w:noProof/>
              </w:rPr>
              <w:t>Pneumatiques pour les véhicules à moteur et leurs remorques (classe C1)</w:t>
            </w:r>
          </w:p>
        </w:tc>
        <w:tc>
          <w:tcPr>
            <w:tcW w:w="1595" w:type="dxa"/>
          </w:tcPr>
          <w:p>
            <w:pPr>
              <w:rPr>
                <w:noProof/>
              </w:rPr>
            </w:pPr>
            <w:r>
              <w:rPr>
                <w:noProof/>
              </w:rPr>
              <w:t>Complément 16 à la série 02 d’amendements</w:t>
            </w:r>
          </w:p>
        </w:tc>
        <w:tc>
          <w:tcPr>
            <w:tcW w:w="2323" w:type="dxa"/>
          </w:tcPr>
          <w:p>
            <w:pPr>
              <w:jc w:val="left"/>
              <w:rPr>
                <w:noProof/>
              </w:rPr>
            </w:pPr>
            <w:r>
              <w:rPr>
                <w:noProof/>
              </w:rPr>
              <w:t>JO L 307 du 23.11.2011, p. 1.</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31</w:t>
            </w:r>
          </w:p>
        </w:tc>
        <w:tc>
          <w:tcPr>
            <w:tcW w:w="2588" w:type="dxa"/>
          </w:tcPr>
          <w:p>
            <w:pPr>
              <w:rPr>
                <w:noProof/>
              </w:rPr>
            </w:pPr>
            <w:r>
              <w:rPr>
                <w:noProof/>
              </w:rPr>
              <w:t>Projecteurs scellés halogènes pour véhicules à moteur émettant un faisceau de croisement asymétrique européen ou un faisceau de route, ou les deux à la fois</w:t>
            </w:r>
          </w:p>
        </w:tc>
        <w:tc>
          <w:tcPr>
            <w:tcW w:w="1595" w:type="dxa"/>
          </w:tcPr>
          <w:p>
            <w:pPr>
              <w:rPr>
                <w:noProof/>
              </w:rPr>
            </w:pPr>
            <w:r>
              <w:rPr>
                <w:noProof/>
              </w:rPr>
              <w:t>Complément 7 à la série 02 d’amendements</w:t>
            </w:r>
          </w:p>
        </w:tc>
        <w:tc>
          <w:tcPr>
            <w:tcW w:w="2323" w:type="dxa"/>
          </w:tcPr>
          <w:p>
            <w:pPr>
              <w:jc w:val="left"/>
              <w:rPr>
                <w:noProof/>
              </w:rPr>
            </w:pPr>
            <w:r>
              <w:rPr>
                <w:noProof/>
              </w:rPr>
              <w:t>JO L 185 du 17.7.2010, p. 15.</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34</w:t>
            </w:r>
          </w:p>
        </w:tc>
        <w:tc>
          <w:tcPr>
            <w:tcW w:w="2588" w:type="dxa"/>
          </w:tcPr>
          <w:p>
            <w:pPr>
              <w:rPr>
                <w:noProof/>
              </w:rPr>
            </w:pPr>
            <w:r>
              <w:rPr>
                <w:noProof/>
              </w:rPr>
              <w:t>Prévention des risques d’incendie (réservoirs de carburant liquide)</w:t>
            </w:r>
          </w:p>
        </w:tc>
        <w:tc>
          <w:tcPr>
            <w:tcW w:w="1595" w:type="dxa"/>
          </w:tcPr>
          <w:p>
            <w:pPr>
              <w:rPr>
                <w:noProof/>
              </w:rPr>
            </w:pPr>
            <w:r>
              <w:rPr>
                <w:noProof/>
              </w:rPr>
              <w:t>Complément 1 à la série 03 d’amendements</w:t>
            </w:r>
          </w:p>
        </w:tc>
        <w:tc>
          <w:tcPr>
            <w:tcW w:w="2323" w:type="dxa"/>
          </w:tcPr>
          <w:p>
            <w:pPr>
              <w:jc w:val="left"/>
              <w:rPr>
                <w:noProof/>
              </w:rPr>
            </w:pPr>
            <w:r>
              <w:rPr>
                <w:noProof/>
              </w:rPr>
              <w:t>JO L 231 du 26.8.2016, p. 41.</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37</w:t>
            </w:r>
          </w:p>
        </w:tc>
        <w:tc>
          <w:tcPr>
            <w:tcW w:w="2588" w:type="dxa"/>
          </w:tcPr>
          <w:p>
            <w:pPr>
              <w:rPr>
                <w:noProof/>
              </w:rPr>
            </w:pPr>
            <w:r>
              <w:rPr>
                <w:noProof/>
              </w:rPr>
              <w:t>Lampes à incandescence destinées à être utilisées dans les feux homologués des véhicules à moteur et de leurs remorques</w:t>
            </w:r>
          </w:p>
        </w:tc>
        <w:tc>
          <w:tcPr>
            <w:tcW w:w="1595" w:type="dxa"/>
          </w:tcPr>
          <w:p>
            <w:pPr>
              <w:rPr>
                <w:noProof/>
              </w:rPr>
            </w:pPr>
            <w:r>
              <w:rPr>
                <w:noProof/>
              </w:rPr>
              <w:t>Complément 42 à la série 03 d’amendements</w:t>
            </w:r>
          </w:p>
        </w:tc>
        <w:tc>
          <w:tcPr>
            <w:tcW w:w="2323" w:type="dxa"/>
          </w:tcPr>
          <w:p>
            <w:pPr>
              <w:jc w:val="left"/>
              <w:rPr>
                <w:noProof/>
              </w:rPr>
            </w:pPr>
            <w:r>
              <w:rPr>
                <w:noProof/>
              </w:rPr>
              <w:t>JO L 213 du 18.07.2014, p. 36.</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38</w:t>
            </w:r>
          </w:p>
        </w:tc>
        <w:tc>
          <w:tcPr>
            <w:tcW w:w="2588" w:type="dxa"/>
          </w:tcPr>
          <w:p>
            <w:pPr>
              <w:rPr>
                <w:noProof/>
              </w:rPr>
            </w:pPr>
            <w:r>
              <w:rPr>
                <w:noProof/>
              </w:rPr>
              <w:t>Feux de brouillard arrière pour les véhicules à moteur et leurs remorques</w:t>
            </w:r>
          </w:p>
        </w:tc>
        <w:tc>
          <w:tcPr>
            <w:tcW w:w="1595" w:type="dxa"/>
          </w:tcPr>
          <w:p>
            <w:pPr>
              <w:rPr>
                <w:noProof/>
              </w:rPr>
            </w:pPr>
            <w:r>
              <w:rPr>
                <w:noProof/>
              </w:rPr>
              <w:t>Complément 15 à la version originale du règlement</w:t>
            </w:r>
          </w:p>
        </w:tc>
        <w:tc>
          <w:tcPr>
            <w:tcW w:w="2323" w:type="dxa"/>
          </w:tcPr>
          <w:p>
            <w:pPr>
              <w:jc w:val="left"/>
              <w:rPr>
                <w:b/>
                <w:bCs/>
                <w:noProof/>
              </w:rPr>
            </w:pPr>
            <w:r>
              <w:rPr>
                <w:noProof/>
              </w:rPr>
              <w:t>JO L 4 du 7.1.2012, p. 20.</w:t>
            </w:r>
          </w:p>
        </w:tc>
        <w:tc>
          <w:tcPr>
            <w:tcW w:w="1435" w:type="dxa"/>
          </w:tcPr>
          <w:p>
            <w:pPr>
              <w:rPr>
                <w:b/>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39</w:t>
            </w:r>
          </w:p>
        </w:tc>
        <w:tc>
          <w:tcPr>
            <w:tcW w:w="2588" w:type="dxa"/>
          </w:tcPr>
          <w:p>
            <w:pPr>
              <w:rPr>
                <w:noProof/>
              </w:rPr>
            </w:pPr>
            <w:r>
              <w:rPr>
                <w:noProof/>
              </w:rPr>
              <w:t>Appareil indicateur de vitesse, y compris son installation</w:t>
            </w:r>
          </w:p>
        </w:tc>
        <w:tc>
          <w:tcPr>
            <w:tcW w:w="1595" w:type="dxa"/>
          </w:tcPr>
          <w:p>
            <w:pPr>
              <w:rPr>
                <w:b/>
                <w:bCs/>
                <w:noProof/>
              </w:rPr>
            </w:pPr>
            <w:r>
              <w:rPr>
                <w:noProof/>
              </w:rPr>
              <w:t>Complément 5 à la version originale du règlement</w:t>
            </w:r>
          </w:p>
        </w:tc>
        <w:tc>
          <w:tcPr>
            <w:tcW w:w="2323" w:type="dxa"/>
          </w:tcPr>
          <w:p>
            <w:pPr>
              <w:jc w:val="left"/>
              <w:rPr>
                <w:b/>
                <w:bCs/>
                <w:noProof/>
              </w:rPr>
            </w:pPr>
            <w:r>
              <w:rPr>
                <w:noProof/>
              </w:rPr>
              <w:t>JO L 120 du 13.5.2010, p. 40.</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43</w:t>
            </w:r>
          </w:p>
        </w:tc>
        <w:tc>
          <w:tcPr>
            <w:tcW w:w="2588" w:type="dxa"/>
          </w:tcPr>
          <w:p>
            <w:pPr>
              <w:rPr>
                <w:noProof/>
              </w:rPr>
            </w:pPr>
            <w:r>
              <w:rPr>
                <w:noProof/>
              </w:rPr>
              <w:t>Vitrages de sécurité</w:t>
            </w:r>
          </w:p>
        </w:tc>
        <w:tc>
          <w:tcPr>
            <w:tcW w:w="1595" w:type="dxa"/>
          </w:tcPr>
          <w:p>
            <w:pPr>
              <w:rPr>
                <w:noProof/>
              </w:rPr>
            </w:pPr>
            <w:r>
              <w:rPr>
                <w:noProof/>
              </w:rPr>
              <w:t>Complément 2 à la série 01 d’amendements</w:t>
            </w:r>
          </w:p>
        </w:tc>
        <w:tc>
          <w:tcPr>
            <w:tcW w:w="2323" w:type="dxa"/>
          </w:tcPr>
          <w:p>
            <w:pPr>
              <w:jc w:val="left"/>
              <w:rPr>
                <w:noProof/>
              </w:rPr>
            </w:pPr>
            <w:r>
              <w:rPr>
                <w:noProof/>
              </w:rPr>
              <w:t>JO L 42 du 12.2.2014, p. 1.</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44</w:t>
            </w:r>
          </w:p>
        </w:tc>
        <w:tc>
          <w:tcPr>
            <w:tcW w:w="2588" w:type="dxa"/>
          </w:tcPr>
          <w:p>
            <w:pPr>
              <w:rPr>
                <w:noProof/>
              </w:rPr>
            </w:pPr>
            <w:r>
              <w:rPr>
                <w:noProof/>
              </w:rPr>
              <w:t xml:space="preserve">Dispositifs de retenue pour enfants à bord des véhicules à moteur («dispositifs de retenue pour enfants») </w:t>
            </w:r>
          </w:p>
        </w:tc>
        <w:tc>
          <w:tcPr>
            <w:tcW w:w="1595" w:type="dxa"/>
          </w:tcPr>
          <w:p>
            <w:pPr>
              <w:rPr>
                <w:noProof/>
              </w:rPr>
            </w:pPr>
            <w:r>
              <w:rPr>
                <w:noProof/>
              </w:rPr>
              <w:t>Complément 10 à la série 04 d’amendements</w:t>
            </w:r>
          </w:p>
        </w:tc>
        <w:tc>
          <w:tcPr>
            <w:tcW w:w="2323" w:type="dxa"/>
          </w:tcPr>
          <w:p>
            <w:pPr>
              <w:jc w:val="left"/>
              <w:rPr>
                <w:noProof/>
              </w:rPr>
            </w:pPr>
            <w:r>
              <w:rPr>
                <w:noProof/>
              </w:rPr>
              <w:t>JO L 265 du 30.9.2016, p.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45</w:t>
            </w:r>
          </w:p>
        </w:tc>
        <w:tc>
          <w:tcPr>
            <w:tcW w:w="2588" w:type="dxa"/>
          </w:tcPr>
          <w:p>
            <w:pPr>
              <w:rPr>
                <w:noProof/>
              </w:rPr>
            </w:pPr>
            <w:r>
              <w:rPr>
                <w:noProof/>
              </w:rPr>
              <w:t>Nettoie-projecteurs</w:t>
            </w:r>
          </w:p>
        </w:tc>
        <w:tc>
          <w:tcPr>
            <w:tcW w:w="1595" w:type="dxa"/>
          </w:tcPr>
          <w:p>
            <w:pPr>
              <w:rPr>
                <w:noProof/>
              </w:rPr>
            </w:pPr>
            <w:r>
              <w:rPr>
                <w:noProof/>
              </w:rPr>
              <w:t>Complément 11 à la série 01 d’amendements</w:t>
            </w:r>
          </w:p>
        </w:tc>
        <w:tc>
          <w:tcPr>
            <w:tcW w:w="2323" w:type="dxa"/>
          </w:tcPr>
          <w:p>
            <w:pPr>
              <w:jc w:val="center"/>
              <w:rPr>
                <w:noProof/>
              </w:rPr>
            </w:pPr>
            <w:r>
              <w:rPr>
                <w:i/>
                <w:noProof/>
              </w:rPr>
              <w:t>[OP: programmé pour traduction en 2018, prière d'actualiser les références lorsque disponible]</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46</w:t>
            </w:r>
          </w:p>
        </w:tc>
        <w:tc>
          <w:tcPr>
            <w:tcW w:w="2588" w:type="dxa"/>
          </w:tcPr>
          <w:p>
            <w:pPr>
              <w:rPr>
                <w:noProof/>
              </w:rPr>
            </w:pPr>
            <w:r>
              <w:rPr>
                <w:noProof/>
              </w:rPr>
              <w:t>Systèmes de vision indirecte et leur montage</w:t>
            </w:r>
          </w:p>
        </w:tc>
        <w:tc>
          <w:tcPr>
            <w:tcW w:w="1595" w:type="dxa"/>
          </w:tcPr>
          <w:p>
            <w:pPr>
              <w:rPr>
                <w:noProof/>
              </w:rPr>
            </w:pPr>
            <w:r>
              <w:rPr>
                <w:noProof/>
              </w:rPr>
              <w:t>Complément 1 à la série 04 d’amendements</w:t>
            </w:r>
          </w:p>
        </w:tc>
        <w:tc>
          <w:tcPr>
            <w:tcW w:w="2323" w:type="dxa"/>
          </w:tcPr>
          <w:p>
            <w:pPr>
              <w:jc w:val="left"/>
              <w:rPr>
                <w:b/>
                <w:bCs/>
                <w:noProof/>
              </w:rPr>
            </w:pPr>
            <w:r>
              <w:rPr>
                <w:noProof/>
              </w:rPr>
              <w:t>JO L 237 du 8.8.2014, p. 24.</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48</w:t>
            </w:r>
          </w:p>
        </w:tc>
        <w:tc>
          <w:tcPr>
            <w:tcW w:w="2588" w:type="dxa"/>
          </w:tcPr>
          <w:p>
            <w:pPr>
              <w:rPr>
                <w:noProof/>
              </w:rPr>
            </w:pPr>
            <w:r>
              <w:rPr>
                <w:noProof/>
              </w:rPr>
              <w:t>Installation des dispositifs d’éclairage et de signalisation lumineuse sur les véhicules à moteur</w:t>
            </w:r>
          </w:p>
        </w:tc>
        <w:tc>
          <w:tcPr>
            <w:tcW w:w="1595" w:type="dxa"/>
          </w:tcPr>
          <w:p>
            <w:pPr>
              <w:rPr>
                <w:noProof/>
              </w:rPr>
            </w:pPr>
            <w:r>
              <w:rPr>
                <w:noProof/>
              </w:rPr>
              <w:t>Complément 7 à la série 06 d’amendements</w:t>
            </w:r>
          </w:p>
        </w:tc>
        <w:tc>
          <w:tcPr>
            <w:tcW w:w="2323" w:type="dxa"/>
          </w:tcPr>
          <w:p>
            <w:pPr>
              <w:jc w:val="left"/>
              <w:rPr>
                <w:b/>
                <w:bCs/>
                <w:noProof/>
              </w:rPr>
            </w:pPr>
            <w:r>
              <w:rPr>
                <w:noProof/>
              </w:rPr>
              <w:t>JO L 265 du 30.09.2016, p. 125.</w:t>
            </w:r>
          </w:p>
        </w:tc>
        <w:tc>
          <w:tcPr>
            <w:tcW w:w="1435" w:type="dxa"/>
          </w:tcPr>
          <w:p>
            <w:pPr>
              <w:rPr>
                <w:b/>
                <w:bCs/>
                <w:noProof/>
              </w:rPr>
            </w:pPr>
            <w:r>
              <w:rPr>
                <w:noProof/>
              </w:rPr>
              <w:t>M, N, O (</w:t>
            </w:r>
            <w:r>
              <w:rPr>
                <w:noProof/>
                <w:vertAlign w:val="superscript"/>
              </w:rPr>
              <w:t>c</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54</w:t>
            </w:r>
          </w:p>
        </w:tc>
        <w:tc>
          <w:tcPr>
            <w:tcW w:w="2588" w:type="dxa"/>
          </w:tcPr>
          <w:p>
            <w:pPr>
              <w:rPr>
                <w:noProof/>
              </w:rPr>
            </w:pPr>
            <w:r>
              <w:rPr>
                <w:noProof/>
              </w:rPr>
              <w:t>Pneumatiques pour véhicules utilitaires et leurs remorques (classes C2 et C3)</w:t>
            </w:r>
          </w:p>
        </w:tc>
        <w:tc>
          <w:tcPr>
            <w:tcW w:w="1595" w:type="dxa"/>
          </w:tcPr>
          <w:p>
            <w:pPr>
              <w:jc w:val="center"/>
              <w:rPr>
                <w:bCs/>
                <w:noProof/>
              </w:rPr>
            </w:pPr>
            <w:r>
              <w:rPr>
                <w:noProof/>
              </w:rPr>
              <w:t>Complément 17 à la version originale du règlement</w:t>
            </w:r>
          </w:p>
          <w:p>
            <w:pPr>
              <w:rPr>
                <w:noProof/>
              </w:rPr>
            </w:pPr>
          </w:p>
        </w:tc>
        <w:tc>
          <w:tcPr>
            <w:tcW w:w="2323" w:type="dxa"/>
          </w:tcPr>
          <w:p>
            <w:pPr>
              <w:jc w:val="left"/>
              <w:rPr>
                <w:noProof/>
              </w:rPr>
            </w:pPr>
            <w:r>
              <w:rPr>
                <w:noProof/>
              </w:rPr>
              <w:t>JO L 307 du 23.11.2011, p. 2.</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55</w:t>
            </w:r>
          </w:p>
        </w:tc>
        <w:tc>
          <w:tcPr>
            <w:tcW w:w="2588" w:type="dxa"/>
          </w:tcPr>
          <w:p>
            <w:pPr>
              <w:rPr>
                <w:noProof/>
              </w:rPr>
            </w:pPr>
            <w:r>
              <w:rPr>
                <w:noProof/>
              </w:rPr>
              <w:t>Pièces mécaniques d’attelage des ensembles de véhicules</w:t>
            </w:r>
          </w:p>
        </w:tc>
        <w:tc>
          <w:tcPr>
            <w:tcW w:w="1595" w:type="dxa"/>
          </w:tcPr>
          <w:p>
            <w:pPr>
              <w:rPr>
                <w:noProof/>
              </w:rPr>
            </w:pPr>
            <w:r>
              <w:rPr>
                <w:noProof/>
              </w:rPr>
              <w:t>Complément 1 à la série 01 d’amendements</w:t>
            </w:r>
          </w:p>
        </w:tc>
        <w:tc>
          <w:tcPr>
            <w:tcW w:w="2323" w:type="dxa"/>
          </w:tcPr>
          <w:p>
            <w:pPr>
              <w:jc w:val="left"/>
              <w:rPr>
                <w:noProof/>
              </w:rPr>
            </w:pPr>
            <w:r>
              <w:rPr>
                <w:noProof/>
              </w:rPr>
              <w:t>JO L 227 du 28.8.2010, p. 1.</w:t>
            </w:r>
          </w:p>
          <w:p>
            <w:pPr>
              <w:jc w:val="left"/>
              <w:rPr>
                <w:b/>
                <w:bCs/>
                <w:noProof/>
              </w:rPr>
            </w:pPr>
            <w:r>
              <w:rPr>
                <w:i/>
                <w:noProof/>
              </w:rPr>
              <w:t>[OP: programmé pour traduction en 2018, prière d'actualiser les références lorsque disponible]</w:t>
            </w:r>
          </w:p>
        </w:tc>
        <w:tc>
          <w:tcPr>
            <w:tcW w:w="1435" w:type="dxa"/>
          </w:tcPr>
          <w:p>
            <w:pPr>
              <w:rPr>
                <w:b/>
                <w:bCs/>
                <w:noProof/>
              </w:rPr>
            </w:pPr>
            <w:r>
              <w:rPr>
                <w:noProof/>
              </w:rPr>
              <w:t>M, N, O (</w:t>
            </w:r>
            <w:r>
              <w:rPr>
                <w:noProof/>
                <w:vertAlign w:val="superscript"/>
              </w:rPr>
              <w:t>c</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58</w:t>
            </w:r>
          </w:p>
        </w:tc>
        <w:tc>
          <w:tcPr>
            <w:tcW w:w="2588" w:type="dxa"/>
          </w:tcPr>
          <w:p>
            <w:pPr>
              <w:rPr>
                <w:noProof/>
              </w:rPr>
            </w:pPr>
            <w:r>
              <w:rPr>
                <w:noProof/>
              </w:rPr>
              <w:t>Dispositifs arrière de protection anti-encastrement et leur montage; protection contre l’encastrement à l’arrière</w:t>
            </w:r>
          </w:p>
        </w:tc>
        <w:tc>
          <w:tcPr>
            <w:tcW w:w="1595" w:type="dxa"/>
          </w:tcPr>
          <w:p>
            <w:pPr>
              <w:rPr>
                <w:noProof/>
              </w:rPr>
            </w:pPr>
            <w:r>
              <w:rPr>
                <w:noProof/>
              </w:rPr>
              <w:t>Complément 3 à la série 02 d’amendements</w:t>
            </w:r>
          </w:p>
        </w:tc>
        <w:tc>
          <w:tcPr>
            <w:tcW w:w="2323" w:type="dxa"/>
          </w:tcPr>
          <w:p>
            <w:pPr>
              <w:jc w:val="left"/>
              <w:rPr>
                <w:noProof/>
              </w:rPr>
            </w:pPr>
            <w:r>
              <w:rPr>
                <w:noProof/>
              </w:rPr>
              <w:t>JO L 89 du 27.3.2013, p. 34.</w:t>
            </w:r>
          </w:p>
          <w:p>
            <w:pPr>
              <w:jc w:val="left"/>
              <w:rPr>
                <w:noProof/>
              </w:rPr>
            </w:pPr>
            <w:r>
              <w:rPr>
                <w:i/>
                <w:noProof/>
              </w:rPr>
              <w:t>[OP: programmé pour traduction en 2018, prière d'actualiser les références lorsque disponible]</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61</w:t>
            </w:r>
          </w:p>
        </w:tc>
        <w:tc>
          <w:tcPr>
            <w:tcW w:w="2588" w:type="dxa"/>
          </w:tcPr>
          <w:p>
            <w:pPr>
              <w:rPr>
                <w:noProof/>
              </w:rPr>
            </w:pPr>
            <w:r>
              <w:rPr>
                <w:noProof/>
              </w:rPr>
              <w:t>Véhicules utilitaires en ce qui concerne leurs saillies extérieures à l’avant de la cloison postérieure de la cabine</w:t>
            </w:r>
          </w:p>
        </w:tc>
        <w:tc>
          <w:tcPr>
            <w:tcW w:w="1595" w:type="dxa"/>
          </w:tcPr>
          <w:p>
            <w:pPr>
              <w:rPr>
                <w:noProof/>
              </w:rPr>
            </w:pPr>
            <w:r>
              <w:rPr>
                <w:noProof/>
              </w:rPr>
              <w:t>Complément 1 à la version originale du règlement</w:t>
            </w:r>
          </w:p>
        </w:tc>
        <w:tc>
          <w:tcPr>
            <w:tcW w:w="2323" w:type="dxa"/>
          </w:tcPr>
          <w:p>
            <w:pPr>
              <w:jc w:val="left"/>
              <w:rPr>
                <w:noProof/>
              </w:rPr>
            </w:pPr>
            <w:r>
              <w:rPr>
                <w:noProof/>
              </w:rPr>
              <w:t>JO L 164 du 30.6.2010, p. 1.</w:t>
            </w:r>
          </w:p>
        </w:tc>
        <w:tc>
          <w:tcPr>
            <w:tcW w:w="1435" w:type="dxa"/>
          </w:tcPr>
          <w:p>
            <w:pPr>
              <w:rPr>
                <w:noProof/>
              </w:rPr>
            </w:pPr>
            <w:r>
              <w:rPr>
                <w:noProof/>
              </w:rPr>
              <w:t>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64</w:t>
            </w:r>
          </w:p>
        </w:tc>
        <w:tc>
          <w:tcPr>
            <w:tcW w:w="2588" w:type="dxa"/>
          </w:tcPr>
          <w:p>
            <w:pPr>
              <w:rPr>
                <w:noProof/>
              </w:rPr>
            </w:pPr>
            <w:r>
              <w:rPr>
                <w:noProof/>
              </w:rPr>
              <w:t>Équipement de secours à usage temporaire, pneumatiques/systèmes pour roulage à plat (et système de surveillance de la pression des pneumatiques)</w:t>
            </w:r>
          </w:p>
        </w:tc>
        <w:tc>
          <w:tcPr>
            <w:tcW w:w="1595" w:type="dxa"/>
          </w:tcPr>
          <w:p>
            <w:pPr>
              <w:rPr>
                <w:noProof/>
              </w:rPr>
            </w:pPr>
            <w:r>
              <w:rPr>
                <w:noProof/>
              </w:rPr>
              <w:t>Rectificatif 1 à la série 02 d’amendements</w:t>
            </w:r>
          </w:p>
        </w:tc>
        <w:tc>
          <w:tcPr>
            <w:tcW w:w="2323" w:type="dxa"/>
          </w:tcPr>
          <w:p>
            <w:pPr>
              <w:jc w:val="left"/>
              <w:rPr>
                <w:noProof/>
              </w:rPr>
            </w:pPr>
            <w:r>
              <w:rPr>
                <w:noProof/>
              </w:rPr>
              <w:t>JO L 310 du 26.11.2010, p. 18.</w:t>
            </w:r>
          </w:p>
        </w:tc>
        <w:tc>
          <w:tcPr>
            <w:tcW w:w="1435" w:type="dxa"/>
          </w:tcPr>
          <w:p>
            <w:pPr>
              <w:rPr>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66</w:t>
            </w:r>
          </w:p>
        </w:tc>
        <w:tc>
          <w:tcPr>
            <w:tcW w:w="2588" w:type="dxa"/>
          </w:tcPr>
          <w:p>
            <w:pPr>
              <w:rPr>
                <w:noProof/>
              </w:rPr>
            </w:pPr>
            <w:r>
              <w:rPr>
                <w:noProof/>
              </w:rPr>
              <w:t>Résistance mécanique de la superstructure des véhicules de grande capacité pour le transport de personnes</w:t>
            </w:r>
          </w:p>
        </w:tc>
        <w:tc>
          <w:tcPr>
            <w:tcW w:w="1595" w:type="dxa"/>
          </w:tcPr>
          <w:p>
            <w:pPr>
              <w:rPr>
                <w:noProof/>
              </w:rPr>
            </w:pPr>
            <w:r>
              <w:rPr>
                <w:noProof/>
              </w:rPr>
              <w:t>Série 02 d’amendements</w:t>
            </w:r>
          </w:p>
        </w:tc>
        <w:tc>
          <w:tcPr>
            <w:tcW w:w="2323" w:type="dxa"/>
          </w:tcPr>
          <w:p>
            <w:pPr>
              <w:jc w:val="left"/>
              <w:rPr>
                <w:noProof/>
              </w:rPr>
            </w:pPr>
            <w:r>
              <w:rPr>
                <w:noProof/>
              </w:rPr>
              <w:t>JO L 84 du 30.3.2011, p. 1.</w:t>
            </w:r>
          </w:p>
        </w:tc>
        <w:tc>
          <w:tcPr>
            <w:tcW w:w="1435" w:type="dxa"/>
          </w:tcPr>
          <w:p>
            <w:pPr>
              <w:rPr>
                <w:noProof/>
              </w:rPr>
            </w:pPr>
            <w:r>
              <w:rPr>
                <w:noProof/>
              </w:rPr>
              <w:t>M</w:t>
            </w:r>
            <w:r>
              <w:rPr>
                <w:noProof/>
                <w:vertAlign w:val="subscript"/>
              </w:rPr>
              <w:t>2</w:t>
            </w:r>
            <w:r>
              <w:rPr>
                <w:noProof/>
              </w:rPr>
              <w:t>, M</w:t>
            </w:r>
            <w:r>
              <w:rPr>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67</w:t>
            </w:r>
          </w:p>
        </w:tc>
        <w:tc>
          <w:tcPr>
            <w:tcW w:w="2588" w:type="dxa"/>
          </w:tcPr>
          <w:p>
            <w:pPr>
              <w:rPr>
                <w:noProof/>
              </w:rPr>
            </w:pPr>
            <w:r>
              <w:rPr>
                <w:noProof/>
              </w:rPr>
              <w:t xml:space="preserve">Véhicules à moteur fonctionnant au GPL </w:t>
            </w:r>
          </w:p>
        </w:tc>
        <w:tc>
          <w:tcPr>
            <w:tcW w:w="1595" w:type="dxa"/>
          </w:tcPr>
          <w:p>
            <w:pPr>
              <w:rPr>
                <w:noProof/>
              </w:rPr>
            </w:pPr>
            <w:r>
              <w:rPr>
                <w:noProof/>
              </w:rPr>
              <w:t>Complément 14 à la série 01 d’amendements</w:t>
            </w:r>
          </w:p>
        </w:tc>
        <w:tc>
          <w:tcPr>
            <w:tcW w:w="2323" w:type="dxa"/>
          </w:tcPr>
          <w:p>
            <w:pPr>
              <w:jc w:val="left"/>
              <w:rPr>
                <w:noProof/>
              </w:rPr>
            </w:pPr>
            <w:r>
              <w:rPr>
                <w:noProof/>
              </w:rPr>
              <w:t>JO L 285 du 20.10.2016, p.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73</w:t>
            </w:r>
          </w:p>
        </w:tc>
        <w:tc>
          <w:tcPr>
            <w:tcW w:w="2588" w:type="dxa"/>
          </w:tcPr>
          <w:p>
            <w:pPr>
              <w:rPr>
                <w:noProof/>
              </w:rPr>
            </w:pPr>
            <w:r>
              <w:rPr>
                <w:noProof/>
              </w:rPr>
              <w:t>Protection latérale des véhicules de transport de marchandises</w:t>
            </w:r>
          </w:p>
        </w:tc>
        <w:tc>
          <w:tcPr>
            <w:tcW w:w="1595" w:type="dxa"/>
          </w:tcPr>
          <w:p>
            <w:pPr>
              <w:rPr>
                <w:noProof/>
              </w:rPr>
            </w:pPr>
            <w:r>
              <w:rPr>
                <w:noProof/>
              </w:rPr>
              <w:t>Série 01 d’amendements</w:t>
            </w:r>
          </w:p>
        </w:tc>
        <w:tc>
          <w:tcPr>
            <w:tcW w:w="2323" w:type="dxa"/>
          </w:tcPr>
          <w:p>
            <w:pPr>
              <w:jc w:val="left"/>
              <w:rPr>
                <w:noProof/>
              </w:rPr>
            </w:pPr>
            <w:r>
              <w:rPr>
                <w:noProof/>
              </w:rPr>
              <w:t>JO L 122 du 8.5.2012, p. 1.</w:t>
            </w:r>
          </w:p>
        </w:tc>
        <w:tc>
          <w:tcPr>
            <w:tcW w:w="1435" w:type="dxa"/>
          </w:tcPr>
          <w:p>
            <w:pPr>
              <w:rPr>
                <w:noProof/>
              </w:rPr>
            </w:pPr>
            <w:r>
              <w:rPr>
                <w:noProof/>
              </w:rPr>
              <w:t>N</w:t>
            </w:r>
            <w:r>
              <w:rPr>
                <w:noProof/>
                <w:vertAlign w:val="subscript"/>
              </w:rPr>
              <w:t>2</w:t>
            </w:r>
            <w:r>
              <w:rPr>
                <w:noProof/>
              </w:rPr>
              <w:t>, N</w:t>
            </w:r>
            <w:r>
              <w:rPr>
                <w:noProof/>
                <w:vertAlign w:val="subscript"/>
              </w:rPr>
              <w:t>3</w:t>
            </w:r>
            <w:r>
              <w:rPr>
                <w:noProof/>
              </w:rPr>
              <w:t>, O</w:t>
            </w:r>
            <w:r>
              <w:rPr>
                <w:noProof/>
                <w:vertAlign w:val="subscript"/>
              </w:rPr>
              <w:t>3</w:t>
            </w:r>
            <w:r>
              <w:rPr>
                <w:noProof/>
              </w:rPr>
              <w:t>, O</w:t>
            </w:r>
            <w:r>
              <w:rPr>
                <w:noProof/>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77</w:t>
            </w:r>
          </w:p>
        </w:tc>
        <w:tc>
          <w:tcPr>
            <w:tcW w:w="2588" w:type="dxa"/>
          </w:tcPr>
          <w:p>
            <w:pPr>
              <w:rPr>
                <w:noProof/>
              </w:rPr>
            </w:pPr>
            <w:r>
              <w:rPr>
                <w:noProof/>
              </w:rPr>
              <w:t>Feux de stationnement pour les véhicules à moteur</w:t>
            </w:r>
          </w:p>
        </w:tc>
        <w:tc>
          <w:tcPr>
            <w:tcW w:w="1595" w:type="dxa"/>
          </w:tcPr>
          <w:p>
            <w:pPr>
              <w:rPr>
                <w:noProof/>
              </w:rPr>
            </w:pPr>
            <w:r>
              <w:rPr>
                <w:noProof/>
              </w:rPr>
              <w:t>Complément 14 à la version originale du règlement</w:t>
            </w:r>
          </w:p>
        </w:tc>
        <w:tc>
          <w:tcPr>
            <w:tcW w:w="2323" w:type="dxa"/>
          </w:tcPr>
          <w:p>
            <w:pPr>
              <w:jc w:val="left"/>
              <w:rPr>
                <w:b/>
                <w:bCs/>
                <w:noProof/>
              </w:rPr>
            </w:pPr>
            <w:r>
              <w:rPr>
                <w:noProof/>
              </w:rPr>
              <w:t>JO L 4 du 7.1.2012, p. 21.</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79</w:t>
            </w:r>
          </w:p>
        </w:tc>
        <w:tc>
          <w:tcPr>
            <w:tcW w:w="2588" w:type="dxa"/>
          </w:tcPr>
          <w:p>
            <w:pPr>
              <w:rPr>
                <w:noProof/>
              </w:rPr>
            </w:pPr>
            <w:r>
              <w:rPr>
                <w:noProof/>
              </w:rPr>
              <w:t>Équipement de direction</w:t>
            </w:r>
          </w:p>
        </w:tc>
        <w:tc>
          <w:tcPr>
            <w:tcW w:w="1595" w:type="dxa"/>
          </w:tcPr>
          <w:p>
            <w:pPr>
              <w:rPr>
                <w:noProof/>
              </w:rPr>
            </w:pPr>
            <w:r>
              <w:rPr>
                <w:noProof/>
              </w:rPr>
              <w:t>Complément 3 à la série 01 d’amendements</w:t>
            </w:r>
            <w:r>
              <w:rPr>
                <w:noProof/>
              </w:rPr>
              <w:br/>
              <w:t>Rectificatif</w:t>
            </w:r>
          </w:p>
        </w:tc>
        <w:tc>
          <w:tcPr>
            <w:tcW w:w="2323" w:type="dxa"/>
          </w:tcPr>
          <w:p>
            <w:pPr>
              <w:jc w:val="left"/>
              <w:rPr>
                <w:noProof/>
              </w:rPr>
            </w:pPr>
            <w:r>
              <w:rPr>
                <w:noProof/>
              </w:rPr>
              <w:t>JO L 137 du 27.5.2008, p. 25.</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80</w:t>
            </w:r>
          </w:p>
        </w:tc>
        <w:tc>
          <w:tcPr>
            <w:tcW w:w="2588" w:type="dxa"/>
          </w:tcPr>
          <w:p>
            <w:pPr>
              <w:rPr>
                <w:noProof/>
              </w:rPr>
            </w:pPr>
            <w:r>
              <w:rPr>
                <w:noProof/>
              </w:rPr>
              <w:t>Sièges des véhicules de grandes dimensions pour le transport de voyageurs</w:t>
            </w:r>
          </w:p>
        </w:tc>
        <w:tc>
          <w:tcPr>
            <w:tcW w:w="1595" w:type="dxa"/>
          </w:tcPr>
          <w:p>
            <w:pPr>
              <w:rPr>
                <w:noProof/>
              </w:rPr>
            </w:pPr>
            <w:r>
              <w:rPr>
                <w:noProof/>
              </w:rPr>
              <w:t>Série 03 d’amendements au règlement</w:t>
            </w:r>
            <w:r>
              <w:rPr>
                <w:noProof/>
                <w:highlight w:val="yellow"/>
              </w:rPr>
              <w:t xml:space="preserve"> </w:t>
            </w:r>
          </w:p>
        </w:tc>
        <w:tc>
          <w:tcPr>
            <w:tcW w:w="2323" w:type="dxa"/>
          </w:tcPr>
          <w:p>
            <w:pPr>
              <w:jc w:val="left"/>
              <w:rPr>
                <w:noProof/>
              </w:rPr>
            </w:pPr>
            <w:r>
              <w:rPr>
                <w:noProof/>
              </w:rPr>
              <w:t>JO L 226 du 24.8.2013, p. 20.</w:t>
            </w:r>
          </w:p>
          <w:p>
            <w:pPr>
              <w:jc w:val="left"/>
              <w:rPr>
                <w:noProof/>
              </w:rPr>
            </w:pPr>
            <w:r>
              <w:rPr>
                <w:i/>
                <w:noProof/>
              </w:rPr>
              <w:t>[OP: programmé pour traduction en 2018, prière d'actualiser les références lorsque disponible]</w:t>
            </w:r>
          </w:p>
        </w:tc>
        <w:tc>
          <w:tcPr>
            <w:tcW w:w="1435" w:type="dxa"/>
          </w:tcPr>
          <w:p>
            <w:pPr>
              <w:rPr>
                <w:noProof/>
              </w:rPr>
            </w:pPr>
            <w:r>
              <w:rPr>
                <w:noProof/>
              </w:rPr>
              <w:t>M</w:t>
            </w:r>
            <w:r>
              <w:rPr>
                <w:noProof/>
                <w:vertAlign w:val="subscript"/>
              </w:rPr>
              <w:t>2</w:t>
            </w:r>
            <w:r>
              <w:rPr>
                <w:noProof/>
              </w:rPr>
              <w:t>, M</w:t>
            </w:r>
            <w:r>
              <w:rPr>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87</w:t>
            </w:r>
          </w:p>
        </w:tc>
        <w:tc>
          <w:tcPr>
            <w:tcW w:w="2588" w:type="dxa"/>
          </w:tcPr>
          <w:p>
            <w:pPr>
              <w:rPr>
                <w:noProof/>
              </w:rPr>
            </w:pPr>
            <w:r>
              <w:rPr>
                <w:noProof/>
              </w:rPr>
              <w:t>Feux de circulation diurne pour véhicules à moteur</w:t>
            </w:r>
          </w:p>
        </w:tc>
        <w:tc>
          <w:tcPr>
            <w:tcW w:w="1595" w:type="dxa"/>
          </w:tcPr>
          <w:p>
            <w:pPr>
              <w:rPr>
                <w:noProof/>
              </w:rPr>
            </w:pPr>
            <w:r>
              <w:rPr>
                <w:noProof/>
              </w:rPr>
              <w:t>Complément 15 à la version originale du règlement</w:t>
            </w:r>
          </w:p>
        </w:tc>
        <w:tc>
          <w:tcPr>
            <w:tcW w:w="2323" w:type="dxa"/>
          </w:tcPr>
          <w:p>
            <w:pPr>
              <w:jc w:val="left"/>
              <w:rPr>
                <w:b/>
                <w:bCs/>
                <w:noProof/>
              </w:rPr>
            </w:pPr>
            <w:r>
              <w:rPr>
                <w:noProof/>
              </w:rPr>
              <w:t>JO L 4 du 7.1.2012, p. 24.</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89</w:t>
            </w:r>
          </w:p>
        </w:tc>
        <w:tc>
          <w:tcPr>
            <w:tcW w:w="2588" w:type="dxa"/>
          </w:tcPr>
          <w:p>
            <w:pPr>
              <w:rPr>
                <w:noProof/>
              </w:rPr>
            </w:pPr>
            <w:r>
              <w:rPr>
                <w:noProof/>
              </w:rPr>
              <w:t>Dispositifs limiteurs de vitesse</w:t>
            </w:r>
          </w:p>
        </w:tc>
        <w:tc>
          <w:tcPr>
            <w:tcW w:w="1595" w:type="dxa"/>
          </w:tcPr>
          <w:p>
            <w:pPr>
              <w:rPr>
                <w:noProof/>
              </w:rPr>
            </w:pPr>
            <w:r>
              <w:rPr>
                <w:noProof/>
              </w:rPr>
              <w:t>Complément 2 à la version originale du règlement</w:t>
            </w:r>
          </w:p>
        </w:tc>
        <w:tc>
          <w:tcPr>
            <w:tcW w:w="2323" w:type="dxa"/>
          </w:tcPr>
          <w:p>
            <w:pPr>
              <w:jc w:val="left"/>
              <w:rPr>
                <w:b/>
                <w:bCs/>
                <w:noProof/>
              </w:rPr>
            </w:pPr>
            <w:r>
              <w:rPr>
                <w:noProof/>
              </w:rPr>
              <w:t>JO L 4 du 7.1.2012, p. 25.</w:t>
            </w:r>
          </w:p>
        </w:tc>
        <w:tc>
          <w:tcPr>
            <w:tcW w:w="1435" w:type="dxa"/>
          </w:tcPr>
          <w:p>
            <w:pPr>
              <w:rPr>
                <w:b/>
                <w:bCs/>
                <w:noProof/>
              </w:rPr>
            </w:pPr>
            <w:r>
              <w:rPr>
                <w:noProof/>
              </w:rPr>
              <w:t>M, N (</w:t>
            </w:r>
            <w:r>
              <w:rPr>
                <w:noProof/>
                <w:vertAlign w:val="superscript"/>
              </w:rPr>
              <w:t>d</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90</w:t>
            </w:r>
          </w:p>
        </w:tc>
        <w:tc>
          <w:tcPr>
            <w:tcW w:w="2588" w:type="dxa"/>
          </w:tcPr>
          <w:p>
            <w:pPr>
              <w:rPr>
                <w:noProof/>
              </w:rPr>
            </w:pPr>
            <w:r>
              <w:rPr>
                <w:noProof/>
              </w:rPr>
              <w:t>Plaquettes de frein de rechange et garnitures de frein à tambour de rechange pour les véhicules à moteur et leurs remorques</w:t>
            </w:r>
          </w:p>
        </w:tc>
        <w:tc>
          <w:tcPr>
            <w:tcW w:w="1595" w:type="dxa"/>
          </w:tcPr>
          <w:p>
            <w:pPr>
              <w:rPr>
                <w:b/>
                <w:bCs/>
                <w:noProof/>
              </w:rPr>
            </w:pPr>
            <w:r>
              <w:rPr>
                <w:noProof/>
              </w:rPr>
              <w:t>Série 02 d’amendements</w:t>
            </w:r>
          </w:p>
        </w:tc>
        <w:tc>
          <w:tcPr>
            <w:tcW w:w="2323" w:type="dxa"/>
          </w:tcPr>
          <w:p>
            <w:pPr>
              <w:jc w:val="left"/>
              <w:rPr>
                <w:b/>
                <w:bCs/>
                <w:noProof/>
              </w:rPr>
            </w:pPr>
            <w:r>
              <w:rPr>
                <w:noProof/>
              </w:rPr>
              <w:t>JO L 185 du 13.7.2012, p. 24.</w:t>
            </w:r>
          </w:p>
        </w:tc>
        <w:tc>
          <w:tcPr>
            <w:tcW w:w="1435" w:type="dxa"/>
          </w:tcPr>
          <w:p>
            <w:pPr>
              <w:rPr>
                <w:b/>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91</w:t>
            </w:r>
          </w:p>
        </w:tc>
        <w:tc>
          <w:tcPr>
            <w:tcW w:w="2588" w:type="dxa"/>
          </w:tcPr>
          <w:p>
            <w:pPr>
              <w:rPr>
                <w:noProof/>
              </w:rPr>
            </w:pPr>
            <w:r>
              <w:rPr>
                <w:noProof/>
              </w:rPr>
              <w:t>Feux de position latéraux pour les véhicules à moteur et leurs remorques</w:t>
            </w:r>
          </w:p>
        </w:tc>
        <w:tc>
          <w:tcPr>
            <w:tcW w:w="1595" w:type="dxa"/>
          </w:tcPr>
          <w:p>
            <w:pPr>
              <w:rPr>
                <w:noProof/>
              </w:rPr>
            </w:pPr>
            <w:r>
              <w:rPr>
                <w:noProof/>
              </w:rPr>
              <w:t>Complément 13 à la version originale du règlement</w:t>
            </w:r>
          </w:p>
        </w:tc>
        <w:tc>
          <w:tcPr>
            <w:tcW w:w="2323" w:type="dxa"/>
          </w:tcPr>
          <w:p>
            <w:pPr>
              <w:jc w:val="left"/>
              <w:rPr>
                <w:noProof/>
              </w:rPr>
            </w:pPr>
            <w:r>
              <w:rPr>
                <w:noProof/>
              </w:rPr>
              <w:t>JO L 4 du 7.1.2012, p. 27.</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93</w:t>
            </w:r>
          </w:p>
        </w:tc>
        <w:tc>
          <w:tcPr>
            <w:tcW w:w="2588" w:type="dxa"/>
          </w:tcPr>
          <w:p>
            <w:pPr>
              <w:rPr>
                <w:noProof/>
              </w:rPr>
            </w:pPr>
            <w:r>
              <w:rPr>
                <w:noProof/>
              </w:rPr>
              <w:t>Dispositifs contre l’encastrement à l’avant et leur montage; protection contre l’encastrement à l’avant</w:t>
            </w:r>
          </w:p>
        </w:tc>
        <w:tc>
          <w:tcPr>
            <w:tcW w:w="1595" w:type="dxa"/>
          </w:tcPr>
          <w:p>
            <w:pPr>
              <w:rPr>
                <w:noProof/>
              </w:rPr>
            </w:pPr>
            <w:r>
              <w:rPr>
                <w:noProof/>
              </w:rPr>
              <w:t>Version originale du règlement</w:t>
            </w:r>
          </w:p>
        </w:tc>
        <w:tc>
          <w:tcPr>
            <w:tcW w:w="2323" w:type="dxa"/>
          </w:tcPr>
          <w:p>
            <w:pPr>
              <w:jc w:val="left"/>
              <w:rPr>
                <w:b/>
                <w:bCs/>
                <w:noProof/>
              </w:rPr>
            </w:pPr>
            <w:r>
              <w:rPr>
                <w:noProof/>
              </w:rPr>
              <w:t>JO L 185 du 17.7.2010, p. 56.</w:t>
            </w:r>
          </w:p>
        </w:tc>
        <w:tc>
          <w:tcPr>
            <w:tcW w:w="1435" w:type="dxa"/>
          </w:tcPr>
          <w:p>
            <w:pPr>
              <w:rPr>
                <w:b/>
                <w:bCs/>
                <w:noProof/>
              </w:rPr>
            </w:pPr>
            <w:r>
              <w:rPr>
                <w:noProof/>
              </w:rPr>
              <w:t>N</w:t>
            </w:r>
            <w:r>
              <w:rPr>
                <w:noProof/>
                <w:vertAlign w:val="subscript"/>
              </w:rPr>
              <w:t>2</w:t>
            </w:r>
            <w:r>
              <w:rPr>
                <w:noProof/>
              </w:rPr>
              <w:t>, N</w:t>
            </w:r>
            <w:r>
              <w:rPr>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94</w:t>
            </w:r>
          </w:p>
        </w:tc>
        <w:tc>
          <w:tcPr>
            <w:tcW w:w="2588" w:type="dxa"/>
          </w:tcPr>
          <w:p>
            <w:pPr>
              <w:rPr>
                <w:noProof/>
              </w:rPr>
            </w:pPr>
            <w:r>
              <w:rPr>
                <w:noProof/>
              </w:rPr>
              <w:t>Protection des occupants en cas de collision frontale</w:t>
            </w:r>
          </w:p>
        </w:tc>
        <w:tc>
          <w:tcPr>
            <w:tcW w:w="1595" w:type="dxa"/>
          </w:tcPr>
          <w:p>
            <w:pPr>
              <w:rPr>
                <w:noProof/>
              </w:rPr>
            </w:pPr>
            <w:r>
              <w:rPr>
                <w:noProof/>
              </w:rPr>
              <w:t>Série 03 d’amendements</w:t>
            </w:r>
          </w:p>
        </w:tc>
        <w:tc>
          <w:tcPr>
            <w:tcW w:w="2323" w:type="dxa"/>
          </w:tcPr>
          <w:p>
            <w:pPr>
              <w:jc w:val="left"/>
              <w:rPr>
                <w:noProof/>
              </w:rPr>
            </w:pPr>
            <w:r>
              <w:rPr>
                <w:noProof/>
              </w:rPr>
              <w:t>JO L 35 du 8.2.2018, p. 1.</w:t>
            </w:r>
          </w:p>
        </w:tc>
        <w:tc>
          <w:tcPr>
            <w:tcW w:w="1435" w:type="dxa"/>
          </w:tcPr>
          <w:p>
            <w:pPr>
              <w:rPr>
                <w:noProof/>
              </w:rPr>
            </w:pPr>
            <w:r>
              <w:rPr>
                <w:noProof/>
              </w:rPr>
              <w:t>M</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95</w:t>
            </w:r>
          </w:p>
        </w:tc>
        <w:tc>
          <w:tcPr>
            <w:tcW w:w="2588" w:type="dxa"/>
          </w:tcPr>
          <w:p>
            <w:pPr>
              <w:rPr>
                <w:noProof/>
              </w:rPr>
            </w:pPr>
            <w:r>
              <w:rPr>
                <w:noProof/>
              </w:rPr>
              <w:t xml:space="preserve">Protection des occupants en cas de collision latérale </w:t>
            </w:r>
          </w:p>
        </w:tc>
        <w:tc>
          <w:tcPr>
            <w:tcW w:w="1595" w:type="dxa"/>
          </w:tcPr>
          <w:p>
            <w:pPr>
              <w:rPr>
                <w:noProof/>
              </w:rPr>
            </w:pPr>
            <w:r>
              <w:rPr>
                <w:noProof/>
              </w:rPr>
              <w:t>Complément 4 à la série 03 d’amendements</w:t>
            </w:r>
          </w:p>
        </w:tc>
        <w:tc>
          <w:tcPr>
            <w:tcW w:w="2323" w:type="dxa"/>
          </w:tcPr>
          <w:p>
            <w:pPr>
              <w:jc w:val="left"/>
              <w:rPr>
                <w:noProof/>
              </w:rPr>
            </w:pPr>
            <w:r>
              <w:rPr>
                <w:noProof/>
              </w:rPr>
              <w:t>JO L 183 du 10.7.2015, p. 91.</w:t>
            </w:r>
          </w:p>
        </w:tc>
        <w:tc>
          <w:tcPr>
            <w:tcW w:w="1435" w:type="dxa"/>
          </w:tcPr>
          <w:p>
            <w:pPr>
              <w:rPr>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97</w:t>
            </w:r>
          </w:p>
        </w:tc>
        <w:tc>
          <w:tcPr>
            <w:tcW w:w="2588" w:type="dxa"/>
          </w:tcPr>
          <w:p>
            <w:pPr>
              <w:rPr>
                <w:noProof/>
              </w:rPr>
            </w:pPr>
            <w:r>
              <w:rPr>
                <w:noProof/>
              </w:rPr>
              <w:t>Systèmes d’alarme pour véhicules (SAV)</w:t>
            </w:r>
          </w:p>
        </w:tc>
        <w:tc>
          <w:tcPr>
            <w:tcW w:w="1595" w:type="dxa"/>
          </w:tcPr>
          <w:p>
            <w:pPr>
              <w:rPr>
                <w:noProof/>
              </w:rPr>
            </w:pPr>
            <w:r>
              <w:rPr>
                <w:noProof/>
              </w:rPr>
              <w:t>Complément 6 à la série 01 d’amendements</w:t>
            </w:r>
          </w:p>
        </w:tc>
        <w:tc>
          <w:tcPr>
            <w:tcW w:w="2323" w:type="dxa"/>
          </w:tcPr>
          <w:p>
            <w:pPr>
              <w:jc w:val="left"/>
              <w:rPr>
                <w:noProof/>
              </w:rPr>
            </w:pPr>
            <w:r>
              <w:rPr>
                <w:noProof/>
              </w:rPr>
              <w:t>JO L 122 du 8.5.2012, p. 19.</w:t>
            </w:r>
          </w:p>
        </w:tc>
        <w:tc>
          <w:tcPr>
            <w:tcW w:w="1435" w:type="dxa"/>
          </w:tcPr>
          <w:p>
            <w:pPr>
              <w:rPr>
                <w:noProof/>
              </w:rPr>
            </w:pPr>
            <w:r>
              <w:rPr>
                <w:noProof/>
              </w:rPr>
              <w:t>M</w:t>
            </w:r>
            <w:r>
              <w:rPr>
                <w:noProof/>
                <w:vertAlign w:val="subscript"/>
              </w:rPr>
              <w:t>1</w:t>
            </w:r>
            <w:r>
              <w:rPr>
                <w:noProof/>
              </w:rPr>
              <w:t>, N</w:t>
            </w:r>
            <w:r>
              <w:rPr>
                <w:noProof/>
                <w:vertAlign w:val="subscript"/>
              </w:rPr>
              <w:t>1</w:t>
            </w:r>
            <w:r>
              <w:rPr>
                <w:noProof/>
              </w:rPr>
              <w:t xml:space="preserve"> (</w:t>
            </w:r>
            <w:r>
              <w:rPr>
                <w:noProof/>
                <w:vertAlign w:val="superscript"/>
              </w:rPr>
              <w:t>e</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98</w:t>
            </w:r>
          </w:p>
        </w:tc>
        <w:tc>
          <w:tcPr>
            <w:tcW w:w="2588" w:type="dxa"/>
          </w:tcPr>
          <w:p>
            <w:pPr>
              <w:rPr>
                <w:noProof/>
              </w:rPr>
            </w:pPr>
            <w:r>
              <w:rPr>
                <w:noProof/>
              </w:rPr>
              <w:t>Projecteurs de véhicules à moteur munis de sources lumineuses à décharge</w:t>
            </w:r>
          </w:p>
        </w:tc>
        <w:tc>
          <w:tcPr>
            <w:tcW w:w="1595" w:type="dxa"/>
          </w:tcPr>
          <w:p>
            <w:pPr>
              <w:rPr>
                <w:noProof/>
                <w:highlight w:val="yellow"/>
              </w:rPr>
            </w:pPr>
            <w:r>
              <w:rPr>
                <w:noProof/>
              </w:rPr>
              <w:t>Complément 4 à la série 01 d’amendements</w:t>
            </w:r>
          </w:p>
        </w:tc>
        <w:tc>
          <w:tcPr>
            <w:tcW w:w="2323" w:type="dxa"/>
          </w:tcPr>
          <w:p>
            <w:pPr>
              <w:jc w:val="left"/>
              <w:rPr>
                <w:noProof/>
              </w:rPr>
            </w:pPr>
            <w:r>
              <w:rPr>
                <w:noProof/>
              </w:rPr>
              <w:t>JO L 176 du 14.6.2014, p. 64.</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99</w:t>
            </w:r>
          </w:p>
        </w:tc>
        <w:tc>
          <w:tcPr>
            <w:tcW w:w="2588" w:type="dxa"/>
          </w:tcPr>
          <w:p>
            <w:pPr>
              <w:rPr>
                <w:noProof/>
              </w:rPr>
            </w:pPr>
            <w:r>
              <w:rPr>
                <w:noProof/>
              </w:rPr>
              <w:t xml:space="preserve">Sources lumineuses à décharge pour projecteurs homologués de véhicules à moteur </w:t>
            </w:r>
          </w:p>
        </w:tc>
        <w:tc>
          <w:tcPr>
            <w:tcW w:w="1595" w:type="dxa"/>
          </w:tcPr>
          <w:p>
            <w:pPr>
              <w:rPr>
                <w:noProof/>
              </w:rPr>
            </w:pPr>
            <w:r>
              <w:rPr>
                <w:noProof/>
              </w:rPr>
              <w:t>Complément 9 à la version originale du règlement</w:t>
            </w:r>
          </w:p>
        </w:tc>
        <w:tc>
          <w:tcPr>
            <w:tcW w:w="2323" w:type="dxa"/>
          </w:tcPr>
          <w:p>
            <w:pPr>
              <w:jc w:val="left"/>
              <w:rPr>
                <w:noProof/>
              </w:rPr>
            </w:pPr>
            <w:r>
              <w:rPr>
                <w:noProof/>
              </w:rPr>
              <w:t>JO L 285 du 30.09.2014, p. 35.</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100</w:t>
            </w:r>
          </w:p>
        </w:tc>
        <w:tc>
          <w:tcPr>
            <w:tcW w:w="2588" w:type="dxa"/>
          </w:tcPr>
          <w:p>
            <w:pPr>
              <w:rPr>
                <w:noProof/>
              </w:rPr>
            </w:pPr>
            <w:r>
              <w:rPr>
                <w:noProof/>
              </w:rPr>
              <w:t>Sécurité électrique</w:t>
            </w:r>
          </w:p>
        </w:tc>
        <w:tc>
          <w:tcPr>
            <w:tcW w:w="1595" w:type="dxa"/>
          </w:tcPr>
          <w:p>
            <w:pPr>
              <w:rPr>
                <w:noProof/>
              </w:rPr>
            </w:pPr>
            <w:r>
              <w:rPr>
                <w:noProof/>
              </w:rPr>
              <w:t>Complément 1 à la série 02 d’amendements</w:t>
            </w:r>
          </w:p>
        </w:tc>
        <w:tc>
          <w:tcPr>
            <w:tcW w:w="2323" w:type="dxa"/>
          </w:tcPr>
          <w:p>
            <w:pPr>
              <w:jc w:val="left"/>
              <w:rPr>
                <w:noProof/>
              </w:rPr>
            </w:pPr>
            <w:r>
              <w:rPr>
                <w:noProof/>
              </w:rPr>
              <w:t>JO L 87 du 31.3.2015, p. 1.</w:t>
            </w:r>
          </w:p>
          <w:p>
            <w:pPr>
              <w:jc w:val="left"/>
              <w:rPr>
                <w:noProof/>
              </w:rPr>
            </w:pPr>
            <w:r>
              <w:rPr>
                <w:i/>
                <w:noProof/>
              </w:rPr>
              <w:t>[OP: programmé pour traduction en 2018, prière d'actualiser les références lorsque disponible]</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102</w:t>
            </w:r>
          </w:p>
        </w:tc>
        <w:tc>
          <w:tcPr>
            <w:tcW w:w="2588" w:type="dxa"/>
          </w:tcPr>
          <w:p>
            <w:pPr>
              <w:rPr>
                <w:noProof/>
              </w:rPr>
            </w:pPr>
            <w:r>
              <w:rPr>
                <w:noProof/>
              </w:rPr>
              <w:t>Dispositif d’attelage court (DAC); installation d’un type homologué de DAC</w:t>
            </w:r>
          </w:p>
        </w:tc>
        <w:tc>
          <w:tcPr>
            <w:tcW w:w="1595" w:type="dxa"/>
          </w:tcPr>
          <w:p>
            <w:pPr>
              <w:rPr>
                <w:noProof/>
              </w:rPr>
            </w:pPr>
            <w:r>
              <w:rPr>
                <w:noProof/>
              </w:rPr>
              <w:t>Version originale du règlement</w:t>
            </w:r>
          </w:p>
        </w:tc>
        <w:tc>
          <w:tcPr>
            <w:tcW w:w="2323" w:type="dxa"/>
          </w:tcPr>
          <w:p>
            <w:pPr>
              <w:jc w:val="left"/>
              <w:rPr>
                <w:noProof/>
              </w:rPr>
            </w:pPr>
            <w:r>
              <w:rPr>
                <w:noProof/>
              </w:rPr>
              <w:t>JO L 351 du 30.12.2008, p. 44.</w:t>
            </w:r>
          </w:p>
        </w:tc>
        <w:tc>
          <w:tcPr>
            <w:tcW w:w="1435" w:type="dxa"/>
          </w:tcPr>
          <w:p>
            <w:pPr>
              <w:rPr>
                <w:noProof/>
              </w:rPr>
            </w:pPr>
            <w:r>
              <w:rPr>
                <w:noProof/>
              </w:rPr>
              <w:t>N</w:t>
            </w:r>
            <w:r>
              <w:rPr>
                <w:noProof/>
                <w:vertAlign w:val="subscript"/>
              </w:rPr>
              <w:t>2</w:t>
            </w:r>
            <w:r>
              <w:rPr>
                <w:noProof/>
              </w:rPr>
              <w:t>, N</w:t>
            </w:r>
            <w:r>
              <w:rPr>
                <w:noProof/>
                <w:vertAlign w:val="subscript"/>
              </w:rPr>
              <w:t>3</w:t>
            </w:r>
            <w:r>
              <w:rPr>
                <w:noProof/>
              </w:rPr>
              <w:t>, O</w:t>
            </w:r>
            <w:r>
              <w:rPr>
                <w:noProof/>
                <w:vertAlign w:val="subscript"/>
              </w:rPr>
              <w:t>3</w:t>
            </w:r>
            <w:r>
              <w:rPr>
                <w:noProof/>
              </w:rPr>
              <w:t>, O</w:t>
            </w:r>
            <w:r>
              <w:rPr>
                <w:noProof/>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104</w:t>
            </w:r>
          </w:p>
        </w:tc>
        <w:tc>
          <w:tcPr>
            <w:tcW w:w="2588" w:type="dxa"/>
          </w:tcPr>
          <w:p>
            <w:pPr>
              <w:rPr>
                <w:noProof/>
              </w:rPr>
            </w:pPr>
            <w:r>
              <w:rPr>
                <w:noProof/>
              </w:rPr>
              <w:t>Marquages rétroréfléchissants (véhicules lourds et longs)</w:t>
            </w:r>
          </w:p>
        </w:tc>
        <w:tc>
          <w:tcPr>
            <w:tcW w:w="1595" w:type="dxa"/>
          </w:tcPr>
          <w:p>
            <w:pPr>
              <w:rPr>
                <w:noProof/>
              </w:rPr>
            </w:pPr>
            <w:r>
              <w:rPr>
                <w:noProof/>
              </w:rPr>
              <w:t>Complément 7 à la version originale</w:t>
            </w:r>
          </w:p>
        </w:tc>
        <w:tc>
          <w:tcPr>
            <w:tcW w:w="2323" w:type="dxa"/>
          </w:tcPr>
          <w:p>
            <w:pPr>
              <w:jc w:val="left"/>
              <w:rPr>
                <w:noProof/>
              </w:rPr>
            </w:pPr>
            <w:r>
              <w:rPr>
                <w:noProof/>
              </w:rPr>
              <w:t>JO L 75 du 14.3.2014, p. 29.</w:t>
            </w:r>
          </w:p>
        </w:tc>
        <w:tc>
          <w:tcPr>
            <w:tcW w:w="1435" w:type="dxa"/>
          </w:tcPr>
          <w:p>
            <w:pPr>
              <w:rPr>
                <w:bCs/>
                <w:noProof/>
              </w:rPr>
            </w:pPr>
            <w:r>
              <w:rPr>
                <w:noProof/>
              </w:rPr>
              <w:t>M</w:t>
            </w:r>
            <w:r>
              <w:rPr>
                <w:noProof/>
                <w:vertAlign w:val="subscript"/>
              </w:rPr>
              <w:t>2</w:t>
            </w:r>
            <w:r>
              <w:rPr>
                <w:noProof/>
              </w:rPr>
              <w:t>, M</w:t>
            </w:r>
            <w:r>
              <w:rPr>
                <w:noProof/>
                <w:vertAlign w:val="subscript"/>
              </w:rPr>
              <w:t>3</w:t>
            </w:r>
            <w:r>
              <w:rPr>
                <w:noProof/>
              </w:rPr>
              <w:t>, N, O</w:t>
            </w:r>
            <w:r>
              <w:rPr>
                <w:noProof/>
                <w:vertAlign w:val="subscript"/>
              </w:rPr>
              <w:t>2</w:t>
            </w:r>
            <w:r>
              <w:rPr>
                <w:noProof/>
              </w:rPr>
              <w:t>, O</w:t>
            </w:r>
            <w:r>
              <w:rPr>
                <w:noProof/>
                <w:vertAlign w:val="subscript"/>
              </w:rPr>
              <w:t>3</w:t>
            </w:r>
            <w:r>
              <w:rPr>
                <w:noProof/>
              </w:rPr>
              <w:t>, O</w:t>
            </w:r>
            <w:r>
              <w:rPr>
                <w:noProof/>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105</w:t>
            </w:r>
          </w:p>
        </w:tc>
        <w:tc>
          <w:tcPr>
            <w:tcW w:w="2588" w:type="dxa"/>
          </w:tcPr>
          <w:p>
            <w:pPr>
              <w:rPr>
                <w:noProof/>
              </w:rPr>
            </w:pPr>
            <w:r>
              <w:rPr>
                <w:noProof/>
              </w:rPr>
              <w:t xml:space="preserve">Véhicules destinés au transport de marchandises dangereuses </w:t>
            </w:r>
          </w:p>
        </w:tc>
        <w:tc>
          <w:tcPr>
            <w:tcW w:w="1595" w:type="dxa"/>
          </w:tcPr>
          <w:p>
            <w:pPr>
              <w:rPr>
                <w:noProof/>
              </w:rPr>
            </w:pPr>
            <w:r>
              <w:rPr>
                <w:noProof/>
              </w:rPr>
              <w:t>Série 05 d’amendements</w:t>
            </w:r>
          </w:p>
        </w:tc>
        <w:tc>
          <w:tcPr>
            <w:tcW w:w="2323" w:type="dxa"/>
          </w:tcPr>
          <w:p>
            <w:pPr>
              <w:jc w:val="left"/>
              <w:rPr>
                <w:noProof/>
              </w:rPr>
            </w:pPr>
            <w:r>
              <w:rPr>
                <w:noProof/>
              </w:rPr>
              <w:t>JO L 4 du 7.1.2012, p. 30.</w:t>
            </w:r>
          </w:p>
        </w:tc>
        <w:tc>
          <w:tcPr>
            <w:tcW w:w="1435" w:type="dxa"/>
          </w:tcPr>
          <w:p>
            <w:pPr>
              <w:rPr>
                <w:noProof/>
              </w:rPr>
            </w:pPr>
            <w:r>
              <w:rPr>
                <w:noProof/>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107</w:t>
            </w:r>
          </w:p>
        </w:tc>
        <w:tc>
          <w:tcPr>
            <w:tcW w:w="2588" w:type="dxa"/>
          </w:tcPr>
          <w:p>
            <w:pPr>
              <w:rPr>
                <w:noProof/>
              </w:rPr>
            </w:pPr>
            <w:r>
              <w:rPr>
                <w:noProof/>
              </w:rPr>
              <w:t>Véhicules M</w:t>
            </w:r>
            <w:r>
              <w:rPr>
                <w:noProof/>
                <w:vertAlign w:val="subscript"/>
              </w:rPr>
              <w:t>2</w:t>
            </w:r>
            <w:r>
              <w:rPr>
                <w:noProof/>
              </w:rPr>
              <w:t xml:space="preserve"> et M</w:t>
            </w:r>
            <w:r>
              <w:rPr>
                <w:noProof/>
                <w:vertAlign w:val="subscript"/>
              </w:rPr>
              <w:t>3</w:t>
            </w:r>
            <w:r>
              <w:rPr>
                <w:noProof/>
              </w:rPr>
              <w:t xml:space="preserve"> </w:t>
            </w:r>
          </w:p>
        </w:tc>
        <w:tc>
          <w:tcPr>
            <w:tcW w:w="1595" w:type="dxa"/>
          </w:tcPr>
          <w:p>
            <w:pPr>
              <w:rPr>
                <w:noProof/>
              </w:rPr>
            </w:pPr>
            <w:r>
              <w:rPr>
                <w:noProof/>
              </w:rPr>
              <w:t xml:space="preserve">Complément 1 à la série 07 d’amendements </w:t>
            </w:r>
          </w:p>
        </w:tc>
        <w:tc>
          <w:tcPr>
            <w:tcW w:w="2323" w:type="dxa"/>
          </w:tcPr>
          <w:p>
            <w:pPr>
              <w:jc w:val="left"/>
              <w:rPr>
                <w:noProof/>
              </w:rPr>
            </w:pPr>
            <w:r>
              <w:rPr>
                <w:noProof/>
              </w:rPr>
              <w:t>JO L 52 du 23.2.2018, p.1</w:t>
            </w:r>
          </w:p>
        </w:tc>
        <w:tc>
          <w:tcPr>
            <w:tcW w:w="1435" w:type="dxa"/>
          </w:tcPr>
          <w:p>
            <w:pPr>
              <w:rPr>
                <w:noProof/>
              </w:rPr>
            </w:pPr>
            <w:r>
              <w:rPr>
                <w:noProof/>
              </w:rPr>
              <w:t>M</w:t>
            </w:r>
            <w:r>
              <w:rPr>
                <w:noProof/>
                <w:vertAlign w:val="subscript"/>
              </w:rPr>
              <w:t>2</w:t>
            </w:r>
            <w:r>
              <w:rPr>
                <w:noProof/>
              </w:rPr>
              <w:t>, M</w:t>
            </w:r>
            <w:r>
              <w:rPr>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vAlign w:val="center"/>
          </w:tcPr>
          <w:p>
            <w:pPr>
              <w:spacing w:before="0" w:after="0"/>
              <w:jc w:val="center"/>
              <w:rPr>
                <w:rFonts w:eastAsia="Times New Roman"/>
                <w:b/>
                <w:noProof/>
                <w:color w:val="000000"/>
                <w:szCs w:val="24"/>
              </w:rPr>
            </w:pPr>
            <w:r>
              <w:rPr>
                <w:b/>
                <w:noProof/>
                <w:color w:val="000000"/>
              </w:rPr>
              <w:t>108</w:t>
            </w:r>
          </w:p>
        </w:tc>
        <w:tc>
          <w:tcPr>
            <w:tcW w:w="2588" w:type="dxa"/>
            <w:vAlign w:val="center"/>
          </w:tcPr>
          <w:p>
            <w:pPr>
              <w:spacing w:before="0" w:after="0"/>
              <w:rPr>
                <w:rFonts w:eastAsia="Times New Roman"/>
                <w:noProof/>
                <w:color w:val="000000"/>
                <w:szCs w:val="24"/>
              </w:rPr>
            </w:pPr>
            <w:r>
              <w:rPr>
                <w:noProof/>
                <w:color w:val="000000"/>
              </w:rPr>
              <w:t>Pneumatiques rechapés pour les véhicules automobiles et leurs remorques</w:t>
            </w:r>
          </w:p>
        </w:tc>
        <w:tc>
          <w:tcPr>
            <w:tcW w:w="1595" w:type="dxa"/>
          </w:tcPr>
          <w:p>
            <w:pPr>
              <w:rPr>
                <w:noProof/>
                <w:szCs w:val="24"/>
              </w:rPr>
            </w:pPr>
            <w:r>
              <w:rPr>
                <w:noProof/>
              </w:rPr>
              <w:t>Complément 1 à la version originale du règlement</w:t>
            </w:r>
          </w:p>
          <w:p>
            <w:pPr>
              <w:rPr>
                <w:noProof/>
                <w:szCs w:val="24"/>
              </w:rPr>
            </w:pPr>
          </w:p>
        </w:tc>
        <w:tc>
          <w:tcPr>
            <w:tcW w:w="2323" w:type="dxa"/>
          </w:tcPr>
          <w:p>
            <w:pPr>
              <w:jc w:val="left"/>
              <w:rPr>
                <w:noProof/>
                <w:szCs w:val="24"/>
              </w:rPr>
            </w:pPr>
            <w:r>
              <w:rPr>
                <w:noProof/>
              </w:rPr>
              <w:t>JO L 181 du 4.7.2006, p. 1.</w:t>
            </w:r>
          </w:p>
        </w:tc>
        <w:tc>
          <w:tcPr>
            <w:tcW w:w="1435" w:type="dxa"/>
          </w:tcPr>
          <w:p>
            <w:pPr>
              <w:rPr>
                <w:noProof/>
                <w:szCs w:val="24"/>
                <w:vertAlign w:val="subscript"/>
              </w:rPr>
            </w:pPr>
            <w:r>
              <w:rPr>
                <w:noProof/>
              </w:rPr>
              <w:t>M</w:t>
            </w:r>
            <w:r>
              <w:rPr>
                <w:noProof/>
                <w:vertAlign w:val="subscript"/>
              </w:rPr>
              <w:t>1</w:t>
            </w:r>
            <w:r>
              <w:rPr>
                <w:noProof/>
              </w:rPr>
              <w:t>, O</w:t>
            </w:r>
            <w:r>
              <w:rPr>
                <w:noProof/>
                <w:vertAlign w:val="subscript"/>
              </w:rPr>
              <w:t>1</w:t>
            </w:r>
            <w:r>
              <w:rPr>
                <w:noProof/>
              </w:rPr>
              <w:t>, O</w:t>
            </w:r>
            <w:r>
              <w:rPr>
                <w:noProof/>
                <w:vertAlign w:val="subscript"/>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vAlign w:val="center"/>
          </w:tcPr>
          <w:p>
            <w:pPr>
              <w:spacing w:before="0" w:after="0"/>
              <w:jc w:val="center"/>
              <w:rPr>
                <w:rFonts w:eastAsia="Times New Roman"/>
                <w:b/>
                <w:noProof/>
                <w:color w:val="000000"/>
                <w:szCs w:val="24"/>
              </w:rPr>
            </w:pPr>
            <w:r>
              <w:rPr>
                <w:b/>
                <w:noProof/>
                <w:color w:val="000000"/>
              </w:rPr>
              <w:t>109</w:t>
            </w:r>
          </w:p>
        </w:tc>
        <w:tc>
          <w:tcPr>
            <w:tcW w:w="2588" w:type="dxa"/>
            <w:vAlign w:val="center"/>
          </w:tcPr>
          <w:p>
            <w:pPr>
              <w:spacing w:before="0" w:after="0"/>
              <w:rPr>
                <w:rFonts w:eastAsia="Times New Roman"/>
                <w:noProof/>
                <w:color w:val="000000"/>
                <w:szCs w:val="24"/>
              </w:rPr>
            </w:pPr>
            <w:r>
              <w:rPr>
                <w:noProof/>
                <w:color w:val="000000"/>
              </w:rPr>
              <w:t>Pneumatiques rechapés pour les véhicules utilitaires et leurs remorques</w:t>
            </w:r>
          </w:p>
        </w:tc>
        <w:tc>
          <w:tcPr>
            <w:tcW w:w="1595" w:type="dxa"/>
          </w:tcPr>
          <w:p>
            <w:pPr>
              <w:rPr>
                <w:noProof/>
                <w:szCs w:val="24"/>
              </w:rPr>
            </w:pPr>
            <w:r>
              <w:rPr>
                <w:noProof/>
              </w:rPr>
              <w:t>Complément 2 à la version originale du règlement</w:t>
            </w:r>
          </w:p>
        </w:tc>
        <w:tc>
          <w:tcPr>
            <w:tcW w:w="2323" w:type="dxa"/>
          </w:tcPr>
          <w:p>
            <w:pPr>
              <w:jc w:val="left"/>
              <w:rPr>
                <w:noProof/>
                <w:szCs w:val="24"/>
              </w:rPr>
            </w:pPr>
            <w:r>
              <w:rPr>
                <w:noProof/>
              </w:rPr>
              <w:t>JO L 181 du 4.7.2006, p. 1.</w:t>
            </w:r>
          </w:p>
        </w:tc>
        <w:tc>
          <w:tcPr>
            <w:tcW w:w="1435" w:type="dxa"/>
          </w:tcPr>
          <w:p>
            <w:pPr>
              <w:rPr>
                <w:noProof/>
                <w:szCs w:val="24"/>
              </w:rPr>
            </w:pPr>
            <w:r>
              <w:rPr>
                <w:noProof/>
                <w:sz w:val="23"/>
              </w:rPr>
              <w:t>M</w:t>
            </w:r>
            <w:r>
              <w:rPr>
                <w:noProof/>
                <w:sz w:val="15"/>
                <w:vertAlign w:val="subscript"/>
              </w:rPr>
              <w:t>2</w:t>
            </w:r>
            <w:r>
              <w:rPr>
                <w:noProof/>
                <w:sz w:val="23"/>
              </w:rPr>
              <w:t>, M</w:t>
            </w:r>
            <w:r>
              <w:rPr>
                <w:noProof/>
                <w:sz w:val="15"/>
                <w:vertAlign w:val="subscript"/>
              </w:rPr>
              <w:t>3</w:t>
            </w:r>
            <w:r>
              <w:rPr>
                <w:noProof/>
                <w:sz w:val="23"/>
              </w:rPr>
              <w:t>, N, O</w:t>
            </w:r>
            <w:r>
              <w:rPr>
                <w:noProof/>
                <w:sz w:val="15"/>
                <w:vertAlign w:val="subscript"/>
              </w:rPr>
              <w:t>3</w:t>
            </w:r>
            <w:r>
              <w:rPr>
                <w:noProof/>
                <w:sz w:val="15"/>
              </w:rPr>
              <w:t xml:space="preserve">, </w:t>
            </w:r>
            <w:r>
              <w:rPr>
                <w:noProof/>
                <w:sz w:val="23"/>
              </w:rPr>
              <w:t>O</w:t>
            </w:r>
            <w:r>
              <w:rPr>
                <w:noProof/>
                <w:sz w:val="15"/>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110</w:t>
            </w:r>
          </w:p>
        </w:tc>
        <w:tc>
          <w:tcPr>
            <w:tcW w:w="2588" w:type="dxa"/>
          </w:tcPr>
          <w:p>
            <w:pPr>
              <w:rPr>
                <w:noProof/>
              </w:rPr>
            </w:pPr>
            <w:r>
              <w:rPr>
                <w:noProof/>
              </w:rPr>
              <w:t>Organes spéciaux pour l’alimentation au GNC</w:t>
            </w:r>
          </w:p>
        </w:tc>
        <w:tc>
          <w:tcPr>
            <w:tcW w:w="1595" w:type="dxa"/>
          </w:tcPr>
          <w:p>
            <w:pPr>
              <w:rPr>
                <w:noProof/>
              </w:rPr>
            </w:pPr>
            <w:r>
              <w:rPr>
                <w:noProof/>
              </w:rPr>
              <w:t>Complément 2 à la série 01 d’amendements</w:t>
            </w:r>
          </w:p>
        </w:tc>
        <w:tc>
          <w:tcPr>
            <w:tcW w:w="2323" w:type="dxa"/>
          </w:tcPr>
          <w:p>
            <w:pPr>
              <w:jc w:val="left"/>
              <w:rPr>
                <w:noProof/>
              </w:rPr>
            </w:pPr>
            <w:r>
              <w:rPr>
                <w:noProof/>
              </w:rPr>
              <w:t>JO L 166 du 30.6.2015, p.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112</w:t>
            </w:r>
          </w:p>
        </w:tc>
        <w:tc>
          <w:tcPr>
            <w:tcW w:w="2588" w:type="dxa"/>
          </w:tcPr>
          <w:p>
            <w:pPr>
              <w:rPr>
                <w:noProof/>
              </w:rPr>
            </w:pPr>
            <w:r>
              <w:rPr>
                <w:noProof/>
              </w:rPr>
              <w:t>Projecteurs pour véhicules automobiles émettant un faisceau de croisement asymétrique ou un faisceau de route ou les deux à la fois et équipés de lampes à incandescence et/ou de modules à diodes électroluminescentes (DEL)</w:t>
            </w:r>
          </w:p>
        </w:tc>
        <w:tc>
          <w:tcPr>
            <w:tcW w:w="1595" w:type="dxa"/>
          </w:tcPr>
          <w:p>
            <w:pPr>
              <w:rPr>
                <w:noProof/>
              </w:rPr>
            </w:pPr>
            <w:r>
              <w:rPr>
                <w:noProof/>
              </w:rPr>
              <w:t>Complément 4 à la série 01 d’amendements</w:t>
            </w:r>
          </w:p>
        </w:tc>
        <w:tc>
          <w:tcPr>
            <w:tcW w:w="2323" w:type="dxa"/>
          </w:tcPr>
          <w:p>
            <w:pPr>
              <w:jc w:val="left"/>
              <w:rPr>
                <w:noProof/>
              </w:rPr>
            </w:pPr>
            <w:r>
              <w:rPr>
                <w:noProof/>
              </w:rPr>
              <w:t>JO L 250 du 22.8.2014, p. 67.</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114</w:t>
            </w:r>
          </w:p>
        </w:tc>
        <w:tc>
          <w:tcPr>
            <w:tcW w:w="2588" w:type="dxa"/>
          </w:tcPr>
          <w:p>
            <w:pPr>
              <w:rPr>
                <w:noProof/>
              </w:rPr>
            </w:pPr>
            <w:r>
              <w:rPr>
                <w:noProof/>
              </w:rPr>
              <w:t>Coussins gonflables de deuxième monte</w:t>
            </w:r>
          </w:p>
        </w:tc>
        <w:tc>
          <w:tcPr>
            <w:tcW w:w="1595" w:type="dxa"/>
          </w:tcPr>
          <w:p>
            <w:pPr>
              <w:rPr>
                <w:noProof/>
              </w:rPr>
            </w:pPr>
            <w:r>
              <w:rPr>
                <w:noProof/>
              </w:rPr>
              <w:t>Version originale du règlement</w:t>
            </w:r>
          </w:p>
        </w:tc>
        <w:tc>
          <w:tcPr>
            <w:tcW w:w="2323" w:type="dxa"/>
          </w:tcPr>
          <w:p>
            <w:pPr>
              <w:jc w:val="left"/>
              <w:rPr>
                <w:noProof/>
                <w:color w:val="FF0000"/>
              </w:rPr>
            </w:pPr>
            <w:r>
              <w:rPr>
                <w:noProof/>
              </w:rPr>
              <w:t>JO L 373 du 27.12.2006, p. 272.</w:t>
            </w:r>
          </w:p>
        </w:tc>
        <w:tc>
          <w:tcPr>
            <w:tcW w:w="1435" w:type="dxa"/>
          </w:tcPr>
          <w:p>
            <w:pPr>
              <w:rPr>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115</w:t>
            </w:r>
          </w:p>
        </w:tc>
        <w:tc>
          <w:tcPr>
            <w:tcW w:w="2588" w:type="dxa"/>
          </w:tcPr>
          <w:p>
            <w:pPr>
              <w:rPr>
                <w:noProof/>
              </w:rPr>
            </w:pPr>
            <w:r>
              <w:rPr>
                <w:noProof/>
              </w:rPr>
              <w:t>Systèmes spéciaux d’adaptation au GPL et au GNC</w:t>
            </w:r>
          </w:p>
        </w:tc>
        <w:tc>
          <w:tcPr>
            <w:tcW w:w="1595" w:type="dxa"/>
          </w:tcPr>
          <w:p>
            <w:pPr>
              <w:rPr>
                <w:noProof/>
              </w:rPr>
            </w:pPr>
            <w:r>
              <w:rPr>
                <w:noProof/>
              </w:rPr>
              <w:t>Complément 6 à la version originale du règlement</w:t>
            </w:r>
          </w:p>
        </w:tc>
        <w:tc>
          <w:tcPr>
            <w:tcW w:w="2323" w:type="dxa"/>
          </w:tcPr>
          <w:p>
            <w:pPr>
              <w:jc w:val="left"/>
              <w:rPr>
                <w:noProof/>
              </w:rPr>
            </w:pPr>
            <w:r>
              <w:rPr>
                <w:noProof/>
              </w:rPr>
              <w:t>JO L 323 du 7.11.2014, p. 91.</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116</w:t>
            </w:r>
          </w:p>
        </w:tc>
        <w:tc>
          <w:tcPr>
            <w:tcW w:w="2588" w:type="dxa"/>
          </w:tcPr>
          <w:p>
            <w:pPr>
              <w:rPr>
                <w:noProof/>
              </w:rPr>
            </w:pPr>
            <w:r>
              <w:rPr>
                <w:noProof/>
              </w:rPr>
              <w:t>Protection des véhicules à moteur contre une utilisation non autorisée</w:t>
            </w:r>
          </w:p>
        </w:tc>
        <w:tc>
          <w:tcPr>
            <w:tcW w:w="1595" w:type="dxa"/>
          </w:tcPr>
          <w:p>
            <w:pPr>
              <w:rPr>
                <w:noProof/>
              </w:rPr>
            </w:pPr>
            <w:r>
              <w:rPr>
                <w:noProof/>
              </w:rPr>
              <w:t>Complément 3 à la version originale du règlement</w:t>
            </w:r>
          </w:p>
        </w:tc>
        <w:tc>
          <w:tcPr>
            <w:tcW w:w="2323" w:type="dxa"/>
          </w:tcPr>
          <w:p>
            <w:pPr>
              <w:jc w:val="left"/>
              <w:rPr>
                <w:noProof/>
              </w:rPr>
            </w:pPr>
            <w:r>
              <w:rPr>
                <w:noProof/>
              </w:rPr>
              <w:t>JO L 45 du 16.2.2012, p. 1.</w:t>
            </w:r>
          </w:p>
        </w:tc>
        <w:tc>
          <w:tcPr>
            <w:tcW w:w="1435" w:type="dxa"/>
          </w:tcPr>
          <w:p>
            <w:pPr>
              <w:rPr>
                <w:noProof/>
              </w:rPr>
            </w:pPr>
            <w:r>
              <w:rPr>
                <w:noProof/>
              </w:rPr>
              <w:t>M</w:t>
            </w:r>
            <w:r>
              <w:rPr>
                <w:noProof/>
                <w:vertAlign w:val="subscript"/>
              </w:rPr>
              <w:t>1</w:t>
            </w:r>
            <w:r>
              <w:rPr>
                <w:noProof/>
              </w:rPr>
              <w:t>, N</w:t>
            </w:r>
            <w:r>
              <w:rPr>
                <w:noProof/>
                <w:vertAlign w:val="subscript"/>
              </w:rPr>
              <w:t>1</w:t>
            </w:r>
            <w:r>
              <w:rPr>
                <w:noProof/>
              </w:rPr>
              <w:t xml:space="preserve"> (</w:t>
            </w:r>
            <w:r>
              <w:rPr>
                <w:noProof/>
                <w:vertAlign w:val="superscript"/>
              </w:rPr>
              <w:t>e</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117</w:t>
            </w:r>
          </w:p>
        </w:tc>
        <w:tc>
          <w:tcPr>
            <w:tcW w:w="2588" w:type="dxa"/>
          </w:tcPr>
          <w:p>
            <w:pPr>
              <w:rPr>
                <w:noProof/>
              </w:rPr>
            </w:pPr>
            <w:r>
              <w:rPr>
                <w:noProof/>
              </w:rPr>
              <w:t>Pneumatiques en ce qui concerne les émissions de bruit de roulement, l’adhérence sur surfaces humides et la résistance au roulement (classes C1, C2 et C3)</w:t>
            </w:r>
          </w:p>
        </w:tc>
        <w:tc>
          <w:tcPr>
            <w:tcW w:w="1595" w:type="dxa"/>
          </w:tcPr>
          <w:p>
            <w:pPr>
              <w:rPr>
                <w:noProof/>
              </w:rPr>
            </w:pPr>
            <w:r>
              <w:rPr>
                <w:noProof/>
              </w:rPr>
              <w:t>Complément 8 à la série 02 d’amendements</w:t>
            </w:r>
          </w:p>
        </w:tc>
        <w:tc>
          <w:tcPr>
            <w:tcW w:w="2323" w:type="dxa"/>
          </w:tcPr>
          <w:p>
            <w:pPr>
              <w:jc w:val="left"/>
              <w:rPr>
                <w:noProof/>
              </w:rPr>
            </w:pPr>
            <w:r>
              <w:rPr>
                <w:noProof/>
              </w:rPr>
              <w:t>JO L 218 du 12.08.2016, p. 1.</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118</w:t>
            </w:r>
          </w:p>
        </w:tc>
        <w:tc>
          <w:tcPr>
            <w:tcW w:w="2588" w:type="dxa"/>
          </w:tcPr>
          <w:p>
            <w:pPr>
              <w:rPr>
                <w:noProof/>
              </w:rPr>
            </w:pPr>
            <w:r>
              <w:rPr>
                <w:noProof/>
              </w:rPr>
              <w:t>Comportement au feu des matériaux utilisés dans la construction des autobus</w:t>
            </w:r>
          </w:p>
        </w:tc>
        <w:tc>
          <w:tcPr>
            <w:tcW w:w="1595" w:type="dxa"/>
          </w:tcPr>
          <w:p>
            <w:pPr>
              <w:rPr>
                <w:noProof/>
              </w:rPr>
            </w:pPr>
            <w:r>
              <w:rPr>
                <w:noProof/>
              </w:rPr>
              <w:t>Complément 1 à la série 02 d’amendements</w:t>
            </w:r>
          </w:p>
        </w:tc>
        <w:tc>
          <w:tcPr>
            <w:tcW w:w="2323" w:type="dxa"/>
          </w:tcPr>
          <w:p>
            <w:pPr>
              <w:jc w:val="left"/>
              <w:rPr>
                <w:noProof/>
              </w:rPr>
            </w:pPr>
            <w:r>
              <w:rPr>
                <w:noProof/>
              </w:rPr>
              <w:t>JO L 102 du 21.4.2015, p.67</w:t>
            </w:r>
          </w:p>
          <w:p>
            <w:pPr>
              <w:jc w:val="left"/>
              <w:rPr>
                <w:noProof/>
              </w:rPr>
            </w:pPr>
            <w:r>
              <w:rPr>
                <w:i/>
                <w:noProof/>
              </w:rPr>
              <w:t>[OP: programmé pour traduction en 2018, prière d'actualiser les références lorsque disponible]</w:t>
            </w:r>
          </w:p>
        </w:tc>
        <w:tc>
          <w:tcPr>
            <w:tcW w:w="1435" w:type="dxa"/>
          </w:tcPr>
          <w:p>
            <w:pPr>
              <w:rPr>
                <w:noProof/>
              </w:rPr>
            </w:pPr>
            <w:r>
              <w:rPr>
                <w:noProof/>
              </w:rPr>
              <w:t>M</w:t>
            </w:r>
            <w:r>
              <w:rPr>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119</w:t>
            </w:r>
          </w:p>
        </w:tc>
        <w:tc>
          <w:tcPr>
            <w:tcW w:w="2588" w:type="dxa"/>
          </w:tcPr>
          <w:p>
            <w:pPr>
              <w:rPr>
                <w:noProof/>
              </w:rPr>
            </w:pPr>
            <w:r>
              <w:rPr>
                <w:noProof/>
              </w:rPr>
              <w:t>Feux d’angle</w:t>
            </w:r>
          </w:p>
        </w:tc>
        <w:tc>
          <w:tcPr>
            <w:tcW w:w="1595" w:type="dxa"/>
          </w:tcPr>
          <w:p>
            <w:pPr>
              <w:rPr>
                <w:noProof/>
              </w:rPr>
            </w:pPr>
            <w:r>
              <w:rPr>
                <w:noProof/>
              </w:rPr>
              <w:t>Complément 3 à la série 01 d’amendements</w:t>
            </w:r>
          </w:p>
        </w:tc>
        <w:tc>
          <w:tcPr>
            <w:tcW w:w="2323" w:type="dxa"/>
          </w:tcPr>
          <w:p>
            <w:pPr>
              <w:jc w:val="left"/>
              <w:rPr>
                <w:noProof/>
              </w:rPr>
            </w:pPr>
            <w:r>
              <w:rPr>
                <w:noProof/>
              </w:rPr>
              <w:t>JO L 89 du 25.3.2014, p. 101.</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121</w:t>
            </w:r>
          </w:p>
        </w:tc>
        <w:tc>
          <w:tcPr>
            <w:tcW w:w="2588" w:type="dxa"/>
          </w:tcPr>
          <w:p>
            <w:pPr>
              <w:rPr>
                <w:noProof/>
              </w:rPr>
            </w:pPr>
            <w:r>
              <w:rPr>
                <w:noProof/>
              </w:rPr>
              <w:t>Emplacement et moyens d’identification des commandes manuelles, des témoins et des indicateurs</w:t>
            </w:r>
          </w:p>
        </w:tc>
        <w:tc>
          <w:tcPr>
            <w:tcW w:w="1595" w:type="dxa"/>
          </w:tcPr>
          <w:p>
            <w:pPr>
              <w:rPr>
                <w:noProof/>
              </w:rPr>
            </w:pPr>
            <w:r>
              <w:rPr>
                <w:noProof/>
              </w:rPr>
              <w:t>Série 01 d’amendements</w:t>
            </w:r>
          </w:p>
        </w:tc>
        <w:tc>
          <w:tcPr>
            <w:tcW w:w="2323" w:type="dxa"/>
          </w:tcPr>
          <w:p>
            <w:pPr>
              <w:jc w:val="left"/>
              <w:rPr>
                <w:noProof/>
              </w:rPr>
            </w:pPr>
            <w:r>
              <w:rPr>
                <w:noProof/>
              </w:rPr>
              <w:t>JO L 5 du 8.1.2016, p. 9.</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122</w:t>
            </w:r>
          </w:p>
        </w:tc>
        <w:tc>
          <w:tcPr>
            <w:tcW w:w="2588" w:type="dxa"/>
          </w:tcPr>
          <w:p>
            <w:pPr>
              <w:rPr>
                <w:noProof/>
              </w:rPr>
            </w:pPr>
            <w:r>
              <w:rPr>
                <w:noProof/>
              </w:rPr>
              <w:t>Système de chauffage des véhicules</w:t>
            </w:r>
          </w:p>
        </w:tc>
        <w:tc>
          <w:tcPr>
            <w:tcW w:w="1595" w:type="dxa"/>
          </w:tcPr>
          <w:p>
            <w:pPr>
              <w:rPr>
                <w:b/>
                <w:bCs/>
                <w:noProof/>
              </w:rPr>
            </w:pPr>
            <w:r>
              <w:rPr>
                <w:noProof/>
              </w:rPr>
              <w:t>Complément 1 à la version originale du règlement</w:t>
            </w:r>
          </w:p>
        </w:tc>
        <w:tc>
          <w:tcPr>
            <w:tcW w:w="2323" w:type="dxa"/>
          </w:tcPr>
          <w:p>
            <w:pPr>
              <w:jc w:val="left"/>
              <w:rPr>
                <w:noProof/>
              </w:rPr>
            </w:pPr>
            <w:r>
              <w:rPr>
                <w:noProof/>
              </w:rPr>
              <w:t>JO L 164 du 30.6.2010, p. 231.</w:t>
            </w:r>
          </w:p>
          <w:p>
            <w:pPr>
              <w:jc w:val="left"/>
              <w:rPr>
                <w:b/>
                <w:bCs/>
                <w:noProof/>
              </w:rPr>
            </w:pPr>
            <w:r>
              <w:rPr>
                <w:i/>
                <w:noProof/>
              </w:rPr>
              <w:t>[OP: programmé pour traduction en 2018, prière d'actualiser les références lorsque disponible]</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123</w:t>
            </w:r>
          </w:p>
        </w:tc>
        <w:tc>
          <w:tcPr>
            <w:tcW w:w="2588" w:type="dxa"/>
          </w:tcPr>
          <w:p>
            <w:pPr>
              <w:rPr>
                <w:noProof/>
              </w:rPr>
            </w:pPr>
            <w:r>
              <w:rPr>
                <w:noProof/>
              </w:rPr>
              <w:t>Systèmes d’éclairage avant adaptatifs (AFS) destinés aux véhicules automobiles</w:t>
            </w:r>
          </w:p>
        </w:tc>
        <w:tc>
          <w:tcPr>
            <w:tcW w:w="1595" w:type="dxa"/>
          </w:tcPr>
          <w:p>
            <w:pPr>
              <w:rPr>
                <w:noProof/>
              </w:rPr>
            </w:pPr>
            <w:r>
              <w:rPr>
                <w:noProof/>
              </w:rPr>
              <w:t>Complément 4 à la version originale du règlement</w:t>
            </w:r>
          </w:p>
        </w:tc>
        <w:tc>
          <w:tcPr>
            <w:tcW w:w="2323" w:type="dxa"/>
          </w:tcPr>
          <w:p>
            <w:pPr>
              <w:jc w:val="left"/>
              <w:rPr>
                <w:noProof/>
              </w:rPr>
            </w:pPr>
            <w:r>
              <w:rPr>
                <w:noProof/>
              </w:rPr>
              <w:t>JO L 222 du 24.8.2010, p.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124</w:t>
            </w:r>
          </w:p>
        </w:tc>
        <w:tc>
          <w:tcPr>
            <w:tcW w:w="2588" w:type="dxa"/>
          </w:tcPr>
          <w:p>
            <w:pPr>
              <w:rPr>
                <w:noProof/>
              </w:rPr>
            </w:pPr>
            <w:r>
              <w:rPr>
                <w:noProof/>
              </w:rPr>
              <w:t>Roues de remplacement</w:t>
            </w:r>
          </w:p>
        </w:tc>
        <w:tc>
          <w:tcPr>
            <w:tcW w:w="1595" w:type="dxa"/>
          </w:tcPr>
          <w:p>
            <w:pPr>
              <w:rPr>
                <w:noProof/>
              </w:rPr>
            </w:pPr>
            <w:r>
              <w:rPr>
                <w:noProof/>
              </w:rPr>
              <w:t>Version originale du règlement</w:t>
            </w:r>
          </w:p>
        </w:tc>
        <w:tc>
          <w:tcPr>
            <w:tcW w:w="2323" w:type="dxa"/>
          </w:tcPr>
          <w:p>
            <w:pPr>
              <w:jc w:val="left"/>
              <w:rPr>
                <w:noProof/>
              </w:rPr>
            </w:pPr>
            <w:r>
              <w:rPr>
                <w:noProof/>
              </w:rPr>
              <w:t>JO L 375 du 27.12.2006, p. 568.</w:t>
            </w:r>
          </w:p>
        </w:tc>
        <w:tc>
          <w:tcPr>
            <w:tcW w:w="1435" w:type="dxa"/>
          </w:tcPr>
          <w:p>
            <w:pPr>
              <w:rPr>
                <w:bCs/>
                <w:noProof/>
                <w:vertAlign w:val="subscript"/>
              </w:rPr>
            </w:pPr>
            <w:r>
              <w:rPr>
                <w:noProof/>
              </w:rPr>
              <w:t>N</w:t>
            </w:r>
            <w:r>
              <w:rPr>
                <w:noProof/>
                <w:vertAlign w:val="subscript"/>
              </w:rPr>
              <w:t>1</w:t>
            </w:r>
            <w:r>
              <w:rPr>
                <w:noProof/>
              </w:rPr>
              <w:t>, N</w:t>
            </w:r>
            <w:r>
              <w:rPr>
                <w:noProof/>
                <w:vertAlign w:val="subscript"/>
              </w:rPr>
              <w:t>1</w:t>
            </w:r>
            <w:r>
              <w:rPr>
                <w:noProof/>
              </w:rPr>
              <w:t>, O</w:t>
            </w:r>
            <w:r>
              <w:rPr>
                <w:noProof/>
                <w:vertAlign w:val="subscript"/>
              </w:rPr>
              <w:t>1</w:t>
            </w:r>
            <w:r>
              <w:rPr>
                <w:noProof/>
              </w:rPr>
              <w:t>, O</w:t>
            </w:r>
            <w:r>
              <w:rPr>
                <w:noProof/>
                <w:vertAlign w:val="subscript"/>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125</w:t>
            </w:r>
          </w:p>
        </w:tc>
        <w:tc>
          <w:tcPr>
            <w:tcW w:w="2588" w:type="dxa"/>
          </w:tcPr>
          <w:p>
            <w:pPr>
              <w:rPr>
                <w:noProof/>
              </w:rPr>
            </w:pPr>
            <w:r>
              <w:rPr>
                <w:noProof/>
              </w:rPr>
              <w:t xml:space="preserve">Champ de vision du conducteur </w:t>
            </w:r>
          </w:p>
        </w:tc>
        <w:tc>
          <w:tcPr>
            <w:tcW w:w="1595" w:type="dxa"/>
          </w:tcPr>
          <w:p>
            <w:pPr>
              <w:rPr>
                <w:noProof/>
              </w:rPr>
            </w:pPr>
            <w:r>
              <w:rPr>
                <w:noProof/>
              </w:rPr>
              <w:t>Complément 1 à la série 01 d’amendements</w:t>
            </w:r>
          </w:p>
        </w:tc>
        <w:tc>
          <w:tcPr>
            <w:tcW w:w="2323" w:type="dxa"/>
          </w:tcPr>
          <w:p>
            <w:pPr>
              <w:jc w:val="left"/>
              <w:rPr>
                <w:noProof/>
              </w:rPr>
            </w:pPr>
            <w:r>
              <w:rPr>
                <w:noProof/>
              </w:rPr>
              <w:t>JO L 20 du 25.1.2018, p. 16.</w:t>
            </w:r>
          </w:p>
        </w:tc>
        <w:tc>
          <w:tcPr>
            <w:tcW w:w="1435" w:type="dxa"/>
          </w:tcPr>
          <w:p>
            <w:pPr>
              <w:rPr>
                <w:noProof/>
              </w:rPr>
            </w:pPr>
            <w:r>
              <w:rPr>
                <w:noProof/>
              </w:rPr>
              <w:t>M</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126</w:t>
            </w:r>
          </w:p>
        </w:tc>
        <w:tc>
          <w:tcPr>
            <w:tcW w:w="2588" w:type="dxa"/>
          </w:tcPr>
          <w:p>
            <w:pPr>
              <w:rPr>
                <w:noProof/>
              </w:rPr>
            </w:pPr>
            <w:r>
              <w:rPr>
                <w:noProof/>
              </w:rPr>
              <w:t>Systèmes de cloisonnement</w:t>
            </w:r>
          </w:p>
        </w:tc>
        <w:tc>
          <w:tcPr>
            <w:tcW w:w="1595" w:type="dxa"/>
          </w:tcPr>
          <w:p>
            <w:pPr>
              <w:rPr>
                <w:noProof/>
              </w:rPr>
            </w:pPr>
            <w:r>
              <w:rPr>
                <w:noProof/>
              </w:rPr>
              <w:t>Série originale</w:t>
            </w:r>
          </w:p>
        </w:tc>
        <w:tc>
          <w:tcPr>
            <w:tcW w:w="2323" w:type="dxa"/>
          </w:tcPr>
          <w:p>
            <w:pPr>
              <w:jc w:val="center"/>
              <w:rPr>
                <w:bCs/>
                <w:noProof/>
              </w:rPr>
            </w:pPr>
            <w:r>
              <w:rPr>
                <w:i/>
                <w:noProof/>
              </w:rPr>
              <w:t>[OP: programmé pour traduction en 2018, prière d'actualiser les références lorsque disponible]</w:t>
            </w:r>
          </w:p>
        </w:tc>
        <w:tc>
          <w:tcPr>
            <w:tcW w:w="1435" w:type="dxa"/>
          </w:tcPr>
          <w:p>
            <w:pPr>
              <w:rPr>
                <w:bCs/>
                <w:noProof/>
              </w:rPr>
            </w:pPr>
            <w:r>
              <w:rPr>
                <w:noProof/>
              </w:rPr>
              <w:t>M</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127</w:t>
            </w:r>
          </w:p>
        </w:tc>
        <w:tc>
          <w:tcPr>
            <w:tcW w:w="2588" w:type="dxa"/>
          </w:tcPr>
          <w:p>
            <w:pPr>
              <w:rPr>
                <w:noProof/>
              </w:rPr>
            </w:pPr>
            <w:r>
              <w:rPr>
                <w:noProof/>
              </w:rPr>
              <w:t>Sécurité des piétons</w:t>
            </w:r>
          </w:p>
        </w:tc>
        <w:tc>
          <w:tcPr>
            <w:tcW w:w="1595" w:type="dxa"/>
          </w:tcPr>
          <w:p>
            <w:pPr>
              <w:rPr>
                <w:noProof/>
              </w:rPr>
            </w:pPr>
            <w:r>
              <w:rPr>
                <w:noProof/>
              </w:rPr>
              <w:t>Série 02</w:t>
            </w:r>
          </w:p>
        </w:tc>
        <w:tc>
          <w:tcPr>
            <w:tcW w:w="2323" w:type="dxa"/>
          </w:tcPr>
          <w:p>
            <w:pPr>
              <w:jc w:val="center"/>
              <w:rPr>
                <w:bCs/>
                <w:noProof/>
              </w:rPr>
            </w:pPr>
            <w:r>
              <w:rPr>
                <w:i/>
                <w:noProof/>
              </w:rPr>
              <w:t>[OP: programmé pour traduction en 2018, prière d'actualiser les références lorsque disponible]</w:t>
            </w:r>
          </w:p>
        </w:tc>
        <w:tc>
          <w:tcPr>
            <w:tcW w:w="1435" w:type="dxa"/>
          </w:tcPr>
          <w:p>
            <w:pPr>
              <w:rPr>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128</w:t>
            </w:r>
          </w:p>
        </w:tc>
        <w:tc>
          <w:tcPr>
            <w:tcW w:w="2588" w:type="dxa"/>
          </w:tcPr>
          <w:p>
            <w:pPr>
              <w:rPr>
                <w:noProof/>
              </w:rPr>
            </w:pPr>
            <w:r>
              <w:rPr>
                <w:noProof/>
              </w:rPr>
              <w:t>Sources lumineuses à diodes électroluminescentes (DEL)</w:t>
            </w:r>
          </w:p>
        </w:tc>
        <w:tc>
          <w:tcPr>
            <w:tcW w:w="1595" w:type="dxa"/>
          </w:tcPr>
          <w:p>
            <w:pPr>
              <w:rPr>
                <w:noProof/>
              </w:rPr>
            </w:pPr>
            <w:r>
              <w:rPr>
                <w:noProof/>
              </w:rPr>
              <w:t>Complément 2 à la version originale du règlement</w:t>
            </w:r>
          </w:p>
        </w:tc>
        <w:tc>
          <w:tcPr>
            <w:tcW w:w="2323" w:type="dxa"/>
          </w:tcPr>
          <w:p>
            <w:pPr>
              <w:jc w:val="left"/>
              <w:rPr>
                <w:noProof/>
              </w:rPr>
            </w:pPr>
            <w:r>
              <w:rPr>
                <w:noProof/>
              </w:rPr>
              <w:t>JO L 162 du 29.5.2014, p. 43.</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129</w:t>
            </w:r>
          </w:p>
        </w:tc>
        <w:tc>
          <w:tcPr>
            <w:tcW w:w="2588" w:type="dxa"/>
          </w:tcPr>
          <w:p>
            <w:pPr>
              <w:rPr>
                <w:noProof/>
              </w:rPr>
            </w:pPr>
            <w:r>
              <w:rPr>
                <w:noProof/>
              </w:rPr>
              <w:t>Dispositifs améliorés de retenue pour enfants</w:t>
            </w:r>
          </w:p>
        </w:tc>
        <w:tc>
          <w:tcPr>
            <w:tcW w:w="1595" w:type="dxa"/>
          </w:tcPr>
          <w:p>
            <w:pPr>
              <w:rPr>
                <w:noProof/>
              </w:rPr>
            </w:pPr>
            <w:r>
              <w:rPr>
                <w:noProof/>
              </w:rPr>
              <w:t>Complément 2 à la version originale du règlement</w:t>
            </w:r>
          </w:p>
        </w:tc>
        <w:tc>
          <w:tcPr>
            <w:tcW w:w="2323" w:type="dxa"/>
          </w:tcPr>
          <w:p>
            <w:pPr>
              <w:jc w:val="left"/>
              <w:rPr>
                <w:noProof/>
              </w:rPr>
            </w:pPr>
            <w:r>
              <w:rPr>
                <w:noProof/>
              </w:rPr>
              <w:t>JO L 97 du 29.03.2014, p. 21.</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130</w:t>
            </w:r>
          </w:p>
        </w:tc>
        <w:tc>
          <w:tcPr>
            <w:tcW w:w="2588" w:type="dxa"/>
          </w:tcPr>
          <w:p>
            <w:pPr>
              <w:rPr>
                <w:noProof/>
              </w:rPr>
            </w:pPr>
            <w:r>
              <w:rPr>
                <w:noProof/>
              </w:rPr>
              <w:t>Avertissement en cas de déviation de la trajectoire</w:t>
            </w:r>
          </w:p>
        </w:tc>
        <w:tc>
          <w:tcPr>
            <w:tcW w:w="1595" w:type="dxa"/>
          </w:tcPr>
          <w:p>
            <w:pPr>
              <w:rPr>
                <w:noProof/>
              </w:rPr>
            </w:pPr>
            <w:r>
              <w:rPr>
                <w:noProof/>
              </w:rPr>
              <w:t>Version originale du règlement</w:t>
            </w:r>
          </w:p>
        </w:tc>
        <w:tc>
          <w:tcPr>
            <w:tcW w:w="2323" w:type="dxa"/>
          </w:tcPr>
          <w:p>
            <w:pPr>
              <w:jc w:val="left"/>
              <w:rPr>
                <w:noProof/>
              </w:rPr>
            </w:pPr>
            <w:r>
              <w:rPr>
                <w:noProof/>
              </w:rPr>
              <w:t>JO L 178 du 18.06.2014, p. 29.</w:t>
            </w:r>
          </w:p>
        </w:tc>
        <w:tc>
          <w:tcPr>
            <w:tcW w:w="1435" w:type="dxa"/>
          </w:tcPr>
          <w:p>
            <w:pPr>
              <w:rPr>
                <w:bCs/>
                <w:noProof/>
              </w:rPr>
            </w:pPr>
            <w:r>
              <w:rPr>
                <w:noProof/>
              </w:rPr>
              <w:t>M</w:t>
            </w:r>
            <w:r>
              <w:rPr>
                <w:noProof/>
                <w:vertAlign w:val="subscript"/>
              </w:rPr>
              <w:t>2</w:t>
            </w:r>
            <w:r>
              <w:rPr>
                <w:noProof/>
              </w:rPr>
              <w:t>, M</w:t>
            </w:r>
            <w:r>
              <w:rPr>
                <w:noProof/>
                <w:vertAlign w:val="subscript"/>
              </w:rPr>
              <w:t>3</w:t>
            </w:r>
            <w:r>
              <w:rPr>
                <w:noProof/>
              </w:rPr>
              <w:t>, N</w:t>
            </w:r>
            <w:r>
              <w:rPr>
                <w:noProof/>
                <w:vertAlign w:val="subscript"/>
              </w:rPr>
              <w:t>2</w:t>
            </w:r>
            <w:r>
              <w:rPr>
                <w:noProof/>
              </w:rPr>
              <w:t>, N</w:t>
            </w:r>
            <w:r>
              <w:rPr>
                <w:noProof/>
                <w:vertAlign w:val="subscript"/>
              </w:rPr>
              <w:t>3</w:t>
            </w:r>
            <w:r>
              <w:rPr>
                <w:noProof/>
              </w:rPr>
              <w:t xml:space="preserve"> (</w:t>
            </w:r>
            <w:r>
              <w:rPr>
                <w:noProof/>
                <w:vertAlign w:val="superscript"/>
              </w:rPr>
              <w:t>f</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131</w:t>
            </w:r>
          </w:p>
        </w:tc>
        <w:tc>
          <w:tcPr>
            <w:tcW w:w="2588" w:type="dxa"/>
          </w:tcPr>
          <w:p>
            <w:pPr>
              <w:rPr>
                <w:noProof/>
              </w:rPr>
            </w:pPr>
            <w:r>
              <w:rPr>
                <w:noProof/>
              </w:rPr>
              <w:t>Système avancé de freinage d’urgence</w:t>
            </w:r>
          </w:p>
        </w:tc>
        <w:tc>
          <w:tcPr>
            <w:tcW w:w="1595" w:type="dxa"/>
          </w:tcPr>
          <w:p>
            <w:pPr>
              <w:rPr>
                <w:noProof/>
              </w:rPr>
            </w:pPr>
            <w:r>
              <w:rPr>
                <w:noProof/>
              </w:rPr>
              <w:t>Complément 1 à la série 01 d’amendements</w:t>
            </w:r>
          </w:p>
        </w:tc>
        <w:tc>
          <w:tcPr>
            <w:tcW w:w="2323" w:type="dxa"/>
          </w:tcPr>
          <w:p>
            <w:pPr>
              <w:jc w:val="left"/>
              <w:rPr>
                <w:noProof/>
              </w:rPr>
            </w:pPr>
            <w:r>
              <w:rPr>
                <w:noProof/>
              </w:rPr>
              <w:t>JO L 214 du 19.07.2014, p. 47.</w:t>
            </w:r>
          </w:p>
        </w:tc>
        <w:tc>
          <w:tcPr>
            <w:tcW w:w="1435" w:type="dxa"/>
          </w:tcPr>
          <w:p>
            <w:pPr>
              <w:rPr>
                <w:bCs/>
                <w:noProof/>
              </w:rPr>
            </w:pPr>
            <w:r>
              <w:rPr>
                <w:noProof/>
              </w:rPr>
              <w:t>M</w:t>
            </w:r>
            <w:r>
              <w:rPr>
                <w:noProof/>
                <w:vertAlign w:val="subscript"/>
              </w:rPr>
              <w:t>2</w:t>
            </w:r>
            <w:r>
              <w:rPr>
                <w:noProof/>
              </w:rPr>
              <w:t>, M</w:t>
            </w:r>
            <w:r>
              <w:rPr>
                <w:noProof/>
                <w:vertAlign w:val="subscript"/>
              </w:rPr>
              <w:t>3</w:t>
            </w:r>
            <w:r>
              <w:rPr>
                <w:noProof/>
              </w:rPr>
              <w:t>, N</w:t>
            </w:r>
            <w:r>
              <w:rPr>
                <w:noProof/>
                <w:vertAlign w:val="subscript"/>
              </w:rPr>
              <w:t>2</w:t>
            </w:r>
            <w:r>
              <w:rPr>
                <w:noProof/>
              </w:rPr>
              <w:t>, N</w:t>
            </w:r>
            <w:r>
              <w:rPr>
                <w:noProof/>
                <w:vertAlign w:val="subscript"/>
              </w:rPr>
              <w:t>3</w:t>
            </w:r>
            <w:r>
              <w:rPr>
                <w:noProof/>
              </w:rPr>
              <w:t xml:space="preserve"> (</w:t>
            </w:r>
            <w:r>
              <w:rPr>
                <w:noProof/>
                <w:vertAlign w:val="superscript"/>
              </w:rPr>
              <w:t>f</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134</w:t>
            </w:r>
          </w:p>
        </w:tc>
        <w:tc>
          <w:tcPr>
            <w:tcW w:w="2588" w:type="dxa"/>
          </w:tcPr>
          <w:p>
            <w:pPr>
              <w:rPr>
                <w:noProof/>
              </w:rPr>
            </w:pPr>
            <w:r>
              <w:rPr>
                <w:noProof/>
              </w:rPr>
              <w:t>Sécurité de l’hydrogène</w:t>
            </w:r>
          </w:p>
        </w:tc>
        <w:tc>
          <w:tcPr>
            <w:tcW w:w="1595" w:type="dxa"/>
          </w:tcPr>
          <w:p>
            <w:pPr>
              <w:rPr>
                <w:noProof/>
              </w:rPr>
            </w:pPr>
            <w:r>
              <w:rPr>
                <w:noProof/>
              </w:rPr>
              <w:t>Complément 2 à la série originale d’amendements</w:t>
            </w:r>
          </w:p>
        </w:tc>
        <w:tc>
          <w:tcPr>
            <w:tcW w:w="2323" w:type="dxa"/>
          </w:tcPr>
          <w:p>
            <w:pPr>
              <w:jc w:val="center"/>
              <w:rPr>
                <w:bCs/>
                <w:noProof/>
              </w:rPr>
            </w:pPr>
            <w:r>
              <w:rPr>
                <w:i/>
                <w:noProof/>
              </w:rPr>
              <w:t>[OP: programmé pour traduction en 2018, prière d'actualiser les références lorsque disponible]</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135</w:t>
            </w:r>
          </w:p>
        </w:tc>
        <w:tc>
          <w:tcPr>
            <w:tcW w:w="2588" w:type="dxa"/>
          </w:tcPr>
          <w:p>
            <w:pPr>
              <w:rPr>
                <w:noProof/>
              </w:rPr>
            </w:pPr>
            <w:r>
              <w:rPr>
                <w:noProof/>
              </w:rPr>
              <w:t>Choc latéral contre un poteau</w:t>
            </w:r>
          </w:p>
        </w:tc>
        <w:tc>
          <w:tcPr>
            <w:tcW w:w="1595" w:type="dxa"/>
          </w:tcPr>
          <w:p>
            <w:pPr>
              <w:rPr>
                <w:noProof/>
              </w:rPr>
            </w:pPr>
            <w:r>
              <w:rPr>
                <w:noProof/>
              </w:rPr>
              <w:t>Complément 1 à la série 01 d’amendements</w:t>
            </w:r>
          </w:p>
        </w:tc>
        <w:tc>
          <w:tcPr>
            <w:tcW w:w="2323" w:type="dxa"/>
          </w:tcPr>
          <w:p>
            <w:pPr>
              <w:jc w:val="center"/>
              <w:rPr>
                <w:bCs/>
                <w:noProof/>
              </w:rPr>
            </w:pPr>
            <w:r>
              <w:rPr>
                <w:i/>
                <w:noProof/>
              </w:rPr>
              <w:t>[OP: programmé pour traduction en 2018, prière d'actualiser les références lorsque disponible]</w:t>
            </w:r>
          </w:p>
        </w:tc>
        <w:tc>
          <w:tcPr>
            <w:tcW w:w="1435" w:type="dxa"/>
          </w:tcPr>
          <w:p>
            <w:pPr>
              <w:rPr>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137</w:t>
            </w:r>
          </w:p>
        </w:tc>
        <w:tc>
          <w:tcPr>
            <w:tcW w:w="2588" w:type="dxa"/>
          </w:tcPr>
          <w:p>
            <w:pPr>
              <w:rPr>
                <w:noProof/>
              </w:rPr>
            </w:pPr>
            <w:r>
              <w:rPr>
                <w:noProof/>
              </w:rPr>
              <w:t>Choc frontal sur toute la largeur</w:t>
            </w:r>
          </w:p>
        </w:tc>
        <w:tc>
          <w:tcPr>
            <w:tcW w:w="1595" w:type="dxa"/>
          </w:tcPr>
          <w:p>
            <w:pPr>
              <w:rPr>
                <w:noProof/>
              </w:rPr>
            </w:pPr>
            <w:r>
              <w:rPr>
                <w:noProof/>
              </w:rPr>
              <w:t>Série 01 d’amendements</w:t>
            </w:r>
          </w:p>
        </w:tc>
        <w:tc>
          <w:tcPr>
            <w:tcW w:w="2323" w:type="dxa"/>
          </w:tcPr>
          <w:p>
            <w:pPr>
              <w:jc w:val="center"/>
              <w:rPr>
                <w:bCs/>
                <w:noProof/>
              </w:rPr>
            </w:pPr>
            <w:r>
              <w:rPr>
                <w:i/>
                <w:noProof/>
              </w:rPr>
              <w:t>[OP: programmé pour traduction en 2018, prière d'actualiser les références lorsque disponible]</w:t>
            </w:r>
          </w:p>
        </w:tc>
        <w:tc>
          <w:tcPr>
            <w:tcW w:w="1435" w:type="dxa"/>
          </w:tcPr>
          <w:p>
            <w:pPr>
              <w:rPr>
                <w:bCs/>
                <w:noProof/>
              </w:rPr>
            </w:pPr>
            <w:r>
              <w:rPr>
                <w:noProof/>
              </w:rPr>
              <w:t>M</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139</w:t>
            </w:r>
          </w:p>
        </w:tc>
        <w:tc>
          <w:tcPr>
            <w:tcW w:w="2588" w:type="dxa"/>
          </w:tcPr>
          <w:p>
            <w:pPr>
              <w:rPr>
                <w:noProof/>
              </w:rPr>
            </w:pPr>
            <w:r>
              <w:rPr>
                <w:noProof/>
              </w:rPr>
              <w:t>Système d’assistance au freinage d’urgence</w:t>
            </w:r>
          </w:p>
        </w:tc>
        <w:tc>
          <w:tcPr>
            <w:tcW w:w="1595" w:type="dxa"/>
          </w:tcPr>
          <w:p>
            <w:pPr>
              <w:rPr>
                <w:noProof/>
              </w:rPr>
            </w:pPr>
            <w:r>
              <w:rPr>
                <w:noProof/>
              </w:rPr>
              <w:t>Série originale d’amendements</w:t>
            </w:r>
          </w:p>
        </w:tc>
        <w:tc>
          <w:tcPr>
            <w:tcW w:w="2323" w:type="dxa"/>
          </w:tcPr>
          <w:p>
            <w:pPr>
              <w:jc w:val="center"/>
              <w:rPr>
                <w:bCs/>
                <w:noProof/>
              </w:rPr>
            </w:pPr>
            <w:r>
              <w:rPr>
                <w:i/>
                <w:noProof/>
              </w:rPr>
              <w:t>[OP: programmé pour traduction en 2018, prière d'actualiser les références lorsque disponible]</w:t>
            </w:r>
          </w:p>
        </w:tc>
        <w:tc>
          <w:tcPr>
            <w:tcW w:w="1435" w:type="dxa"/>
          </w:tcPr>
          <w:p>
            <w:pPr>
              <w:rPr>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140</w:t>
            </w:r>
          </w:p>
        </w:tc>
        <w:tc>
          <w:tcPr>
            <w:tcW w:w="2588" w:type="dxa"/>
          </w:tcPr>
          <w:p>
            <w:pPr>
              <w:rPr>
                <w:noProof/>
              </w:rPr>
            </w:pPr>
            <w:r>
              <w:rPr>
                <w:noProof/>
              </w:rPr>
              <w:t>Systèmes de contrôle électronique de la stabilité</w:t>
            </w:r>
          </w:p>
        </w:tc>
        <w:tc>
          <w:tcPr>
            <w:tcW w:w="1595" w:type="dxa"/>
          </w:tcPr>
          <w:p>
            <w:pPr>
              <w:rPr>
                <w:noProof/>
              </w:rPr>
            </w:pPr>
            <w:r>
              <w:rPr>
                <w:noProof/>
              </w:rPr>
              <w:t>Série originale d’amendements</w:t>
            </w:r>
          </w:p>
        </w:tc>
        <w:tc>
          <w:tcPr>
            <w:tcW w:w="2323" w:type="dxa"/>
          </w:tcPr>
          <w:p>
            <w:pPr>
              <w:jc w:val="center"/>
              <w:rPr>
                <w:bCs/>
                <w:noProof/>
              </w:rPr>
            </w:pPr>
            <w:r>
              <w:rPr>
                <w:i/>
                <w:noProof/>
              </w:rPr>
              <w:t>[OP: programmé pour traduction en 2018, prière d'actualiser les références lorsque disponible]</w:t>
            </w:r>
          </w:p>
        </w:tc>
        <w:tc>
          <w:tcPr>
            <w:tcW w:w="1435" w:type="dxa"/>
          </w:tcPr>
          <w:p>
            <w:pPr>
              <w:rPr>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141</w:t>
            </w:r>
          </w:p>
        </w:tc>
        <w:tc>
          <w:tcPr>
            <w:tcW w:w="2588" w:type="dxa"/>
          </w:tcPr>
          <w:p>
            <w:pPr>
              <w:rPr>
                <w:noProof/>
              </w:rPr>
            </w:pPr>
            <w:r>
              <w:rPr>
                <w:noProof/>
              </w:rPr>
              <w:t>Surveillance de la pression des pneumatiques</w:t>
            </w:r>
          </w:p>
        </w:tc>
        <w:tc>
          <w:tcPr>
            <w:tcW w:w="1595" w:type="dxa"/>
          </w:tcPr>
          <w:p>
            <w:pPr>
              <w:rPr>
                <w:noProof/>
              </w:rPr>
            </w:pPr>
            <w:r>
              <w:rPr>
                <w:noProof/>
              </w:rPr>
              <w:t>Série originale d’amendements</w:t>
            </w:r>
          </w:p>
        </w:tc>
        <w:tc>
          <w:tcPr>
            <w:tcW w:w="2323" w:type="dxa"/>
          </w:tcPr>
          <w:p>
            <w:pPr>
              <w:jc w:val="center"/>
              <w:rPr>
                <w:bCs/>
                <w:noProof/>
              </w:rPr>
            </w:pPr>
            <w:r>
              <w:rPr>
                <w:i/>
                <w:noProof/>
              </w:rPr>
              <w:t>[OP: programmé pour traduction en 2018, prière d'actualiser les références lorsque disponible]</w:t>
            </w:r>
          </w:p>
        </w:tc>
        <w:tc>
          <w:tcPr>
            <w:tcW w:w="1435" w:type="dxa"/>
          </w:tcPr>
          <w:p>
            <w:pPr>
              <w:rPr>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142</w:t>
            </w:r>
          </w:p>
        </w:tc>
        <w:tc>
          <w:tcPr>
            <w:tcW w:w="2588" w:type="dxa"/>
          </w:tcPr>
          <w:p>
            <w:pPr>
              <w:rPr>
                <w:noProof/>
              </w:rPr>
            </w:pPr>
            <w:r>
              <w:rPr>
                <w:noProof/>
              </w:rPr>
              <w:t>Montage des pneumatiques</w:t>
            </w:r>
          </w:p>
        </w:tc>
        <w:tc>
          <w:tcPr>
            <w:tcW w:w="1595" w:type="dxa"/>
          </w:tcPr>
          <w:p>
            <w:pPr>
              <w:rPr>
                <w:noProof/>
              </w:rPr>
            </w:pPr>
            <w:r>
              <w:rPr>
                <w:noProof/>
              </w:rPr>
              <w:t>Série originale d’amendements</w:t>
            </w:r>
          </w:p>
        </w:tc>
        <w:tc>
          <w:tcPr>
            <w:tcW w:w="2323" w:type="dxa"/>
          </w:tcPr>
          <w:p>
            <w:pPr>
              <w:jc w:val="center"/>
              <w:rPr>
                <w:bCs/>
                <w:noProof/>
              </w:rPr>
            </w:pPr>
            <w:r>
              <w:rPr>
                <w:i/>
                <w:noProof/>
              </w:rPr>
              <w:t>[OP: programmé pour traduction en 2018, prière d'actualiser les références lorsque disponible]</w:t>
            </w:r>
          </w:p>
        </w:tc>
        <w:tc>
          <w:tcPr>
            <w:tcW w:w="1435" w:type="dxa"/>
          </w:tcPr>
          <w:p>
            <w:pPr>
              <w:rPr>
                <w:bCs/>
                <w:noProof/>
              </w:rPr>
            </w:pPr>
            <w:r>
              <w:rPr>
                <w:noProof/>
              </w:rPr>
              <w:t>M</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noProof/>
              </w:rPr>
              <w:t>[145]</w:t>
            </w:r>
          </w:p>
        </w:tc>
        <w:tc>
          <w:tcPr>
            <w:tcW w:w="2588" w:type="dxa"/>
          </w:tcPr>
          <w:p>
            <w:pPr>
              <w:rPr>
                <w:noProof/>
              </w:rPr>
            </w:pPr>
            <w:r>
              <w:rPr>
                <w:noProof/>
              </w:rPr>
              <w:t>Ancrages de dispositifs de retenue pour enfants</w:t>
            </w:r>
          </w:p>
        </w:tc>
        <w:tc>
          <w:tcPr>
            <w:tcW w:w="1595" w:type="dxa"/>
          </w:tcPr>
          <w:p>
            <w:pPr>
              <w:rPr>
                <w:noProof/>
              </w:rPr>
            </w:pPr>
            <w:r>
              <w:rPr>
                <w:noProof/>
              </w:rPr>
              <w:t>Série originale d’amendements</w:t>
            </w:r>
          </w:p>
        </w:tc>
        <w:tc>
          <w:tcPr>
            <w:tcW w:w="2323" w:type="dxa"/>
          </w:tcPr>
          <w:p>
            <w:pPr>
              <w:jc w:val="center"/>
              <w:rPr>
                <w:noProof/>
              </w:rPr>
            </w:pPr>
            <w:r>
              <w:rPr>
                <w:i/>
                <w:noProof/>
              </w:rPr>
              <w:t>[OP: programmé pour traduction en 2018, prière d'actualiser les références lorsque disponible]</w:t>
            </w:r>
          </w:p>
        </w:tc>
        <w:tc>
          <w:tcPr>
            <w:tcW w:w="1435" w:type="dxa"/>
          </w:tcPr>
          <w:p>
            <w:pPr>
              <w:rPr>
                <w:bCs/>
                <w:noProof/>
              </w:rPr>
            </w:pPr>
            <w:r>
              <w:rPr>
                <w:noProof/>
              </w:rPr>
              <w:t>M</w:t>
            </w:r>
            <w:r>
              <w:rPr>
                <w:noProof/>
                <w:vertAlign w:val="subscript"/>
              </w:rPr>
              <w:t>1</w:t>
            </w:r>
          </w:p>
        </w:tc>
      </w:tr>
    </w:tbl>
    <w:p>
      <w:pPr>
        <w:jc w:val="center"/>
        <w:rPr>
          <w:noProof/>
        </w:rPr>
      </w:pPr>
      <w:r>
        <w:rPr>
          <w:noProof/>
        </w:rPr>
        <w:t>_______________________</w:t>
      </w:r>
    </w:p>
    <w:p>
      <w:pPr>
        <w:jc w:val="center"/>
        <w:rPr>
          <w:i/>
          <w:noProof/>
        </w:rPr>
      </w:pPr>
      <w:r>
        <w:rPr>
          <w:i/>
          <w:noProof/>
        </w:rPr>
        <w:t>Notes relatives au tableau</w:t>
      </w:r>
    </w:p>
    <w:tbl>
      <w:tblPr>
        <w:tblW w:w="0" w:type="auto"/>
        <w:tblLook w:val="01E0" w:firstRow="1" w:lastRow="1" w:firstColumn="1" w:lastColumn="1" w:noHBand="0" w:noVBand="0"/>
      </w:tblPr>
      <w:tblGrid>
        <w:gridCol w:w="588"/>
        <w:gridCol w:w="8625"/>
      </w:tblGrid>
      <w:tr>
        <w:tc>
          <w:tcPr>
            <w:tcW w:w="9213" w:type="dxa"/>
            <w:gridSpan w:val="2"/>
            <w:shd w:val="clear" w:color="auto" w:fill="auto"/>
          </w:tcPr>
          <w:p>
            <w:pPr>
              <w:rPr>
                <w:noProof/>
              </w:rPr>
            </w:pPr>
            <w:r>
              <w:rPr>
                <w:noProof/>
              </w:rPr>
              <w:t xml:space="preserve">La série d’amendements indiquée dans le tableau correspond à la version qui a été publiée au </w:t>
            </w:r>
            <w:r>
              <w:rPr>
                <w:i/>
                <w:noProof/>
              </w:rPr>
              <w:t>Journal officiel</w:t>
            </w:r>
            <w:r>
              <w:rPr>
                <w:noProof/>
              </w:rPr>
              <w:t xml:space="preserve"> et est sans préjudice de la série d’amendements à laquelle il convient de se conformer sur la base des dispositions transitoires qui y sont prévues. </w:t>
            </w:r>
          </w:p>
          <w:p>
            <w:pPr>
              <w:rPr>
                <w:noProof/>
              </w:rPr>
            </w:pPr>
            <w:r>
              <w:rPr>
                <w:noProof/>
              </w:rPr>
              <w:t>La conformité à une série d’amendements adoptée après la série particulière indiquée dans le tableau est acceptée à titre d’alternative.</w:t>
            </w:r>
          </w:p>
          <w:p>
            <w:pPr>
              <w:rPr>
                <w:noProof/>
              </w:rPr>
            </w:pPr>
            <w:r>
              <w:rPr>
                <w:noProof/>
              </w:rPr>
              <w:t>Les dates spécifiées dans les séries d’amendements concernées des règlements de l’ONU énumérés dans le tableau, en ce qui concerne les obligations des parties contractantes à l’«accord de 1958 révisé»</w:t>
            </w:r>
            <w:r>
              <w:rPr>
                <w:rStyle w:val="FootnoteReference"/>
                <w:noProof/>
              </w:rPr>
              <w:footnoteReference w:id="1"/>
            </w:r>
            <w:r>
              <w:rPr>
                <w:noProof/>
              </w:rPr>
              <w:t>, en rapport avec la première immatriculation, la mise en service, la mise sur le marché, la vente, la reconnaissance des homologations et les dispositions analogues, sont applicables sur une base contraignante aux fins des articles 48 et 50 du règlement (UE) 2018/ … excepté lorsque d’autres dates sont spécifiées à l’article 14 du présent règlement, auquel cas ces dernières prévalent.</w:t>
            </w:r>
          </w:p>
          <w:p>
            <w:pPr>
              <w:rPr>
                <w:noProof/>
                <w:sz w:val="28"/>
              </w:rPr>
            </w:pPr>
            <w:r>
              <w:rPr>
                <w:noProof/>
              </w:rPr>
              <w:t>Dans certains cas, un règlement de l’ONU énuméré dans le tableau prévoit dans ses dispositions provisoires qu’à partir d’une date spécifiée, les parties contractantes à l’accord de 1958 révisé, appliquant une certaine série d’amendements à ce règlement de l’ONU, ne sont pas tenues d’accepter ou peuvent refuser d’accepter, aux fins de la réception par type nationale ou régionale, un type réceptionné conformément à une série d’amendements précédente, ou comprend une disposition différemment formulée ayant le même objectif et le même sens. Cela est à interpréter comme une disposition contraignante faisant obligation aux autorités nationales de considérer que les certificats de conformité ne sont plus valides aux fins de l’article 48 du règlement (UE) 2018/ ..., excepté si d’autres dates sont spécifiées dans l’annexe II du présent règlement, auquel cas ces dernières prévalent.</w:t>
            </w:r>
          </w:p>
        </w:tc>
      </w:tr>
      <w:tr>
        <w:tc>
          <w:tcPr>
            <w:tcW w:w="588" w:type="dxa"/>
            <w:shd w:val="clear" w:color="auto" w:fill="auto"/>
          </w:tcPr>
          <w:p>
            <w:pPr>
              <w:rPr>
                <w:noProof/>
              </w:rPr>
            </w:pPr>
            <w:r>
              <w:rPr>
                <w:noProof/>
                <w:vertAlign w:val="superscript"/>
              </w:rPr>
              <w:t>(a)</w:t>
            </w:r>
          </w:p>
        </w:tc>
        <w:tc>
          <w:tcPr>
            <w:tcW w:w="8625" w:type="dxa"/>
            <w:shd w:val="clear" w:color="auto" w:fill="auto"/>
          </w:tcPr>
          <w:p>
            <w:pPr>
              <w:rPr>
                <w:b/>
                <w:noProof/>
              </w:rPr>
            </w:pPr>
            <w:r>
              <w:rPr>
                <w:noProof/>
              </w:rPr>
              <w:t>Les règlements de l’ONU n</w:t>
            </w:r>
            <w:r>
              <w:rPr>
                <w:noProof/>
                <w:vertAlign w:val="superscript"/>
              </w:rPr>
              <w:t>os</w:t>
            </w:r>
            <w:r>
              <w:rPr>
                <w:noProof/>
              </w:rPr>
              <w:t> 1, 8 et 20 ne sont pas applicables pour la réception UE par type de véhicules.</w:t>
            </w:r>
          </w:p>
        </w:tc>
      </w:tr>
      <w:tr>
        <w:tc>
          <w:tcPr>
            <w:tcW w:w="588" w:type="dxa"/>
            <w:shd w:val="clear" w:color="auto" w:fill="auto"/>
          </w:tcPr>
          <w:p>
            <w:pPr>
              <w:rPr>
                <w:noProof/>
                <w:vertAlign w:val="superscript"/>
              </w:rPr>
            </w:pPr>
            <w:r>
              <w:rPr>
                <w:rStyle w:val="FootnoteReference"/>
                <w:noProof/>
              </w:rPr>
              <w:t>(b)</w:t>
            </w:r>
          </w:p>
        </w:tc>
        <w:tc>
          <w:tcPr>
            <w:tcW w:w="8625" w:type="dxa"/>
            <w:shd w:val="clear" w:color="auto" w:fill="auto"/>
          </w:tcPr>
          <w:p>
            <w:pPr>
              <w:rPr>
                <w:noProof/>
              </w:rPr>
            </w:pPr>
            <w:r>
              <w:rPr>
                <w:noProof/>
              </w:rPr>
              <w:t>La présence obligatoire d’une fonction de contrôle de la stabilité est requise conformément aux règlements e l’ONU. Celle-ci est cependant également obligatoire pour les véhicules de catégorie N</w:t>
            </w:r>
            <w:r>
              <w:rPr>
                <w:noProof/>
                <w:vertAlign w:val="subscript"/>
              </w:rPr>
              <w:t>1</w:t>
            </w:r>
            <w:r>
              <w:rPr>
                <w:noProof/>
              </w:rPr>
              <w:t>.</w:t>
            </w:r>
          </w:p>
        </w:tc>
      </w:tr>
      <w:tr>
        <w:tc>
          <w:tcPr>
            <w:tcW w:w="588" w:type="dxa"/>
            <w:shd w:val="clear" w:color="auto" w:fill="auto"/>
          </w:tcPr>
          <w:p>
            <w:pPr>
              <w:rPr>
                <w:noProof/>
              </w:rPr>
            </w:pPr>
            <w:r>
              <w:rPr>
                <w:rStyle w:val="FootnoteReference"/>
                <w:noProof/>
              </w:rPr>
              <w:t>(c)</w:t>
            </w:r>
          </w:p>
        </w:tc>
        <w:tc>
          <w:tcPr>
            <w:tcW w:w="8625" w:type="dxa"/>
            <w:shd w:val="clear" w:color="auto" w:fill="auto"/>
          </w:tcPr>
          <w:p>
            <w:pPr>
              <w:rPr>
                <w:noProof/>
              </w:rPr>
            </w:pPr>
            <w:r>
              <w:rPr>
                <w:noProof/>
              </w:rPr>
              <w:t>Lorsqu’il est déclaré par le constructeur de véhicules qu’un véhicule est adapté pour tracter des charges (point 2.11.5 du document d’information visé à l’article 24, paragraphe 1, du règlement (UE) 2018/...) et que l’un des éléments d’un dispositif mécanique d’attelage approprié, qu’il soit ou non monté sur le type de véhicule à moteur, pourrait masquer (partiellement) un composant d’éclairage et/ou l’espace réservé au montage et à la fixation de la plaque d’immatriculation arrière, les prescriptions suivantes s’appliquent:</w:t>
            </w:r>
          </w:p>
          <w:p>
            <w:pPr>
              <w:pStyle w:val="ListParagraph"/>
              <w:numPr>
                <w:ilvl w:val="0"/>
                <w:numId w:val="6"/>
              </w:numPr>
              <w:rPr>
                <w:noProof/>
              </w:rPr>
            </w:pPr>
            <w:r>
              <w:rPr>
                <w:noProof/>
              </w:rPr>
              <w:t>les instructions à l’intention de l’utilisateur du véhicule à moteur (par exemple, le manuel du propriétaire ou le carnet du véhicule) doivent spécifier clairement qu’il n’est pas permis de monter un dispositif d’attelage mécanique qui ne peut pas être facilement retiré ou repositionné;</w:t>
            </w:r>
          </w:p>
          <w:p>
            <w:pPr>
              <w:pStyle w:val="ListParagraph"/>
              <w:numPr>
                <w:ilvl w:val="0"/>
                <w:numId w:val="6"/>
              </w:numPr>
              <w:rPr>
                <w:noProof/>
              </w:rPr>
            </w:pPr>
            <w:r>
              <w:rPr>
                <w:noProof/>
              </w:rPr>
              <w:t>les instructions doivent également spécifier clairement que s’il est monté, un dispositif mécanique d’attelage doit toujours pouvoir être retiré ou repositionné lorsqu’il n’est pas utilisé;</w:t>
            </w:r>
          </w:p>
          <w:p>
            <w:pPr>
              <w:pStyle w:val="ListParagraph"/>
              <w:numPr>
                <w:ilvl w:val="0"/>
                <w:numId w:val="6"/>
              </w:numPr>
              <w:rPr>
                <w:noProof/>
              </w:rPr>
            </w:pPr>
            <w:r>
              <w:rPr>
                <w:noProof/>
              </w:rPr>
              <w:t>dans le cas de la réception par type d’un système de véhicule conformément au règlement 55 de l’ONU, il convient de s’assurer que les dispositions concernant le retrait, le repositionnement et/ou l'emplacement différent soient également entièrement respectées en ce qui concerne l’installation d’éclairage et l’espace pour le montage et la fixation de la plaque d’immatriculation arrière.</w:t>
            </w:r>
          </w:p>
        </w:tc>
      </w:tr>
      <w:tr>
        <w:tc>
          <w:tcPr>
            <w:tcW w:w="588" w:type="dxa"/>
            <w:shd w:val="clear" w:color="auto" w:fill="auto"/>
          </w:tcPr>
          <w:p>
            <w:pPr>
              <w:rPr>
                <w:noProof/>
              </w:rPr>
            </w:pPr>
            <w:r>
              <w:rPr>
                <w:noProof/>
                <w:vertAlign w:val="superscript"/>
              </w:rPr>
              <w:t>(d)</w:t>
            </w:r>
          </w:p>
        </w:tc>
        <w:tc>
          <w:tcPr>
            <w:tcW w:w="8625" w:type="dxa"/>
            <w:shd w:val="clear" w:color="auto" w:fill="auto"/>
          </w:tcPr>
          <w:p>
            <w:pPr>
              <w:rPr>
                <w:noProof/>
              </w:rPr>
            </w:pPr>
            <w:r>
              <w:rPr>
                <w:noProof/>
              </w:rPr>
              <w:t>Seuls sont concernés les dispositifs de limitation de vitesse et l’installation obligatoire de ces derniers dans les véhicules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et N</w:t>
            </w:r>
            <w:r>
              <w:rPr>
                <w:noProof/>
                <w:vertAlign w:val="subscript"/>
              </w:rPr>
              <w:t>3</w:t>
            </w:r>
            <w:r>
              <w:rPr>
                <w:noProof/>
              </w:rPr>
              <w:t>.</w:t>
            </w:r>
          </w:p>
        </w:tc>
      </w:tr>
      <w:tr>
        <w:tc>
          <w:tcPr>
            <w:tcW w:w="588" w:type="dxa"/>
            <w:shd w:val="clear" w:color="auto" w:fill="auto"/>
          </w:tcPr>
          <w:p>
            <w:pPr>
              <w:rPr>
                <w:bCs/>
                <w:noProof/>
              </w:rPr>
            </w:pPr>
            <w:r>
              <w:rPr>
                <w:noProof/>
                <w:vertAlign w:val="superscript"/>
              </w:rPr>
              <w:t>(e)</w:t>
            </w:r>
          </w:p>
        </w:tc>
        <w:tc>
          <w:tcPr>
            <w:tcW w:w="8625" w:type="dxa"/>
            <w:shd w:val="clear" w:color="auto" w:fill="auto"/>
          </w:tcPr>
          <w:p>
            <w:pPr>
              <w:rPr>
                <w:noProof/>
              </w:rPr>
            </w:pPr>
            <w:r>
              <w:rPr>
                <w:noProof/>
              </w:rPr>
              <w:t>Des dispositifs visant à empêcher l’utilisation non autorisée seront montés sur les véhicules des catégories M</w:t>
            </w:r>
            <w:r>
              <w:rPr>
                <w:noProof/>
                <w:vertAlign w:val="subscript"/>
              </w:rPr>
              <w:t>1</w:t>
            </w:r>
            <w:r>
              <w:rPr>
                <w:noProof/>
              </w:rPr>
              <w:t xml:space="preserve"> et N</w:t>
            </w:r>
            <w:r>
              <w:rPr>
                <w:noProof/>
                <w:vertAlign w:val="subscript"/>
              </w:rPr>
              <w:t>1</w:t>
            </w:r>
            <w:r>
              <w:rPr>
                <w:noProof/>
              </w:rPr>
              <w:t xml:space="preserve"> et des systèmes d’immobilisation seront montés sur les véhicules de catégorie M</w:t>
            </w:r>
            <w:r>
              <w:rPr>
                <w:noProof/>
                <w:vertAlign w:val="subscript"/>
              </w:rPr>
              <w:t>1</w:t>
            </w:r>
            <w:r>
              <w:rPr>
                <w:noProof/>
              </w:rPr>
              <w:t>.</w:t>
            </w:r>
          </w:p>
        </w:tc>
      </w:tr>
      <w:tr>
        <w:tc>
          <w:tcPr>
            <w:tcW w:w="588" w:type="dxa"/>
            <w:shd w:val="clear" w:color="auto" w:fill="auto"/>
          </w:tcPr>
          <w:p>
            <w:pPr>
              <w:rPr>
                <w:bCs/>
                <w:noProof/>
              </w:rPr>
            </w:pPr>
            <w:r>
              <w:rPr>
                <w:noProof/>
                <w:vertAlign w:val="superscript"/>
              </w:rPr>
              <w:t>(f)</w:t>
            </w:r>
          </w:p>
        </w:tc>
        <w:tc>
          <w:tcPr>
            <w:tcW w:w="8625" w:type="dxa"/>
            <w:shd w:val="clear" w:color="auto" w:fill="auto"/>
          </w:tcPr>
          <w:p>
            <w:pPr>
              <w:rPr>
                <w:noProof/>
              </w:rPr>
            </w:pPr>
            <w:r>
              <w:rPr>
                <w:noProof/>
              </w:rPr>
              <w:t xml:space="preserve">Voir la note explicative </w:t>
            </w:r>
            <w:r>
              <w:rPr>
                <w:noProof/>
                <w:vertAlign w:val="superscript"/>
              </w:rPr>
              <w:t>4</w:t>
            </w:r>
            <w:r>
              <w:rPr>
                <w:noProof/>
              </w:rPr>
              <w:t xml:space="preserve"> du tableau de l'annexe II.</w:t>
            </w:r>
          </w:p>
        </w:tc>
      </w:tr>
    </w:tbl>
    <w:p>
      <w:pPr>
        <w:rPr>
          <w:noProof/>
        </w:rPr>
      </w:pPr>
    </w:p>
    <w:p>
      <w:pPr>
        <w:spacing w:before="0" w:after="200" w:line="276" w:lineRule="auto"/>
        <w:jc w:val="left"/>
        <w:rPr>
          <w:noProof/>
        </w:rPr>
        <w:sectPr>
          <w:footerReference w:type="default" r:id="rId19"/>
          <w:footerReference w:type="first" r:id="rId20"/>
          <w:pgSz w:w="11907" w:h="16839"/>
          <w:pgMar w:top="1134" w:right="1417" w:bottom="567" w:left="1417" w:header="709" w:footer="709" w:gutter="0"/>
          <w:cols w:space="720"/>
          <w:docGrid w:linePitch="360"/>
        </w:sectPr>
      </w:pPr>
    </w:p>
    <w:p>
      <w:pPr>
        <w:pStyle w:val="Annexetitre"/>
        <w:rPr>
          <w:rStyle w:val="Marker"/>
          <w:noProof/>
        </w:rPr>
      </w:pPr>
      <w:r>
        <w:rPr>
          <w:noProof/>
        </w:rPr>
        <w:t>ANNEXE II</w:t>
      </w:r>
    </w:p>
    <w:p>
      <w:pPr>
        <w:rPr>
          <w:noProof/>
        </w:rPr>
      </w:pPr>
    </w:p>
    <w:p>
      <w:pPr>
        <w:jc w:val="center"/>
        <w:rPr>
          <w:b/>
          <w:noProof/>
        </w:rPr>
      </w:pPr>
      <w:r>
        <w:rPr>
          <w:b/>
          <w:noProof/>
        </w:rPr>
        <w:t>Liste des prescriptions visées à l'article 4, paragraphe 5, et des dates visées à l'article 14</w:t>
      </w:r>
    </w:p>
    <w:p>
      <w:pPr>
        <w:jc w:val="left"/>
        <w:rPr>
          <w:b/>
          <w:noProof/>
        </w:rPr>
      </w:pPr>
    </w:p>
    <w:tbl>
      <w:tblPr>
        <w:tblW w:w="14459" w:type="dxa"/>
        <w:tblInd w:w="624" w:type="dxa"/>
        <w:tblLayout w:type="fixed"/>
        <w:tblLook w:val="04A0" w:firstRow="1" w:lastRow="0" w:firstColumn="1" w:lastColumn="0" w:noHBand="0" w:noVBand="1"/>
      </w:tblPr>
      <w:tblGrid>
        <w:gridCol w:w="2501"/>
        <w:gridCol w:w="2886"/>
        <w:gridCol w:w="2640"/>
        <w:gridCol w:w="536"/>
        <w:gridCol w:w="536"/>
        <w:gridCol w:w="536"/>
        <w:gridCol w:w="536"/>
        <w:gridCol w:w="536"/>
        <w:gridCol w:w="536"/>
        <w:gridCol w:w="536"/>
        <w:gridCol w:w="536"/>
        <w:gridCol w:w="536"/>
        <w:gridCol w:w="536"/>
        <w:gridCol w:w="536"/>
        <w:gridCol w:w="536"/>
      </w:tblGrid>
      <w:tr>
        <w:trPr>
          <w:trHeight w:val="805"/>
          <w:tblHeader/>
        </w:trPr>
        <w:tc>
          <w:tcPr>
            <w:tcW w:w="2501"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Objet</w:t>
            </w:r>
          </w:p>
        </w:tc>
        <w:tc>
          <w:tcPr>
            <w:tcW w:w="288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Règlements de l’ONU</w:t>
            </w:r>
          </w:p>
        </w:tc>
        <w:tc>
          <w:tcPr>
            <w:tcW w:w="2640"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Prescriptions techniques spécifiques supplémentaires</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M</w:t>
            </w:r>
            <w:r>
              <w:rPr>
                <w:noProof/>
                <w:color w:val="000000"/>
                <w:sz w:val="20"/>
                <w:vertAlign w:val="subscript"/>
              </w:rPr>
              <w:t>1</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M</w:t>
            </w:r>
            <w:r>
              <w:rPr>
                <w:noProof/>
                <w:color w:val="000000"/>
                <w:sz w:val="20"/>
                <w:vertAlign w:val="subscript"/>
              </w:rPr>
              <w:t>2</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M</w:t>
            </w:r>
            <w:r>
              <w:rPr>
                <w:noProof/>
                <w:color w:val="000000"/>
                <w:sz w:val="20"/>
                <w:vertAlign w:val="subscript"/>
              </w:rPr>
              <w:t>3</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N</w:t>
            </w:r>
            <w:r>
              <w:rPr>
                <w:noProof/>
                <w:color w:val="000000"/>
                <w:sz w:val="20"/>
                <w:vertAlign w:val="subscript"/>
              </w:rPr>
              <w:t>1</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N</w:t>
            </w:r>
            <w:r>
              <w:rPr>
                <w:noProof/>
                <w:color w:val="000000"/>
                <w:sz w:val="20"/>
                <w:vertAlign w:val="subscript"/>
              </w:rPr>
              <w:t>2</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N</w:t>
            </w:r>
            <w:r>
              <w:rPr>
                <w:noProof/>
                <w:color w:val="000000"/>
                <w:sz w:val="20"/>
                <w:vertAlign w:val="subscript"/>
              </w:rPr>
              <w:t>3</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O</w:t>
            </w:r>
            <w:r>
              <w:rPr>
                <w:noProof/>
                <w:color w:val="000000"/>
                <w:sz w:val="20"/>
                <w:vertAlign w:val="subscript"/>
              </w:rPr>
              <w:t>1</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O</w:t>
            </w:r>
            <w:r>
              <w:rPr>
                <w:noProof/>
                <w:color w:val="000000"/>
                <w:sz w:val="20"/>
                <w:vertAlign w:val="subscript"/>
              </w:rPr>
              <w:t>2</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O</w:t>
            </w:r>
            <w:r>
              <w:rPr>
                <w:noProof/>
                <w:color w:val="000000"/>
                <w:sz w:val="20"/>
                <w:vertAlign w:val="subscript"/>
              </w:rPr>
              <w:t>3</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O</w:t>
            </w:r>
            <w:r>
              <w:rPr>
                <w:noProof/>
                <w:color w:val="000000"/>
                <w:sz w:val="20"/>
                <w:vertAlign w:val="subscript"/>
              </w:rPr>
              <w:t>4</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E</w:t>
            </w:r>
            <w:r>
              <w:rPr>
                <w:rFonts w:eastAsia="Times New Roman"/>
                <w:noProof/>
                <w:color w:val="000000"/>
                <w:sz w:val="20"/>
                <w:szCs w:val="20"/>
              </w:rPr>
              <w:br/>
            </w:r>
            <w:r>
              <w:rPr>
                <w:noProof/>
                <w:color w:val="000000"/>
                <w:sz w:val="20"/>
              </w:rPr>
              <w:t>T</w:t>
            </w:r>
            <w:r>
              <w:rPr>
                <w:rFonts w:eastAsia="Times New Roman"/>
                <w:noProof/>
                <w:color w:val="000000"/>
                <w:sz w:val="20"/>
                <w:szCs w:val="20"/>
              </w:rPr>
              <w:br/>
            </w:r>
            <w:r>
              <w:rPr>
                <w:noProof/>
                <w:color w:val="000000"/>
                <w:sz w:val="20"/>
              </w:rPr>
              <w:t>D</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Composant</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88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64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rPr>
              <w:t>Prescriptions concernant</w:t>
            </w:r>
            <w:r>
              <w:rPr>
                <w:rFonts w:eastAsia="Times New Roman"/>
                <w:b/>
                <w:noProof/>
                <w:color w:val="000000"/>
                <w:sz w:val="20"/>
                <w:szCs w:val="20"/>
              </w:rPr>
              <w:br/>
            </w:r>
            <w:r>
              <w:rPr>
                <w:b/>
                <w:noProof/>
                <w:color w:val="000000"/>
                <w:sz w:val="20"/>
              </w:rPr>
              <w:t>LES SYSTÈMES DE RETENUE, LES ESSAIS DE COLLISION, L’INTÉGRITÉ DU SYSTÈME D’ALIMENTATION EN CARBURANT ET LA SÉCURITÉ ÉLECTRIQUE À HAUTE TENSION</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Aménagement intérieur</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21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Sièges et appuie-tête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17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Sièges de bus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80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Ancrages de ceinture de sécurité</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14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Ceintures de sécurité et systèmes de retenue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16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Systèmes de cloisonnement</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126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Ancrages de dispositifs de retenue pour enfants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145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Dispositifs de retenue pour enfants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44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Dispositifs améliorés de retenue pour enfants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129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Protection contre l’encastrement à l'avant</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93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Protection contre l’encastrement à l’arrière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58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Protection latérale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73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Sécurité du réservoir de carburant</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34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Sécurité du gaz de pétrole liquéfié</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67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Sécurité du gaz naturel comprimé et liquéfié</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110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352"/>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Sécurité de l’hydrogène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134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154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rPr>
              <w:t>Qualification des matériaux des systèmes à hydrogène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Annexe V</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Sécurité électrique lors de l’utilisation</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100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81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Choc frontal décalé</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94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S’applique aux véhicules des catégories M</w:t>
            </w:r>
            <w:r>
              <w:rPr>
                <w:noProof/>
                <w:color w:val="000000"/>
                <w:sz w:val="20"/>
                <w:vertAlign w:val="subscript"/>
              </w:rPr>
              <w:t>1</w:t>
            </w:r>
            <w:r>
              <w:rPr>
                <w:noProof/>
                <w:color w:val="000000"/>
                <w:sz w:val="20"/>
              </w:rPr>
              <w:t xml:space="preserve"> et N</w:t>
            </w:r>
            <w:r>
              <w:rPr>
                <w:noProof/>
                <w:color w:val="000000"/>
                <w:sz w:val="20"/>
                <w:vertAlign w:val="subscript"/>
              </w:rPr>
              <w:t>1</w:t>
            </w:r>
            <w:r>
              <w:rPr>
                <w:noProof/>
                <w:color w:val="000000"/>
                <w:sz w:val="20"/>
              </w:rPr>
              <w:t xml:space="preserve"> dont la masse maximale est </w:t>
            </w:r>
            <w:r>
              <w:rPr>
                <w:rFonts w:ascii="Calibri" w:hAnsi="Calibri"/>
                <w:noProof/>
                <w:color w:val="000000"/>
                <w:sz w:val="20"/>
              </w:rPr>
              <w:t>≤</w:t>
            </w:r>
            <w:r>
              <w:rPr>
                <w:noProof/>
                <w:color w:val="000000"/>
                <w:sz w:val="20"/>
              </w:rPr>
              <w:t xml:space="preserve"> 3 500 kg</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54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xml:space="preserve">Choc frontal sur toute la largeur </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137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xml:space="preserve">L’utilisation du mannequin anthropomorphique pour essais de collision «Hybrid III» est permise jusqu’à ce que l’utilisation du dispositif de retenue d'occupant humain «THOR» soit prévue dans le règlement de l’ONU.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Protection du conducteur contre le mécanisme de direction en cas de choc</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12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Coussins gonflables de deuxième monte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114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Choc sur la cabine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29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Choc latéral</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95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S’applique à tous les véhicules des catégories M</w:t>
            </w:r>
            <w:r>
              <w:rPr>
                <w:noProof/>
                <w:color w:val="000000"/>
                <w:sz w:val="20"/>
                <w:vertAlign w:val="subscript"/>
              </w:rPr>
              <w:t>1</w:t>
            </w:r>
            <w:r>
              <w:rPr>
                <w:noProof/>
                <w:color w:val="000000"/>
                <w:sz w:val="20"/>
              </w:rPr>
              <w:t xml:space="preserve"> et N</w:t>
            </w:r>
            <w:r>
              <w:rPr>
                <w:noProof/>
                <w:color w:val="000000"/>
                <w:sz w:val="20"/>
                <w:vertAlign w:val="subscript"/>
              </w:rPr>
              <w:t>1</w:t>
            </w:r>
            <w:r>
              <w:rPr>
                <w:noProof/>
                <w:color w:val="000000"/>
                <w:sz w:val="20"/>
              </w:rPr>
              <w:t xml:space="preserve"> y compris ceux dont la hauteur depuis le sol du point R du siège le plus bas est à&gt; 700 mm.</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Choc latéral contre un poteau</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135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32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Choc à l’arrière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34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S’applique aux véhicules des catégories M</w:t>
            </w:r>
            <w:r>
              <w:rPr>
                <w:noProof/>
                <w:color w:val="000000"/>
                <w:sz w:val="20"/>
                <w:vertAlign w:val="subscript"/>
              </w:rPr>
              <w:t>1</w:t>
            </w:r>
            <w:r>
              <w:rPr>
                <w:noProof/>
                <w:color w:val="000000"/>
                <w:sz w:val="20"/>
              </w:rPr>
              <w:t xml:space="preserve"> et N</w:t>
            </w:r>
            <w:r>
              <w:rPr>
                <w:noProof/>
                <w:color w:val="000000"/>
                <w:sz w:val="20"/>
                <w:vertAlign w:val="subscript"/>
              </w:rPr>
              <w:t>1</w:t>
            </w:r>
            <w:r>
              <w:rPr>
                <w:noProof/>
                <w:color w:val="000000"/>
                <w:sz w:val="20"/>
              </w:rPr>
              <w:t xml:space="preserve"> dont la masse maximale est ≤ 3 500 kg Le respect des prescriptions en matière de sécurité électrique après collision doit être assuré.</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88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64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035"/>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rPr>
              <w:t>Prescriptions concernant</w:t>
            </w:r>
            <w:r>
              <w:rPr>
                <w:rFonts w:eastAsia="Times New Roman"/>
                <w:b/>
                <w:noProof/>
                <w:color w:val="000000"/>
                <w:sz w:val="20"/>
                <w:szCs w:val="20"/>
              </w:rPr>
              <w:br/>
            </w:r>
            <w:r>
              <w:rPr>
                <w:b/>
                <w:noProof/>
                <w:color w:val="000000"/>
                <w:sz w:val="20"/>
              </w:rPr>
              <w:t>LES PIÉTONS, LES CYCLISTES, LA VISION ET LA VISIBILITÉ</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Protection des jambes et de la tête des piétons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127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756"/>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Zone d’impact élargie de la tête de piétons ou cyclistes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127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La zone de l'essai de collision avec une tête factice d’enfant ou d’adulte est délimitée par la longueur développée d’un adulte de 2 500 mm ou par la ligne de référence arrière du pare-brise, selon celle qui est le plus en avant.  Le contact de la tête factice avec les montants A, l’avant du pare-brise et le capot est exclu, mais doit être surveillé.</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 de protection frontale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Annexe IV</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 avancé de freinage d’urgence pour piétons et cyclistes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Avertissement de collision avec piéton ou cycliste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 d’information concernant les angles morts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Sécurité en marche arrière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5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Vision vers l'avant</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125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S’applique aux véhicules des catégories M</w:t>
            </w:r>
            <w:r>
              <w:rPr>
                <w:noProof/>
                <w:color w:val="000000"/>
                <w:sz w:val="20"/>
                <w:vertAlign w:val="subscript"/>
              </w:rPr>
              <w:t>1</w:t>
            </w:r>
            <w:r>
              <w:rPr>
                <w:noProof/>
                <w:color w:val="000000"/>
                <w:sz w:val="20"/>
              </w:rPr>
              <w:t xml:space="preserve"> et N</w:t>
            </w:r>
            <w:r>
              <w:rPr>
                <w:noProof/>
                <w:color w:val="000000"/>
                <w:sz w:val="20"/>
                <w:vertAlign w:val="sub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Vision directe des véhicules lourds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Vitrage de sécurité</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43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Dégivrage/désembuage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rPr>
            </w:pPr>
            <w:r>
              <w:rPr>
                <w:noProof/>
                <w:color w:val="000000"/>
                <w:sz w:val="20"/>
              </w:rPr>
              <w:t>A</w:t>
            </w:r>
            <w:r>
              <w:rPr>
                <w:noProof/>
                <w:color w:val="000000"/>
                <w:sz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Lave-glace/essuie-glace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rPr>
            </w:pPr>
            <w:r>
              <w:rPr>
                <w:noProof/>
                <w:color w:val="000000"/>
                <w:sz w:val="20"/>
              </w:rPr>
              <w:t>A</w:t>
            </w:r>
            <w:r>
              <w:rPr>
                <w:noProof/>
                <w:color w:val="000000"/>
                <w:sz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Systèmes de vision indirecte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46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88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64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rPr>
              <w:t>Prescriptions concernant</w:t>
            </w:r>
          </w:p>
          <w:p>
            <w:pPr>
              <w:spacing w:before="0" w:after="0"/>
              <w:jc w:val="center"/>
              <w:rPr>
                <w:rFonts w:eastAsia="Times New Roman"/>
                <w:b/>
                <w:noProof/>
                <w:color w:val="000000"/>
                <w:sz w:val="20"/>
                <w:szCs w:val="20"/>
              </w:rPr>
            </w:pPr>
            <w:r>
              <w:rPr>
                <w:b/>
                <w:noProof/>
                <w:color w:val="000000"/>
                <w:sz w:val="20"/>
              </w:rPr>
              <w:t>LE CHÂSSIS, LES FREINS, LES PNEUMATIQUES ET LA DIRECTION DES VÉHICULES</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Équipement de direction</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79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Avertissement en cas de déviation de la trajectoire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130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rPr>
            </w:pPr>
            <w:r>
              <w:rPr>
                <w:noProof/>
                <w:color w:val="000000"/>
                <w:sz w:val="20"/>
              </w:rPr>
              <w:t>A</w:t>
            </w:r>
            <w:r>
              <w:rPr>
                <w:noProof/>
                <w:color w:val="000000"/>
                <w:sz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 d’urgence de maintien de trajectoire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Freinage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13 de l’ONU</w:t>
            </w:r>
          </w:p>
          <w:p>
            <w:pPr>
              <w:spacing w:before="0" w:after="0"/>
              <w:jc w:val="center"/>
              <w:rPr>
                <w:rFonts w:eastAsia="Times New Roman"/>
                <w:noProof/>
                <w:color w:val="000000"/>
                <w:sz w:val="20"/>
                <w:szCs w:val="20"/>
              </w:rPr>
            </w:pPr>
            <w:r>
              <w:rPr>
                <w:noProof/>
                <w:color w:val="000000"/>
                <w:sz w:val="20"/>
              </w:rPr>
              <w:t>Règlement nº 13-H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Pièces de frein de rechange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90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449"/>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 d’assistance au freinage d’urgence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139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Systèmes de contrôle électronique de la stabilité</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13 de l’ONU</w:t>
            </w:r>
          </w:p>
          <w:p>
            <w:pPr>
              <w:spacing w:before="0" w:after="0"/>
              <w:jc w:val="center"/>
              <w:rPr>
                <w:rFonts w:eastAsia="Times New Roman"/>
                <w:noProof/>
                <w:color w:val="000000"/>
                <w:sz w:val="20"/>
                <w:szCs w:val="20"/>
              </w:rPr>
            </w:pPr>
            <w:r>
              <w:rPr>
                <w:noProof/>
                <w:color w:val="000000"/>
                <w:sz w:val="20"/>
              </w:rPr>
              <w:t>Règlement nº 140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 avancé de freinage d’urgence sur les véhicules lourds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131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rPr>
            </w:pPr>
            <w:r>
              <w:rPr>
                <w:noProof/>
                <w:color w:val="000000"/>
                <w:sz w:val="20"/>
              </w:rPr>
              <w:t>A</w:t>
            </w:r>
            <w:r>
              <w:rPr>
                <w:noProof/>
                <w:color w:val="000000"/>
                <w:sz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97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 avancé de freinage d’urgence sur les véhicules légers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Sécurité et performance environnementale des pneumatiques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30 de l’ONU</w:t>
            </w:r>
          </w:p>
          <w:p>
            <w:pPr>
              <w:spacing w:before="0" w:after="0"/>
              <w:jc w:val="center"/>
              <w:rPr>
                <w:rFonts w:eastAsia="Times New Roman"/>
                <w:noProof/>
                <w:color w:val="000000"/>
                <w:sz w:val="20"/>
                <w:szCs w:val="20"/>
              </w:rPr>
            </w:pPr>
            <w:r>
              <w:rPr>
                <w:noProof/>
                <w:color w:val="000000"/>
                <w:sz w:val="20"/>
              </w:rPr>
              <w:t>Règlement nº 54 de l’ONU</w:t>
            </w:r>
          </w:p>
          <w:p>
            <w:pPr>
              <w:spacing w:before="0" w:after="0"/>
              <w:jc w:val="center"/>
              <w:rPr>
                <w:rFonts w:eastAsia="Times New Roman"/>
                <w:noProof/>
                <w:color w:val="000000"/>
                <w:sz w:val="20"/>
                <w:szCs w:val="20"/>
              </w:rPr>
            </w:pPr>
            <w:r>
              <w:rPr>
                <w:noProof/>
                <w:color w:val="000000"/>
                <w:sz w:val="20"/>
              </w:rPr>
              <w:t>Règlement nº 117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Roues de secours et systèmes pour roulage à plat</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64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Pneumatiques rechapés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108 de l’ONU</w:t>
            </w:r>
            <w:r>
              <w:rPr>
                <w:rFonts w:eastAsia="Times New Roman"/>
                <w:noProof/>
                <w:color w:val="000000"/>
                <w:sz w:val="20"/>
                <w:szCs w:val="20"/>
              </w:rPr>
              <w:br/>
            </w:r>
            <w:r>
              <w:rPr>
                <w:noProof/>
                <w:color w:val="000000"/>
                <w:sz w:val="20"/>
              </w:rPr>
              <w:t>Règlement nº 109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Surveillance de la pression des pneumatiques pour véhicules légers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141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S’applique aux véhicules des catégories M</w:t>
            </w:r>
            <w:r>
              <w:rPr>
                <w:noProof/>
                <w:color w:val="000000"/>
                <w:sz w:val="20"/>
                <w:vertAlign w:val="subscript"/>
              </w:rPr>
              <w:t>1</w:t>
            </w:r>
            <w:r>
              <w:rPr>
                <w:noProof/>
                <w:color w:val="000000"/>
                <w:sz w:val="20"/>
              </w:rPr>
              <w:t xml:space="preserve"> et N</w:t>
            </w:r>
            <w:r>
              <w:rPr>
                <w:noProof/>
                <w:color w:val="000000"/>
                <w:sz w:val="20"/>
                <w:vertAlign w:val="sub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Surveillance de la pression des pneumatiques pour véhicules lourds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Montage des pneumatiques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142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S’applique à toutes les catégories de véhicules</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Roues de remplacement</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124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88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64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rPr>
              <w:t>Prescriptions concernant</w:t>
            </w:r>
          </w:p>
          <w:p>
            <w:pPr>
              <w:spacing w:before="0" w:after="0"/>
              <w:jc w:val="center"/>
              <w:rPr>
                <w:rFonts w:eastAsia="Times New Roman"/>
                <w:b/>
                <w:noProof/>
                <w:color w:val="000000"/>
                <w:sz w:val="20"/>
                <w:szCs w:val="20"/>
              </w:rPr>
            </w:pPr>
            <w:r>
              <w:rPr>
                <w:b/>
                <w:noProof/>
                <w:color w:val="000000"/>
                <w:sz w:val="20"/>
              </w:rPr>
              <w:t>LES INSTRUMENTS DE BORD, LE SYSTÈME ÉLECTRIQUE ET L’ÉCLAIRAGE DU VÉHICULE</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Avertissement sonore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28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Interférences radio (compatibilité électromagnétique)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10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Protection contre une utilisation non autorisée, cyberattaques, systèmes d’immobilisation et d’alarme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18 de l’ONU</w:t>
            </w:r>
          </w:p>
          <w:p>
            <w:pPr>
              <w:spacing w:before="0" w:after="0"/>
              <w:jc w:val="center"/>
              <w:rPr>
                <w:rFonts w:eastAsia="Times New Roman"/>
                <w:noProof/>
                <w:color w:val="000000"/>
                <w:sz w:val="20"/>
                <w:szCs w:val="20"/>
              </w:rPr>
            </w:pPr>
            <w:r>
              <w:rPr>
                <w:noProof/>
                <w:color w:val="000000"/>
                <w:sz w:val="20"/>
              </w:rPr>
              <w:t>Règlement nº 97 de l’ONU</w:t>
            </w:r>
          </w:p>
          <w:p>
            <w:pPr>
              <w:spacing w:before="0" w:after="0"/>
              <w:jc w:val="center"/>
              <w:rPr>
                <w:rFonts w:eastAsia="Times New Roman"/>
                <w:noProof/>
                <w:color w:val="000000"/>
                <w:sz w:val="20"/>
                <w:szCs w:val="20"/>
              </w:rPr>
            </w:pPr>
            <w:r>
              <w:rPr>
                <w:noProof/>
                <w:color w:val="000000"/>
                <w:sz w:val="20"/>
              </w:rPr>
              <w:t>Règlement nº 116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392"/>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Compteur de vitesse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39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412"/>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Compteur kilométrique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39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Dispositifs limiteurs de vitesse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89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Adaptation intelligente de la vitesse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Identification des commandes, voyants et indicateurs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121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346"/>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Systèmes de chauffage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122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Dispositifs de signalisation lumineuse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4 de l’ONU</w:t>
            </w:r>
          </w:p>
          <w:p>
            <w:pPr>
              <w:spacing w:before="0" w:after="0"/>
              <w:jc w:val="center"/>
              <w:rPr>
                <w:rFonts w:eastAsia="Times New Roman"/>
                <w:noProof/>
                <w:color w:val="000000"/>
                <w:sz w:val="20"/>
                <w:szCs w:val="20"/>
              </w:rPr>
            </w:pPr>
            <w:r>
              <w:rPr>
                <w:noProof/>
                <w:color w:val="000000"/>
                <w:sz w:val="20"/>
              </w:rPr>
              <w:t>Règlement nº 6 de l’ONU</w:t>
            </w:r>
          </w:p>
          <w:p>
            <w:pPr>
              <w:spacing w:before="0" w:after="0"/>
              <w:jc w:val="center"/>
              <w:rPr>
                <w:rFonts w:eastAsia="Times New Roman"/>
                <w:noProof/>
                <w:color w:val="000000"/>
                <w:sz w:val="20"/>
                <w:szCs w:val="20"/>
              </w:rPr>
            </w:pPr>
            <w:r>
              <w:rPr>
                <w:noProof/>
                <w:color w:val="000000"/>
                <w:sz w:val="20"/>
              </w:rPr>
              <w:t>Règlement nº 7 de l’ONU</w:t>
            </w:r>
          </w:p>
          <w:p>
            <w:pPr>
              <w:spacing w:before="0" w:after="0"/>
              <w:jc w:val="center"/>
              <w:rPr>
                <w:rFonts w:eastAsia="Times New Roman"/>
                <w:noProof/>
                <w:color w:val="000000"/>
                <w:sz w:val="20"/>
                <w:szCs w:val="20"/>
              </w:rPr>
            </w:pPr>
            <w:r>
              <w:rPr>
                <w:noProof/>
                <w:color w:val="000000"/>
                <w:sz w:val="20"/>
              </w:rPr>
              <w:t>Règlement nº 19 de l’ONU</w:t>
            </w:r>
          </w:p>
          <w:p>
            <w:pPr>
              <w:spacing w:before="0" w:after="0"/>
              <w:jc w:val="center"/>
              <w:rPr>
                <w:rFonts w:eastAsia="Times New Roman"/>
                <w:noProof/>
                <w:color w:val="000000"/>
                <w:sz w:val="20"/>
                <w:szCs w:val="20"/>
              </w:rPr>
            </w:pPr>
            <w:r>
              <w:rPr>
                <w:noProof/>
                <w:color w:val="000000"/>
                <w:sz w:val="20"/>
              </w:rPr>
              <w:t>Règlement nº 23 de l’ONU</w:t>
            </w:r>
          </w:p>
          <w:p>
            <w:pPr>
              <w:spacing w:before="0" w:after="0"/>
              <w:jc w:val="center"/>
              <w:rPr>
                <w:rFonts w:eastAsia="Times New Roman"/>
                <w:noProof/>
                <w:color w:val="000000"/>
                <w:sz w:val="20"/>
                <w:szCs w:val="20"/>
              </w:rPr>
            </w:pPr>
            <w:r>
              <w:rPr>
                <w:noProof/>
                <w:color w:val="000000"/>
                <w:sz w:val="20"/>
              </w:rPr>
              <w:t>Règlement nº 38 de l’ONU</w:t>
            </w:r>
          </w:p>
          <w:p>
            <w:pPr>
              <w:spacing w:before="0" w:after="0"/>
              <w:jc w:val="center"/>
              <w:rPr>
                <w:rFonts w:eastAsia="Times New Roman"/>
                <w:noProof/>
                <w:color w:val="000000"/>
                <w:sz w:val="20"/>
                <w:szCs w:val="20"/>
              </w:rPr>
            </w:pPr>
            <w:r>
              <w:rPr>
                <w:noProof/>
                <w:color w:val="000000"/>
                <w:sz w:val="20"/>
              </w:rPr>
              <w:t>Règlement nº 77 de l’ONU</w:t>
            </w:r>
          </w:p>
          <w:p>
            <w:pPr>
              <w:spacing w:before="0" w:after="0"/>
              <w:jc w:val="center"/>
              <w:rPr>
                <w:rFonts w:eastAsia="Times New Roman"/>
                <w:noProof/>
                <w:color w:val="000000"/>
                <w:sz w:val="20"/>
                <w:szCs w:val="20"/>
              </w:rPr>
            </w:pPr>
            <w:r>
              <w:rPr>
                <w:noProof/>
                <w:color w:val="000000"/>
                <w:sz w:val="20"/>
              </w:rPr>
              <w:t>Règlement nº 87 de l’ONU</w:t>
            </w:r>
          </w:p>
          <w:p>
            <w:pPr>
              <w:spacing w:before="0" w:after="0"/>
              <w:jc w:val="center"/>
              <w:rPr>
                <w:rFonts w:eastAsia="Times New Roman"/>
                <w:noProof/>
                <w:color w:val="000000"/>
                <w:sz w:val="20"/>
                <w:szCs w:val="20"/>
              </w:rPr>
            </w:pPr>
            <w:r>
              <w:rPr>
                <w:noProof/>
                <w:color w:val="000000"/>
                <w:sz w:val="20"/>
              </w:rPr>
              <w:t>Règlement nº 91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Dispositifs d’éclairage de la route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31 de l’ONU</w:t>
            </w:r>
          </w:p>
          <w:p>
            <w:pPr>
              <w:spacing w:before="0" w:after="0"/>
              <w:jc w:val="center"/>
              <w:rPr>
                <w:rFonts w:eastAsia="Times New Roman"/>
                <w:noProof/>
                <w:color w:val="000000"/>
                <w:sz w:val="20"/>
                <w:szCs w:val="20"/>
              </w:rPr>
            </w:pPr>
            <w:r>
              <w:rPr>
                <w:noProof/>
                <w:color w:val="000000"/>
                <w:sz w:val="20"/>
              </w:rPr>
              <w:t>Règlement nº 98 de l’ONU</w:t>
            </w:r>
          </w:p>
          <w:p>
            <w:pPr>
              <w:spacing w:before="0" w:after="0"/>
              <w:jc w:val="center"/>
              <w:rPr>
                <w:rFonts w:eastAsia="Times New Roman"/>
                <w:noProof/>
                <w:color w:val="000000"/>
                <w:sz w:val="20"/>
                <w:szCs w:val="20"/>
              </w:rPr>
            </w:pPr>
            <w:r>
              <w:rPr>
                <w:noProof/>
                <w:color w:val="000000"/>
                <w:sz w:val="20"/>
              </w:rPr>
              <w:t>Règlement nº 112 de l’ONU</w:t>
            </w:r>
          </w:p>
          <w:p>
            <w:pPr>
              <w:spacing w:before="0" w:after="0"/>
              <w:jc w:val="center"/>
              <w:rPr>
                <w:rFonts w:eastAsia="Times New Roman"/>
                <w:noProof/>
                <w:color w:val="000000"/>
                <w:sz w:val="20"/>
                <w:szCs w:val="20"/>
              </w:rPr>
            </w:pPr>
            <w:r>
              <w:rPr>
                <w:noProof/>
                <w:color w:val="000000"/>
                <w:sz w:val="20"/>
              </w:rPr>
              <w:t>Règlement nº 123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Dispositifs rétroréfléchissants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3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Sources lumineuses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37 de l’ONU</w:t>
            </w:r>
          </w:p>
          <w:p>
            <w:pPr>
              <w:spacing w:before="0" w:after="0"/>
              <w:jc w:val="center"/>
              <w:rPr>
                <w:rFonts w:eastAsia="Times New Roman"/>
                <w:noProof/>
                <w:color w:val="000000"/>
                <w:sz w:val="20"/>
                <w:szCs w:val="20"/>
              </w:rPr>
            </w:pPr>
            <w:r>
              <w:rPr>
                <w:noProof/>
                <w:color w:val="000000"/>
                <w:sz w:val="20"/>
              </w:rPr>
              <w:t>Règlement nº 99 de l’ONU</w:t>
            </w:r>
          </w:p>
          <w:p>
            <w:pPr>
              <w:spacing w:before="0" w:after="0"/>
              <w:jc w:val="center"/>
              <w:rPr>
                <w:rFonts w:eastAsia="Times New Roman"/>
                <w:noProof/>
                <w:color w:val="000000"/>
                <w:sz w:val="20"/>
                <w:szCs w:val="20"/>
              </w:rPr>
            </w:pPr>
            <w:r>
              <w:rPr>
                <w:noProof/>
                <w:color w:val="000000"/>
                <w:sz w:val="20"/>
              </w:rPr>
              <w:t>Règlement nº 128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907"/>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Installation des dispositifs de signalisation lumineuse, des dispositifs d’éclairage de la route et des dispositifs rétroréfléchissants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48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37"/>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rPr>
              <w:t>Signal d’arrêt d’urgence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Nettoie-projecteurs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Règlement nº 45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Indicateur de changement de vitesse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88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64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78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rPr>
              <w:t>Prescriptions concernant</w:t>
            </w:r>
          </w:p>
          <w:p>
            <w:pPr>
              <w:spacing w:before="0" w:after="0"/>
              <w:jc w:val="center"/>
              <w:rPr>
                <w:rFonts w:eastAsia="Times New Roman"/>
                <w:b/>
                <w:noProof/>
                <w:color w:val="000000"/>
                <w:sz w:val="20"/>
                <w:szCs w:val="20"/>
              </w:rPr>
            </w:pPr>
            <w:r>
              <w:rPr>
                <w:b/>
                <w:noProof/>
                <w:color w:val="000000"/>
                <w:sz w:val="20"/>
              </w:rPr>
              <w:t>LE COMPORTEMENT DU CONDUCTEUR ET DU SYSTÈME</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Facilitation de l’installation d’un éthylomètre antidémarrage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Surveillance de l’attention et de la somnolence du conducteur</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Reconnaissance avancée de distraction</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rPr>
              <w:t>La reconnaissance avancée de distraction peut également couvrir la surveillance de l’attention et de la somnolence du conducteur.</w:t>
            </w:r>
          </w:p>
          <w:p>
            <w:pPr>
              <w:spacing w:before="0" w:after="0"/>
              <w:jc w:val="left"/>
              <w:rPr>
                <w:rFonts w:eastAsia="Times New Roman"/>
                <w:noProof/>
                <w:color w:val="000000"/>
                <w:sz w:val="20"/>
                <w:szCs w:val="20"/>
              </w:rPr>
            </w:pPr>
            <w:r>
              <w:rPr>
                <w:noProof/>
                <w:color w:val="000000"/>
                <w:sz w:val="20"/>
              </w:rPr>
              <w:t>L’évitement de la distraction par des moyens techniques peut aussi être pris en considération en tant qu’alternative à la reconnaissance avancée de la distraction.</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rPr>
              <w:t>Surveillance de la disponibilité du conducteur</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Enregistreur de données d’événement (d’accident)</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rPr>
              <w:t>Système de remplacement du contrôle par le conducteur</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rPr>
              <w:t>Systèmes fournissant au véhicule des informations sur l’état du véhicule et la zone environnante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rPr>
              <w:t>Circulation en peloton</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B</w:t>
            </w:r>
            <w:r>
              <w:rPr>
                <w:noProof/>
                <w:color w:val="000000"/>
                <w:sz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88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264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rPr>
              <w:t>Prescriptions concernant</w:t>
            </w:r>
          </w:p>
          <w:p>
            <w:pPr>
              <w:spacing w:before="0" w:after="0"/>
              <w:jc w:val="center"/>
              <w:rPr>
                <w:rFonts w:eastAsia="Times New Roman"/>
                <w:b/>
                <w:noProof/>
                <w:color w:val="000000"/>
                <w:sz w:val="20"/>
                <w:szCs w:val="20"/>
              </w:rPr>
            </w:pPr>
            <w:r>
              <w:rPr>
                <w:b/>
                <w:noProof/>
                <w:color w:val="000000"/>
                <w:sz w:val="20"/>
              </w:rPr>
              <w:t>LA CONSTRUCTION ET LES CARACTÉRISTIQUES GÉNÉRALES DES VÉHICULES</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Espace de la plaque d’immatriculation</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40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Déplacement en marche arrière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Serrures et organes de fixation des portes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11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Marches, marchepieds et poignées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Saillies extérieures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26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Saillies extérieures de cabines de véhicule utilitaire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61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Plaque réglementaire et numéro d’identification du véhicule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458"/>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Dispositifs de remorquage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406"/>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Protecteurs de roue</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 xml:space="preserve">Systèmes antiprojections  </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Masses et dimensions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Liaisons mécaniques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55 de l’ONU</w:t>
            </w:r>
          </w:p>
          <w:p>
            <w:pPr>
              <w:spacing w:before="0" w:after="0"/>
              <w:jc w:val="center"/>
              <w:rPr>
                <w:rFonts w:eastAsia="Times New Roman"/>
                <w:noProof/>
                <w:color w:val="000000"/>
                <w:sz w:val="20"/>
                <w:szCs w:val="20"/>
              </w:rPr>
            </w:pPr>
            <w:r>
              <w:rPr>
                <w:noProof/>
                <w:color w:val="000000"/>
                <w:sz w:val="20"/>
              </w:rPr>
              <w:t>Règlement nº 102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r>
              <w:rPr>
                <w:noProof/>
                <w:color w:val="000000"/>
                <w:sz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Véhicules destinés au transport de marchandises dangereuses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105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Construction générale des autobus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107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Résistance de la superstructure des autobus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66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rPr>
              <w:t>Inflammabilité des autobus</w:t>
            </w:r>
          </w:p>
        </w:tc>
        <w:tc>
          <w:tcPr>
            <w:tcW w:w="288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rPr>
              <w:t>Règlement nº 118 de l’ONU</w:t>
            </w:r>
          </w:p>
        </w:tc>
        <w:tc>
          <w:tcPr>
            <w:tcW w:w="264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rPr>
              <w:t>A</w:t>
            </w:r>
          </w:p>
        </w:tc>
      </w:tr>
    </w:tbl>
    <w:p>
      <w:pPr>
        <w:jc w:val="left"/>
        <w:rPr>
          <w:b/>
          <w:noProof/>
        </w:rPr>
      </w:pPr>
    </w:p>
    <w:p>
      <w:pPr>
        <w:ind w:left="284"/>
        <w:jc w:val="center"/>
        <w:rPr>
          <w:noProof/>
        </w:rPr>
      </w:pPr>
      <w:r>
        <w:rPr>
          <w:noProof/>
        </w:rPr>
        <w:t>_______________________</w:t>
      </w:r>
    </w:p>
    <w:p>
      <w:pPr>
        <w:ind w:left="284"/>
        <w:jc w:val="center"/>
        <w:rPr>
          <w:i/>
          <w:noProof/>
        </w:rPr>
      </w:pPr>
      <w:r>
        <w:rPr>
          <w:i/>
          <w:noProof/>
        </w:rPr>
        <w:t>Notes relatives au tableau</w:t>
      </w:r>
    </w:p>
    <w:tbl>
      <w:tblPr>
        <w:tblW w:w="15139" w:type="dxa"/>
        <w:tblLayout w:type="fixed"/>
        <w:tblLook w:val="01E0" w:firstRow="1" w:lastRow="1" w:firstColumn="1" w:lastColumn="1" w:noHBand="0" w:noVBand="0"/>
      </w:tblPr>
      <w:tblGrid>
        <w:gridCol w:w="1101"/>
        <w:gridCol w:w="14038"/>
      </w:tblGrid>
      <w:tr>
        <w:tc>
          <w:tcPr>
            <w:tcW w:w="1101" w:type="dxa"/>
            <w:shd w:val="clear" w:color="auto" w:fill="auto"/>
          </w:tcPr>
          <w:p>
            <w:pPr>
              <w:ind w:left="284"/>
              <w:rPr>
                <w:noProof/>
              </w:rPr>
            </w:pPr>
            <w:r>
              <w:rPr>
                <w:noProof/>
              </w:rPr>
              <w:t>A:</w:t>
            </w:r>
          </w:p>
        </w:tc>
        <w:tc>
          <w:tcPr>
            <w:tcW w:w="14038" w:type="dxa"/>
            <w:shd w:val="clear" w:color="auto" w:fill="auto"/>
          </w:tcPr>
          <w:p>
            <w:pPr>
              <w:rPr>
                <w:noProof/>
              </w:rPr>
            </w:pPr>
            <w:r>
              <w:rPr>
                <w:noProof/>
              </w:rPr>
              <w:t>Date pour l’interdiction de l’immatriculation de véhicules, ainsi que de la mise sur le marché et de la mise en service de composants et d’entités techniques distinctes:</w:t>
            </w:r>
          </w:p>
          <w:p>
            <w:pPr>
              <w:rPr>
                <w:noProof/>
              </w:rPr>
            </w:pPr>
            <w:r>
              <w:rPr>
                <w:noProof/>
              </w:rPr>
              <w:t>[</w:t>
            </w:r>
            <w:r>
              <w:rPr>
                <w:i/>
                <w:noProof/>
              </w:rPr>
              <w:t>OP: prière d’insérer la date d'application du présent règlement</w:t>
            </w:r>
            <w:r>
              <w:rPr>
                <w:noProof/>
              </w:rPr>
              <w:t>]</w:t>
            </w:r>
          </w:p>
        </w:tc>
      </w:tr>
      <w:tr>
        <w:tc>
          <w:tcPr>
            <w:tcW w:w="1101" w:type="dxa"/>
            <w:shd w:val="clear" w:color="auto" w:fill="auto"/>
          </w:tcPr>
          <w:p>
            <w:pPr>
              <w:ind w:left="284"/>
              <w:rPr>
                <w:noProof/>
              </w:rPr>
            </w:pPr>
            <w:r>
              <w:rPr>
                <w:noProof/>
              </w:rPr>
              <w:t>B:</w:t>
            </w:r>
          </w:p>
        </w:tc>
        <w:tc>
          <w:tcPr>
            <w:tcW w:w="14038" w:type="dxa"/>
            <w:shd w:val="clear" w:color="auto" w:fill="auto"/>
          </w:tcPr>
          <w:p>
            <w:pPr>
              <w:rPr>
                <w:noProof/>
              </w:rPr>
            </w:pPr>
            <w:r>
              <w:rPr>
                <w:noProof/>
              </w:rPr>
              <w:t>Date pour le refus de délivrance de la réception UE par type:</w:t>
            </w:r>
          </w:p>
          <w:p>
            <w:pPr>
              <w:rPr>
                <w:noProof/>
              </w:rPr>
            </w:pPr>
            <w:r>
              <w:rPr>
                <w:noProof/>
              </w:rPr>
              <w:t>[</w:t>
            </w:r>
            <w:r>
              <w:rPr>
                <w:i/>
                <w:noProof/>
              </w:rPr>
              <w:t>OP: prière d’insérer la date d'application du présent règlement</w:t>
            </w:r>
            <w:r>
              <w:rPr>
                <w:noProof/>
              </w:rPr>
              <w:t>]</w:t>
            </w:r>
          </w:p>
          <w:p>
            <w:pPr>
              <w:rPr>
                <w:noProof/>
              </w:rPr>
            </w:pPr>
            <w:r>
              <w:rPr>
                <w:noProof/>
              </w:rPr>
              <w:t>Date pour l’interdiction de l’immatriculation de véhicules, ainsi que de la mise sur le marché et de la mise en service de composants et d’entités techniques distinctes:</w:t>
            </w:r>
          </w:p>
          <w:p>
            <w:pPr>
              <w:rPr>
                <w:noProof/>
              </w:rPr>
            </w:pPr>
            <w:r>
              <w:rPr>
                <w:noProof/>
              </w:rPr>
              <w:t>[</w:t>
            </w:r>
            <w:r>
              <w:rPr>
                <w:i/>
                <w:noProof/>
              </w:rPr>
              <w:t>OP: prière d’insérer la date correspondant à 24 mois après la date d’application du présent règlement</w:t>
            </w:r>
            <w:r>
              <w:rPr>
                <w:noProof/>
              </w:rPr>
              <w:t>]</w:t>
            </w:r>
          </w:p>
        </w:tc>
      </w:tr>
      <w:tr>
        <w:tc>
          <w:tcPr>
            <w:tcW w:w="1101" w:type="dxa"/>
            <w:shd w:val="clear" w:color="auto" w:fill="auto"/>
          </w:tcPr>
          <w:p>
            <w:pPr>
              <w:ind w:left="284"/>
              <w:rPr>
                <w:noProof/>
              </w:rPr>
            </w:pPr>
            <w:r>
              <w:rPr>
                <w:noProof/>
              </w:rPr>
              <w:t>C:</w:t>
            </w:r>
          </w:p>
        </w:tc>
        <w:tc>
          <w:tcPr>
            <w:tcW w:w="14038" w:type="dxa"/>
            <w:shd w:val="clear" w:color="auto" w:fill="auto"/>
          </w:tcPr>
          <w:p>
            <w:pPr>
              <w:rPr>
                <w:noProof/>
              </w:rPr>
            </w:pPr>
            <w:r>
              <w:rPr>
                <w:noProof/>
              </w:rPr>
              <w:t>Date pour le refus de délivrance de la réception UE par type:</w:t>
            </w:r>
          </w:p>
          <w:p>
            <w:pPr>
              <w:rPr>
                <w:noProof/>
              </w:rPr>
            </w:pPr>
            <w:r>
              <w:rPr>
                <w:noProof/>
              </w:rPr>
              <w:t>[</w:t>
            </w:r>
            <w:r>
              <w:rPr>
                <w:i/>
                <w:noProof/>
              </w:rPr>
              <w:t>OP: prière d’insérer la date correspondant à 24 mois après la date d’application du présent règlement</w:t>
            </w:r>
            <w:r>
              <w:rPr>
                <w:noProof/>
              </w:rPr>
              <w:t>]</w:t>
            </w:r>
          </w:p>
          <w:p>
            <w:pPr>
              <w:rPr>
                <w:noProof/>
              </w:rPr>
            </w:pPr>
            <w:r>
              <w:rPr>
                <w:noProof/>
              </w:rPr>
              <w:t>Date pour l’interdiction de l’immatriculation de véhicules, ainsi que de la mise sur le marché et de la mise en service de composants et d’entités techniques distinctes:</w:t>
            </w:r>
          </w:p>
          <w:p>
            <w:pPr>
              <w:rPr>
                <w:noProof/>
              </w:rPr>
            </w:pPr>
            <w:r>
              <w:rPr>
                <w:noProof/>
              </w:rPr>
              <w:t>[</w:t>
            </w:r>
            <w:r>
              <w:rPr>
                <w:i/>
                <w:noProof/>
              </w:rPr>
              <w:t>OP: prière d’insérer la date correspondant à 48 mois après la date d’application du présent règlement</w:t>
            </w:r>
            <w:r>
              <w:rPr>
                <w:noProof/>
              </w:rPr>
              <w:t>]</w:t>
            </w:r>
          </w:p>
        </w:tc>
      </w:tr>
      <w:tr>
        <w:tc>
          <w:tcPr>
            <w:tcW w:w="1101" w:type="dxa"/>
            <w:shd w:val="clear" w:color="auto" w:fill="auto"/>
          </w:tcPr>
          <w:p>
            <w:pPr>
              <w:ind w:left="284"/>
              <w:rPr>
                <w:noProof/>
              </w:rPr>
            </w:pPr>
            <w:r>
              <w:rPr>
                <w:noProof/>
              </w:rPr>
              <w:t>D:</w:t>
            </w:r>
          </w:p>
        </w:tc>
        <w:tc>
          <w:tcPr>
            <w:tcW w:w="14038" w:type="dxa"/>
            <w:shd w:val="clear" w:color="auto" w:fill="auto"/>
          </w:tcPr>
          <w:p>
            <w:pPr>
              <w:rPr>
                <w:noProof/>
              </w:rPr>
            </w:pPr>
            <w:r>
              <w:rPr>
                <w:noProof/>
              </w:rPr>
              <w:t>Date pour le refus de délivrance de la réception UE par type:</w:t>
            </w:r>
          </w:p>
          <w:p>
            <w:pPr>
              <w:rPr>
                <w:noProof/>
              </w:rPr>
            </w:pPr>
            <w:r>
              <w:rPr>
                <w:noProof/>
              </w:rPr>
              <w:t>[</w:t>
            </w:r>
            <w:r>
              <w:rPr>
                <w:i/>
                <w:noProof/>
              </w:rPr>
              <w:t>OP: prière d’insérer la date correspondant à 48 mois après la date d’application du présent règlement</w:t>
            </w:r>
            <w:r>
              <w:rPr>
                <w:noProof/>
              </w:rPr>
              <w:t>]</w:t>
            </w:r>
          </w:p>
          <w:p>
            <w:pPr>
              <w:rPr>
                <w:noProof/>
              </w:rPr>
            </w:pPr>
            <w:r>
              <w:rPr>
                <w:noProof/>
              </w:rPr>
              <w:t>Date pour l’interdiction de l’immatriculation de véhicules, ainsi que de la mise sur le marché et de la mise en service de composants et d’entités techniques distinctes:</w:t>
            </w:r>
          </w:p>
          <w:p>
            <w:pPr>
              <w:rPr>
                <w:noProof/>
              </w:rPr>
            </w:pPr>
            <w:r>
              <w:rPr>
                <w:noProof/>
              </w:rPr>
              <w:t>[</w:t>
            </w:r>
            <w:r>
              <w:rPr>
                <w:i/>
                <w:noProof/>
              </w:rPr>
              <w:t>OP: prière d’insérer la date correspondant à 84 mois après la date d’application du présent règlement</w:t>
            </w:r>
            <w:r>
              <w:rPr>
                <w:noProof/>
              </w:rPr>
              <w:t>]</w:t>
            </w:r>
          </w:p>
        </w:tc>
      </w:tr>
      <w:tr>
        <w:tc>
          <w:tcPr>
            <w:tcW w:w="1101" w:type="dxa"/>
            <w:shd w:val="clear" w:color="auto" w:fill="auto"/>
          </w:tcPr>
          <w:p>
            <w:pPr>
              <w:ind w:left="284"/>
              <w:rPr>
                <w:noProof/>
              </w:rPr>
            </w:pPr>
            <w:r>
              <w:rPr>
                <w:noProof/>
              </w:rPr>
              <w:t>X:</w:t>
            </w:r>
          </w:p>
        </w:tc>
        <w:tc>
          <w:tcPr>
            <w:tcW w:w="14038" w:type="dxa"/>
            <w:shd w:val="clear" w:color="auto" w:fill="auto"/>
          </w:tcPr>
          <w:p>
            <w:pPr>
              <w:rPr>
                <w:noProof/>
              </w:rPr>
            </w:pPr>
            <w:r>
              <w:rPr>
                <w:noProof/>
              </w:rPr>
              <w:t>Le composant ou l’entité technique distincte en question s’applique aux catégories de véhicules comme indiqué.</w:t>
            </w:r>
          </w:p>
        </w:tc>
      </w:tr>
      <w:tr>
        <w:tc>
          <w:tcPr>
            <w:tcW w:w="1101" w:type="dxa"/>
            <w:shd w:val="clear" w:color="auto" w:fill="auto"/>
          </w:tcPr>
          <w:p>
            <w:pPr>
              <w:ind w:left="284"/>
              <w:rPr>
                <w:noProof/>
              </w:rPr>
            </w:pPr>
            <w:r>
              <w:rPr>
                <w:noProof/>
                <w:vertAlign w:val="superscript"/>
              </w:rPr>
              <w:t>1</w:t>
            </w:r>
          </w:p>
        </w:tc>
        <w:tc>
          <w:tcPr>
            <w:tcW w:w="14038" w:type="dxa"/>
            <w:shd w:val="clear" w:color="auto" w:fill="auto"/>
          </w:tcPr>
          <w:p>
            <w:pPr>
              <w:rPr>
                <w:noProof/>
              </w:rPr>
            </w:pPr>
            <w:r>
              <w:rPr>
                <w:noProof/>
              </w:rPr>
              <w:t>Conformité requise si monté.</w:t>
            </w:r>
          </w:p>
        </w:tc>
      </w:tr>
      <w:tr>
        <w:tc>
          <w:tcPr>
            <w:tcW w:w="1101" w:type="dxa"/>
            <w:shd w:val="clear" w:color="auto" w:fill="auto"/>
          </w:tcPr>
          <w:p>
            <w:pPr>
              <w:ind w:left="284"/>
              <w:rPr>
                <w:noProof/>
                <w:vertAlign w:val="superscript"/>
              </w:rPr>
            </w:pPr>
            <w:r>
              <w:rPr>
                <w:noProof/>
                <w:vertAlign w:val="superscript"/>
              </w:rPr>
              <w:t>2</w:t>
            </w:r>
          </w:p>
        </w:tc>
        <w:tc>
          <w:tcPr>
            <w:tcW w:w="14038" w:type="dxa"/>
            <w:shd w:val="clear" w:color="auto" w:fill="auto"/>
          </w:tcPr>
          <w:p>
            <w:pPr>
              <w:rPr>
                <w:noProof/>
              </w:rPr>
            </w:pPr>
            <w:r>
              <w:rPr>
                <w:noProof/>
              </w:rPr>
              <w:t>Les véhicules de cette catégorie doivent être équipés d’un dispositif adéquat de dégivrage et de désembuage du pare-brise.</w:t>
            </w:r>
          </w:p>
        </w:tc>
      </w:tr>
      <w:tr>
        <w:tc>
          <w:tcPr>
            <w:tcW w:w="1101" w:type="dxa"/>
            <w:shd w:val="clear" w:color="auto" w:fill="auto"/>
          </w:tcPr>
          <w:p>
            <w:pPr>
              <w:ind w:left="284"/>
              <w:rPr>
                <w:noProof/>
                <w:vertAlign w:val="superscript"/>
              </w:rPr>
            </w:pPr>
            <w:r>
              <w:rPr>
                <w:noProof/>
                <w:vertAlign w:val="superscript"/>
              </w:rPr>
              <w:t>3</w:t>
            </w:r>
          </w:p>
        </w:tc>
        <w:tc>
          <w:tcPr>
            <w:tcW w:w="14038" w:type="dxa"/>
            <w:shd w:val="clear" w:color="auto" w:fill="auto"/>
          </w:tcPr>
          <w:p>
            <w:pPr>
              <w:rPr>
                <w:noProof/>
              </w:rPr>
            </w:pPr>
            <w:r>
              <w:rPr>
                <w:noProof/>
              </w:rPr>
              <w:t>Les véhicules de cette catégorie doivent être équipés de dispositifs adéquats de nettoyage et d’essuyage du pare-brise.</w:t>
            </w:r>
          </w:p>
        </w:tc>
      </w:tr>
      <w:tr>
        <w:tc>
          <w:tcPr>
            <w:tcW w:w="1101" w:type="dxa"/>
            <w:shd w:val="clear" w:color="auto" w:fill="auto"/>
          </w:tcPr>
          <w:p>
            <w:pPr>
              <w:ind w:left="284"/>
              <w:rPr>
                <w:noProof/>
                <w:vertAlign w:val="superscript"/>
              </w:rPr>
            </w:pPr>
            <w:r>
              <w:rPr>
                <w:noProof/>
                <w:vertAlign w:val="superscript"/>
              </w:rPr>
              <w:t>4</w:t>
            </w:r>
          </w:p>
        </w:tc>
        <w:tc>
          <w:tcPr>
            <w:tcW w:w="14038" w:type="dxa"/>
            <w:shd w:val="clear" w:color="auto" w:fill="auto"/>
          </w:tcPr>
          <w:p>
            <w:pPr>
              <w:rPr>
                <w:noProof/>
              </w:rPr>
            </w:pPr>
            <w:r>
              <w:rPr>
                <w:noProof/>
              </w:rPr>
              <w:t>Les véhicules suivants sont exemptés:</w:t>
            </w:r>
          </w:p>
          <w:p>
            <w:pPr>
              <w:pStyle w:val="ListParagraph"/>
              <w:numPr>
                <w:ilvl w:val="0"/>
                <w:numId w:val="5"/>
              </w:numPr>
              <w:rPr>
                <w:noProof/>
              </w:rPr>
            </w:pPr>
            <w:r>
              <w:rPr>
                <w:noProof/>
              </w:rPr>
              <w:t>les véhicules tracteurs de semi-remorques de catégorie N</w:t>
            </w:r>
            <w:r>
              <w:rPr>
                <w:noProof/>
                <w:vertAlign w:val="subscript"/>
              </w:rPr>
              <w:t>2</w:t>
            </w:r>
            <w:r>
              <w:rPr>
                <w:noProof/>
              </w:rPr>
              <w:t xml:space="preserve"> dont la masse maximale est supérieure à 3,5 tonnes sans excéder 8 tonnes;</w:t>
            </w:r>
          </w:p>
          <w:p>
            <w:pPr>
              <w:pStyle w:val="ListParagraph"/>
              <w:numPr>
                <w:ilvl w:val="0"/>
                <w:numId w:val="5"/>
              </w:numPr>
              <w:rPr>
                <w:noProof/>
              </w:rPr>
            </w:pPr>
            <w:r>
              <w:rPr>
                <w:noProof/>
              </w:rPr>
              <w:t>les véhicules des catégories M</w:t>
            </w:r>
            <w:r>
              <w:rPr>
                <w:noProof/>
                <w:vertAlign w:val="subscript"/>
              </w:rPr>
              <w:t>2</w:t>
            </w:r>
            <w:r>
              <w:rPr>
                <w:noProof/>
              </w:rPr>
              <w:t xml:space="preserve"> et M</w:t>
            </w:r>
            <w:r>
              <w:rPr>
                <w:noProof/>
                <w:vertAlign w:val="subscript"/>
              </w:rPr>
              <w:t>3</w:t>
            </w:r>
            <w:r>
              <w:rPr>
                <w:noProof/>
              </w:rPr>
              <w:t xml:space="preserve"> de la classe A, de la classe I et de la classe II, telles que définies au paragraphe 2.1 du règlement nº 107 de l’ONU;</w:t>
            </w:r>
          </w:p>
          <w:p>
            <w:pPr>
              <w:pStyle w:val="ListParagraph"/>
              <w:numPr>
                <w:ilvl w:val="0"/>
                <w:numId w:val="5"/>
              </w:numPr>
              <w:rPr>
                <w:noProof/>
              </w:rPr>
            </w:pPr>
            <w:r>
              <w:rPr>
                <w:noProof/>
              </w:rPr>
              <w:t>les autobus articulés de catégorie M</w:t>
            </w:r>
            <w:r>
              <w:rPr>
                <w:noProof/>
                <w:vertAlign w:val="subscript"/>
              </w:rPr>
              <w:t>3</w:t>
            </w:r>
            <w:r>
              <w:rPr>
                <w:noProof/>
              </w:rPr>
              <w:t xml:space="preserve"> de la classe A, de la classe I et de la classe II, telles que définies au paragraphe 2.1 du règlement 107 de l’ONU;</w:t>
            </w:r>
          </w:p>
          <w:p>
            <w:pPr>
              <w:pStyle w:val="ListParagraph"/>
              <w:numPr>
                <w:ilvl w:val="0"/>
                <w:numId w:val="5"/>
              </w:numPr>
              <w:rPr>
                <w:noProof/>
              </w:rPr>
            </w:pPr>
            <w:r>
              <w:rPr>
                <w:noProof/>
              </w:rPr>
              <w:t>les véhicules non routiers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et N</w:t>
            </w:r>
            <w:r>
              <w:rPr>
                <w:noProof/>
                <w:vertAlign w:val="subscript"/>
              </w:rPr>
              <w:t>3</w:t>
            </w:r>
            <w:r>
              <w:rPr>
                <w:noProof/>
              </w:rPr>
              <w:t>;</w:t>
            </w:r>
          </w:p>
          <w:p>
            <w:pPr>
              <w:pStyle w:val="ListParagraph"/>
              <w:numPr>
                <w:ilvl w:val="0"/>
                <w:numId w:val="5"/>
              </w:numPr>
              <w:rPr>
                <w:noProof/>
              </w:rPr>
            </w:pPr>
            <w:r>
              <w:rPr>
                <w:noProof/>
              </w:rPr>
              <w:t>les véhicules à usage spécial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et N</w:t>
            </w:r>
            <w:r>
              <w:rPr>
                <w:noProof/>
                <w:vertAlign w:val="subscript"/>
              </w:rPr>
              <w:t>3</w:t>
            </w:r>
            <w:r>
              <w:rPr>
                <w:noProof/>
              </w:rPr>
              <w:t>;</w:t>
            </w:r>
          </w:p>
          <w:p>
            <w:pPr>
              <w:pStyle w:val="ListParagraph"/>
              <w:numPr>
                <w:ilvl w:val="0"/>
                <w:numId w:val="5"/>
              </w:numPr>
              <w:rPr>
                <w:noProof/>
              </w:rPr>
            </w:pPr>
            <w:r>
              <w:rPr>
                <w:noProof/>
              </w:rPr>
              <w:t>les véhicules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et N</w:t>
            </w:r>
            <w:r>
              <w:rPr>
                <w:noProof/>
                <w:vertAlign w:val="subscript"/>
              </w:rPr>
              <w:t>3</w:t>
            </w:r>
            <w:r>
              <w:rPr>
                <w:noProof/>
              </w:rPr>
              <w:t xml:space="preserve"> ayant plus de trois essieux.</w:t>
            </w:r>
          </w:p>
        </w:tc>
      </w:tr>
      <w:tr>
        <w:tc>
          <w:tcPr>
            <w:tcW w:w="1101" w:type="dxa"/>
            <w:shd w:val="clear" w:color="auto" w:fill="auto"/>
          </w:tcPr>
          <w:p>
            <w:pPr>
              <w:ind w:left="284"/>
              <w:rPr>
                <w:noProof/>
                <w:vertAlign w:val="superscript"/>
              </w:rPr>
            </w:pPr>
            <w:r>
              <w:rPr>
                <w:noProof/>
                <w:vertAlign w:val="superscript"/>
              </w:rPr>
              <w:t>5</w:t>
            </w:r>
          </w:p>
        </w:tc>
        <w:tc>
          <w:tcPr>
            <w:tcW w:w="14038" w:type="dxa"/>
            <w:shd w:val="clear" w:color="auto" w:fill="auto"/>
          </w:tcPr>
          <w:p>
            <w:pPr>
              <w:rPr>
                <w:noProof/>
              </w:rPr>
            </w:pPr>
            <w:r>
              <w:rPr>
                <w:noProof/>
              </w:rPr>
              <w:t>La conformité est requise dans le cas de véhicules automatisés.</w:t>
            </w:r>
          </w:p>
        </w:tc>
      </w:tr>
    </w:tbl>
    <w:p>
      <w:pPr>
        <w:ind w:left="284"/>
        <w:jc w:val="center"/>
        <w:rPr>
          <w:b/>
          <w:noProof/>
        </w:rPr>
      </w:pPr>
    </w:p>
    <w:p>
      <w:pPr>
        <w:ind w:left="284"/>
        <w:jc w:val="left"/>
        <w:rPr>
          <w:b/>
          <w:noProof/>
        </w:rPr>
        <w:sectPr>
          <w:headerReference w:type="default" r:id="rId21"/>
          <w:footerReference w:type="default" r:id="rId22"/>
          <w:headerReference w:type="first" r:id="rId23"/>
          <w:footerReference w:type="first" r:id="rId24"/>
          <w:pgSz w:w="16839" w:h="11907" w:orient="landscape"/>
          <w:pgMar w:top="1417" w:right="1134" w:bottom="1417" w:left="567" w:header="709" w:footer="709" w:gutter="0"/>
          <w:cols w:space="720"/>
          <w:docGrid w:linePitch="360"/>
        </w:sectPr>
      </w:pPr>
      <w:r>
        <w:rPr>
          <w:b/>
          <w:noProof/>
        </w:rPr>
        <w:t xml:space="preserve"> </w:t>
      </w:r>
    </w:p>
    <w:p>
      <w:pPr>
        <w:pStyle w:val="Annexetitre"/>
        <w:rPr>
          <w:rStyle w:val="Marker"/>
          <w:noProof/>
        </w:rPr>
      </w:pPr>
      <w:r>
        <w:rPr>
          <w:noProof/>
        </w:rPr>
        <w:t>ANNEXE III</w:t>
      </w:r>
    </w:p>
    <w:p>
      <w:pPr>
        <w:rPr>
          <w:noProof/>
        </w:rPr>
      </w:pPr>
    </w:p>
    <w:p>
      <w:pPr>
        <w:jc w:val="center"/>
        <w:rPr>
          <w:b/>
          <w:noProof/>
          <w:szCs w:val="24"/>
        </w:rPr>
      </w:pPr>
      <w:r>
        <w:rPr>
          <w:b/>
          <w:noProof/>
        </w:rPr>
        <w:t>Modifications à l’annexe II du règlement (UE) 2018/ ...</w:t>
      </w:r>
    </w:p>
    <w:p>
      <w:pPr>
        <w:rPr>
          <w:noProof/>
          <w:szCs w:val="24"/>
        </w:rPr>
      </w:pPr>
    </w:p>
    <w:p>
      <w:pPr>
        <w:rPr>
          <w:noProof/>
          <w:szCs w:val="24"/>
        </w:rPr>
      </w:pPr>
      <w:r>
        <w:rPr>
          <w:noProof/>
        </w:rPr>
        <w:t>L’annexe II du règlement (UE) 2018/ … est modifiée comme suit:</w:t>
      </w:r>
    </w:p>
    <w:tbl>
      <w:tblPr>
        <w:tblW w:w="997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
        <w:gridCol w:w="38"/>
        <w:gridCol w:w="282"/>
        <w:gridCol w:w="140"/>
        <w:gridCol w:w="129"/>
        <w:gridCol w:w="21"/>
        <w:gridCol w:w="6"/>
        <w:gridCol w:w="3"/>
        <w:gridCol w:w="36"/>
        <w:gridCol w:w="12"/>
        <w:gridCol w:w="14"/>
        <w:gridCol w:w="40"/>
        <w:gridCol w:w="64"/>
        <w:gridCol w:w="39"/>
        <w:gridCol w:w="96"/>
        <w:gridCol w:w="108"/>
        <w:gridCol w:w="1257"/>
        <w:gridCol w:w="26"/>
        <w:gridCol w:w="6"/>
        <w:gridCol w:w="31"/>
        <w:gridCol w:w="121"/>
        <w:gridCol w:w="155"/>
        <w:gridCol w:w="248"/>
        <w:gridCol w:w="90"/>
        <w:gridCol w:w="555"/>
        <w:gridCol w:w="6"/>
        <w:gridCol w:w="39"/>
        <w:gridCol w:w="13"/>
        <w:gridCol w:w="24"/>
        <w:gridCol w:w="37"/>
        <w:gridCol w:w="102"/>
        <w:gridCol w:w="5"/>
        <w:gridCol w:w="36"/>
        <w:gridCol w:w="95"/>
        <w:gridCol w:w="210"/>
        <w:gridCol w:w="79"/>
        <w:gridCol w:w="5"/>
        <w:gridCol w:w="93"/>
        <w:gridCol w:w="21"/>
        <w:gridCol w:w="67"/>
        <w:gridCol w:w="227"/>
        <w:gridCol w:w="54"/>
        <w:gridCol w:w="71"/>
        <w:gridCol w:w="82"/>
        <w:gridCol w:w="8"/>
        <w:gridCol w:w="32"/>
        <w:gridCol w:w="264"/>
        <w:gridCol w:w="48"/>
        <w:gridCol w:w="72"/>
        <w:gridCol w:w="20"/>
        <w:gridCol w:w="78"/>
        <w:gridCol w:w="43"/>
        <w:gridCol w:w="213"/>
        <w:gridCol w:w="20"/>
        <w:gridCol w:w="65"/>
        <w:gridCol w:w="68"/>
        <w:gridCol w:w="28"/>
        <w:gridCol w:w="85"/>
        <w:gridCol w:w="21"/>
        <w:gridCol w:w="25"/>
        <w:gridCol w:w="55"/>
        <w:gridCol w:w="237"/>
        <w:gridCol w:w="129"/>
        <w:gridCol w:w="80"/>
        <w:gridCol w:w="34"/>
        <w:gridCol w:w="19"/>
        <w:gridCol w:w="165"/>
        <w:gridCol w:w="89"/>
        <w:gridCol w:w="137"/>
        <w:gridCol w:w="5"/>
        <w:gridCol w:w="56"/>
        <w:gridCol w:w="73"/>
        <w:gridCol w:w="175"/>
        <w:gridCol w:w="111"/>
        <w:gridCol w:w="24"/>
        <w:gridCol w:w="66"/>
        <w:gridCol w:w="22"/>
        <w:gridCol w:w="34"/>
        <w:gridCol w:w="99"/>
        <w:gridCol w:w="129"/>
        <w:gridCol w:w="71"/>
        <w:gridCol w:w="150"/>
        <w:gridCol w:w="19"/>
        <w:gridCol w:w="37"/>
        <w:gridCol w:w="116"/>
        <w:gridCol w:w="146"/>
        <w:gridCol w:w="6"/>
        <w:gridCol w:w="119"/>
        <w:gridCol w:w="120"/>
        <w:gridCol w:w="30"/>
        <w:gridCol w:w="14"/>
        <w:gridCol w:w="34"/>
        <w:gridCol w:w="24"/>
        <w:gridCol w:w="29"/>
        <w:gridCol w:w="45"/>
        <w:gridCol w:w="119"/>
        <w:gridCol w:w="200"/>
        <w:gridCol w:w="118"/>
        <w:gridCol w:w="53"/>
        <w:gridCol w:w="56"/>
        <w:gridCol w:w="64"/>
        <w:gridCol w:w="137"/>
        <w:gridCol w:w="156"/>
        <w:gridCol w:w="40"/>
        <w:gridCol w:w="54"/>
        <w:gridCol w:w="151"/>
        <w:gridCol w:w="34"/>
        <w:gridCol w:w="27"/>
        <w:gridCol w:w="30"/>
        <w:gridCol w:w="122"/>
        <w:gridCol w:w="44"/>
      </w:tblGrid>
      <w:tr>
        <w:trPr>
          <w:gridAfter w:val="8"/>
          <w:wAfter w:w="458" w:type="dxa"/>
        </w:trPr>
        <w:tc>
          <w:tcPr>
            <w:tcW w:w="9517" w:type="dxa"/>
            <w:gridSpan w:val="103"/>
            <w:tcBorders>
              <w:top w:val="nil"/>
              <w:left w:val="nil"/>
              <w:bottom w:val="nil"/>
              <w:right w:val="nil"/>
            </w:tcBorders>
            <w:shd w:val="clear" w:color="auto" w:fill="auto"/>
          </w:tcPr>
          <w:p>
            <w:pPr>
              <w:pStyle w:val="Point0"/>
              <w:ind w:left="444" w:hanging="444"/>
              <w:rPr>
                <w:noProof/>
                <w:szCs w:val="24"/>
              </w:rPr>
            </w:pPr>
            <w:r>
              <w:rPr>
                <w:noProof/>
              </w:rPr>
              <w:t>1) dans le tableau de la partie I, dans l’entrée correspondant au point 3A, la référence dans la troisième colonne au «Règlement (CE) nº 661/2009» est remplacée par le texte suivant:</w:t>
            </w:r>
          </w:p>
          <w:p>
            <w:pPr>
              <w:pStyle w:val="Point0"/>
              <w:ind w:hanging="406"/>
              <w:rPr>
                <w:noProof/>
                <w:szCs w:val="24"/>
              </w:rPr>
            </w:pPr>
            <w:r>
              <w:rPr>
                <w:noProof/>
              </w:rPr>
              <w:t>«Règlement (UE) 2019/…*</w:t>
            </w:r>
            <w:r>
              <w:rPr>
                <w:rStyle w:val="FootnoteReference"/>
                <w:noProof/>
              </w:rPr>
              <w:footnoteReference w:customMarkFollows="1" w:id="2"/>
              <w:t>+</w:t>
            </w:r>
          </w:p>
          <w:p>
            <w:pPr>
              <w:pStyle w:val="Point0"/>
              <w:rPr>
                <w:noProof/>
                <w:szCs w:val="24"/>
              </w:rPr>
            </w:pPr>
            <w:r>
              <w:rPr>
                <w:noProof/>
              </w:rPr>
              <w:t>_______________</w:t>
            </w:r>
          </w:p>
          <w:p>
            <w:pPr>
              <w:pStyle w:val="Point1"/>
              <w:ind w:left="1301" w:hanging="451"/>
              <w:rPr>
                <w:noProof/>
              </w:rPr>
            </w:pPr>
            <w:r>
              <w:rPr>
                <w:noProof/>
              </w:rPr>
              <w:t>*     Règlement (UE) 2019/… du Parlement européen et du Conseil du  […] relatif aux prescriptions pour la réception par type des véhicules à moteur et de leurs remorques, ainsi que des systèmes, composants et entités techniques distinctes destinés à ces véhicules, en ce qui concerne leur sécurité générale et la protection des occupants des véhicules et des usagers vulnérables de la route, modifiant le règlement (UE) 2018/… et abrogeant les règlements (CE) nº 78/2009, (CE) nº 79/2009 et (CE) nº 661/2009 [JO … du ..., p…]»</w:t>
            </w:r>
          </w:p>
          <w:p>
            <w:pPr>
              <w:ind w:left="869"/>
              <w:rPr>
                <w:noProof/>
                <w:szCs w:val="24"/>
              </w:rPr>
            </w:pPr>
            <w:r>
              <w:rPr>
                <w:noProof/>
              </w:rPr>
              <w:t>et chaque référence suivante au «Règlement (CE) nº 661/2009» dans l’ensemble de l’annexe II est remplacée par une référence au «Règlement (UE) 2019/ ...», sauf dispositions contraires dans la suite de la présente annexe;</w:t>
            </w:r>
          </w:p>
          <w:p>
            <w:pPr>
              <w:pStyle w:val="Point0number"/>
              <w:numPr>
                <w:ilvl w:val="0"/>
                <w:numId w:val="0"/>
              </w:numPr>
              <w:rPr>
                <w:noProof/>
              </w:rPr>
            </w:pPr>
            <w:r>
              <w:rPr>
                <w:noProof/>
              </w:rPr>
              <w:t>2) la partie I est modifiée comme suit:</w:t>
            </w:r>
          </w:p>
          <w:p>
            <w:pPr>
              <w:pStyle w:val="Point1letter"/>
              <w:numPr>
                <w:ilvl w:val="3"/>
                <w:numId w:val="31"/>
              </w:numPr>
              <w:rPr>
                <w:noProof/>
              </w:rPr>
            </w:pPr>
            <w:bookmarkStart w:id="1" w:name="DQCNUMB_1"/>
            <w:bookmarkEnd w:id="1"/>
            <w:r>
              <w:rPr>
                <w:noProof/>
              </w:rPr>
              <w:t>le tableau est modifié comme suit:</w:t>
            </w:r>
          </w:p>
          <w:p>
            <w:pPr>
              <w:pStyle w:val="Point2letter"/>
              <w:numPr>
                <w:ilvl w:val="5"/>
                <w:numId w:val="0"/>
              </w:numPr>
              <w:ind w:left="1868"/>
              <w:rPr>
                <w:noProof/>
              </w:rPr>
            </w:pPr>
            <w:r>
              <w:rPr>
                <w:noProof/>
              </w:rPr>
              <w:t>i) l’entrée suivante est insérée à l’endroit approprié par numéro de rubrique:</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64" w:type="dxa"/>
          <w:cantSplit/>
          <w:jc w:val="center"/>
        </w:trPr>
        <w:tc>
          <w:tcPr>
            <w:tcW w:w="708" w:type="dxa"/>
            <w:gridSpan w:val="13"/>
            <w:shd w:val="clear" w:color="auto" w:fill="auto"/>
          </w:tcPr>
          <w:p>
            <w:pPr>
              <w:spacing w:before="60" w:after="60"/>
              <w:jc w:val="center"/>
              <w:rPr>
                <w:noProof/>
                <w:szCs w:val="24"/>
              </w:rPr>
            </w:pPr>
            <w:r>
              <w:rPr>
                <w:noProof/>
              </w:rPr>
              <w:t>«55A</w:t>
            </w:r>
          </w:p>
        </w:tc>
        <w:tc>
          <w:tcPr>
            <w:tcW w:w="1596" w:type="dxa"/>
            <w:gridSpan w:val="6"/>
          </w:tcPr>
          <w:p>
            <w:pPr>
              <w:spacing w:before="60" w:after="60"/>
              <w:jc w:val="left"/>
              <w:rPr>
                <w:noProof/>
                <w:szCs w:val="24"/>
              </w:rPr>
            </w:pPr>
            <w:r>
              <w:rPr>
                <w:noProof/>
              </w:rPr>
              <w:t>Choc latéral contre un poteau</w:t>
            </w:r>
          </w:p>
        </w:tc>
        <w:tc>
          <w:tcPr>
            <w:tcW w:w="1114" w:type="dxa"/>
            <w:gridSpan w:val="9"/>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135 de l’ONU</w:t>
            </w:r>
          </w:p>
        </w:tc>
        <w:tc>
          <w:tcPr>
            <w:tcW w:w="523" w:type="dxa"/>
            <w:gridSpan w:val="7"/>
          </w:tcPr>
          <w:p>
            <w:pPr>
              <w:spacing w:before="60" w:after="60"/>
              <w:rPr>
                <w:noProof/>
                <w:szCs w:val="24"/>
              </w:rPr>
            </w:pPr>
            <w:r>
              <w:rPr>
                <w:noProof/>
              </w:rPr>
              <w:t>X</w:t>
            </w:r>
          </w:p>
        </w:tc>
        <w:tc>
          <w:tcPr>
            <w:tcW w:w="522" w:type="dxa"/>
            <w:gridSpan w:val="6"/>
          </w:tcPr>
          <w:p>
            <w:pPr>
              <w:spacing w:before="60" w:after="60"/>
              <w:rPr>
                <w:noProof/>
                <w:szCs w:val="24"/>
              </w:rPr>
            </w:pPr>
          </w:p>
        </w:tc>
        <w:tc>
          <w:tcPr>
            <w:tcW w:w="522" w:type="dxa"/>
            <w:gridSpan w:val="7"/>
          </w:tcPr>
          <w:p>
            <w:pPr>
              <w:spacing w:before="60" w:after="60"/>
              <w:rPr>
                <w:noProof/>
                <w:szCs w:val="24"/>
              </w:rPr>
            </w:pPr>
          </w:p>
        </w:tc>
        <w:tc>
          <w:tcPr>
            <w:tcW w:w="522" w:type="dxa"/>
            <w:gridSpan w:val="7"/>
          </w:tcPr>
          <w:p>
            <w:pPr>
              <w:spacing w:before="60" w:after="60"/>
              <w:rPr>
                <w:noProof/>
                <w:szCs w:val="24"/>
              </w:rPr>
            </w:pPr>
            <w:r>
              <w:rPr>
                <w:noProof/>
              </w:rPr>
              <w:t>X»;</w:t>
            </w:r>
          </w:p>
        </w:tc>
        <w:tc>
          <w:tcPr>
            <w:tcW w:w="581" w:type="dxa"/>
            <w:gridSpan w:val="7"/>
          </w:tcPr>
          <w:p>
            <w:pPr>
              <w:spacing w:before="60" w:after="60"/>
              <w:rPr>
                <w:noProof/>
                <w:szCs w:val="24"/>
              </w:rPr>
            </w:pPr>
          </w:p>
        </w:tc>
        <w:tc>
          <w:tcPr>
            <w:tcW w:w="544" w:type="dxa"/>
            <w:gridSpan w:val="7"/>
          </w:tcPr>
          <w:p>
            <w:pPr>
              <w:spacing w:before="60" w:after="60"/>
              <w:rPr>
                <w:noProof/>
                <w:szCs w:val="24"/>
              </w:rPr>
            </w:pPr>
          </w:p>
        </w:tc>
        <w:tc>
          <w:tcPr>
            <w:tcW w:w="531" w:type="dxa"/>
            <w:gridSpan w:val="7"/>
          </w:tcPr>
          <w:p>
            <w:pPr>
              <w:spacing w:before="60" w:after="60"/>
              <w:rPr>
                <w:noProof/>
                <w:szCs w:val="24"/>
              </w:rPr>
            </w:pPr>
          </w:p>
        </w:tc>
        <w:tc>
          <w:tcPr>
            <w:tcW w:w="522" w:type="dxa"/>
            <w:gridSpan w:val="6"/>
          </w:tcPr>
          <w:p>
            <w:pPr>
              <w:spacing w:before="60" w:after="60"/>
              <w:rPr>
                <w:noProof/>
                <w:szCs w:val="24"/>
              </w:rPr>
            </w:pPr>
          </w:p>
        </w:tc>
        <w:tc>
          <w:tcPr>
            <w:tcW w:w="522" w:type="dxa"/>
            <w:gridSpan w:val="9"/>
          </w:tcPr>
          <w:p>
            <w:pPr>
              <w:spacing w:before="60" w:after="60"/>
              <w:rPr>
                <w:noProof/>
                <w:szCs w:val="24"/>
              </w:rPr>
            </w:pPr>
          </w:p>
        </w:tc>
        <w:tc>
          <w:tcPr>
            <w:tcW w:w="535" w:type="dxa"/>
            <w:gridSpan w:val="5"/>
          </w:tcPr>
          <w:p>
            <w:pPr>
              <w:spacing w:before="60" w:after="60"/>
              <w:rPr>
                <w:noProof/>
                <w:szCs w:val="24"/>
                <w:highlight w:val="lightGray"/>
              </w:rPr>
            </w:pPr>
          </w:p>
        </w:tc>
        <w:tc>
          <w:tcPr>
            <w:tcW w:w="871" w:type="dxa"/>
            <w:gridSpan w:val="11"/>
          </w:tcPr>
          <w:p>
            <w:pPr>
              <w:spacing w:before="60" w:after="60"/>
              <w:rPr>
                <w:noProof/>
                <w:szCs w:val="24"/>
              </w:rPr>
            </w:pP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p>
        </w:tc>
        <w:tc>
          <w:tcPr>
            <w:tcW w:w="9013" w:type="dxa"/>
            <w:gridSpan w:val="99"/>
            <w:tcBorders>
              <w:top w:val="nil"/>
              <w:left w:val="nil"/>
              <w:bottom w:val="nil"/>
              <w:right w:val="nil"/>
            </w:tcBorders>
          </w:tcPr>
          <w:p>
            <w:pPr>
              <w:pStyle w:val="Point2letter"/>
              <w:numPr>
                <w:ilvl w:val="5"/>
                <w:numId w:val="0"/>
              </w:numPr>
              <w:ind w:left="1984" w:hanging="567"/>
              <w:rPr>
                <w:noProof/>
              </w:rPr>
            </w:pPr>
            <w:r>
              <w:rPr>
                <w:noProof/>
              </w:rPr>
              <w:t>ii) l’entrée correspondant au numéro 58 est remplacée par le texte suivant:</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64" w:type="dxa"/>
          <w:cantSplit/>
          <w:jc w:val="center"/>
        </w:trPr>
        <w:tc>
          <w:tcPr>
            <w:tcW w:w="708" w:type="dxa"/>
            <w:gridSpan w:val="13"/>
            <w:tcBorders>
              <w:bottom w:val="single" w:sz="6" w:space="0" w:color="auto"/>
            </w:tcBorders>
            <w:shd w:val="clear" w:color="auto" w:fill="auto"/>
          </w:tcPr>
          <w:p>
            <w:pPr>
              <w:spacing w:before="60" w:after="60"/>
              <w:jc w:val="center"/>
              <w:rPr>
                <w:rFonts w:eastAsia="Arial Unicode MS"/>
                <w:noProof/>
                <w:szCs w:val="24"/>
              </w:rPr>
            </w:pPr>
            <w:r>
              <w:rPr>
                <w:noProof/>
              </w:rPr>
              <w:t>«58</w:t>
            </w:r>
          </w:p>
        </w:tc>
        <w:tc>
          <w:tcPr>
            <w:tcW w:w="1596" w:type="dxa"/>
            <w:gridSpan w:val="6"/>
            <w:tcBorders>
              <w:top w:val="single" w:sz="6" w:space="0" w:color="auto"/>
              <w:bottom w:val="single" w:sz="6" w:space="0" w:color="auto"/>
            </w:tcBorders>
            <w:shd w:val="clear" w:color="auto" w:fill="auto"/>
          </w:tcPr>
          <w:p>
            <w:pPr>
              <w:spacing w:before="60" w:after="60"/>
              <w:jc w:val="left"/>
              <w:rPr>
                <w:rFonts w:eastAsia="Arial Unicode MS"/>
                <w:noProof/>
                <w:szCs w:val="24"/>
              </w:rPr>
            </w:pPr>
            <w:r>
              <w:rPr>
                <w:noProof/>
              </w:rPr>
              <w:t>Protection des piétons</w:t>
            </w:r>
          </w:p>
        </w:tc>
        <w:tc>
          <w:tcPr>
            <w:tcW w:w="1114" w:type="dxa"/>
            <w:gridSpan w:val="9"/>
            <w:tcBorders>
              <w:top w:val="single" w:sz="6" w:space="0" w:color="auto"/>
              <w:bottom w:val="single" w:sz="6" w:space="0" w:color="auto"/>
            </w:tcBorders>
            <w:shd w:val="clear" w:color="auto" w:fill="auto"/>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noProof/>
                <w:szCs w:val="24"/>
                <w:vertAlign w:val="superscript"/>
              </w:rPr>
            </w:pPr>
            <w:r>
              <w:rPr>
                <w:noProof/>
              </w:rPr>
              <w:t>Règlement nº 127 de l’ONU</w:t>
            </w:r>
          </w:p>
        </w:tc>
        <w:tc>
          <w:tcPr>
            <w:tcW w:w="523"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2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2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2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8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44"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2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22" w:type="dxa"/>
            <w:gridSpan w:val="9"/>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5" w:type="dxa"/>
            <w:gridSpan w:val="5"/>
            <w:tcBorders>
              <w:top w:val="single" w:sz="6" w:space="0" w:color="auto"/>
              <w:bottom w:val="single" w:sz="6" w:space="0" w:color="auto"/>
            </w:tcBorders>
            <w:shd w:val="clear" w:color="auto" w:fill="auto"/>
          </w:tcPr>
          <w:p>
            <w:pPr>
              <w:spacing w:before="60" w:after="60"/>
              <w:rPr>
                <w:rFonts w:eastAsia="Arial Unicode MS"/>
                <w:noProof/>
                <w:szCs w:val="24"/>
              </w:rPr>
            </w:pPr>
          </w:p>
        </w:tc>
        <w:tc>
          <w:tcPr>
            <w:tcW w:w="871" w:type="dxa"/>
            <w:gridSpan w:val="11"/>
            <w:tcBorders>
              <w:top w:val="single" w:sz="6" w:space="0" w:color="auto"/>
              <w:bottom w:val="single" w:sz="6" w:space="0" w:color="auto"/>
            </w:tcBorders>
          </w:tcPr>
          <w:p>
            <w:pPr>
              <w:spacing w:before="60" w:after="60"/>
              <w:rPr>
                <w:rFonts w:eastAsia="Arial Unicode MS"/>
                <w:noProof/>
                <w:szCs w:val="24"/>
              </w:rPr>
            </w:pPr>
            <w:r>
              <w:rPr>
                <w:noProof/>
              </w:rPr>
              <w:t>X»;</w:t>
            </w: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p>
        </w:tc>
        <w:tc>
          <w:tcPr>
            <w:tcW w:w="9013" w:type="dxa"/>
            <w:gridSpan w:val="99"/>
            <w:tcBorders>
              <w:top w:val="nil"/>
              <w:left w:val="nil"/>
              <w:bottom w:val="nil"/>
              <w:right w:val="nil"/>
            </w:tcBorders>
          </w:tcPr>
          <w:p>
            <w:pPr>
              <w:pStyle w:val="Point0"/>
              <w:ind w:left="1570"/>
              <w:jc w:val="left"/>
              <w:rPr>
                <w:noProof/>
                <w:szCs w:val="24"/>
              </w:rPr>
            </w:pPr>
            <w:r>
              <w:rPr>
                <w:noProof/>
              </w:rPr>
              <w:tab/>
              <w:t>iii) les entrées correspondant aux numéros 62 et 63 sont remplacées par le texte suivant:</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64" w:type="dxa"/>
          <w:cantSplit/>
          <w:jc w:val="center"/>
        </w:trPr>
        <w:tc>
          <w:tcPr>
            <w:tcW w:w="708" w:type="dxa"/>
            <w:gridSpan w:val="13"/>
            <w:tcBorders>
              <w:bottom w:val="single" w:sz="6" w:space="0" w:color="auto"/>
            </w:tcBorders>
            <w:shd w:val="clear" w:color="auto" w:fill="auto"/>
          </w:tcPr>
          <w:p>
            <w:pPr>
              <w:spacing w:before="60" w:after="60"/>
              <w:jc w:val="center"/>
              <w:rPr>
                <w:rFonts w:eastAsia="Arial Unicode MS"/>
                <w:noProof/>
                <w:szCs w:val="24"/>
              </w:rPr>
            </w:pPr>
            <w:r>
              <w:rPr>
                <w:noProof/>
              </w:rPr>
              <w:t>«62</w:t>
            </w:r>
          </w:p>
        </w:tc>
        <w:tc>
          <w:tcPr>
            <w:tcW w:w="1596" w:type="dxa"/>
            <w:gridSpan w:val="6"/>
            <w:tcBorders>
              <w:top w:val="single" w:sz="6" w:space="0" w:color="auto"/>
              <w:bottom w:val="single" w:sz="6" w:space="0" w:color="auto"/>
            </w:tcBorders>
            <w:shd w:val="clear" w:color="auto" w:fill="auto"/>
          </w:tcPr>
          <w:p>
            <w:pPr>
              <w:spacing w:before="60" w:after="60"/>
              <w:jc w:val="left"/>
              <w:rPr>
                <w:rFonts w:eastAsia="Arial Unicode MS"/>
                <w:noProof/>
                <w:szCs w:val="24"/>
              </w:rPr>
            </w:pPr>
            <w:r>
              <w:rPr>
                <w:noProof/>
              </w:rPr>
              <w:t>Système hydrogène</w:t>
            </w:r>
          </w:p>
        </w:tc>
        <w:tc>
          <w:tcPr>
            <w:tcW w:w="1114" w:type="dxa"/>
            <w:gridSpan w:val="9"/>
            <w:tcBorders>
              <w:top w:val="single" w:sz="6" w:space="0" w:color="auto"/>
              <w:bottom w:val="single" w:sz="6" w:space="0" w:color="auto"/>
            </w:tcBorders>
            <w:shd w:val="clear" w:color="auto" w:fill="auto"/>
          </w:tcPr>
          <w:p>
            <w:pPr>
              <w:spacing w:before="60" w:after="60"/>
              <w:jc w:val="left"/>
              <w:rPr>
                <w:noProof/>
                <w:szCs w:val="24"/>
              </w:rPr>
            </w:pPr>
            <w:r>
              <w:rPr>
                <w:noProof/>
              </w:rPr>
              <w:t>Règlement (UE) 2019/…</w:t>
            </w:r>
            <w:r>
              <w:rPr>
                <w:noProof/>
                <w:vertAlign w:val="superscript"/>
              </w:rPr>
              <w:t>+</w:t>
            </w:r>
          </w:p>
          <w:p>
            <w:pPr>
              <w:spacing w:before="60" w:after="60"/>
              <w:jc w:val="left"/>
              <w:rPr>
                <w:noProof/>
                <w:szCs w:val="24"/>
              </w:rPr>
            </w:pPr>
            <w:r>
              <w:rPr>
                <w:noProof/>
              </w:rPr>
              <w:t>Règlement nº 134 de l’ONU</w:t>
            </w:r>
          </w:p>
        </w:tc>
        <w:tc>
          <w:tcPr>
            <w:tcW w:w="523"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2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2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2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8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44"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3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2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22" w:type="dxa"/>
            <w:gridSpan w:val="9"/>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5" w:type="dxa"/>
            <w:gridSpan w:val="5"/>
            <w:tcBorders>
              <w:top w:val="single" w:sz="6" w:space="0" w:color="auto"/>
              <w:bottom w:val="single" w:sz="6" w:space="0" w:color="auto"/>
            </w:tcBorders>
            <w:shd w:val="clear" w:color="auto" w:fill="auto"/>
          </w:tcPr>
          <w:p>
            <w:pPr>
              <w:spacing w:before="60" w:after="60"/>
              <w:rPr>
                <w:rFonts w:eastAsia="Arial Unicode MS"/>
                <w:noProof/>
                <w:szCs w:val="24"/>
              </w:rPr>
            </w:pPr>
          </w:p>
        </w:tc>
        <w:tc>
          <w:tcPr>
            <w:tcW w:w="871" w:type="dxa"/>
            <w:gridSpan w:val="11"/>
            <w:tcBorders>
              <w:top w:val="single" w:sz="6" w:space="0" w:color="auto"/>
              <w:bottom w:val="single" w:sz="6" w:space="0" w:color="auto"/>
            </w:tcBorders>
          </w:tcPr>
          <w:p>
            <w:pPr>
              <w:spacing w:before="60" w:after="60"/>
              <w:rPr>
                <w:rFonts w:eastAsia="Arial Unicode MS"/>
                <w:noProof/>
                <w:szCs w:val="24"/>
              </w:rPr>
            </w:pPr>
            <w:r>
              <w:rPr>
                <w:noProof/>
              </w:rPr>
              <w:t>X</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64" w:type="dxa"/>
          <w:cantSplit/>
          <w:jc w:val="center"/>
        </w:trPr>
        <w:tc>
          <w:tcPr>
            <w:tcW w:w="708" w:type="dxa"/>
            <w:gridSpan w:val="13"/>
            <w:tcBorders>
              <w:bottom w:val="single" w:sz="6" w:space="0" w:color="auto"/>
            </w:tcBorders>
            <w:shd w:val="clear" w:color="auto" w:fill="auto"/>
          </w:tcPr>
          <w:p>
            <w:pPr>
              <w:spacing w:before="60" w:after="60"/>
              <w:jc w:val="center"/>
              <w:rPr>
                <w:rFonts w:eastAsia="Arial Unicode MS"/>
                <w:noProof/>
                <w:szCs w:val="24"/>
              </w:rPr>
            </w:pPr>
            <w:r>
              <w:rPr>
                <w:noProof/>
              </w:rPr>
              <w:t>63</w:t>
            </w:r>
          </w:p>
        </w:tc>
        <w:tc>
          <w:tcPr>
            <w:tcW w:w="1596" w:type="dxa"/>
            <w:gridSpan w:val="6"/>
            <w:tcBorders>
              <w:top w:val="single" w:sz="6" w:space="0" w:color="auto"/>
              <w:bottom w:val="single" w:sz="6" w:space="0" w:color="auto"/>
            </w:tcBorders>
            <w:shd w:val="clear" w:color="auto" w:fill="auto"/>
          </w:tcPr>
          <w:p>
            <w:pPr>
              <w:spacing w:before="60" w:after="60"/>
              <w:jc w:val="left"/>
              <w:rPr>
                <w:rFonts w:eastAsia="Arial Unicode MS"/>
                <w:noProof/>
                <w:szCs w:val="24"/>
              </w:rPr>
            </w:pPr>
            <w:r>
              <w:rPr>
                <w:noProof/>
              </w:rPr>
              <w:t xml:space="preserve">Sécurité générale </w:t>
            </w:r>
          </w:p>
        </w:tc>
        <w:tc>
          <w:tcPr>
            <w:tcW w:w="1114" w:type="dxa"/>
            <w:gridSpan w:val="9"/>
            <w:tcBorders>
              <w:top w:val="single" w:sz="6" w:space="0" w:color="auto"/>
              <w:bottom w:val="single" w:sz="6" w:space="0" w:color="auto"/>
            </w:tcBorders>
            <w:shd w:val="clear" w:color="auto" w:fill="auto"/>
          </w:tcPr>
          <w:p>
            <w:pPr>
              <w:spacing w:before="60" w:after="60"/>
              <w:jc w:val="left"/>
              <w:rPr>
                <w:noProof/>
                <w:szCs w:val="24"/>
              </w:rPr>
            </w:pPr>
            <w:r>
              <w:rPr>
                <w:noProof/>
              </w:rPr>
              <w:t>Règlement (UE) 2019/…</w:t>
            </w:r>
            <w:r>
              <w:rPr>
                <w:noProof/>
                <w:vertAlign w:val="superscript"/>
              </w:rPr>
              <w:t>+</w:t>
            </w:r>
          </w:p>
        </w:tc>
        <w:tc>
          <w:tcPr>
            <w:tcW w:w="523"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52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52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52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58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544"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53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52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522" w:type="dxa"/>
            <w:gridSpan w:val="9"/>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535" w:type="dxa"/>
            <w:gridSpan w:val="5"/>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vertAlign w:val="superscript"/>
              </w:rPr>
              <w:t>(15)</w:t>
            </w:r>
          </w:p>
        </w:tc>
        <w:tc>
          <w:tcPr>
            <w:tcW w:w="871" w:type="dxa"/>
            <w:gridSpan w:val="11"/>
            <w:tcBorders>
              <w:top w:val="single" w:sz="6" w:space="0" w:color="auto"/>
              <w:bottom w:val="single" w:sz="6" w:space="0" w:color="auto"/>
            </w:tcBorders>
          </w:tcPr>
          <w:p>
            <w:pPr>
              <w:spacing w:before="60" w:after="60"/>
              <w:rPr>
                <w:rFonts w:eastAsia="Arial Unicode MS"/>
                <w:noProof/>
                <w:szCs w:val="24"/>
              </w:rPr>
            </w:pPr>
            <w:r>
              <w:rPr>
                <w:noProof/>
              </w:rPr>
              <w:t>X</w:t>
            </w:r>
            <w:r>
              <w:rPr>
                <w:noProof/>
                <w:vertAlign w:val="superscript"/>
              </w:rPr>
              <w:t>(15)</w:t>
            </w:r>
            <w:r>
              <w:rPr>
                <w:noProof/>
              </w:rPr>
              <w:t>»;</w:t>
            </w: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r>
              <w:rPr>
                <w:noProof/>
              </w:rPr>
              <w:br w:type="page"/>
            </w:r>
          </w:p>
        </w:tc>
        <w:tc>
          <w:tcPr>
            <w:tcW w:w="9013" w:type="dxa"/>
            <w:gridSpan w:val="99"/>
            <w:tcBorders>
              <w:top w:val="nil"/>
              <w:left w:val="nil"/>
              <w:bottom w:val="nil"/>
              <w:right w:val="nil"/>
            </w:tcBorders>
          </w:tcPr>
          <w:p>
            <w:pPr>
              <w:pStyle w:val="Point0"/>
              <w:ind w:left="0" w:firstLine="0"/>
              <w:jc w:val="left"/>
              <w:rPr>
                <w:noProof/>
                <w:szCs w:val="24"/>
              </w:rPr>
            </w:pPr>
            <w:r>
              <w:rPr>
                <w:noProof/>
              </w:rPr>
              <w:tab/>
            </w:r>
            <w:r>
              <w:rPr>
                <w:noProof/>
              </w:rPr>
              <w:tab/>
              <w:t>iv) les entrées correspondant aux numéros 65 et 66 sont remplacées par le texte suivant:</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64" w:type="dxa"/>
          <w:cantSplit/>
          <w:jc w:val="center"/>
        </w:trPr>
        <w:tc>
          <w:tcPr>
            <w:tcW w:w="708" w:type="dxa"/>
            <w:gridSpan w:val="13"/>
            <w:shd w:val="clear" w:color="auto" w:fill="auto"/>
          </w:tcPr>
          <w:p>
            <w:pPr>
              <w:spacing w:before="60" w:after="60"/>
              <w:jc w:val="center"/>
              <w:rPr>
                <w:rFonts w:eastAsia="Arial Unicode MS"/>
                <w:noProof/>
                <w:szCs w:val="24"/>
              </w:rPr>
            </w:pPr>
            <w:r>
              <w:rPr>
                <w:noProof/>
              </w:rPr>
              <w:t>«65</w:t>
            </w:r>
          </w:p>
        </w:tc>
        <w:tc>
          <w:tcPr>
            <w:tcW w:w="1596" w:type="dxa"/>
            <w:gridSpan w:val="6"/>
          </w:tcPr>
          <w:p>
            <w:pPr>
              <w:spacing w:before="60" w:after="60"/>
              <w:jc w:val="left"/>
              <w:rPr>
                <w:rFonts w:eastAsia="Arial Unicode MS"/>
                <w:noProof/>
                <w:szCs w:val="24"/>
              </w:rPr>
            </w:pPr>
            <w:r>
              <w:rPr>
                <w:noProof/>
              </w:rPr>
              <w:t>Système avancé de freinage d’urgence</w:t>
            </w:r>
          </w:p>
        </w:tc>
        <w:tc>
          <w:tcPr>
            <w:tcW w:w="1114" w:type="dxa"/>
            <w:gridSpan w:val="9"/>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noProof/>
                <w:szCs w:val="24"/>
                <w:vertAlign w:val="superscript"/>
              </w:rPr>
            </w:pPr>
            <w:r>
              <w:rPr>
                <w:noProof/>
              </w:rPr>
              <w:t>Règlement nº 131 de l’ONU</w:t>
            </w:r>
          </w:p>
        </w:tc>
        <w:tc>
          <w:tcPr>
            <w:tcW w:w="523" w:type="dxa"/>
            <w:gridSpan w:val="7"/>
          </w:tcPr>
          <w:p>
            <w:pPr>
              <w:spacing w:before="60" w:after="60"/>
              <w:rPr>
                <w:rFonts w:eastAsia="Arial Unicode MS"/>
                <w:noProof/>
                <w:szCs w:val="24"/>
              </w:rPr>
            </w:pPr>
          </w:p>
        </w:tc>
        <w:tc>
          <w:tcPr>
            <w:tcW w:w="522" w:type="dxa"/>
            <w:gridSpan w:val="6"/>
          </w:tcPr>
          <w:p>
            <w:pPr>
              <w:spacing w:before="60" w:after="60"/>
              <w:rPr>
                <w:rFonts w:eastAsia="Arial Unicode MS"/>
                <w:noProof/>
                <w:szCs w:val="24"/>
              </w:rPr>
            </w:pPr>
            <w:r>
              <w:rPr>
                <w:noProof/>
              </w:rPr>
              <w:t>X</w:t>
            </w:r>
          </w:p>
        </w:tc>
        <w:tc>
          <w:tcPr>
            <w:tcW w:w="522" w:type="dxa"/>
            <w:gridSpan w:val="7"/>
          </w:tcPr>
          <w:p>
            <w:pPr>
              <w:spacing w:before="60" w:after="60"/>
              <w:rPr>
                <w:rFonts w:eastAsia="Arial Unicode MS"/>
                <w:noProof/>
                <w:szCs w:val="24"/>
              </w:rPr>
            </w:pPr>
            <w:r>
              <w:rPr>
                <w:noProof/>
              </w:rPr>
              <w:t>X</w:t>
            </w:r>
          </w:p>
        </w:tc>
        <w:tc>
          <w:tcPr>
            <w:tcW w:w="522" w:type="dxa"/>
            <w:gridSpan w:val="7"/>
          </w:tcPr>
          <w:p>
            <w:pPr>
              <w:spacing w:before="60" w:after="60"/>
              <w:rPr>
                <w:rFonts w:eastAsia="Arial Unicode MS"/>
                <w:noProof/>
                <w:szCs w:val="24"/>
              </w:rPr>
            </w:pPr>
          </w:p>
        </w:tc>
        <w:tc>
          <w:tcPr>
            <w:tcW w:w="581" w:type="dxa"/>
            <w:gridSpan w:val="7"/>
          </w:tcPr>
          <w:p>
            <w:pPr>
              <w:spacing w:before="60" w:after="60"/>
              <w:rPr>
                <w:rFonts w:eastAsia="Arial Unicode MS"/>
                <w:noProof/>
                <w:szCs w:val="24"/>
              </w:rPr>
            </w:pPr>
            <w:r>
              <w:rPr>
                <w:noProof/>
              </w:rPr>
              <w:t>X</w:t>
            </w:r>
          </w:p>
        </w:tc>
        <w:tc>
          <w:tcPr>
            <w:tcW w:w="544" w:type="dxa"/>
            <w:gridSpan w:val="7"/>
          </w:tcPr>
          <w:p>
            <w:pPr>
              <w:spacing w:before="60" w:after="60"/>
              <w:rPr>
                <w:rFonts w:eastAsia="Arial Unicode MS"/>
                <w:noProof/>
                <w:szCs w:val="24"/>
              </w:rPr>
            </w:pPr>
            <w:r>
              <w:rPr>
                <w:noProof/>
              </w:rPr>
              <w:t>X</w:t>
            </w:r>
          </w:p>
        </w:tc>
        <w:tc>
          <w:tcPr>
            <w:tcW w:w="531" w:type="dxa"/>
            <w:gridSpan w:val="7"/>
          </w:tcPr>
          <w:p>
            <w:pPr>
              <w:spacing w:before="60" w:after="60"/>
              <w:rPr>
                <w:rFonts w:eastAsia="Arial Unicode MS"/>
                <w:noProof/>
                <w:szCs w:val="24"/>
              </w:rPr>
            </w:pPr>
          </w:p>
        </w:tc>
        <w:tc>
          <w:tcPr>
            <w:tcW w:w="522" w:type="dxa"/>
            <w:gridSpan w:val="6"/>
          </w:tcPr>
          <w:p>
            <w:pPr>
              <w:spacing w:before="60" w:after="60"/>
              <w:rPr>
                <w:rFonts w:eastAsia="Arial Unicode MS"/>
                <w:noProof/>
                <w:szCs w:val="24"/>
              </w:rPr>
            </w:pPr>
          </w:p>
        </w:tc>
        <w:tc>
          <w:tcPr>
            <w:tcW w:w="522" w:type="dxa"/>
            <w:gridSpan w:val="9"/>
          </w:tcPr>
          <w:p>
            <w:pPr>
              <w:spacing w:before="60" w:after="60"/>
              <w:rPr>
                <w:rFonts w:eastAsia="Arial Unicode MS"/>
                <w:noProof/>
                <w:szCs w:val="24"/>
              </w:rPr>
            </w:pPr>
          </w:p>
        </w:tc>
        <w:tc>
          <w:tcPr>
            <w:tcW w:w="535" w:type="dxa"/>
            <w:gridSpan w:val="5"/>
          </w:tcPr>
          <w:p>
            <w:pPr>
              <w:spacing w:before="60" w:after="60"/>
              <w:rPr>
                <w:rFonts w:eastAsia="Arial Unicode MS"/>
                <w:noProof/>
                <w:szCs w:val="24"/>
              </w:rPr>
            </w:pPr>
          </w:p>
        </w:tc>
        <w:tc>
          <w:tcPr>
            <w:tcW w:w="871" w:type="dxa"/>
            <w:gridSpan w:val="11"/>
          </w:tcPr>
          <w:p>
            <w:pPr>
              <w:spacing w:before="60" w:after="60"/>
              <w:rPr>
                <w:rFonts w:eastAsia="Arial Unicode MS"/>
                <w:noProof/>
                <w:szCs w:val="24"/>
              </w:rPr>
            </w:pP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64" w:type="dxa"/>
          <w:cantSplit/>
          <w:jc w:val="center"/>
        </w:trPr>
        <w:tc>
          <w:tcPr>
            <w:tcW w:w="708" w:type="dxa"/>
            <w:gridSpan w:val="13"/>
            <w:shd w:val="clear" w:color="auto" w:fill="auto"/>
          </w:tcPr>
          <w:p>
            <w:pPr>
              <w:spacing w:before="60" w:after="60"/>
              <w:jc w:val="center"/>
              <w:rPr>
                <w:rFonts w:eastAsia="Arial Unicode MS"/>
                <w:noProof/>
                <w:szCs w:val="24"/>
              </w:rPr>
            </w:pPr>
            <w:r>
              <w:rPr>
                <w:noProof/>
              </w:rPr>
              <w:t>66</w:t>
            </w:r>
          </w:p>
        </w:tc>
        <w:tc>
          <w:tcPr>
            <w:tcW w:w="1596" w:type="dxa"/>
            <w:gridSpan w:val="6"/>
          </w:tcPr>
          <w:p>
            <w:pPr>
              <w:spacing w:before="60" w:after="60"/>
              <w:jc w:val="left"/>
              <w:rPr>
                <w:rFonts w:eastAsia="Arial Unicode MS"/>
                <w:noProof/>
                <w:szCs w:val="24"/>
              </w:rPr>
            </w:pPr>
            <w:r>
              <w:rPr>
                <w:noProof/>
              </w:rPr>
              <w:t>Système d’avertissement de déviation de trajectoire</w:t>
            </w:r>
          </w:p>
        </w:tc>
        <w:tc>
          <w:tcPr>
            <w:tcW w:w="1114" w:type="dxa"/>
            <w:gridSpan w:val="9"/>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noProof/>
                <w:szCs w:val="24"/>
                <w:vertAlign w:val="superscript"/>
              </w:rPr>
            </w:pPr>
            <w:r>
              <w:rPr>
                <w:noProof/>
              </w:rPr>
              <w:t>Règlement nº 130 de l’ONU</w:t>
            </w:r>
          </w:p>
        </w:tc>
        <w:tc>
          <w:tcPr>
            <w:tcW w:w="523" w:type="dxa"/>
            <w:gridSpan w:val="7"/>
          </w:tcPr>
          <w:p>
            <w:pPr>
              <w:spacing w:before="60" w:after="60"/>
              <w:rPr>
                <w:rFonts w:eastAsia="Arial Unicode MS"/>
                <w:noProof/>
                <w:szCs w:val="24"/>
              </w:rPr>
            </w:pPr>
          </w:p>
        </w:tc>
        <w:tc>
          <w:tcPr>
            <w:tcW w:w="522" w:type="dxa"/>
            <w:gridSpan w:val="6"/>
          </w:tcPr>
          <w:p>
            <w:pPr>
              <w:spacing w:before="60" w:after="60"/>
              <w:rPr>
                <w:rFonts w:eastAsia="Arial Unicode MS"/>
                <w:noProof/>
                <w:szCs w:val="24"/>
              </w:rPr>
            </w:pPr>
            <w:r>
              <w:rPr>
                <w:noProof/>
              </w:rPr>
              <w:t>X</w:t>
            </w:r>
          </w:p>
        </w:tc>
        <w:tc>
          <w:tcPr>
            <w:tcW w:w="522" w:type="dxa"/>
            <w:gridSpan w:val="7"/>
          </w:tcPr>
          <w:p>
            <w:pPr>
              <w:spacing w:before="60" w:after="60"/>
              <w:rPr>
                <w:rFonts w:eastAsia="Arial Unicode MS"/>
                <w:noProof/>
                <w:szCs w:val="24"/>
              </w:rPr>
            </w:pPr>
            <w:r>
              <w:rPr>
                <w:noProof/>
              </w:rPr>
              <w:t>X</w:t>
            </w:r>
          </w:p>
        </w:tc>
        <w:tc>
          <w:tcPr>
            <w:tcW w:w="522" w:type="dxa"/>
            <w:gridSpan w:val="7"/>
          </w:tcPr>
          <w:p>
            <w:pPr>
              <w:spacing w:before="60" w:after="60"/>
              <w:rPr>
                <w:rFonts w:eastAsia="Arial Unicode MS"/>
                <w:noProof/>
                <w:szCs w:val="24"/>
              </w:rPr>
            </w:pPr>
          </w:p>
        </w:tc>
        <w:tc>
          <w:tcPr>
            <w:tcW w:w="581" w:type="dxa"/>
            <w:gridSpan w:val="7"/>
          </w:tcPr>
          <w:p>
            <w:pPr>
              <w:spacing w:before="60" w:after="60"/>
              <w:rPr>
                <w:rFonts w:eastAsia="Arial Unicode MS"/>
                <w:noProof/>
                <w:szCs w:val="24"/>
              </w:rPr>
            </w:pPr>
            <w:r>
              <w:rPr>
                <w:noProof/>
              </w:rPr>
              <w:t>X</w:t>
            </w:r>
          </w:p>
        </w:tc>
        <w:tc>
          <w:tcPr>
            <w:tcW w:w="544" w:type="dxa"/>
            <w:gridSpan w:val="7"/>
          </w:tcPr>
          <w:p>
            <w:pPr>
              <w:spacing w:before="60" w:after="60"/>
              <w:rPr>
                <w:rFonts w:eastAsia="Arial Unicode MS"/>
                <w:noProof/>
                <w:szCs w:val="24"/>
              </w:rPr>
            </w:pPr>
            <w:r>
              <w:rPr>
                <w:noProof/>
              </w:rPr>
              <w:t>X»;</w:t>
            </w:r>
          </w:p>
        </w:tc>
        <w:tc>
          <w:tcPr>
            <w:tcW w:w="531" w:type="dxa"/>
            <w:gridSpan w:val="7"/>
          </w:tcPr>
          <w:p>
            <w:pPr>
              <w:spacing w:before="60" w:after="60"/>
              <w:rPr>
                <w:rFonts w:eastAsia="Arial Unicode MS"/>
                <w:noProof/>
                <w:szCs w:val="24"/>
              </w:rPr>
            </w:pPr>
          </w:p>
        </w:tc>
        <w:tc>
          <w:tcPr>
            <w:tcW w:w="522" w:type="dxa"/>
            <w:gridSpan w:val="6"/>
          </w:tcPr>
          <w:p>
            <w:pPr>
              <w:spacing w:before="60" w:after="60"/>
              <w:rPr>
                <w:rFonts w:eastAsia="Arial Unicode MS"/>
                <w:noProof/>
                <w:szCs w:val="24"/>
              </w:rPr>
            </w:pPr>
          </w:p>
        </w:tc>
        <w:tc>
          <w:tcPr>
            <w:tcW w:w="522" w:type="dxa"/>
            <w:gridSpan w:val="9"/>
          </w:tcPr>
          <w:p>
            <w:pPr>
              <w:spacing w:before="60" w:after="60"/>
              <w:rPr>
                <w:rFonts w:eastAsia="Arial Unicode MS"/>
                <w:noProof/>
                <w:szCs w:val="24"/>
              </w:rPr>
            </w:pPr>
          </w:p>
        </w:tc>
        <w:tc>
          <w:tcPr>
            <w:tcW w:w="535" w:type="dxa"/>
            <w:gridSpan w:val="5"/>
          </w:tcPr>
          <w:p>
            <w:pPr>
              <w:spacing w:before="60" w:after="60"/>
              <w:rPr>
                <w:rFonts w:eastAsia="Arial Unicode MS"/>
                <w:noProof/>
                <w:szCs w:val="24"/>
              </w:rPr>
            </w:pPr>
          </w:p>
        </w:tc>
        <w:tc>
          <w:tcPr>
            <w:tcW w:w="871" w:type="dxa"/>
            <w:gridSpan w:val="11"/>
          </w:tcPr>
          <w:p>
            <w:pPr>
              <w:spacing w:before="60" w:after="60"/>
              <w:rPr>
                <w:rFonts w:eastAsia="Arial Unicode MS"/>
                <w:noProof/>
                <w:szCs w:val="24"/>
              </w:rPr>
            </w:pP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p>
        </w:tc>
        <w:tc>
          <w:tcPr>
            <w:tcW w:w="9013" w:type="dxa"/>
            <w:gridSpan w:val="99"/>
            <w:vMerge w:val="restart"/>
            <w:tcBorders>
              <w:top w:val="nil"/>
              <w:left w:val="nil"/>
              <w:right w:val="nil"/>
            </w:tcBorders>
          </w:tcPr>
          <w:p>
            <w:pPr>
              <w:pStyle w:val="Point0"/>
              <w:ind w:left="531" w:hanging="531"/>
              <w:rPr>
                <w:noProof/>
                <w:szCs w:val="24"/>
              </w:rPr>
            </w:pPr>
            <w:r>
              <w:rPr>
                <w:noProof/>
              </w:rPr>
              <w:tab/>
              <w:t>b) les notes explicatives sont modifiées comme suit:</w:t>
            </w:r>
          </w:p>
          <w:p>
            <w:pPr>
              <w:pStyle w:val="Point0"/>
              <w:rPr>
                <w:noProof/>
                <w:szCs w:val="24"/>
              </w:rPr>
            </w:pPr>
            <w:r>
              <w:rPr>
                <w:noProof/>
              </w:rPr>
              <w:tab/>
              <w:t>i) les notes explicatives 3 et 4 sont remplacées par le texte suivant:</w:t>
            </w:r>
          </w:p>
          <w:p>
            <w:pPr>
              <w:pStyle w:val="Point0"/>
              <w:ind w:left="1948" w:hanging="425"/>
              <w:rPr>
                <w:noProof/>
                <w:szCs w:val="24"/>
              </w:rPr>
            </w:pPr>
            <w:r>
              <w:rPr>
                <w:noProof/>
              </w:rPr>
              <w:t>«</w:t>
            </w:r>
            <w:r>
              <w:rPr>
                <w:noProof/>
                <w:vertAlign w:val="superscript"/>
              </w:rPr>
              <w:t>3</w:t>
            </w:r>
            <w:r>
              <w:rPr>
                <w:noProof/>
              </w:rPr>
              <w:t>) La présence de la fonction de contrôle de la stabilité du véhicule est requise conformément à l’article 4, paragraphe 5, du règlement (UE) 2019/…</w:t>
            </w:r>
            <w:r>
              <w:rPr>
                <w:noProof/>
                <w:vertAlign w:val="superscript"/>
              </w:rPr>
              <w:t>+</w:t>
            </w:r>
          </w:p>
          <w:p>
            <w:pPr>
              <w:pStyle w:val="Point0"/>
              <w:ind w:left="1948" w:hanging="424"/>
              <w:rPr>
                <w:noProof/>
              </w:rPr>
            </w:pPr>
            <w:r>
              <w:rPr>
                <w:noProof/>
                <w:vertAlign w:val="superscript"/>
              </w:rPr>
              <w:t>4</w:t>
            </w:r>
            <w:r>
              <w:rPr>
                <w:noProof/>
              </w:rPr>
              <w:t>) La présence d’un système électronique de contrôle de la stabilité est requise conformément à l’article 4, paragraphe 5, du règlement (UE) 2019/…</w:t>
            </w:r>
            <w:r>
              <w:rPr>
                <w:noProof/>
                <w:vertAlign w:val="superscript"/>
              </w:rPr>
              <w:t>+</w:t>
            </w:r>
            <w:r>
              <w:rPr>
                <w:noProof/>
              </w:rPr>
              <w:t>»;</w:t>
            </w:r>
          </w:p>
          <w:p>
            <w:pPr>
              <w:pStyle w:val="Point0"/>
              <w:ind w:left="1144" w:hanging="424"/>
              <w:rPr>
                <w:noProof/>
                <w:szCs w:val="24"/>
              </w:rPr>
            </w:pPr>
            <w:r>
              <w:rPr>
                <w:noProof/>
              </w:rPr>
              <w:t>ii) la note explicative 9A est remplacée par le texte suivant:</w:t>
            </w:r>
          </w:p>
          <w:p>
            <w:pPr>
              <w:pStyle w:val="Point0"/>
              <w:ind w:left="1948" w:hanging="424"/>
              <w:rPr>
                <w:noProof/>
                <w:szCs w:val="24"/>
              </w:rPr>
            </w:pPr>
            <w:r>
              <w:rPr>
                <w:noProof/>
              </w:rPr>
              <w:t>«</w:t>
            </w:r>
            <w:r>
              <w:rPr>
                <w:noProof/>
                <w:vertAlign w:val="superscript"/>
              </w:rPr>
              <w:t>9A</w:t>
            </w:r>
            <w:r>
              <w:rPr>
                <w:noProof/>
              </w:rPr>
              <w:t>)</w:t>
            </w:r>
            <w:r>
              <w:rPr>
                <w:noProof/>
              </w:rPr>
              <w:tab/>
              <w:t>La présence d’un système de surveillance de la pression des pneumatiques est requise conformément à l’article 4, paragraphe 5, du règlement (UE)2019/…</w:t>
            </w:r>
            <w:r>
              <w:rPr>
                <w:noProof/>
                <w:vertAlign w:val="superscript"/>
              </w:rPr>
              <w:t>+</w:t>
            </w:r>
            <w:r>
              <w:rPr>
                <w:noProof/>
              </w:rPr>
              <w:t>»;</w:t>
            </w:r>
          </w:p>
          <w:p>
            <w:pPr>
              <w:pStyle w:val="Point0"/>
              <w:rPr>
                <w:noProof/>
                <w:szCs w:val="24"/>
              </w:rPr>
            </w:pPr>
            <w:r>
              <w:rPr>
                <w:noProof/>
              </w:rPr>
              <w:tab/>
              <w:t>iii) la note explicative 15 est remplacée par le texte suivant:</w:t>
            </w:r>
          </w:p>
          <w:p>
            <w:pPr>
              <w:pStyle w:val="Point0"/>
              <w:ind w:left="1948" w:hanging="425"/>
              <w:rPr>
                <w:noProof/>
                <w:szCs w:val="24"/>
              </w:rPr>
            </w:pPr>
            <w:r>
              <w:rPr>
                <w:noProof/>
              </w:rPr>
              <w:t>«</w:t>
            </w:r>
            <w:r>
              <w:rPr>
                <w:noProof/>
                <w:vertAlign w:val="superscript"/>
              </w:rPr>
              <w:t>15</w:t>
            </w:r>
            <w:r>
              <w:rPr>
                <w:noProof/>
              </w:rPr>
              <w:t>)</w:t>
            </w:r>
            <w:r>
              <w:rPr>
                <w:noProof/>
              </w:rPr>
              <w:tab/>
              <w:t>La conformité au règlement (UE) 2019/...</w:t>
            </w:r>
            <w:r>
              <w:rPr>
                <w:noProof/>
                <w:vertAlign w:val="superscript"/>
              </w:rPr>
              <w:t>+</w:t>
            </w:r>
            <w:r>
              <w:rPr>
                <w:noProof/>
              </w:rPr>
              <w:t xml:space="preserve"> est obligatoire. Toutefois, la réception par type pour cette rubrique poste spécifique n’est pas envisagée car elle représente simplement la collection de rubriques individuelles énumérées ailleurs dans le tableau qui font référence au règlement (UE) 2019/...</w:t>
            </w:r>
            <w:r>
              <w:rPr>
                <w:noProof/>
                <w:vertAlign w:val="superscript"/>
              </w:rPr>
              <w:t>+</w:t>
            </w:r>
            <w:r>
              <w:rPr>
                <w:noProof/>
              </w:rPr>
              <w:t>»;</w:t>
            </w: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p>
        </w:tc>
        <w:tc>
          <w:tcPr>
            <w:tcW w:w="9013" w:type="dxa"/>
            <w:gridSpan w:val="99"/>
            <w:vMerge/>
            <w:tcBorders>
              <w:left w:val="nil"/>
              <w:bottom w:val="nil"/>
              <w:right w:val="nil"/>
            </w:tcBorders>
          </w:tcPr>
          <w:p>
            <w:pPr>
              <w:pStyle w:val="Point0"/>
              <w:ind w:left="596" w:hanging="596"/>
              <w:rPr>
                <w:noProof/>
                <w:szCs w:val="24"/>
              </w:rPr>
            </w:pP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r>
              <w:rPr>
                <w:noProof/>
              </w:rPr>
              <w:t>3)</w:t>
            </w:r>
          </w:p>
        </w:tc>
        <w:tc>
          <w:tcPr>
            <w:tcW w:w="9013" w:type="dxa"/>
            <w:gridSpan w:val="99"/>
            <w:tcBorders>
              <w:top w:val="nil"/>
              <w:left w:val="nil"/>
              <w:bottom w:val="nil"/>
              <w:right w:val="nil"/>
            </w:tcBorders>
            <w:shd w:val="clear" w:color="auto" w:fill="auto"/>
          </w:tcPr>
          <w:p>
            <w:pPr>
              <w:pStyle w:val="Point0"/>
              <w:ind w:left="596" w:hanging="596"/>
              <w:rPr>
                <w:noProof/>
                <w:szCs w:val="24"/>
              </w:rPr>
            </w:pPr>
            <w:r>
              <w:rPr>
                <w:noProof/>
              </w:rPr>
              <w:t>dans l’appendice 1 de la partie I, le tableau 1 est modifié comme suit:</w:t>
            </w:r>
          </w:p>
          <w:p>
            <w:pPr>
              <w:pStyle w:val="Point0"/>
              <w:ind w:left="596" w:hanging="596"/>
              <w:rPr>
                <w:noProof/>
                <w:szCs w:val="24"/>
              </w:rPr>
            </w:pPr>
            <w:r>
              <w:rPr>
                <w:noProof/>
              </w:rPr>
              <w:t>a) l’entrée correspondant au numéro 46A est remplacée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«46 A</w:t>
            </w:r>
          </w:p>
        </w:tc>
        <w:tc>
          <w:tcPr>
            <w:tcW w:w="1732" w:type="dxa"/>
            <w:gridSpan w:val="13"/>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Installation des pneumatiques</w:t>
            </w:r>
          </w:p>
        </w:tc>
        <w:tc>
          <w:tcPr>
            <w:tcW w:w="1251" w:type="dxa"/>
            <w:gridSpan w:val="9"/>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Règlement nº 142 de l’ONU</w:t>
            </w:r>
          </w:p>
        </w:tc>
        <w:tc>
          <w:tcPr>
            <w:tcW w:w="2566" w:type="dxa"/>
            <w:gridSpan w:val="33"/>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308"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B»;</w:t>
            </w: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p>
        </w:tc>
        <w:tc>
          <w:tcPr>
            <w:tcW w:w="9013" w:type="dxa"/>
            <w:gridSpan w:val="99"/>
            <w:tcBorders>
              <w:top w:val="nil"/>
              <w:left w:val="nil"/>
              <w:bottom w:val="nil"/>
              <w:right w:val="nil"/>
            </w:tcBorders>
            <w:shd w:val="clear" w:color="auto" w:fill="auto"/>
          </w:tcPr>
          <w:p>
            <w:pPr>
              <w:pStyle w:val="Point0"/>
              <w:ind w:left="596" w:hanging="596"/>
              <w:rPr>
                <w:noProof/>
                <w:szCs w:val="24"/>
              </w:rPr>
            </w:pPr>
            <w:r>
              <w:rPr>
                <w:noProof/>
              </w:rPr>
              <w:t xml:space="preserve"> b) l’entrée correspondant au numéro 58 est remplacée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1732" w:type="dxa"/>
            <w:gridSpan w:val="13"/>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Protection des piétons</w:t>
            </w:r>
          </w:p>
        </w:tc>
        <w:tc>
          <w:tcPr>
            <w:tcW w:w="1251" w:type="dxa"/>
            <w:gridSpan w:val="9"/>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Règlement nº 127 de l’ONU</w:t>
            </w:r>
          </w:p>
        </w:tc>
        <w:tc>
          <w:tcPr>
            <w:tcW w:w="2566" w:type="dxa"/>
            <w:gridSpan w:val="33"/>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308"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A»;</w:t>
            </w: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p>
        </w:tc>
        <w:tc>
          <w:tcPr>
            <w:tcW w:w="9013" w:type="dxa"/>
            <w:gridSpan w:val="99"/>
            <w:tcBorders>
              <w:top w:val="nil"/>
              <w:left w:val="nil"/>
              <w:bottom w:val="nil"/>
              <w:right w:val="nil"/>
            </w:tcBorders>
            <w:shd w:val="clear" w:color="auto" w:fill="auto"/>
          </w:tcPr>
          <w:p>
            <w:pPr>
              <w:pStyle w:val="Point0"/>
              <w:ind w:left="596" w:hanging="596"/>
              <w:rPr>
                <w:noProof/>
                <w:szCs w:val="24"/>
              </w:rPr>
            </w:pPr>
            <w:r>
              <w:rPr>
                <w:noProof/>
              </w:rPr>
              <w:t xml:space="preserve"> c) les entrées correspondant aux numéros 62 et 63 sont remplacées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1732" w:type="dxa"/>
            <w:gridSpan w:val="13"/>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Système hydrogène</w:t>
            </w:r>
          </w:p>
        </w:tc>
        <w:tc>
          <w:tcPr>
            <w:tcW w:w="1251" w:type="dxa"/>
            <w:gridSpan w:val="9"/>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Règlement nº 134 de l’ONU</w:t>
            </w:r>
          </w:p>
        </w:tc>
        <w:tc>
          <w:tcPr>
            <w:tcW w:w="2566" w:type="dxa"/>
            <w:gridSpan w:val="33"/>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308"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1732" w:type="dxa"/>
            <w:gridSpan w:val="13"/>
            <w:tcBorders>
              <w:top w:val="single" w:sz="12" w:space="0" w:color="auto"/>
              <w:left w:val="single" w:sz="2" w:space="0" w:color="auto"/>
              <w:bottom w:val="single" w:sz="12" w:space="0" w:color="auto"/>
              <w:right w:val="single" w:sz="2" w:space="0" w:color="auto"/>
            </w:tcBorders>
          </w:tcPr>
          <w:p>
            <w:pPr>
              <w:spacing w:before="60" w:after="60"/>
              <w:jc w:val="left"/>
              <w:rPr>
                <w:rFonts w:eastAsia="Arial Unicode MS"/>
                <w:noProof/>
                <w:szCs w:val="24"/>
              </w:rPr>
            </w:pPr>
            <w:r>
              <w:rPr>
                <w:noProof/>
              </w:rPr>
              <w:t xml:space="preserve">Sécurité générale </w:t>
            </w:r>
          </w:p>
        </w:tc>
        <w:tc>
          <w:tcPr>
            <w:tcW w:w="1251" w:type="dxa"/>
            <w:gridSpan w:val="9"/>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Règlement (UE) 2019/…</w:t>
            </w:r>
            <w:r>
              <w:rPr>
                <w:noProof/>
                <w:vertAlign w:val="superscript"/>
              </w:rPr>
              <w:t>+</w:t>
            </w:r>
          </w:p>
        </w:tc>
        <w:tc>
          <w:tcPr>
            <w:tcW w:w="2566" w:type="dxa"/>
            <w:gridSpan w:val="33"/>
            <w:tcBorders>
              <w:top w:val="single" w:sz="12" w:space="0" w:color="auto"/>
              <w:left w:val="single" w:sz="2" w:space="0" w:color="auto"/>
              <w:bottom w:val="single" w:sz="12" w:space="0" w:color="auto"/>
              <w:right w:val="single" w:sz="2" w:space="0" w:color="auto"/>
            </w:tcBorders>
          </w:tcPr>
          <w:p>
            <w:pPr>
              <w:spacing w:before="60" w:after="60"/>
              <w:ind w:left="238" w:hanging="238"/>
              <w:jc w:val="left"/>
              <w:rPr>
                <w:rFonts w:eastAsia="Arial Unicode MS"/>
                <w:bCs/>
                <w:noProof/>
                <w:szCs w:val="24"/>
              </w:rPr>
            </w:pPr>
          </w:p>
        </w:tc>
        <w:tc>
          <w:tcPr>
            <w:tcW w:w="3308" w:type="dxa"/>
            <w:gridSpan w:val="41"/>
            <w:tcBorders>
              <w:top w:val="single" w:sz="12" w:space="0" w:color="auto"/>
              <w:left w:val="single" w:sz="2" w:space="0" w:color="auto"/>
              <w:bottom w:val="single" w:sz="12" w:space="0" w:color="auto"/>
              <w:right w:val="single" w:sz="12" w:space="0" w:color="auto"/>
            </w:tcBorders>
          </w:tcPr>
          <w:p>
            <w:pPr>
              <w:spacing w:before="60" w:after="60"/>
              <w:rPr>
                <w:rFonts w:eastAsia="Arial Unicode MS"/>
                <w:bCs/>
                <w:noProof/>
                <w:szCs w:val="24"/>
              </w:rPr>
            </w:pPr>
            <w:r>
              <w:rPr>
                <w:noProof/>
              </w:rPr>
              <w:t>La conformité au règlement (UE) 2019/...</w:t>
            </w:r>
            <w:r>
              <w:rPr>
                <w:noProof/>
                <w:vertAlign w:val="superscript"/>
              </w:rPr>
              <w:t>+</w:t>
            </w:r>
            <w:r>
              <w:rPr>
                <w:noProof/>
              </w:rPr>
              <w:t xml:space="preserve"> est obligatoire. Toutefois, la réception par type pour cette rubrique poste spécifique n’est pas envisagée car elle représente simplement la collection de rubriques individuelles énumérées ailleurs dans le tableau qui font référence au règlement (UE) 2019/...</w:t>
            </w:r>
            <w:r>
              <w:rPr>
                <w:noProof/>
                <w:vertAlign w:val="superscript"/>
              </w:rPr>
              <w:t>+</w:t>
            </w:r>
            <w:r>
              <w:rPr>
                <w:noProof/>
              </w:rPr>
              <w:t>»;</w:t>
            </w: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r>
              <w:rPr>
                <w:noProof/>
              </w:rPr>
              <w:t>4)</w:t>
            </w:r>
          </w:p>
        </w:tc>
        <w:tc>
          <w:tcPr>
            <w:tcW w:w="9013" w:type="dxa"/>
            <w:gridSpan w:val="99"/>
            <w:tcBorders>
              <w:top w:val="nil"/>
              <w:left w:val="nil"/>
              <w:bottom w:val="nil"/>
              <w:right w:val="nil"/>
            </w:tcBorders>
            <w:shd w:val="clear" w:color="auto" w:fill="auto"/>
          </w:tcPr>
          <w:p>
            <w:pPr>
              <w:pStyle w:val="Point0"/>
              <w:ind w:left="596" w:hanging="596"/>
              <w:rPr>
                <w:noProof/>
                <w:szCs w:val="24"/>
              </w:rPr>
            </w:pPr>
            <w:r>
              <w:rPr>
                <w:noProof/>
              </w:rPr>
              <w:t xml:space="preserve"> dans les notes explicatives du tableau 1 de l’appendice 1, le paragraphe final est supprimé;</w:t>
            </w: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r>
              <w:rPr>
                <w:noProof/>
              </w:rPr>
              <w:t>5)</w:t>
            </w:r>
          </w:p>
        </w:tc>
        <w:tc>
          <w:tcPr>
            <w:tcW w:w="9013" w:type="dxa"/>
            <w:gridSpan w:val="99"/>
            <w:tcBorders>
              <w:top w:val="nil"/>
              <w:left w:val="nil"/>
              <w:bottom w:val="nil"/>
              <w:right w:val="nil"/>
            </w:tcBorders>
            <w:shd w:val="clear" w:color="auto" w:fill="auto"/>
          </w:tcPr>
          <w:p>
            <w:pPr>
              <w:pStyle w:val="Point0"/>
              <w:ind w:left="596" w:hanging="596"/>
              <w:rPr>
                <w:noProof/>
                <w:szCs w:val="24"/>
              </w:rPr>
            </w:pPr>
            <w:r>
              <w:rPr>
                <w:noProof/>
              </w:rPr>
              <w:t>dans l’appendice 1 de la partie I, le tableau 2 est modifié comme suit:</w:t>
            </w:r>
          </w:p>
          <w:p>
            <w:pPr>
              <w:pStyle w:val="Point0"/>
              <w:ind w:left="596" w:hanging="596"/>
              <w:rPr>
                <w:noProof/>
                <w:szCs w:val="24"/>
              </w:rPr>
            </w:pPr>
            <w:r>
              <w:rPr>
                <w:noProof/>
              </w:rPr>
              <w:t>a) l’entrée correspondant au numéro 46A est remplacée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«46 A</w:t>
            </w:r>
          </w:p>
        </w:tc>
        <w:tc>
          <w:tcPr>
            <w:tcW w:w="1732" w:type="dxa"/>
            <w:gridSpan w:val="13"/>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Installation des pneumatiques</w:t>
            </w:r>
          </w:p>
        </w:tc>
        <w:tc>
          <w:tcPr>
            <w:tcW w:w="1251" w:type="dxa"/>
            <w:gridSpan w:val="9"/>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Règlement nº 142 de l’ONU</w:t>
            </w:r>
          </w:p>
        </w:tc>
        <w:tc>
          <w:tcPr>
            <w:tcW w:w="2566" w:type="dxa"/>
            <w:gridSpan w:val="33"/>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308"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B»;</w:t>
            </w: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p>
        </w:tc>
        <w:tc>
          <w:tcPr>
            <w:tcW w:w="9013" w:type="dxa"/>
            <w:gridSpan w:val="99"/>
            <w:tcBorders>
              <w:top w:val="nil"/>
              <w:left w:val="nil"/>
              <w:bottom w:val="nil"/>
              <w:right w:val="nil"/>
            </w:tcBorders>
            <w:shd w:val="clear" w:color="auto" w:fill="auto"/>
          </w:tcPr>
          <w:p>
            <w:pPr>
              <w:pStyle w:val="Point0"/>
              <w:ind w:left="596" w:hanging="596"/>
              <w:rPr>
                <w:noProof/>
                <w:szCs w:val="24"/>
              </w:rPr>
            </w:pPr>
            <w:r>
              <w:rPr>
                <w:noProof/>
              </w:rPr>
              <w:t>b) l’entrée correspondant au numéro 58 est remplacée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1732" w:type="dxa"/>
            <w:gridSpan w:val="13"/>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Protection des piétons</w:t>
            </w:r>
          </w:p>
        </w:tc>
        <w:tc>
          <w:tcPr>
            <w:tcW w:w="1251" w:type="dxa"/>
            <w:gridSpan w:val="9"/>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Règlement nº 127 de l’ONU</w:t>
            </w:r>
          </w:p>
        </w:tc>
        <w:tc>
          <w:tcPr>
            <w:tcW w:w="2566" w:type="dxa"/>
            <w:gridSpan w:val="33"/>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308"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A»;</w:t>
            </w:r>
          </w:p>
        </w:tc>
      </w:tr>
      <w:tr>
        <w:trPr>
          <w:gridAfter w:val="8"/>
          <w:wAfter w:w="458" w:type="dxa"/>
        </w:trPr>
        <w:tc>
          <w:tcPr>
            <w:tcW w:w="504" w:type="dxa"/>
            <w:gridSpan w:val="4"/>
            <w:tcBorders>
              <w:top w:val="nil"/>
              <w:left w:val="nil"/>
              <w:bottom w:val="nil"/>
              <w:right w:val="nil"/>
            </w:tcBorders>
            <w:shd w:val="clear" w:color="auto" w:fill="auto"/>
          </w:tcPr>
          <w:p>
            <w:pPr>
              <w:rPr>
                <w:noProof/>
                <w:szCs w:val="24"/>
              </w:rPr>
            </w:pPr>
          </w:p>
        </w:tc>
        <w:tc>
          <w:tcPr>
            <w:tcW w:w="9013" w:type="dxa"/>
            <w:gridSpan w:val="99"/>
            <w:tcBorders>
              <w:top w:val="nil"/>
              <w:left w:val="nil"/>
              <w:bottom w:val="nil"/>
              <w:right w:val="nil"/>
            </w:tcBorders>
            <w:shd w:val="clear" w:color="auto" w:fill="auto"/>
          </w:tcPr>
          <w:p>
            <w:pPr>
              <w:pStyle w:val="Point0"/>
              <w:ind w:left="596" w:hanging="596"/>
              <w:rPr>
                <w:noProof/>
                <w:szCs w:val="24"/>
              </w:rPr>
            </w:pPr>
            <w:r>
              <w:rPr>
                <w:noProof/>
              </w:rPr>
              <w:t xml:space="preserve"> c) les entrées correspondant aux numéros 62 et 63 sont remplacées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1732" w:type="dxa"/>
            <w:gridSpan w:val="13"/>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Système hydrogène</w:t>
            </w:r>
          </w:p>
        </w:tc>
        <w:tc>
          <w:tcPr>
            <w:tcW w:w="1251" w:type="dxa"/>
            <w:gridSpan w:val="9"/>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Règlement nº 134 de l’ONU</w:t>
            </w:r>
          </w:p>
        </w:tc>
        <w:tc>
          <w:tcPr>
            <w:tcW w:w="2566" w:type="dxa"/>
            <w:gridSpan w:val="33"/>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308"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1732" w:type="dxa"/>
            <w:gridSpan w:val="13"/>
            <w:tcBorders>
              <w:top w:val="single" w:sz="12" w:space="0" w:color="auto"/>
              <w:left w:val="single" w:sz="2" w:space="0" w:color="auto"/>
              <w:bottom w:val="single" w:sz="12" w:space="0" w:color="auto"/>
              <w:right w:val="single" w:sz="2" w:space="0" w:color="auto"/>
            </w:tcBorders>
          </w:tcPr>
          <w:p>
            <w:pPr>
              <w:spacing w:before="60" w:after="60"/>
              <w:jc w:val="left"/>
              <w:rPr>
                <w:rFonts w:eastAsia="Arial Unicode MS"/>
                <w:noProof/>
                <w:szCs w:val="24"/>
              </w:rPr>
            </w:pPr>
            <w:r>
              <w:rPr>
                <w:noProof/>
              </w:rPr>
              <w:t>Sécurité générale</w:t>
            </w:r>
          </w:p>
        </w:tc>
        <w:tc>
          <w:tcPr>
            <w:tcW w:w="1251" w:type="dxa"/>
            <w:gridSpan w:val="9"/>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Règlement (UE) 2019/…</w:t>
            </w:r>
            <w:r>
              <w:rPr>
                <w:noProof/>
                <w:vertAlign w:val="superscript"/>
              </w:rPr>
              <w:t>+</w:t>
            </w:r>
          </w:p>
        </w:tc>
        <w:tc>
          <w:tcPr>
            <w:tcW w:w="2566" w:type="dxa"/>
            <w:gridSpan w:val="33"/>
            <w:tcBorders>
              <w:top w:val="single" w:sz="12" w:space="0" w:color="auto"/>
              <w:left w:val="single" w:sz="2" w:space="0" w:color="auto"/>
              <w:bottom w:val="single" w:sz="12" w:space="0" w:color="auto"/>
              <w:right w:val="single" w:sz="2" w:space="0" w:color="auto"/>
            </w:tcBorders>
          </w:tcPr>
          <w:p>
            <w:pPr>
              <w:spacing w:before="60" w:after="60"/>
              <w:ind w:left="238" w:hanging="238"/>
              <w:jc w:val="left"/>
              <w:rPr>
                <w:rFonts w:eastAsia="Arial Unicode MS"/>
                <w:bCs/>
                <w:noProof/>
                <w:szCs w:val="24"/>
              </w:rPr>
            </w:pPr>
          </w:p>
        </w:tc>
        <w:tc>
          <w:tcPr>
            <w:tcW w:w="3308" w:type="dxa"/>
            <w:gridSpan w:val="41"/>
            <w:tcBorders>
              <w:top w:val="single" w:sz="12" w:space="0" w:color="auto"/>
              <w:left w:val="single" w:sz="2" w:space="0" w:color="auto"/>
              <w:bottom w:val="single" w:sz="12" w:space="0" w:color="auto"/>
              <w:right w:val="single" w:sz="12" w:space="0" w:color="auto"/>
            </w:tcBorders>
          </w:tcPr>
          <w:p>
            <w:pPr>
              <w:spacing w:before="60" w:after="60"/>
              <w:rPr>
                <w:rFonts w:eastAsia="Arial Unicode MS"/>
                <w:bCs/>
                <w:noProof/>
                <w:szCs w:val="24"/>
              </w:rPr>
            </w:pPr>
            <w:r>
              <w:rPr>
                <w:noProof/>
              </w:rPr>
              <w:t>La conformité au règlement (UE) 2019/...</w:t>
            </w:r>
            <w:r>
              <w:rPr>
                <w:noProof/>
                <w:vertAlign w:val="superscript"/>
              </w:rPr>
              <w:t>+</w:t>
            </w:r>
            <w:r>
              <w:rPr>
                <w:noProof/>
              </w:rPr>
              <w:t xml:space="preserve"> est obligatoire. Toutefois, la réception par type pour cette rubrique poste spécifique n’est pas envisagée car elle représente simplement la collection de rubriques individuelles énumérées ailleurs dans le tableau qui font référence au règlement (UE) 2019/...</w:t>
            </w:r>
            <w:r>
              <w:rPr>
                <w:noProof/>
                <w:vertAlign w:val="superscript"/>
              </w:rPr>
              <w:t>+</w:t>
            </w:r>
            <w:r>
              <w:rPr>
                <w:noProof/>
              </w:rPr>
              <w:t>»;</w:t>
            </w:r>
          </w:p>
        </w:tc>
      </w:tr>
      <w:tr>
        <w:trPr>
          <w:gridAfter w:val="8"/>
          <w:wAfter w:w="458" w:type="dxa"/>
        </w:trPr>
        <w:tc>
          <w:tcPr>
            <w:tcW w:w="660" w:type="dxa"/>
            <w:gridSpan w:val="7"/>
            <w:tcBorders>
              <w:top w:val="nil"/>
              <w:left w:val="nil"/>
              <w:bottom w:val="nil"/>
              <w:right w:val="nil"/>
            </w:tcBorders>
            <w:shd w:val="clear" w:color="auto" w:fill="auto"/>
          </w:tcPr>
          <w:p>
            <w:pPr>
              <w:rPr>
                <w:noProof/>
                <w:szCs w:val="24"/>
              </w:rPr>
            </w:pPr>
            <w:r>
              <w:rPr>
                <w:noProof/>
              </w:rPr>
              <w:t>6)</w:t>
            </w:r>
          </w:p>
        </w:tc>
        <w:tc>
          <w:tcPr>
            <w:tcW w:w="8857" w:type="dxa"/>
            <w:gridSpan w:val="96"/>
            <w:tcBorders>
              <w:top w:val="nil"/>
              <w:left w:val="nil"/>
              <w:bottom w:val="nil"/>
              <w:right w:val="nil"/>
            </w:tcBorders>
            <w:shd w:val="clear" w:color="auto" w:fill="auto"/>
          </w:tcPr>
          <w:p>
            <w:pPr>
              <w:pStyle w:val="Point0"/>
              <w:ind w:left="596" w:hanging="596"/>
              <w:rPr>
                <w:noProof/>
                <w:szCs w:val="24"/>
              </w:rPr>
            </w:pPr>
            <w:r>
              <w:rPr>
                <w:noProof/>
              </w:rPr>
              <w:t>dans l’appendice 2 de la partie I, le point 4 est modifié comme suit:</w:t>
            </w:r>
          </w:p>
          <w:p>
            <w:pPr>
              <w:pStyle w:val="Point0"/>
              <w:ind w:left="596" w:hanging="596"/>
              <w:rPr>
                <w:noProof/>
                <w:szCs w:val="24"/>
              </w:rPr>
            </w:pPr>
            <w:r>
              <w:rPr>
                <w:noProof/>
              </w:rPr>
              <w:t>a) le tableau intitulé «Partie I: Véhicules appartenant à la catégorie M</w:t>
            </w:r>
            <w:r>
              <w:rPr>
                <w:noProof/>
                <w:vertAlign w:val="subscript"/>
              </w:rPr>
              <w:t>1</w:t>
            </w:r>
            <w:r>
              <w:rPr>
                <w:noProof/>
              </w:rPr>
              <w:t>» est modifié comme suit:</w:t>
            </w:r>
          </w:p>
          <w:p>
            <w:pPr>
              <w:pStyle w:val="Point0"/>
              <w:ind w:left="596" w:firstLine="8"/>
              <w:rPr>
                <w:noProof/>
                <w:szCs w:val="24"/>
              </w:rPr>
            </w:pPr>
            <w:r>
              <w:rPr>
                <w:noProof/>
              </w:rPr>
              <w:t>i) l’entrée correspondant au numéro 58 est remplacée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3120" w:type="dxa"/>
            <w:gridSpan w:val="24"/>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nº 127 de l’ONU</w:t>
            </w:r>
          </w:p>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(Protection des piétons)</w:t>
            </w:r>
          </w:p>
        </w:tc>
        <w:tc>
          <w:tcPr>
            <w:tcW w:w="5737" w:type="dxa"/>
            <w:gridSpan w:val="72"/>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Les véhicules doivent être équipés d’un système électronique de freinage antiblocage agissant sur toutes les roues.</w:t>
            </w:r>
          </w:p>
          <w:p>
            <w:pPr>
              <w:spacing w:before="60" w:after="60"/>
              <w:rPr>
                <w:rFonts w:eastAsia="Arial Unicode MS"/>
                <w:bCs/>
                <w:noProof/>
                <w:szCs w:val="24"/>
              </w:rPr>
            </w:pPr>
            <w:r>
              <w:rPr>
                <w:noProof/>
              </w:rPr>
              <w:t>Les prescriptions du règlement nº 127 de l’ONU s’appliquent.</w:t>
            </w:r>
          </w:p>
          <w:p>
            <w:pPr>
              <w:spacing w:before="60" w:after="60"/>
              <w:rPr>
                <w:rFonts w:eastAsia="Arial Unicode MS"/>
                <w:bCs/>
                <w:noProof/>
                <w:szCs w:val="24"/>
              </w:rPr>
            </w:pPr>
            <w:r>
              <w:rPr>
                <w:noProof/>
              </w:rPr>
              <w:t>Tout système de protection frontale doit soit faire partie intégrante du véhicule et donc être conforme aux prescriptions du règlement nº 127 de l’ONU, soit être réceptionné par type en tant qu’entité technique distincte»;</w:t>
            </w:r>
          </w:p>
        </w:tc>
      </w:tr>
      <w:tr>
        <w:trPr>
          <w:gridAfter w:val="8"/>
          <w:wAfter w:w="458" w:type="dxa"/>
        </w:trPr>
        <w:tc>
          <w:tcPr>
            <w:tcW w:w="660" w:type="dxa"/>
            <w:gridSpan w:val="7"/>
            <w:tcBorders>
              <w:top w:val="nil"/>
              <w:left w:val="nil"/>
              <w:bottom w:val="nil"/>
              <w:right w:val="nil"/>
            </w:tcBorders>
            <w:shd w:val="clear" w:color="auto" w:fill="auto"/>
          </w:tcPr>
          <w:p>
            <w:pPr>
              <w:rPr>
                <w:noProof/>
                <w:szCs w:val="24"/>
              </w:rPr>
            </w:pPr>
          </w:p>
        </w:tc>
        <w:tc>
          <w:tcPr>
            <w:tcW w:w="8857" w:type="dxa"/>
            <w:gridSpan w:val="96"/>
            <w:tcBorders>
              <w:top w:val="nil"/>
              <w:left w:val="nil"/>
              <w:bottom w:val="nil"/>
              <w:right w:val="nil"/>
            </w:tcBorders>
            <w:shd w:val="clear" w:color="auto" w:fill="auto"/>
          </w:tcPr>
          <w:p>
            <w:pPr>
              <w:pStyle w:val="Point0"/>
              <w:ind w:left="596" w:firstLine="8"/>
              <w:rPr>
                <w:noProof/>
                <w:szCs w:val="24"/>
              </w:rPr>
            </w:pPr>
            <w:r>
              <w:rPr>
                <w:noProof/>
              </w:rPr>
              <w:t>ii) l’entrée suivante est insérée à l’endroit approprié par numéro de rubrique: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3120" w:type="dxa"/>
            <w:gridSpan w:val="24"/>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nº 134 de l’ONU</w:t>
            </w:r>
          </w:p>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(Système hydrogène)</w:t>
            </w:r>
          </w:p>
        </w:tc>
        <w:tc>
          <w:tcPr>
            <w:tcW w:w="5737" w:type="dxa"/>
            <w:gridSpan w:val="72"/>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Les prescriptions du règlement nº 134 de l’ONU s’appliquent.</w:t>
            </w:r>
          </w:p>
          <w:p>
            <w:pPr>
              <w:spacing w:before="60" w:after="60"/>
              <w:rPr>
                <w:rFonts w:eastAsia="Arial Unicode MS"/>
                <w:bCs/>
                <w:noProof/>
                <w:szCs w:val="24"/>
              </w:rPr>
            </w:pPr>
            <w:r>
              <w:rPr>
                <w:noProof/>
              </w:rPr>
              <w:t>À titre d’alternative, il doit être démontré que le véhicule est conforme aux normes et règlements suivants:</w:t>
            </w:r>
          </w:p>
          <w:p>
            <w:pPr>
              <w:pStyle w:val="ListParagraph"/>
              <w:numPr>
                <w:ilvl w:val="0"/>
                <w:numId w:val="30"/>
              </w:numPr>
              <w:spacing w:before="60" w:after="60"/>
              <w:ind w:left="420"/>
              <w:rPr>
                <w:rFonts w:eastAsia="Arial Unicode MS"/>
                <w:bCs/>
                <w:noProof/>
                <w:szCs w:val="24"/>
              </w:rPr>
            </w:pPr>
            <w:r>
              <w:rPr>
                <w:noProof/>
              </w:rPr>
              <w:t>prescriptions de fond du règlement (CE) nº 79/2009 dans sa version applicable le [</w:t>
            </w:r>
            <w:r>
              <w:rPr>
                <w:i/>
                <w:noProof/>
              </w:rPr>
              <w:t>OP: prière d’insérer la date précédant immédiatement la date d’application du présent règlement</w:t>
            </w:r>
            <w:r>
              <w:rPr>
                <w:noProof/>
              </w:rPr>
              <w:t>].</w:t>
            </w:r>
          </w:p>
          <w:p>
            <w:pPr>
              <w:pStyle w:val="ListParagraph"/>
              <w:numPr>
                <w:ilvl w:val="0"/>
                <w:numId w:val="30"/>
              </w:numPr>
              <w:spacing w:before="60" w:after="60"/>
              <w:ind w:left="420"/>
              <w:rPr>
                <w:rFonts w:eastAsia="Arial Unicode MS"/>
                <w:bCs/>
                <w:noProof/>
                <w:szCs w:val="24"/>
              </w:rPr>
            </w:pPr>
            <w:r>
              <w:rPr>
                <w:noProof/>
              </w:rPr>
              <w:t>Attachment 100 – Technical Standard For Fuel Systems Of Motor Vehicle Fueled By Compressed Hydrogen Gas (Japon);</w:t>
            </w:r>
          </w:p>
          <w:p>
            <w:pPr>
              <w:pStyle w:val="ListParagraph"/>
              <w:numPr>
                <w:ilvl w:val="0"/>
                <w:numId w:val="30"/>
              </w:numPr>
              <w:spacing w:before="60" w:after="60"/>
              <w:ind w:left="420"/>
              <w:rPr>
                <w:rFonts w:eastAsia="Arial Unicode MS"/>
                <w:bCs/>
                <w:noProof/>
                <w:szCs w:val="24"/>
              </w:rPr>
            </w:pPr>
            <w:r>
              <w:rPr>
                <w:noProof/>
              </w:rPr>
              <w:t>GB/T 24549-2009 Fuel cell electric vehicles – safety requirements (Chine);</w:t>
            </w:r>
          </w:p>
          <w:p>
            <w:pPr>
              <w:pStyle w:val="ListParagraph"/>
              <w:numPr>
                <w:ilvl w:val="0"/>
                <w:numId w:val="30"/>
              </w:numPr>
              <w:spacing w:before="60" w:after="60"/>
              <w:ind w:left="420"/>
              <w:rPr>
                <w:rFonts w:eastAsia="Arial Unicode MS"/>
                <w:bCs/>
                <w:noProof/>
                <w:szCs w:val="24"/>
              </w:rPr>
            </w:pPr>
            <w:r>
              <w:rPr>
                <w:noProof/>
              </w:rPr>
              <w:t>Norme internationale ISO 23273:2013 Partie 1: Sécurité fonctionnelle des véhicules et Partie 2: Protection contre les dangers de l'hydrogène pour les véhicules utilisant de l'hydrogène comprimé;</w:t>
            </w:r>
          </w:p>
          <w:p>
            <w:pPr>
              <w:pStyle w:val="ListParagraph"/>
              <w:numPr>
                <w:ilvl w:val="0"/>
                <w:numId w:val="30"/>
              </w:numPr>
              <w:spacing w:before="60" w:after="60"/>
              <w:ind w:left="420"/>
              <w:rPr>
                <w:rFonts w:eastAsia="Arial Unicode MS"/>
                <w:bCs/>
                <w:noProof/>
                <w:szCs w:val="24"/>
              </w:rPr>
            </w:pPr>
            <w:r>
              <w:rPr>
                <w:noProof/>
              </w:rPr>
              <w:t>SAE J2578 – General Fuel Cell Vehicle Safety»;</w:t>
            </w:r>
          </w:p>
        </w:tc>
      </w:tr>
      <w:tr>
        <w:trPr>
          <w:gridAfter w:val="8"/>
          <w:wAfter w:w="458" w:type="dxa"/>
        </w:trPr>
        <w:tc>
          <w:tcPr>
            <w:tcW w:w="660" w:type="dxa"/>
            <w:gridSpan w:val="7"/>
            <w:tcBorders>
              <w:top w:val="nil"/>
              <w:left w:val="nil"/>
              <w:bottom w:val="nil"/>
              <w:right w:val="nil"/>
            </w:tcBorders>
            <w:shd w:val="clear" w:color="auto" w:fill="auto"/>
          </w:tcPr>
          <w:p>
            <w:pPr>
              <w:rPr>
                <w:noProof/>
                <w:szCs w:val="24"/>
              </w:rPr>
            </w:pPr>
          </w:p>
        </w:tc>
        <w:tc>
          <w:tcPr>
            <w:tcW w:w="8857" w:type="dxa"/>
            <w:gridSpan w:val="96"/>
            <w:tcBorders>
              <w:top w:val="nil"/>
              <w:left w:val="nil"/>
              <w:bottom w:val="nil"/>
              <w:right w:val="nil"/>
            </w:tcBorders>
            <w:shd w:val="clear" w:color="auto" w:fill="auto"/>
          </w:tcPr>
          <w:p>
            <w:pPr>
              <w:pStyle w:val="Point0"/>
              <w:ind w:left="596" w:hanging="596"/>
              <w:rPr>
                <w:noProof/>
                <w:szCs w:val="24"/>
              </w:rPr>
            </w:pPr>
            <w:r>
              <w:rPr>
                <w:noProof/>
              </w:rPr>
              <w:t>b) le tableau intitulé «Partie II: Véhicules appartenant à la catégorie N</w:t>
            </w:r>
            <w:r>
              <w:rPr>
                <w:noProof/>
                <w:vertAlign w:val="subscript"/>
              </w:rPr>
              <w:t>1</w:t>
            </w:r>
            <w:r>
              <w:rPr>
                <w:noProof/>
              </w:rPr>
              <w:t>» est modifié comme suit:</w:t>
            </w:r>
          </w:p>
          <w:p>
            <w:pPr>
              <w:pStyle w:val="Point0"/>
              <w:ind w:left="596" w:firstLine="8"/>
              <w:rPr>
                <w:noProof/>
                <w:szCs w:val="24"/>
              </w:rPr>
            </w:pPr>
            <w:r>
              <w:rPr>
                <w:noProof/>
              </w:rPr>
              <w:t>i) l’entrée correspondant au numéro 58 est remplacée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3547" w:type="dxa"/>
            <w:gridSpan w:val="29"/>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nº 127 de l’ONU</w:t>
            </w:r>
          </w:p>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(Protection des piétons)</w:t>
            </w:r>
          </w:p>
        </w:tc>
        <w:tc>
          <w:tcPr>
            <w:tcW w:w="5310"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Les véhicules doivent être équipés d’un système électronique de freinage antiblocage agissant sur toutes les roues.</w:t>
            </w:r>
          </w:p>
          <w:p>
            <w:pPr>
              <w:spacing w:before="60" w:after="60"/>
              <w:rPr>
                <w:rFonts w:eastAsia="Arial Unicode MS"/>
                <w:bCs/>
                <w:noProof/>
                <w:szCs w:val="24"/>
              </w:rPr>
            </w:pPr>
            <w:r>
              <w:rPr>
                <w:noProof/>
              </w:rPr>
              <w:t>Les prescriptions du règlement nº 127 de l’ONU s’appliquent.</w:t>
            </w:r>
          </w:p>
          <w:p>
            <w:pPr>
              <w:spacing w:before="60" w:after="60"/>
              <w:rPr>
                <w:rFonts w:eastAsia="Arial Unicode MS"/>
                <w:bCs/>
                <w:noProof/>
                <w:szCs w:val="24"/>
              </w:rPr>
            </w:pPr>
            <w:r>
              <w:rPr>
                <w:noProof/>
              </w:rPr>
              <w:t>Tout système de protection frontale doit soit faire partie intégrante du véhicule et donc être conforme aux prescriptions du règlement nº 127 de l’ONU, soit être réceptionné par type en tant qu’entité technique distincte»;</w:t>
            </w:r>
          </w:p>
        </w:tc>
      </w:tr>
      <w:tr>
        <w:trPr>
          <w:gridAfter w:val="8"/>
          <w:wAfter w:w="458" w:type="dxa"/>
        </w:trPr>
        <w:tc>
          <w:tcPr>
            <w:tcW w:w="660" w:type="dxa"/>
            <w:gridSpan w:val="7"/>
            <w:tcBorders>
              <w:top w:val="nil"/>
              <w:left w:val="nil"/>
              <w:bottom w:val="nil"/>
              <w:right w:val="nil"/>
            </w:tcBorders>
            <w:shd w:val="clear" w:color="auto" w:fill="auto"/>
          </w:tcPr>
          <w:p>
            <w:pPr>
              <w:rPr>
                <w:noProof/>
                <w:szCs w:val="24"/>
              </w:rPr>
            </w:pPr>
          </w:p>
        </w:tc>
        <w:tc>
          <w:tcPr>
            <w:tcW w:w="8857" w:type="dxa"/>
            <w:gridSpan w:val="96"/>
            <w:tcBorders>
              <w:top w:val="nil"/>
              <w:left w:val="nil"/>
              <w:bottom w:val="nil"/>
              <w:right w:val="nil"/>
            </w:tcBorders>
            <w:shd w:val="clear" w:color="auto" w:fill="auto"/>
          </w:tcPr>
          <w:p>
            <w:pPr>
              <w:pStyle w:val="Point0"/>
              <w:ind w:left="596" w:firstLine="8"/>
              <w:rPr>
                <w:noProof/>
                <w:szCs w:val="24"/>
              </w:rPr>
            </w:pPr>
            <w:r>
              <w:rPr>
                <w:noProof/>
              </w:rPr>
              <w:t>ii) l’entrée suivante est insérée à l’endroit approprié par numéro de rubrique: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458" w:type="dxa"/>
        </w:trPr>
        <w:tc>
          <w:tcPr>
            <w:tcW w:w="660"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3547" w:type="dxa"/>
            <w:gridSpan w:val="29"/>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nº 134 de l’ONU</w:t>
            </w:r>
          </w:p>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(Système hydrogène)</w:t>
            </w:r>
          </w:p>
        </w:tc>
        <w:tc>
          <w:tcPr>
            <w:tcW w:w="5310"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Les prescriptions du règlement nº 134 de l’ONU s’appliquent.</w:t>
            </w:r>
          </w:p>
          <w:p>
            <w:pPr>
              <w:spacing w:before="60" w:after="60"/>
              <w:rPr>
                <w:rFonts w:eastAsia="Arial Unicode MS"/>
                <w:bCs/>
                <w:noProof/>
                <w:szCs w:val="24"/>
              </w:rPr>
            </w:pPr>
            <w:r>
              <w:rPr>
                <w:noProof/>
              </w:rPr>
              <w:t>À titre d’alternative, il doit être démontré que le véhicule est conforme aux normes et règlements suivants:</w:t>
            </w:r>
          </w:p>
          <w:p>
            <w:pPr>
              <w:pStyle w:val="ListParagraph"/>
              <w:numPr>
                <w:ilvl w:val="0"/>
                <w:numId w:val="30"/>
              </w:numPr>
              <w:spacing w:before="60" w:after="60"/>
              <w:ind w:left="420"/>
              <w:rPr>
                <w:rFonts w:eastAsia="Arial Unicode MS"/>
                <w:bCs/>
                <w:noProof/>
                <w:szCs w:val="24"/>
              </w:rPr>
            </w:pPr>
            <w:r>
              <w:rPr>
                <w:noProof/>
              </w:rPr>
              <w:t>prescriptions de fond du règlement (CE) nº 79/2009 dans sa version applicable le [</w:t>
            </w:r>
            <w:r>
              <w:rPr>
                <w:i/>
                <w:noProof/>
              </w:rPr>
              <w:t>OP: prière d’insérer la date précédant immédiatement la date d’application du présent règlement</w:t>
            </w:r>
            <w:r>
              <w:rPr>
                <w:noProof/>
              </w:rPr>
              <w:t>].</w:t>
            </w:r>
          </w:p>
          <w:p>
            <w:pPr>
              <w:pStyle w:val="ListParagraph"/>
              <w:numPr>
                <w:ilvl w:val="0"/>
                <w:numId w:val="30"/>
              </w:numPr>
              <w:spacing w:before="60" w:after="60"/>
              <w:ind w:left="420"/>
              <w:rPr>
                <w:rFonts w:eastAsia="Arial Unicode MS"/>
                <w:bCs/>
                <w:noProof/>
                <w:szCs w:val="24"/>
              </w:rPr>
            </w:pPr>
            <w:r>
              <w:rPr>
                <w:noProof/>
              </w:rPr>
              <w:t>Attachment 100 – Technical Standard For Fuel Systems Of Motor Vehicle Fueled By Compressed Hydrogen Gas (Japon);</w:t>
            </w:r>
          </w:p>
          <w:p>
            <w:pPr>
              <w:pStyle w:val="ListParagraph"/>
              <w:numPr>
                <w:ilvl w:val="0"/>
                <w:numId w:val="30"/>
              </w:numPr>
              <w:spacing w:before="60" w:after="60"/>
              <w:ind w:left="420"/>
              <w:rPr>
                <w:rFonts w:eastAsia="Arial Unicode MS"/>
                <w:bCs/>
                <w:noProof/>
                <w:szCs w:val="24"/>
              </w:rPr>
            </w:pPr>
            <w:r>
              <w:rPr>
                <w:noProof/>
              </w:rPr>
              <w:t>GB/T 24549-2009 Fuel cell electric vehicles – safety requirements (Chine);</w:t>
            </w:r>
          </w:p>
          <w:p>
            <w:pPr>
              <w:pStyle w:val="ListParagraph"/>
              <w:numPr>
                <w:ilvl w:val="0"/>
                <w:numId w:val="30"/>
              </w:numPr>
              <w:spacing w:before="60" w:after="60"/>
              <w:ind w:left="420"/>
              <w:rPr>
                <w:rFonts w:eastAsia="Arial Unicode MS"/>
                <w:bCs/>
                <w:noProof/>
                <w:szCs w:val="24"/>
              </w:rPr>
            </w:pPr>
            <w:r>
              <w:rPr>
                <w:noProof/>
              </w:rPr>
              <w:t>Norme internationale ISO 23273:2013 Partie 1: sécurité fonctionnelle des véhicules et partie 2: Protection contre les dangers de l'hydrogène pour les véhicules utilisant de l'hydrogène comprimé;</w:t>
            </w:r>
          </w:p>
          <w:p>
            <w:pPr>
              <w:pStyle w:val="ListParagraph"/>
              <w:numPr>
                <w:ilvl w:val="0"/>
                <w:numId w:val="30"/>
              </w:numPr>
              <w:spacing w:before="60" w:after="60"/>
              <w:ind w:left="420"/>
              <w:rPr>
                <w:rFonts w:eastAsia="Arial Unicode MS"/>
                <w:bCs/>
                <w:noProof/>
                <w:szCs w:val="24"/>
              </w:rPr>
            </w:pPr>
            <w:r>
              <w:rPr>
                <w:noProof/>
              </w:rPr>
              <w:t>SAE J2578 – General Fuel Cell Vehicle Safety»;</w:t>
            </w:r>
          </w:p>
        </w:tc>
      </w:tr>
      <w:tr>
        <w:trPr>
          <w:gridAfter w:val="8"/>
          <w:wAfter w:w="458" w:type="dxa"/>
        </w:trPr>
        <w:tc>
          <w:tcPr>
            <w:tcW w:w="660" w:type="dxa"/>
            <w:gridSpan w:val="7"/>
            <w:tcBorders>
              <w:top w:val="nil"/>
              <w:left w:val="nil"/>
              <w:bottom w:val="nil"/>
              <w:right w:val="nil"/>
            </w:tcBorders>
            <w:shd w:val="clear" w:color="auto" w:fill="auto"/>
          </w:tcPr>
          <w:p>
            <w:pPr>
              <w:rPr>
                <w:noProof/>
                <w:szCs w:val="24"/>
              </w:rPr>
            </w:pPr>
            <w:r>
              <w:rPr>
                <w:noProof/>
              </w:rPr>
              <w:t>7)</w:t>
            </w:r>
          </w:p>
        </w:tc>
        <w:tc>
          <w:tcPr>
            <w:tcW w:w="8857" w:type="dxa"/>
            <w:gridSpan w:val="96"/>
            <w:tcBorders>
              <w:top w:val="nil"/>
              <w:left w:val="nil"/>
              <w:bottom w:val="nil"/>
              <w:right w:val="nil"/>
            </w:tcBorders>
            <w:shd w:val="clear" w:color="auto" w:fill="auto"/>
          </w:tcPr>
          <w:p>
            <w:pPr>
              <w:pStyle w:val="Point0"/>
              <w:ind w:left="596" w:hanging="596"/>
              <w:rPr>
                <w:noProof/>
                <w:szCs w:val="24"/>
              </w:rPr>
            </w:pPr>
            <w:r>
              <w:rPr>
                <w:noProof/>
              </w:rPr>
              <w:t>dans la partie II, dans le tableau, les entrées correspondant aux numéros 58, 65 et 66 sont supprimées;</w:t>
            </w:r>
          </w:p>
        </w:tc>
      </w:tr>
      <w:tr>
        <w:trPr>
          <w:gridAfter w:val="8"/>
          <w:wAfter w:w="458" w:type="dxa"/>
        </w:trPr>
        <w:tc>
          <w:tcPr>
            <w:tcW w:w="660" w:type="dxa"/>
            <w:gridSpan w:val="7"/>
            <w:tcBorders>
              <w:top w:val="nil"/>
              <w:left w:val="nil"/>
              <w:bottom w:val="nil"/>
              <w:right w:val="nil"/>
            </w:tcBorders>
            <w:shd w:val="clear" w:color="auto" w:fill="auto"/>
          </w:tcPr>
          <w:p>
            <w:pPr>
              <w:rPr>
                <w:noProof/>
                <w:szCs w:val="24"/>
              </w:rPr>
            </w:pPr>
            <w:r>
              <w:rPr>
                <w:noProof/>
              </w:rPr>
              <w:t>8)</w:t>
            </w:r>
          </w:p>
        </w:tc>
        <w:tc>
          <w:tcPr>
            <w:tcW w:w="8857" w:type="dxa"/>
            <w:gridSpan w:val="96"/>
            <w:tcBorders>
              <w:top w:val="nil"/>
              <w:left w:val="nil"/>
              <w:bottom w:val="nil"/>
              <w:right w:val="nil"/>
            </w:tcBorders>
            <w:shd w:val="clear" w:color="auto" w:fill="auto"/>
          </w:tcPr>
          <w:p>
            <w:pPr>
              <w:pStyle w:val="Point0"/>
              <w:ind w:left="596" w:hanging="596"/>
              <w:rPr>
                <w:noProof/>
                <w:szCs w:val="24"/>
              </w:rPr>
            </w:pPr>
            <w:r>
              <w:rPr>
                <w:noProof/>
              </w:rPr>
              <w:t>La partie III est modifiée comme suit:</w:t>
            </w:r>
          </w:p>
          <w:p>
            <w:pPr>
              <w:pStyle w:val="Point0"/>
              <w:ind w:left="596" w:hanging="596"/>
              <w:rPr>
                <w:noProof/>
                <w:szCs w:val="24"/>
              </w:rPr>
            </w:pPr>
            <w:r>
              <w:rPr>
                <w:noProof/>
              </w:rPr>
              <w:t>a) dans l’appendice 1, le tableau est modifié comme suit:</w:t>
            </w:r>
          </w:p>
          <w:p>
            <w:pPr>
              <w:pStyle w:val="Point0"/>
              <w:ind w:left="596" w:firstLine="8"/>
              <w:rPr>
                <w:noProof/>
                <w:szCs w:val="24"/>
              </w:rPr>
            </w:pPr>
            <w:r>
              <w:rPr>
                <w:noProof/>
              </w:rPr>
              <w:t>i) l’entrée correspondant au numéro 58 est remplacée par le texte suivant:</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82" w:type="dxa"/>
          <w:wAfter w:w="213" w:type="dxa"/>
          <w:jc w:val="center"/>
        </w:trPr>
        <w:tc>
          <w:tcPr>
            <w:tcW w:w="572" w:type="dxa"/>
            <w:gridSpan w:val="4"/>
            <w:hideMark/>
          </w:tcPr>
          <w:p>
            <w:pPr>
              <w:spacing w:before="60" w:after="60"/>
              <w:rPr>
                <w:rFonts w:eastAsia="Arial Unicode MS"/>
                <w:noProof/>
                <w:szCs w:val="24"/>
              </w:rPr>
            </w:pPr>
            <w:r>
              <w:rPr>
                <w:noProof/>
              </w:rPr>
              <w:br w:type="page"/>
              <w:t>«58</w:t>
            </w:r>
          </w:p>
        </w:tc>
        <w:tc>
          <w:tcPr>
            <w:tcW w:w="2965" w:type="dxa"/>
            <w:gridSpan w:val="22"/>
            <w:hideMark/>
          </w:tcPr>
          <w:p>
            <w:pPr>
              <w:spacing w:before="60" w:after="60"/>
              <w:rPr>
                <w:rFonts w:eastAsia="Arial Unicode MS"/>
                <w:noProof/>
                <w:szCs w:val="24"/>
              </w:rPr>
            </w:pPr>
            <w:r>
              <w:rPr>
                <w:noProof/>
              </w:rPr>
              <w:t>Protection des piétons</w:t>
            </w:r>
          </w:p>
        </w:tc>
        <w:tc>
          <w:tcPr>
            <w:tcW w:w="1986" w:type="dxa"/>
            <w:gridSpan w:val="25"/>
            <w:hideMark/>
          </w:tcPr>
          <w:p>
            <w:pPr>
              <w:spacing w:before="60" w:after="60"/>
              <w:jc w:val="left"/>
              <w:rPr>
                <w:noProof/>
                <w:szCs w:val="24"/>
              </w:rPr>
            </w:pPr>
            <w:r>
              <w:rPr>
                <w:noProof/>
              </w:rPr>
              <w:t>Règlement (UE) 2019/…</w:t>
            </w:r>
            <w:r>
              <w:rPr>
                <w:noProof/>
                <w:vertAlign w:val="superscript"/>
              </w:rPr>
              <w:t>+</w:t>
            </w:r>
          </w:p>
          <w:p>
            <w:pPr>
              <w:spacing w:before="60" w:after="60"/>
              <w:rPr>
                <w:rFonts w:eastAsia="Arial Unicode MS"/>
                <w:noProof/>
                <w:szCs w:val="24"/>
              </w:rPr>
            </w:pPr>
            <w:r>
              <w:rPr>
                <w:noProof/>
              </w:rPr>
              <w:t>Règlement nº 127 de l’ONU</w:t>
            </w:r>
          </w:p>
        </w:tc>
        <w:tc>
          <w:tcPr>
            <w:tcW w:w="1257" w:type="dxa"/>
            <w:gridSpan w:val="16"/>
            <w:hideMark/>
          </w:tcPr>
          <w:p>
            <w:pPr>
              <w:spacing w:before="60" w:after="60"/>
              <w:jc w:val="center"/>
              <w:rPr>
                <w:rFonts w:eastAsia="Arial Unicode MS"/>
                <w:noProof/>
                <w:szCs w:val="24"/>
              </w:rPr>
            </w:pPr>
            <w:r>
              <w:rPr>
                <w:noProof/>
              </w:rPr>
              <w:t>X</w:t>
            </w:r>
          </w:p>
        </w:tc>
        <w:tc>
          <w:tcPr>
            <w:tcW w:w="1034" w:type="dxa"/>
            <w:gridSpan w:val="14"/>
            <w:hideMark/>
          </w:tcPr>
          <w:p>
            <w:pPr>
              <w:spacing w:before="60" w:after="60"/>
              <w:jc w:val="center"/>
              <w:rPr>
                <w:rFonts w:eastAsia="Arial Unicode MS"/>
                <w:noProof/>
                <w:szCs w:val="24"/>
              </w:rPr>
            </w:pPr>
            <w:r>
              <w:rPr>
                <w:noProof/>
              </w:rPr>
              <w:t>X»;</w:t>
            </w:r>
          </w:p>
        </w:tc>
        <w:tc>
          <w:tcPr>
            <w:tcW w:w="1039" w:type="dxa"/>
            <w:gridSpan w:val="14"/>
            <w:hideMark/>
          </w:tcPr>
          <w:p>
            <w:pPr>
              <w:spacing w:before="60" w:after="60"/>
              <w:jc w:val="center"/>
              <w:rPr>
                <w:rFonts w:eastAsia="Arial Unicode MS"/>
                <w:noProof/>
                <w:szCs w:val="24"/>
              </w:rPr>
            </w:pPr>
          </w:p>
        </w:tc>
        <w:tc>
          <w:tcPr>
            <w:tcW w:w="829" w:type="dxa"/>
            <w:gridSpan w:val="9"/>
            <w:hideMark/>
          </w:tcPr>
          <w:p>
            <w:pPr>
              <w:spacing w:before="60" w:after="60"/>
              <w:jc w:val="center"/>
              <w:rPr>
                <w:rFonts w:eastAsia="Arial Unicode MS"/>
                <w:noProof/>
                <w:szCs w:val="24"/>
              </w:rPr>
            </w:pPr>
          </w:p>
        </w:tc>
      </w:tr>
      <w:tr>
        <w:trPr>
          <w:gridAfter w:val="1"/>
        </w:trPr>
        <w:tc>
          <w:tcPr>
            <w:tcW w:w="829" w:type="dxa"/>
            <w:gridSpan w:val="13"/>
            <w:tcBorders>
              <w:top w:val="nil"/>
              <w:left w:val="nil"/>
              <w:bottom w:val="nil"/>
              <w:right w:val="nil"/>
            </w:tcBorders>
            <w:shd w:val="clear" w:color="auto" w:fill="auto"/>
          </w:tcPr>
          <w:p>
            <w:pPr>
              <w:rPr>
                <w:noProof/>
                <w:szCs w:val="24"/>
              </w:rPr>
            </w:pPr>
          </w:p>
        </w:tc>
        <w:tc>
          <w:tcPr>
            <w:tcW w:w="9146" w:type="dxa"/>
            <w:gridSpan w:val="97"/>
            <w:tcBorders>
              <w:top w:val="nil"/>
              <w:left w:val="nil"/>
              <w:bottom w:val="nil"/>
              <w:right w:val="nil"/>
            </w:tcBorders>
            <w:shd w:val="clear" w:color="auto" w:fill="auto"/>
          </w:tcPr>
          <w:p>
            <w:pPr>
              <w:pStyle w:val="Point0"/>
              <w:ind w:left="596" w:hanging="176"/>
              <w:rPr>
                <w:noProof/>
                <w:szCs w:val="24"/>
              </w:rPr>
            </w:pPr>
            <w:r>
              <w:rPr>
                <w:noProof/>
              </w:rPr>
              <w:t>ii) les entrées correspondant aux numéros 62 et 63 sont remplacées par le texte suivant:</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82" w:type="dxa"/>
          <w:wAfter w:w="213" w:type="dxa"/>
          <w:jc w:val="center"/>
        </w:trPr>
        <w:tc>
          <w:tcPr>
            <w:tcW w:w="572" w:type="dxa"/>
            <w:gridSpan w:val="4"/>
            <w:hideMark/>
          </w:tcPr>
          <w:p>
            <w:pPr>
              <w:spacing w:before="60" w:after="60"/>
              <w:rPr>
                <w:rFonts w:eastAsia="Arial Unicode MS"/>
                <w:noProof/>
                <w:szCs w:val="24"/>
              </w:rPr>
            </w:pPr>
            <w:r>
              <w:rPr>
                <w:noProof/>
              </w:rPr>
              <w:t>«62</w:t>
            </w:r>
          </w:p>
        </w:tc>
        <w:tc>
          <w:tcPr>
            <w:tcW w:w="2965" w:type="dxa"/>
            <w:gridSpan w:val="22"/>
            <w:hideMark/>
          </w:tcPr>
          <w:p>
            <w:pPr>
              <w:spacing w:before="60" w:after="60"/>
              <w:rPr>
                <w:rFonts w:eastAsia="Arial Unicode MS"/>
                <w:noProof/>
                <w:szCs w:val="24"/>
              </w:rPr>
            </w:pPr>
            <w:r>
              <w:rPr>
                <w:noProof/>
              </w:rPr>
              <w:t>Système hydrogène</w:t>
            </w:r>
          </w:p>
        </w:tc>
        <w:tc>
          <w:tcPr>
            <w:tcW w:w="1986" w:type="dxa"/>
            <w:gridSpan w:val="25"/>
            <w:hideMark/>
          </w:tcPr>
          <w:p>
            <w:pPr>
              <w:spacing w:before="60" w:after="60"/>
              <w:jc w:val="left"/>
              <w:rPr>
                <w:noProof/>
                <w:szCs w:val="24"/>
              </w:rPr>
            </w:pPr>
            <w:r>
              <w:rPr>
                <w:noProof/>
              </w:rPr>
              <w:t>Règlement (UE) 2019/…</w:t>
            </w:r>
            <w:r>
              <w:rPr>
                <w:noProof/>
                <w:vertAlign w:val="superscript"/>
              </w:rPr>
              <w:t>+</w:t>
            </w:r>
          </w:p>
          <w:p>
            <w:pPr>
              <w:spacing w:before="60" w:after="60"/>
              <w:rPr>
                <w:rFonts w:eastAsia="Arial Unicode MS"/>
                <w:noProof/>
                <w:szCs w:val="24"/>
              </w:rPr>
            </w:pPr>
            <w:r>
              <w:rPr>
                <w:noProof/>
              </w:rPr>
              <w:t>Règlement nº 134 de l’ONU</w:t>
            </w:r>
          </w:p>
        </w:tc>
        <w:tc>
          <w:tcPr>
            <w:tcW w:w="1257" w:type="dxa"/>
            <w:gridSpan w:val="16"/>
            <w:hideMark/>
          </w:tcPr>
          <w:p>
            <w:pPr>
              <w:spacing w:before="60" w:after="60"/>
              <w:jc w:val="center"/>
              <w:rPr>
                <w:rFonts w:eastAsia="Arial Unicode MS"/>
                <w:noProof/>
                <w:szCs w:val="24"/>
              </w:rPr>
            </w:pPr>
            <w:r>
              <w:rPr>
                <w:noProof/>
              </w:rPr>
              <w:t>X</w:t>
            </w:r>
          </w:p>
        </w:tc>
        <w:tc>
          <w:tcPr>
            <w:tcW w:w="1034" w:type="dxa"/>
            <w:gridSpan w:val="14"/>
            <w:hideMark/>
          </w:tcPr>
          <w:p>
            <w:pPr>
              <w:spacing w:before="60" w:after="60"/>
              <w:jc w:val="center"/>
              <w:rPr>
                <w:rFonts w:eastAsia="Arial Unicode MS"/>
                <w:noProof/>
                <w:szCs w:val="24"/>
              </w:rPr>
            </w:pPr>
            <w:r>
              <w:rPr>
                <w:noProof/>
              </w:rPr>
              <w:t>X</w:t>
            </w:r>
          </w:p>
        </w:tc>
        <w:tc>
          <w:tcPr>
            <w:tcW w:w="1039" w:type="dxa"/>
            <w:gridSpan w:val="14"/>
            <w:hideMark/>
          </w:tcPr>
          <w:p>
            <w:pPr>
              <w:spacing w:before="60" w:after="60"/>
              <w:jc w:val="center"/>
              <w:rPr>
                <w:rFonts w:eastAsia="Arial Unicode MS"/>
                <w:noProof/>
                <w:szCs w:val="24"/>
              </w:rPr>
            </w:pPr>
            <w:r>
              <w:rPr>
                <w:noProof/>
              </w:rPr>
              <w:t>X</w:t>
            </w:r>
          </w:p>
        </w:tc>
        <w:tc>
          <w:tcPr>
            <w:tcW w:w="829" w:type="dxa"/>
            <w:gridSpan w:val="9"/>
            <w:hideMark/>
          </w:tcPr>
          <w:p>
            <w:pPr>
              <w:spacing w:before="60" w:after="60"/>
              <w:jc w:val="center"/>
              <w:rPr>
                <w:rFonts w:eastAsia="Arial Unicode MS"/>
                <w:noProof/>
                <w:szCs w:val="24"/>
              </w:rPr>
            </w:pPr>
            <w:r>
              <w:rPr>
                <w:noProof/>
              </w:rPr>
              <w:t>X</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82" w:type="dxa"/>
          <w:wAfter w:w="213" w:type="dxa"/>
          <w:jc w:val="center"/>
        </w:trPr>
        <w:tc>
          <w:tcPr>
            <w:tcW w:w="572" w:type="dxa"/>
            <w:gridSpan w:val="4"/>
          </w:tcPr>
          <w:p>
            <w:pPr>
              <w:spacing w:before="60" w:after="60"/>
              <w:rPr>
                <w:rFonts w:eastAsia="Arial Unicode MS"/>
                <w:noProof/>
                <w:szCs w:val="24"/>
              </w:rPr>
            </w:pPr>
            <w:r>
              <w:rPr>
                <w:noProof/>
              </w:rPr>
              <w:t>63</w:t>
            </w:r>
          </w:p>
        </w:tc>
        <w:tc>
          <w:tcPr>
            <w:tcW w:w="2965" w:type="dxa"/>
            <w:gridSpan w:val="22"/>
          </w:tcPr>
          <w:p>
            <w:pPr>
              <w:spacing w:before="60" w:after="60"/>
              <w:jc w:val="left"/>
              <w:rPr>
                <w:rFonts w:eastAsia="Arial Unicode MS"/>
                <w:noProof/>
                <w:szCs w:val="24"/>
              </w:rPr>
            </w:pPr>
            <w:r>
              <w:rPr>
                <w:noProof/>
              </w:rPr>
              <w:t>Sécurité générale</w:t>
            </w:r>
          </w:p>
        </w:tc>
        <w:tc>
          <w:tcPr>
            <w:tcW w:w="1986" w:type="dxa"/>
            <w:gridSpan w:val="25"/>
          </w:tcPr>
          <w:p>
            <w:pPr>
              <w:spacing w:before="60" w:after="60"/>
              <w:jc w:val="left"/>
              <w:rPr>
                <w:noProof/>
                <w:szCs w:val="24"/>
              </w:rPr>
            </w:pPr>
            <w:r>
              <w:rPr>
                <w:noProof/>
              </w:rPr>
              <w:t>Règlement (UE) 2019/…</w:t>
            </w:r>
            <w:r>
              <w:rPr>
                <w:noProof/>
                <w:vertAlign w:val="superscript"/>
              </w:rPr>
              <w:t>+</w:t>
            </w:r>
          </w:p>
        </w:tc>
        <w:tc>
          <w:tcPr>
            <w:tcW w:w="1257" w:type="dxa"/>
            <w:gridSpan w:val="16"/>
          </w:tcPr>
          <w:p>
            <w:pPr>
              <w:spacing w:before="60" w:after="60"/>
              <w:jc w:val="center"/>
              <w:rPr>
                <w:rFonts w:eastAsia="Arial Unicode MS"/>
                <w:noProof/>
                <w:szCs w:val="24"/>
              </w:rPr>
            </w:pPr>
            <w:r>
              <w:rPr>
                <w:noProof/>
                <w:color w:val="000000"/>
                <w:sz w:val="20"/>
              </w:rPr>
              <w:t>X(</w:t>
            </w:r>
            <w:r>
              <w:rPr>
                <w:noProof/>
                <w:color w:val="000000"/>
                <w:sz w:val="20"/>
                <w:vertAlign w:val="superscript"/>
              </w:rPr>
              <w:t>15</w:t>
            </w:r>
            <w:r>
              <w:rPr>
                <w:noProof/>
                <w:color w:val="000000"/>
                <w:sz w:val="20"/>
              </w:rPr>
              <w:t>)</w:t>
            </w:r>
          </w:p>
        </w:tc>
        <w:tc>
          <w:tcPr>
            <w:tcW w:w="1034" w:type="dxa"/>
            <w:gridSpan w:val="14"/>
          </w:tcPr>
          <w:p>
            <w:pPr>
              <w:spacing w:before="60" w:after="60"/>
              <w:jc w:val="center"/>
              <w:rPr>
                <w:rFonts w:eastAsia="Arial Unicode MS"/>
                <w:noProof/>
                <w:szCs w:val="24"/>
              </w:rPr>
            </w:pPr>
            <w:r>
              <w:rPr>
                <w:noProof/>
                <w:color w:val="000000"/>
                <w:sz w:val="20"/>
              </w:rPr>
              <w:t>X(</w:t>
            </w:r>
            <w:r>
              <w:rPr>
                <w:noProof/>
                <w:color w:val="000000"/>
                <w:sz w:val="20"/>
                <w:vertAlign w:val="superscript"/>
              </w:rPr>
              <w:t>15</w:t>
            </w:r>
            <w:r>
              <w:rPr>
                <w:noProof/>
                <w:color w:val="000000"/>
                <w:sz w:val="20"/>
              </w:rPr>
              <w:t>)</w:t>
            </w:r>
          </w:p>
        </w:tc>
        <w:tc>
          <w:tcPr>
            <w:tcW w:w="1039" w:type="dxa"/>
            <w:gridSpan w:val="14"/>
          </w:tcPr>
          <w:p>
            <w:pPr>
              <w:spacing w:before="60" w:after="60"/>
              <w:jc w:val="center"/>
              <w:rPr>
                <w:rFonts w:eastAsia="Arial Unicode MS"/>
                <w:noProof/>
                <w:szCs w:val="24"/>
              </w:rPr>
            </w:pPr>
            <w:r>
              <w:rPr>
                <w:noProof/>
                <w:color w:val="000000"/>
                <w:sz w:val="20"/>
              </w:rPr>
              <w:t>X(</w:t>
            </w:r>
            <w:r>
              <w:rPr>
                <w:noProof/>
                <w:color w:val="000000"/>
                <w:sz w:val="20"/>
                <w:vertAlign w:val="superscript"/>
              </w:rPr>
              <w:t>15</w:t>
            </w:r>
            <w:r>
              <w:rPr>
                <w:noProof/>
                <w:color w:val="000000"/>
                <w:sz w:val="20"/>
              </w:rPr>
              <w:t>)</w:t>
            </w:r>
          </w:p>
        </w:tc>
        <w:tc>
          <w:tcPr>
            <w:tcW w:w="829" w:type="dxa"/>
            <w:gridSpan w:val="9"/>
          </w:tcPr>
          <w:p>
            <w:pPr>
              <w:spacing w:before="60" w:after="60"/>
              <w:jc w:val="center"/>
              <w:rPr>
                <w:rFonts w:eastAsia="Arial Unicode MS"/>
                <w:noProof/>
                <w:szCs w:val="24"/>
              </w:rPr>
            </w:pPr>
            <w:r>
              <w:rPr>
                <w:noProof/>
                <w:color w:val="000000"/>
                <w:sz w:val="20"/>
              </w:rPr>
              <w:t>X(</w:t>
            </w:r>
            <w:r>
              <w:rPr>
                <w:noProof/>
                <w:color w:val="000000"/>
                <w:sz w:val="20"/>
                <w:vertAlign w:val="superscript"/>
              </w:rPr>
              <w:t>15</w:t>
            </w:r>
            <w:r>
              <w:rPr>
                <w:noProof/>
                <w:color w:val="000000"/>
                <w:sz w:val="20"/>
              </w:rPr>
              <w:t>)»;</w:t>
            </w:r>
          </w:p>
        </w:tc>
      </w:tr>
      <w:tr>
        <w:trPr>
          <w:gridAfter w:val="1"/>
        </w:trPr>
        <w:tc>
          <w:tcPr>
            <w:tcW w:w="829" w:type="dxa"/>
            <w:gridSpan w:val="13"/>
            <w:tcBorders>
              <w:top w:val="nil"/>
              <w:left w:val="nil"/>
              <w:bottom w:val="nil"/>
              <w:right w:val="nil"/>
            </w:tcBorders>
            <w:shd w:val="clear" w:color="auto" w:fill="auto"/>
          </w:tcPr>
          <w:p>
            <w:pPr>
              <w:rPr>
                <w:noProof/>
                <w:szCs w:val="24"/>
              </w:rPr>
            </w:pPr>
          </w:p>
        </w:tc>
        <w:tc>
          <w:tcPr>
            <w:tcW w:w="9146" w:type="dxa"/>
            <w:gridSpan w:val="97"/>
            <w:tcBorders>
              <w:top w:val="nil"/>
              <w:left w:val="nil"/>
              <w:bottom w:val="nil"/>
              <w:right w:val="nil"/>
            </w:tcBorders>
            <w:shd w:val="clear" w:color="auto" w:fill="auto"/>
          </w:tcPr>
          <w:p>
            <w:pPr>
              <w:pStyle w:val="Point0"/>
              <w:ind w:left="596" w:hanging="176"/>
              <w:rPr>
                <w:noProof/>
                <w:szCs w:val="24"/>
              </w:rPr>
            </w:pPr>
            <w:r>
              <w:rPr>
                <w:noProof/>
              </w:rPr>
              <w:t>iii) les entrées correspondant aux numéros 65 et 66 sont remplacées par le texte suivant:</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82" w:type="dxa"/>
          <w:wAfter w:w="213" w:type="dxa"/>
          <w:jc w:val="center"/>
        </w:trPr>
        <w:tc>
          <w:tcPr>
            <w:tcW w:w="572" w:type="dxa"/>
            <w:gridSpan w:val="4"/>
            <w:hideMark/>
          </w:tcPr>
          <w:p>
            <w:pPr>
              <w:spacing w:before="60" w:after="60"/>
              <w:rPr>
                <w:rFonts w:eastAsia="Arial Unicode MS"/>
                <w:noProof/>
                <w:szCs w:val="24"/>
              </w:rPr>
            </w:pPr>
            <w:r>
              <w:rPr>
                <w:noProof/>
              </w:rPr>
              <w:t>«65</w:t>
            </w:r>
          </w:p>
        </w:tc>
        <w:tc>
          <w:tcPr>
            <w:tcW w:w="2965" w:type="dxa"/>
            <w:gridSpan w:val="22"/>
            <w:hideMark/>
          </w:tcPr>
          <w:p>
            <w:pPr>
              <w:spacing w:before="60" w:after="60"/>
              <w:rPr>
                <w:rFonts w:eastAsia="Arial Unicode MS"/>
                <w:noProof/>
                <w:szCs w:val="24"/>
              </w:rPr>
            </w:pPr>
            <w:r>
              <w:rPr>
                <w:noProof/>
              </w:rPr>
              <w:t>Système avancé de freinage d’urgence</w:t>
            </w:r>
          </w:p>
        </w:tc>
        <w:tc>
          <w:tcPr>
            <w:tcW w:w="1986" w:type="dxa"/>
            <w:gridSpan w:val="25"/>
            <w:hideMark/>
          </w:tcPr>
          <w:p>
            <w:pPr>
              <w:spacing w:before="60" w:after="60"/>
              <w:jc w:val="left"/>
              <w:rPr>
                <w:noProof/>
                <w:szCs w:val="24"/>
              </w:rPr>
            </w:pPr>
            <w:r>
              <w:rPr>
                <w:noProof/>
              </w:rPr>
              <w:t>Règlement (UE) 2019/…</w:t>
            </w:r>
            <w:r>
              <w:rPr>
                <w:noProof/>
                <w:vertAlign w:val="superscript"/>
              </w:rPr>
              <w:t>+</w:t>
            </w:r>
          </w:p>
          <w:p>
            <w:pPr>
              <w:spacing w:before="60" w:after="60"/>
              <w:rPr>
                <w:rFonts w:eastAsia="Arial Unicode MS"/>
                <w:noProof/>
                <w:szCs w:val="24"/>
              </w:rPr>
            </w:pPr>
            <w:r>
              <w:rPr>
                <w:noProof/>
              </w:rPr>
              <w:t>Règlement nº 131 de l’ONU</w:t>
            </w:r>
          </w:p>
        </w:tc>
        <w:tc>
          <w:tcPr>
            <w:tcW w:w="1257" w:type="dxa"/>
            <w:gridSpan w:val="16"/>
          </w:tcPr>
          <w:p>
            <w:pPr>
              <w:spacing w:before="60" w:after="60"/>
              <w:jc w:val="center"/>
              <w:rPr>
                <w:rFonts w:eastAsia="Arial Unicode MS"/>
                <w:noProof/>
                <w:szCs w:val="24"/>
              </w:rPr>
            </w:pPr>
          </w:p>
        </w:tc>
        <w:tc>
          <w:tcPr>
            <w:tcW w:w="1034" w:type="dxa"/>
            <w:gridSpan w:val="14"/>
          </w:tcPr>
          <w:p>
            <w:pPr>
              <w:spacing w:before="60" w:after="60"/>
              <w:jc w:val="center"/>
              <w:rPr>
                <w:rFonts w:eastAsia="Arial Unicode MS"/>
                <w:noProof/>
                <w:szCs w:val="24"/>
              </w:rPr>
            </w:pPr>
          </w:p>
        </w:tc>
        <w:tc>
          <w:tcPr>
            <w:tcW w:w="1039" w:type="dxa"/>
            <w:gridSpan w:val="14"/>
          </w:tcPr>
          <w:p>
            <w:pPr>
              <w:spacing w:before="60" w:after="60"/>
              <w:jc w:val="center"/>
              <w:rPr>
                <w:rFonts w:eastAsia="Arial Unicode MS"/>
                <w:noProof/>
                <w:szCs w:val="24"/>
              </w:rPr>
            </w:pPr>
            <w:r>
              <w:rPr>
                <w:noProof/>
              </w:rPr>
              <w:t>N/A</w:t>
            </w:r>
          </w:p>
        </w:tc>
        <w:tc>
          <w:tcPr>
            <w:tcW w:w="829" w:type="dxa"/>
            <w:gridSpan w:val="9"/>
          </w:tcPr>
          <w:p>
            <w:pPr>
              <w:spacing w:before="60" w:after="60"/>
              <w:jc w:val="center"/>
              <w:rPr>
                <w:rFonts w:eastAsia="Arial Unicode MS"/>
                <w:noProof/>
                <w:szCs w:val="24"/>
              </w:rPr>
            </w:pPr>
            <w:r>
              <w:rPr>
                <w:noProof/>
              </w:rPr>
              <w:t>N/A</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82" w:type="dxa"/>
          <w:wAfter w:w="213" w:type="dxa"/>
          <w:jc w:val="center"/>
        </w:trPr>
        <w:tc>
          <w:tcPr>
            <w:tcW w:w="572" w:type="dxa"/>
            <w:gridSpan w:val="4"/>
            <w:tcBorders>
              <w:top w:val="single" w:sz="12" w:space="0" w:color="auto"/>
              <w:left w:val="single" w:sz="12" w:space="0" w:color="auto"/>
              <w:bottom w:val="single" w:sz="12" w:space="0" w:color="auto"/>
              <w:right w:val="single" w:sz="12" w:space="0" w:color="auto"/>
            </w:tcBorders>
            <w:hideMark/>
          </w:tcPr>
          <w:p>
            <w:pPr>
              <w:spacing w:before="60" w:after="60"/>
              <w:rPr>
                <w:rFonts w:eastAsia="Arial Unicode MS"/>
                <w:noProof/>
                <w:szCs w:val="24"/>
              </w:rPr>
            </w:pPr>
            <w:r>
              <w:rPr>
                <w:noProof/>
              </w:rPr>
              <w:t>66</w:t>
            </w:r>
          </w:p>
        </w:tc>
        <w:tc>
          <w:tcPr>
            <w:tcW w:w="2965" w:type="dxa"/>
            <w:gridSpan w:val="22"/>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noProof/>
                <w:szCs w:val="24"/>
              </w:rPr>
            </w:pPr>
            <w:r>
              <w:rPr>
                <w:noProof/>
              </w:rPr>
              <w:t>Système d’avertissement de déviation de trajectoire</w:t>
            </w:r>
          </w:p>
        </w:tc>
        <w:tc>
          <w:tcPr>
            <w:tcW w:w="1986" w:type="dxa"/>
            <w:gridSpan w:val="25"/>
            <w:tcBorders>
              <w:top w:val="single" w:sz="12" w:space="0" w:color="auto"/>
              <w:left w:val="single" w:sz="2" w:space="0" w:color="auto"/>
              <w:bottom w:val="single" w:sz="12" w:space="0" w:color="auto"/>
              <w:right w:val="single" w:sz="1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noProof/>
                <w:szCs w:val="24"/>
              </w:rPr>
            </w:pPr>
            <w:r>
              <w:rPr>
                <w:noProof/>
              </w:rPr>
              <w:t>Règlement nº 130 de l’ONU</w:t>
            </w:r>
          </w:p>
        </w:tc>
        <w:tc>
          <w:tcPr>
            <w:tcW w:w="1257"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p>
        </w:tc>
        <w:tc>
          <w:tcPr>
            <w:tcW w:w="1034" w:type="dxa"/>
            <w:gridSpan w:val="14"/>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p>
        </w:tc>
        <w:tc>
          <w:tcPr>
            <w:tcW w:w="1039" w:type="dxa"/>
            <w:gridSpan w:val="14"/>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r>
              <w:rPr>
                <w:noProof/>
              </w:rPr>
              <w:t>N/A</w:t>
            </w:r>
          </w:p>
        </w:tc>
        <w:tc>
          <w:tcPr>
            <w:tcW w:w="829" w:type="dxa"/>
            <w:gridSpan w:val="9"/>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r>
              <w:rPr>
                <w:noProof/>
              </w:rPr>
              <w:t>N/A»;</w:t>
            </w:r>
          </w:p>
        </w:tc>
      </w:tr>
      <w:tr>
        <w:trPr>
          <w:gridAfter w:val="2"/>
          <w:wAfter w:w="120" w:type="dxa"/>
        </w:trPr>
        <w:tc>
          <w:tcPr>
            <w:tcW w:w="829" w:type="dxa"/>
            <w:gridSpan w:val="13"/>
            <w:tcBorders>
              <w:top w:val="nil"/>
              <w:left w:val="nil"/>
              <w:bottom w:val="nil"/>
              <w:right w:val="nil"/>
            </w:tcBorders>
            <w:shd w:val="clear" w:color="auto" w:fill="auto"/>
          </w:tcPr>
          <w:p>
            <w:pPr>
              <w:rPr>
                <w:noProof/>
                <w:szCs w:val="24"/>
              </w:rPr>
            </w:pPr>
          </w:p>
        </w:tc>
        <w:tc>
          <w:tcPr>
            <w:tcW w:w="9026" w:type="dxa"/>
            <w:gridSpan w:val="96"/>
            <w:tcBorders>
              <w:top w:val="nil"/>
              <w:left w:val="nil"/>
              <w:bottom w:val="nil"/>
              <w:right w:val="nil"/>
            </w:tcBorders>
            <w:shd w:val="clear" w:color="auto" w:fill="auto"/>
          </w:tcPr>
          <w:p>
            <w:pPr>
              <w:pStyle w:val="Point0"/>
              <w:ind w:left="596" w:hanging="596"/>
              <w:rPr>
                <w:noProof/>
                <w:szCs w:val="24"/>
              </w:rPr>
            </w:pPr>
            <w:r>
              <w:rPr>
                <w:noProof/>
              </w:rPr>
              <w:t>b) dans l’appendice 2, le tableau est modifié comme suit:</w:t>
            </w:r>
          </w:p>
          <w:p>
            <w:pPr>
              <w:pStyle w:val="Point0"/>
              <w:ind w:left="596" w:hanging="176"/>
              <w:rPr>
                <w:noProof/>
                <w:szCs w:val="24"/>
              </w:rPr>
            </w:pPr>
            <w:r>
              <w:rPr>
                <w:noProof/>
              </w:rPr>
              <w:t>i) l’entrée suivante est insérée à l’endroit approprié par numéro de rubrique:</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6"/>
          <w:wAfter w:w="364" w:type="dxa"/>
        </w:trPr>
        <w:tc>
          <w:tcPr>
            <w:tcW w:w="829" w:type="dxa"/>
            <w:gridSpan w:val="13"/>
          </w:tcPr>
          <w:p>
            <w:pPr>
              <w:spacing w:before="60" w:after="60"/>
              <w:jc w:val="center"/>
              <w:rPr>
                <w:noProof/>
                <w:szCs w:val="24"/>
              </w:rPr>
            </w:pPr>
            <w:r>
              <w:rPr>
                <w:noProof/>
              </w:rPr>
              <w:t>«55A</w:t>
            </w:r>
          </w:p>
        </w:tc>
        <w:tc>
          <w:tcPr>
            <w:tcW w:w="2177" w:type="dxa"/>
            <w:gridSpan w:val="11"/>
          </w:tcPr>
          <w:p>
            <w:pPr>
              <w:spacing w:before="60" w:after="60"/>
              <w:jc w:val="left"/>
              <w:rPr>
                <w:noProof/>
                <w:szCs w:val="24"/>
              </w:rPr>
            </w:pPr>
            <w:r>
              <w:rPr>
                <w:noProof/>
              </w:rPr>
              <w:t>Choc latéral contre un poteau</w:t>
            </w:r>
          </w:p>
        </w:tc>
        <w:tc>
          <w:tcPr>
            <w:tcW w:w="1614" w:type="dxa"/>
            <w:gridSpan w:val="17"/>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135 de l’ONU</w:t>
            </w:r>
          </w:p>
        </w:tc>
        <w:tc>
          <w:tcPr>
            <w:tcW w:w="511" w:type="dxa"/>
            <w:gridSpan w:val="6"/>
          </w:tcPr>
          <w:p>
            <w:pPr>
              <w:spacing w:before="60" w:after="60"/>
              <w:jc w:val="center"/>
              <w:rPr>
                <w:noProof/>
                <w:szCs w:val="24"/>
              </w:rPr>
            </w:pPr>
            <w:r>
              <w:rPr>
                <w:noProof/>
              </w:rPr>
              <w:t>N/A</w:t>
            </w:r>
          </w:p>
        </w:tc>
        <w:tc>
          <w:tcPr>
            <w:tcW w:w="494" w:type="dxa"/>
            <w:gridSpan w:val="7"/>
          </w:tcPr>
          <w:p>
            <w:pPr>
              <w:spacing w:before="60" w:after="60"/>
              <w:jc w:val="center"/>
              <w:rPr>
                <w:noProof/>
                <w:szCs w:val="24"/>
              </w:rPr>
            </w:pPr>
          </w:p>
        </w:tc>
        <w:tc>
          <w:tcPr>
            <w:tcW w:w="347" w:type="dxa"/>
            <w:gridSpan w:val="7"/>
          </w:tcPr>
          <w:p>
            <w:pPr>
              <w:spacing w:before="60" w:after="60"/>
              <w:jc w:val="center"/>
              <w:rPr>
                <w:noProof/>
                <w:szCs w:val="24"/>
              </w:rPr>
            </w:pPr>
          </w:p>
        </w:tc>
        <w:tc>
          <w:tcPr>
            <w:tcW w:w="753" w:type="dxa"/>
            <w:gridSpan w:val="7"/>
            <w:shd w:val="clear" w:color="auto" w:fill="auto"/>
          </w:tcPr>
          <w:p>
            <w:pPr>
              <w:spacing w:before="60" w:after="60"/>
              <w:jc w:val="center"/>
              <w:rPr>
                <w:noProof/>
                <w:szCs w:val="24"/>
              </w:rPr>
            </w:pPr>
            <w:r>
              <w:rPr>
                <w:noProof/>
              </w:rPr>
              <w:t>N/A»;</w:t>
            </w:r>
          </w:p>
        </w:tc>
        <w:tc>
          <w:tcPr>
            <w:tcW w:w="444" w:type="dxa"/>
            <w:gridSpan w:val="5"/>
          </w:tcPr>
          <w:p>
            <w:pPr>
              <w:spacing w:before="60" w:after="60"/>
              <w:jc w:val="center"/>
              <w:rPr>
                <w:noProof/>
                <w:szCs w:val="24"/>
              </w:rPr>
            </w:pPr>
          </w:p>
        </w:tc>
        <w:tc>
          <w:tcPr>
            <w:tcW w:w="485" w:type="dxa"/>
            <w:gridSpan w:val="7"/>
          </w:tcPr>
          <w:p>
            <w:pPr>
              <w:spacing w:before="60" w:after="60"/>
              <w:jc w:val="center"/>
              <w:rPr>
                <w:noProof/>
                <w:szCs w:val="24"/>
              </w:rPr>
            </w:pPr>
          </w:p>
        </w:tc>
        <w:tc>
          <w:tcPr>
            <w:tcW w:w="539" w:type="dxa"/>
            <w:gridSpan w:val="6"/>
          </w:tcPr>
          <w:p>
            <w:pPr>
              <w:spacing w:before="60" w:after="60"/>
              <w:jc w:val="center"/>
              <w:rPr>
                <w:noProof/>
                <w:szCs w:val="24"/>
              </w:rPr>
            </w:pPr>
          </w:p>
        </w:tc>
        <w:tc>
          <w:tcPr>
            <w:tcW w:w="540" w:type="dxa"/>
            <w:gridSpan w:val="10"/>
          </w:tcPr>
          <w:p>
            <w:pPr>
              <w:spacing w:before="60" w:after="60"/>
              <w:jc w:val="center"/>
              <w:rPr>
                <w:noProof/>
                <w:szCs w:val="24"/>
              </w:rPr>
            </w:pPr>
          </w:p>
        </w:tc>
        <w:tc>
          <w:tcPr>
            <w:tcW w:w="491" w:type="dxa"/>
            <w:gridSpan w:val="5"/>
          </w:tcPr>
          <w:p>
            <w:pPr>
              <w:spacing w:before="60" w:after="60"/>
              <w:jc w:val="center"/>
              <w:rPr>
                <w:noProof/>
                <w:szCs w:val="24"/>
              </w:rPr>
            </w:pPr>
          </w:p>
        </w:tc>
        <w:tc>
          <w:tcPr>
            <w:tcW w:w="387" w:type="dxa"/>
            <w:gridSpan w:val="4"/>
          </w:tcPr>
          <w:p>
            <w:pPr>
              <w:spacing w:before="60" w:after="60"/>
              <w:jc w:val="center"/>
              <w:rPr>
                <w:noProof/>
                <w:szCs w:val="24"/>
              </w:rPr>
            </w:pPr>
          </w:p>
        </w:tc>
      </w:tr>
      <w:tr>
        <w:trPr>
          <w:gridAfter w:val="3"/>
          <w:wAfter w:w="150" w:type="dxa"/>
        </w:trPr>
        <w:tc>
          <w:tcPr>
            <w:tcW w:w="829" w:type="dxa"/>
            <w:gridSpan w:val="13"/>
            <w:tcBorders>
              <w:top w:val="nil"/>
              <w:left w:val="nil"/>
              <w:bottom w:val="nil"/>
              <w:right w:val="nil"/>
            </w:tcBorders>
            <w:shd w:val="clear" w:color="auto" w:fill="auto"/>
          </w:tcPr>
          <w:p>
            <w:pPr>
              <w:rPr>
                <w:noProof/>
                <w:szCs w:val="24"/>
              </w:rPr>
            </w:pPr>
          </w:p>
        </w:tc>
        <w:tc>
          <w:tcPr>
            <w:tcW w:w="8996" w:type="dxa"/>
            <w:gridSpan w:val="95"/>
            <w:tcBorders>
              <w:top w:val="nil"/>
              <w:left w:val="nil"/>
              <w:bottom w:val="nil"/>
              <w:right w:val="nil"/>
            </w:tcBorders>
            <w:shd w:val="clear" w:color="auto" w:fill="auto"/>
          </w:tcPr>
          <w:p>
            <w:pPr>
              <w:pStyle w:val="Point0"/>
              <w:ind w:left="596" w:hanging="176"/>
              <w:rPr>
                <w:noProof/>
                <w:szCs w:val="24"/>
              </w:rPr>
            </w:pPr>
            <w:r>
              <w:rPr>
                <w:noProof/>
              </w:rPr>
              <w:t>ii) l’entrée correspondant au numéro 58 est remplacée par le texte suivant:</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7"/>
          <w:wAfter w:w="418" w:type="dxa"/>
        </w:trPr>
        <w:tc>
          <w:tcPr>
            <w:tcW w:w="829" w:type="dxa"/>
            <w:gridSpan w:val="13"/>
          </w:tcPr>
          <w:p>
            <w:pPr>
              <w:spacing w:before="60" w:after="60"/>
              <w:jc w:val="center"/>
              <w:rPr>
                <w:noProof/>
                <w:szCs w:val="24"/>
              </w:rPr>
            </w:pPr>
            <w:r>
              <w:rPr>
                <w:noProof/>
              </w:rPr>
              <w:t>«58</w:t>
            </w:r>
          </w:p>
        </w:tc>
        <w:tc>
          <w:tcPr>
            <w:tcW w:w="2177" w:type="dxa"/>
            <w:gridSpan w:val="11"/>
          </w:tcPr>
          <w:p>
            <w:pPr>
              <w:spacing w:before="60" w:after="60"/>
              <w:jc w:val="left"/>
              <w:rPr>
                <w:noProof/>
                <w:szCs w:val="24"/>
              </w:rPr>
            </w:pPr>
            <w:r>
              <w:rPr>
                <w:noProof/>
              </w:rPr>
              <w:t>Protection des piétons</w:t>
            </w:r>
          </w:p>
          <w:p>
            <w:pPr>
              <w:spacing w:before="60" w:after="60"/>
              <w:jc w:val="left"/>
              <w:rPr>
                <w:noProof/>
                <w:szCs w:val="24"/>
              </w:rPr>
            </w:pPr>
          </w:p>
        </w:tc>
        <w:tc>
          <w:tcPr>
            <w:tcW w:w="1614" w:type="dxa"/>
            <w:gridSpan w:val="17"/>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127 de l’ONU</w:t>
            </w:r>
          </w:p>
        </w:tc>
        <w:tc>
          <w:tcPr>
            <w:tcW w:w="511" w:type="dxa"/>
            <w:gridSpan w:val="6"/>
          </w:tcPr>
          <w:p>
            <w:pPr>
              <w:spacing w:before="60" w:after="60"/>
              <w:jc w:val="center"/>
              <w:rPr>
                <w:noProof/>
                <w:szCs w:val="24"/>
              </w:rPr>
            </w:pPr>
            <w:r>
              <w:rPr>
                <w:noProof/>
              </w:rPr>
              <w:t>N/A</w:t>
            </w:r>
          </w:p>
        </w:tc>
        <w:tc>
          <w:tcPr>
            <w:tcW w:w="494" w:type="dxa"/>
            <w:gridSpan w:val="7"/>
          </w:tcPr>
          <w:p>
            <w:pPr>
              <w:spacing w:before="60" w:after="60"/>
              <w:jc w:val="center"/>
              <w:rPr>
                <w:noProof/>
                <w:szCs w:val="24"/>
              </w:rPr>
            </w:pPr>
          </w:p>
        </w:tc>
        <w:tc>
          <w:tcPr>
            <w:tcW w:w="347" w:type="dxa"/>
            <w:gridSpan w:val="7"/>
          </w:tcPr>
          <w:p>
            <w:pPr>
              <w:spacing w:before="60" w:after="60"/>
              <w:jc w:val="center"/>
              <w:rPr>
                <w:noProof/>
                <w:szCs w:val="24"/>
              </w:rPr>
            </w:pPr>
          </w:p>
        </w:tc>
        <w:tc>
          <w:tcPr>
            <w:tcW w:w="662" w:type="dxa"/>
            <w:gridSpan w:val="6"/>
            <w:shd w:val="clear" w:color="auto" w:fill="auto"/>
          </w:tcPr>
          <w:p>
            <w:pPr>
              <w:spacing w:before="60" w:after="60"/>
              <w:jc w:val="center"/>
              <w:rPr>
                <w:noProof/>
                <w:szCs w:val="24"/>
              </w:rPr>
            </w:pPr>
            <w:r>
              <w:rPr>
                <w:noProof/>
              </w:rPr>
              <w:t>N/A»;</w:t>
            </w:r>
          </w:p>
        </w:tc>
        <w:tc>
          <w:tcPr>
            <w:tcW w:w="535" w:type="dxa"/>
            <w:gridSpan w:val="6"/>
          </w:tcPr>
          <w:p>
            <w:pPr>
              <w:spacing w:before="60" w:after="60"/>
              <w:jc w:val="center"/>
              <w:rPr>
                <w:noProof/>
                <w:szCs w:val="24"/>
              </w:rPr>
            </w:pPr>
          </w:p>
        </w:tc>
        <w:tc>
          <w:tcPr>
            <w:tcW w:w="485" w:type="dxa"/>
            <w:gridSpan w:val="7"/>
          </w:tcPr>
          <w:p>
            <w:pPr>
              <w:spacing w:before="60" w:after="60"/>
              <w:jc w:val="center"/>
              <w:rPr>
                <w:noProof/>
                <w:szCs w:val="24"/>
              </w:rPr>
            </w:pPr>
          </w:p>
        </w:tc>
        <w:tc>
          <w:tcPr>
            <w:tcW w:w="539" w:type="dxa"/>
            <w:gridSpan w:val="6"/>
          </w:tcPr>
          <w:p>
            <w:pPr>
              <w:spacing w:before="60" w:after="60"/>
              <w:jc w:val="center"/>
              <w:rPr>
                <w:noProof/>
                <w:szCs w:val="24"/>
              </w:rPr>
            </w:pPr>
          </w:p>
        </w:tc>
        <w:tc>
          <w:tcPr>
            <w:tcW w:w="421" w:type="dxa"/>
            <w:gridSpan w:val="9"/>
          </w:tcPr>
          <w:p>
            <w:pPr>
              <w:spacing w:before="60" w:after="60"/>
              <w:jc w:val="center"/>
              <w:rPr>
                <w:noProof/>
                <w:szCs w:val="24"/>
              </w:rPr>
            </w:pPr>
          </w:p>
        </w:tc>
        <w:tc>
          <w:tcPr>
            <w:tcW w:w="437" w:type="dxa"/>
            <w:gridSpan w:val="3"/>
          </w:tcPr>
          <w:p>
            <w:pPr>
              <w:spacing w:before="60" w:after="60"/>
              <w:jc w:val="center"/>
              <w:rPr>
                <w:noProof/>
                <w:szCs w:val="24"/>
              </w:rPr>
            </w:pPr>
          </w:p>
        </w:tc>
        <w:tc>
          <w:tcPr>
            <w:tcW w:w="506" w:type="dxa"/>
            <w:gridSpan w:val="6"/>
          </w:tcPr>
          <w:p>
            <w:pPr>
              <w:spacing w:before="60" w:after="60"/>
              <w:jc w:val="center"/>
              <w:rPr>
                <w:noProof/>
                <w:szCs w:val="24"/>
              </w:rPr>
            </w:pPr>
          </w:p>
        </w:tc>
      </w:tr>
      <w:tr>
        <w:trPr>
          <w:gridAfter w:val="4"/>
          <w:wAfter w:w="177" w:type="dxa"/>
        </w:trPr>
        <w:tc>
          <w:tcPr>
            <w:tcW w:w="829" w:type="dxa"/>
            <w:gridSpan w:val="13"/>
            <w:tcBorders>
              <w:top w:val="nil"/>
              <w:left w:val="nil"/>
              <w:bottom w:val="nil"/>
              <w:right w:val="nil"/>
            </w:tcBorders>
            <w:shd w:val="clear" w:color="auto" w:fill="auto"/>
          </w:tcPr>
          <w:p>
            <w:pPr>
              <w:rPr>
                <w:noProof/>
                <w:szCs w:val="24"/>
              </w:rPr>
            </w:pPr>
          </w:p>
        </w:tc>
        <w:tc>
          <w:tcPr>
            <w:tcW w:w="8969" w:type="dxa"/>
            <w:gridSpan w:val="94"/>
            <w:tcBorders>
              <w:top w:val="nil"/>
              <w:left w:val="nil"/>
              <w:bottom w:val="nil"/>
              <w:right w:val="nil"/>
            </w:tcBorders>
            <w:shd w:val="clear" w:color="auto" w:fill="auto"/>
          </w:tcPr>
          <w:p>
            <w:pPr>
              <w:pStyle w:val="Point0"/>
              <w:ind w:left="596" w:hanging="176"/>
              <w:rPr>
                <w:noProof/>
                <w:szCs w:val="24"/>
              </w:rPr>
            </w:pPr>
            <w:r>
              <w:rPr>
                <w:noProof/>
              </w:rPr>
              <w:t>iii) les entrées correspondant aux numéros 62 et 63 sont remplacées par le texte suivant:</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9"/>
          <w:wAfter w:w="614" w:type="dxa"/>
        </w:trPr>
        <w:tc>
          <w:tcPr>
            <w:tcW w:w="829" w:type="dxa"/>
            <w:gridSpan w:val="13"/>
          </w:tcPr>
          <w:p>
            <w:pPr>
              <w:spacing w:before="60" w:after="60"/>
              <w:jc w:val="center"/>
              <w:rPr>
                <w:noProof/>
                <w:szCs w:val="24"/>
              </w:rPr>
            </w:pPr>
            <w:r>
              <w:rPr>
                <w:noProof/>
              </w:rPr>
              <w:t>«62</w:t>
            </w:r>
          </w:p>
        </w:tc>
        <w:tc>
          <w:tcPr>
            <w:tcW w:w="1684" w:type="dxa"/>
            <w:gridSpan w:val="8"/>
          </w:tcPr>
          <w:p>
            <w:pPr>
              <w:spacing w:before="60" w:after="60"/>
              <w:jc w:val="left"/>
              <w:rPr>
                <w:noProof/>
                <w:szCs w:val="24"/>
              </w:rPr>
            </w:pPr>
            <w:r>
              <w:rPr>
                <w:noProof/>
              </w:rPr>
              <w:t>Système hydrogène</w:t>
            </w:r>
          </w:p>
        </w:tc>
        <w:tc>
          <w:tcPr>
            <w:tcW w:w="1267" w:type="dxa"/>
            <w:gridSpan w:val="10"/>
          </w:tcPr>
          <w:p>
            <w:pPr>
              <w:spacing w:before="60" w:after="60"/>
              <w:jc w:val="left"/>
              <w:rPr>
                <w:noProof/>
                <w:szCs w:val="24"/>
              </w:rPr>
            </w:pPr>
            <w:r>
              <w:rPr>
                <w:noProof/>
              </w:rPr>
              <w:t>Règlement (UE) 2019/…</w:t>
            </w:r>
            <w:r>
              <w:rPr>
                <w:noProof/>
                <w:vertAlign w:val="superscript"/>
              </w:rPr>
              <w:t>+</w:t>
            </w:r>
          </w:p>
          <w:p>
            <w:pPr>
              <w:spacing w:before="60" w:after="60"/>
              <w:jc w:val="left"/>
              <w:rPr>
                <w:noProof/>
                <w:szCs w:val="24"/>
              </w:rPr>
            </w:pPr>
            <w:r>
              <w:rPr>
                <w:noProof/>
              </w:rPr>
              <w:t>Règlement nº 134 de l’ONU</w:t>
            </w:r>
          </w:p>
        </w:tc>
        <w:tc>
          <w:tcPr>
            <w:tcW w:w="544" w:type="dxa"/>
            <w:gridSpan w:val="8"/>
          </w:tcPr>
          <w:p>
            <w:pPr>
              <w:spacing w:before="60" w:after="60"/>
              <w:jc w:val="center"/>
              <w:rPr>
                <w:noProof/>
                <w:szCs w:val="24"/>
              </w:rPr>
            </w:pPr>
            <w:r>
              <w:rPr>
                <w:noProof/>
              </w:rPr>
              <w:t>X</w:t>
            </w:r>
          </w:p>
        </w:tc>
        <w:tc>
          <w:tcPr>
            <w:tcW w:w="509" w:type="dxa"/>
            <w:gridSpan w:val="6"/>
          </w:tcPr>
          <w:p>
            <w:pPr>
              <w:spacing w:before="60" w:after="60"/>
              <w:jc w:val="center"/>
              <w:rPr>
                <w:noProof/>
                <w:szCs w:val="24"/>
              </w:rPr>
            </w:pPr>
            <w:r>
              <w:rPr>
                <w:noProof/>
              </w:rPr>
              <w:t>X</w:t>
            </w:r>
          </w:p>
        </w:tc>
        <w:tc>
          <w:tcPr>
            <w:tcW w:w="557" w:type="dxa"/>
            <w:gridSpan w:val="7"/>
          </w:tcPr>
          <w:p>
            <w:pPr>
              <w:spacing w:before="60" w:after="60"/>
              <w:jc w:val="center"/>
              <w:rPr>
                <w:noProof/>
                <w:szCs w:val="24"/>
              </w:rPr>
            </w:pPr>
            <w:r>
              <w:rPr>
                <w:noProof/>
              </w:rPr>
              <w:t>X</w:t>
            </w:r>
          </w:p>
        </w:tc>
        <w:tc>
          <w:tcPr>
            <w:tcW w:w="500" w:type="dxa"/>
            <w:gridSpan w:val="7"/>
            <w:shd w:val="clear" w:color="auto" w:fill="auto"/>
          </w:tcPr>
          <w:p>
            <w:pPr>
              <w:spacing w:before="60" w:after="60"/>
              <w:jc w:val="center"/>
              <w:rPr>
                <w:noProof/>
                <w:szCs w:val="24"/>
              </w:rPr>
            </w:pPr>
            <w:r>
              <w:rPr>
                <w:noProof/>
              </w:rPr>
              <w:t>X</w:t>
            </w:r>
          </w:p>
        </w:tc>
        <w:tc>
          <w:tcPr>
            <w:tcW w:w="744" w:type="dxa"/>
            <w:gridSpan w:val="8"/>
          </w:tcPr>
          <w:p>
            <w:pPr>
              <w:spacing w:before="60" w:after="60"/>
              <w:jc w:val="center"/>
              <w:rPr>
                <w:noProof/>
                <w:szCs w:val="24"/>
              </w:rPr>
            </w:pPr>
            <w:r>
              <w:rPr>
                <w:noProof/>
              </w:rPr>
              <w:t>X</w:t>
            </w:r>
          </w:p>
        </w:tc>
        <w:tc>
          <w:tcPr>
            <w:tcW w:w="535" w:type="dxa"/>
            <w:gridSpan w:val="6"/>
          </w:tcPr>
          <w:p>
            <w:pPr>
              <w:spacing w:before="60" w:after="60"/>
              <w:jc w:val="center"/>
              <w:rPr>
                <w:noProof/>
                <w:szCs w:val="24"/>
              </w:rPr>
            </w:pPr>
            <w:r>
              <w:rPr>
                <w:noProof/>
              </w:rPr>
              <w:t>X</w:t>
            </w:r>
          </w:p>
        </w:tc>
        <w:tc>
          <w:tcPr>
            <w:tcW w:w="485" w:type="dxa"/>
            <w:gridSpan w:val="7"/>
          </w:tcPr>
          <w:p>
            <w:pPr>
              <w:spacing w:before="60" w:after="60"/>
              <w:jc w:val="center"/>
              <w:rPr>
                <w:noProof/>
                <w:szCs w:val="24"/>
              </w:rPr>
            </w:pPr>
          </w:p>
        </w:tc>
        <w:tc>
          <w:tcPr>
            <w:tcW w:w="539" w:type="dxa"/>
            <w:gridSpan w:val="6"/>
          </w:tcPr>
          <w:p>
            <w:pPr>
              <w:spacing w:before="60" w:after="60"/>
              <w:jc w:val="center"/>
              <w:rPr>
                <w:noProof/>
                <w:szCs w:val="24"/>
              </w:rPr>
            </w:pPr>
          </w:p>
        </w:tc>
        <w:tc>
          <w:tcPr>
            <w:tcW w:w="540" w:type="dxa"/>
            <w:gridSpan w:val="10"/>
          </w:tcPr>
          <w:p>
            <w:pPr>
              <w:spacing w:before="60" w:after="60"/>
              <w:jc w:val="center"/>
              <w:rPr>
                <w:noProof/>
                <w:szCs w:val="24"/>
              </w:rPr>
            </w:pPr>
          </w:p>
        </w:tc>
        <w:tc>
          <w:tcPr>
            <w:tcW w:w="628" w:type="dxa"/>
            <w:gridSpan w:val="6"/>
          </w:tcPr>
          <w:p>
            <w:pPr>
              <w:spacing w:before="60" w:after="60"/>
              <w:jc w:val="center"/>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9"/>
          <w:wAfter w:w="614" w:type="dxa"/>
        </w:trPr>
        <w:tc>
          <w:tcPr>
            <w:tcW w:w="829" w:type="dxa"/>
            <w:gridSpan w:val="13"/>
          </w:tcPr>
          <w:p>
            <w:pPr>
              <w:spacing w:before="60" w:after="60"/>
              <w:jc w:val="center"/>
              <w:rPr>
                <w:noProof/>
                <w:szCs w:val="24"/>
              </w:rPr>
            </w:pPr>
            <w:r>
              <w:rPr>
                <w:noProof/>
              </w:rPr>
              <w:t>63</w:t>
            </w:r>
          </w:p>
        </w:tc>
        <w:tc>
          <w:tcPr>
            <w:tcW w:w="1684" w:type="dxa"/>
            <w:gridSpan w:val="8"/>
          </w:tcPr>
          <w:p>
            <w:pPr>
              <w:spacing w:before="60" w:after="60"/>
              <w:jc w:val="left"/>
              <w:rPr>
                <w:noProof/>
                <w:szCs w:val="24"/>
              </w:rPr>
            </w:pPr>
            <w:r>
              <w:rPr>
                <w:noProof/>
              </w:rPr>
              <w:t xml:space="preserve">Sécurité générale </w:t>
            </w:r>
          </w:p>
        </w:tc>
        <w:tc>
          <w:tcPr>
            <w:tcW w:w="1267" w:type="dxa"/>
            <w:gridSpan w:val="10"/>
          </w:tcPr>
          <w:p>
            <w:pPr>
              <w:spacing w:before="60" w:after="60"/>
              <w:jc w:val="left"/>
              <w:rPr>
                <w:noProof/>
                <w:szCs w:val="24"/>
              </w:rPr>
            </w:pPr>
            <w:r>
              <w:rPr>
                <w:noProof/>
              </w:rPr>
              <w:t>Règlement (UE) 2019/…</w:t>
            </w:r>
            <w:r>
              <w:rPr>
                <w:noProof/>
                <w:vertAlign w:val="superscript"/>
              </w:rPr>
              <w:t>+</w:t>
            </w:r>
          </w:p>
        </w:tc>
        <w:tc>
          <w:tcPr>
            <w:tcW w:w="544" w:type="dxa"/>
            <w:gridSpan w:val="8"/>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c>
          <w:tcPr>
            <w:tcW w:w="509" w:type="dxa"/>
            <w:gridSpan w:val="6"/>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c>
          <w:tcPr>
            <w:tcW w:w="557" w:type="dxa"/>
            <w:gridSpan w:val="7"/>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c>
          <w:tcPr>
            <w:tcW w:w="500" w:type="dxa"/>
            <w:gridSpan w:val="7"/>
            <w:shd w:val="clear" w:color="auto" w:fill="auto"/>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c>
          <w:tcPr>
            <w:tcW w:w="744" w:type="dxa"/>
            <w:gridSpan w:val="8"/>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c>
          <w:tcPr>
            <w:tcW w:w="535" w:type="dxa"/>
            <w:gridSpan w:val="6"/>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c>
          <w:tcPr>
            <w:tcW w:w="485" w:type="dxa"/>
            <w:gridSpan w:val="7"/>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c>
          <w:tcPr>
            <w:tcW w:w="539" w:type="dxa"/>
            <w:gridSpan w:val="6"/>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c>
          <w:tcPr>
            <w:tcW w:w="540" w:type="dxa"/>
            <w:gridSpan w:val="10"/>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c>
          <w:tcPr>
            <w:tcW w:w="628" w:type="dxa"/>
            <w:gridSpan w:val="6"/>
          </w:tcPr>
          <w:p>
            <w:pPr>
              <w:spacing w:before="60" w:after="60"/>
              <w:jc w:val="center"/>
              <w:rPr>
                <w:noProof/>
                <w:szCs w:val="24"/>
              </w:rPr>
            </w:pPr>
            <w:r>
              <w:rPr>
                <w:noProof/>
                <w:color w:val="000000"/>
                <w:sz w:val="20"/>
              </w:rPr>
              <w:t>X(</w:t>
            </w:r>
            <w:r>
              <w:rPr>
                <w:noProof/>
                <w:color w:val="000000"/>
                <w:sz w:val="20"/>
                <w:vertAlign w:val="superscript"/>
              </w:rPr>
              <w:t>15</w:t>
            </w:r>
            <w:r>
              <w:rPr>
                <w:noProof/>
                <w:color w:val="000000"/>
                <w:sz w:val="20"/>
              </w:rPr>
              <w:t>)»;</w:t>
            </w:r>
          </w:p>
        </w:tc>
      </w:tr>
      <w:tr>
        <w:trPr>
          <w:gridAfter w:val="9"/>
          <w:wAfter w:w="614" w:type="dxa"/>
        </w:trPr>
        <w:tc>
          <w:tcPr>
            <w:tcW w:w="964" w:type="dxa"/>
            <w:gridSpan w:val="15"/>
            <w:tcBorders>
              <w:top w:val="nil"/>
              <w:left w:val="nil"/>
              <w:bottom w:val="nil"/>
              <w:right w:val="nil"/>
            </w:tcBorders>
            <w:shd w:val="clear" w:color="auto" w:fill="auto"/>
          </w:tcPr>
          <w:p>
            <w:pPr>
              <w:rPr>
                <w:noProof/>
                <w:szCs w:val="24"/>
              </w:rPr>
            </w:pPr>
          </w:p>
        </w:tc>
        <w:tc>
          <w:tcPr>
            <w:tcW w:w="8397" w:type="dxa"/>
            <w:gridSpan w:val="87"/>
            <w:tcBorders>
              <w:top w:val="nil"/>
              <w:left w:val="nil"/>
              <w:bottom w:val="nil"/>
              <w:right w:val="nil"/>
            </w:tcBorders>
            <w:shd w:val="clear" w:color="auto" w:fill="auto"/>
          </w:tcPr>
          <w:p>
            <w:pPr>
              <w:pStyle w:val="Point0"/>
              <w:ind w:left="596" w:hanging="312"/>
              <w:rPr>
                <w:noProof/>
                <w:szCs w:val="24"/>
              </w:rPr>
            </w:pPr>
            <w:r>
              <w:rPr>
                <w:noProof/>
              </w:rPr>
              <w:t>iv) les entrées correspondant aux numéros 65 et 66 sont remplacées par le texte suivant:</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4"/>
          <w:wAfter w:w="1820" w:type="dxa"/>
        </w:trPr>
        <w:tc>
          <w:tcPr>
            <w:tcW w:w="721" w:type="dxa"/>
            <w:gridSpan w:val="11"/>
          </w:tcPr>
          <w:p>
            <w:pPr>
              <w:spacing w:before="60" w:after="60"/>
              <w:jc w:val="center"/>
              <w:rPr>
                <w:noProof/>
                <w:szCs w:val="24"/>
              </w:rPr>
            </w:pPr>
            <w:r>
              <w:rPr>
                <w:noProof/>
              </w:rPr>
              <w:t>«65</w:t>
            </w:r>
          </w:p>
        </w:tc>
        <w:tc>
          <w:tcPr>
            <w:tcW w:w="1590" w:type="dxa"/>
            <w:gridSpan w:val="6"/>
          </w:tcPr>
          <w:p>
            <w:pPr>
              <w:spacing w:before="60" w:after="60"/>
              <w:jc w:val="left"/>
              <w:rPr>
                <w:noProof/>
                <w:szCs w:val="24"/>
              </w:rPr>
            </w:pPr>
            <w:r>
              <w:rPr>
                <w:noProof/>
              </w:rPr>
              <w:t xml:space="preserve">Système avancé de freinage d’urgence </w:t>
            </w:r>
          </w:p>
        </w:tc>
        <w:tc>
          <w:tcPr>
            <w:tcW w:w="1212" w:type="dxa"/>
            <w:gridSpan w:val="8"/>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131 de l’ONU</w:t>
            </w:r>
          </w:p>
        </w:tc>
        <w:tc>
          <w:tcPr>
            <w:tcW w:w="351" w:type="dxa"/>
            <w:gridSpan w:val="8"/>
          </w:tcPr>
          <w:p>
            <w:pPr>
              <w:spacing w:before="60" w:after="60"/>
              <w:jc w:val="center"/>
              <w:rPr>
                <w:noProof/>
                <w:szCs w:val="24"/>
              </w:rPr>
            </w:pPr>
          </w:p>
        </w:tc>
        <w:tc>
          <w:tcPr>
            <w:tcW w:w="475" w:type="dxa"/>
            <w:gridSpan w:val="6"/>
          </w:tcPr>
          <w:p>
            <w:pPr>
              <w:spacing w:before="60" w:after="60"/>
              <w:jc w:val="left"/>
              <w:rPr>
                <w:noProof/>
                <w:szCs w:val="24"/>
              </w:rPr>
            </w:pPr>
            <w:r>
              <w:rPr>
                <w:noProof/>
              </w:rPr>
              <w:t>N/A</w:t>
            </w:r>
          </w:p>
        </w:tc>
        <w:tc>
          <w:tcPr>
            <w:tcW w:w="474" w:type="dxa"/>
            <w:gridSpan w:val="6"/>
          </w:tcPr>
          <w:p>
            <w:pPr>
              <w:spacing w:before="60" w:after="60"/>
              <w:jc w:val="left"/>
              <w:rPr>
                <w:noProof/>
                <w:szCs w:val="24"/>
              </w:rPr>
            </w:pPr>
            <w:r>
              <w:rPr>
                <w:noProof/>
              </w:rPr>
              <w:t>N/A</w:t>
            </w:r>
          </w:p>
        </w:tc>
        <w:tc>
          <w:tcPr>
            <w:tcW w:w="404" w:type="dxa"/>
            <w:gridSpan w:val="4"/>
            <w:shd w:val="clear" w:color="auto" w:fill="auto"/>
          </w:tcPr>
          <w:p>
            <w:pPr>
              <w:spacing w:before="60" w:after="60"/>
              <w:jc w:val="center"/>
              <w:rPr>
                <w:noProof/>
                <w:szCs w:val="24"/>
              </w:rPr>
            </w:pPr>
          </w:p>
        </w:tc>
        <w:tc>
          <w:tcPr>
            <w:tcW w:w="515" w:type="dxa"/>
            <w:gridSpan w:val="7"/>
          </w:tcPr>
          <w:p>
            <w:pPr>
              <w:spacing w:before="60" w:after="60"/>
              <w:jc w:val="center"/>
              <w:rPr>
                <w:noProof/>
                <w:szCs w:val="24"/>
              </w:rPr>
            </w:pPr>
            <w:r>
              <w:rPr>
                <w:noProof/>
              </w:rPr>
              <w:t>N/A</w:t>
            </w:r>
          </w:p>
        </w:tc>
        <w:tc>
          <w:tcPr>
            <w:tcW w:w="685" w:type="dxa"/>
            <w:gridSpan w:val="9"/>
          </w:tcPr>
          <w:p>
            <w:pPr>
              <w:spacing w:before="60" w:after="60"/>
              <w:jc w:val="center"/>
              <w:rPr>
                <w:noProof/>
                <w:szCs w:val="24"/>
              </w:rPr>
            </w:pPr>
            <w:r>
              <w:rPr>
                <w:noProof/>
              </w:rPr>
              <w:t>N/A</w:t>
            </w:r>
          </w:p>
        </w:tc>
        <w:tc>
          <w:tcPr>
            <w:tcW w:w="396" w:type="dxa"/>
            <w:gridSpan w:val="4"/>
          </w:tcPr>
          <w:p>
            <w:pPr>
              <w:spacing w:before="60" w:after="60"/>
              <w:jc w:val="center"/>
              <w:rPr>
                <w:noProof/>
                <w:szCs w:val="24"/>
              </w:rPr>
            </w:pPr>
          </w:p>
        </w:tc>
        <w:tc>
          <w:tcPr>
            <w:tcW w:w="415" w:type="dxa"/>
            <w:gridSpan w:val="4"/>
          </w:tcPr>
          <w:p>
            <w:pPr>
              <w:spacing w:before="60" w:after="60"/>
              <w:jc w:val="center"/>
              <w:rPr>
                <w:noProof/>
                <w:szCs w:val="24"/>
              </w:rPr>
            </w:pPr>
          </w:p>
        </w:tc>
        <w:tc>
          <w:tcPr>
            <w:tcW w:w="445" w:type="dxa"/>
            <w:gridSpan w:val="7"/>
          </w:tcPr>
          <w:p>
            <w:pPr>
              <w:spacing w:before="60" w:after="60"/>
              <w:jc w:val="center"/>
              <w:rPr>
                <w:noProof/>
                <w:szCs w:val="24"/>
              </w:rPr>
            </w:pPr>
          </w:p>
        </w:tc>
        <w:tc>
          <w:tcPr>
            <w:tcW w:w="474" w:type="dxa"/>
            <w:gridSpan w:val="6"/>
          </w:tcPr>
          <w:p>
            <w:pPr>
              <w:spacing w:before="60" w:after="60"/>
              <w:jc w:val="center"/>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4"/>
          <w:wAfter w:w="1820" w:type="dxa"/>
        </w:trPr>
        <w:tc>
          <w:tcPr>
            <w:tcW w:w="721" w:type="dxa"/>
            <w:gridSpan w:val="11"/>
            <w:tcBorders>
              <w:top w:val="single" w:sz="12" w:space="0" w:color="auto"/>
              <w:left w:val="single" w:sz="12" w:space="0" w:color="auto"/>
              <w:bottom w:val="single" w:sz="12" w:space="0" w:color="auto"/>
              <w:right w:val="single" w:sz="12" w:space="0" w:color="auto"/>
            </w:tcBorders>
          </w:tcPr>
          <w:p>
            <w:pPr>
              <w:spacing w:before="60" w:after="60"/>
              <w:jc w:val="center"/>
              <w:rPr>
                <w:noProof/>
                <w:szCs w:val="24"/>
              </w:rPr>
            </w:pPr>
            <w:r>
              <w:rPr>
                <w:noProof/>
              </w:rPr>
              <w:t>66</w:t>
            </w:r>
          </w:p>
        </w:tc>
        <w:tc>
          <w:tcPr>
            <w:tcW w:w="1590" w:type="dxa"/>
            <w:gridSpan w:val="6"/>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 xml:space="preserve">Système d’avertissement de déviation de trajectoire </w:t>
            </w:r>
          </w:p>
        </w:tc>
        <w:tc>
          <w:tcPr>
            <w:tcW w:w="1212" w:type="dxa"/>
            <w:gridSpan w:val="8"/>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Règlement (UE) 2019/…</w:t>
            </w:r>
            <w:r>
              <w:rPr>
                <w:noProof/>
                <w:vertAlign w:val="superscript"/>
              </w:rPr>
              <w:t>+</w:t>
            </w:r>
          </w:p>
          <w:p>
            <w:pPr>
              <w:spacing w:before="60" w:after="60"/>
              <w:jc w:val="left"/>
              <w:rPr>
                <w:noProof/>
                <w:szCs w:val="24"/>
              </w:rPr>
            </w:pPr>
            <w:r>
              <w:rPr>
                <w:noProof/>
              </w:rPr>
              <w:t>Règlement nº 130 de l’ONU</w:t>
            </w:r>
          </w:p>
        </w:tc>
        <w:tc>
          <w:tcPr>
            <w:tcW w:w="351" w:type="dxa"/>
            <w:gridSpan w:val="8"/>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75" w:type="dxa"/>
            <w:gridSpan w:val="6"/>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N/A</w:t>
            </w:r>
          </w:p>
        </w:tc>
        <w:tc>
          <w:tcPr>
            <w:tcW w:w="474" w:type="dxa"/>
            <w:gridSpan w:val="6"/>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N/A</w:t>
            </w:r>
          </w:p>
        </w:tc>
        <w:tc>
          <w:tcPr>
            <w:tcW w:w="404" w:type="dxa"/>
            <w:gridSpan w:val="4"/>
            <w:tcBorders>
              <w:top w:val="single" w:sz="12" w:space="0" w:color="auto"/>
              <w:left w:val="single" w:sz="2" w:space="0" w:color="auto"/>
              <w:bottom w:val="single" w:sz="12" w:space="0" w:color="auto"/>
              <w:right w:val="single" w:sz="12" w:space="0" w:color="auto"/>
            </w:tcBorders>
            <w:shd w:val="clear" w:color="auto" w:fill="auto"/>
          </w:tcPr>
          <w:p>
            <w:pPr>
              <w:spacing w:before="60" w:after="60"/>
              <w:jc w:val="center"/>
              <w:rPr>
                <w:noProof/>
                <w:szCs w:val="24"/>
              </w:rPr>
            </w:pPr>
          </w:p>
        </w:tc>
        <w:tc>
          <w:tcPr>
            <w:tcW w:w="515"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685" w:type="dxa"/>
            <w:gridSpan w:val="9"/>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396" w:type="dxa"/>
            <w:gridSpan w:val="4"/>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15" w:type="dxa"/>
            <w:gridSpan w:val="4"/>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45"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74"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rPr>
          <w:gridBefore w:val="1"/>
          <w:gridAfter w:val="18"/>
          <w:wAfter w:w="1479" w:type="dxa"/>
        </w:trPr>
        <w:tc>
          <w:tcPr>
            <w:tcW w:w="721" w:type="dxa"/>
            <w:gridSpan w:val="11"/>
            <w:tcBorders>
              <w:top w:val="nil"/>
              <w:left w:val="nil"/>
              <w:bottom w:val="nil"/>
              <w:right w:val="nil"/>
            </w:tcBorders>
            <w:shd w:val="clear" w:color="auto" w:fill="auto"/>
          </w:tcPr>
          <w:p>
            <w:pPr>
              <w:rPr>
                <w:noProof/>
                <w:szCs w:val="24"/>
              </w:rPr>
            </w:pPr>
          </w:p>
        </w:tc>
        <w:tc>
          <w:tcPr>
            <w:tcW w:w="7777" w:type="dxa"/>
            <w:gridSpan w:val="81"/>
            <w:tcBorders>
              <w:top w:val="nil"/>
              <w:left w:val="nil"/>
              <w:bottom w:val="nil"/>
              <w:right w:val="nil"/>
            </w:tcBorders>
            <w:shd w:val="clear" w:color="auto" w:fill="auto"/>
          </w:tcPr>
          <w:p>
            <w:pPr>
              <w:pStyle w:val="Point0"/>
              <w:ind w:left="596" w:hanging="596"/>
              <w:rPr>
                <w:noProof/>
                <w:szCs w:val="24"/>
              </w:rPr>
            </w:pPr>
            <w:r>
              <w:rPr>
                <w:noProof/>
              </w:rPr>
              <w:t>c) l’appendice 3 est modifié comme suit:</w:t>
            </w:r>
          </w:p>
          <w:p>
            <w:pPr>
              <w:pStyle w:val="Point0"/>
              <w:ind w:left="596" w:hanging="176"/>
              <w:rPr>
                <w:noProof/>
                <w:szCs w:val="24"/>
              </w:rPr>
            </w:pPr>
            <w:r>
              <w:rPr>
                <w:noProof/>
              </w:rPr>
              <w:t>i) dans le tableau, l’entrée suivante est insérée à l’endroit approprié, par numéro de rubrique: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581" w:type="dxa"/>
        </w:trPr>
        <w:tc>
          <w:tcPr>
            <w:tcW w:w="619"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«55A</w:t>
            </w:r>
          </w:p>
        </w:tc>
        <w:tc>
          <w:tcPr>
            <w:tcW w:w="3124" w:type="dxa"/>
            <w:gridSpan w:val="24"/>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Choc latéral contre un poteau</w:t>
            </w:r>
          </w:p>
        </w:tc>
        <w:tc>
          <w:tcPr>
            <w:tcW w:w="3495" w:type="dxa"/>
            <w:gridSpan w:val="42"/>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135 de l’ONU</w:t>
            </w:r>
          </w:p>
        </w:tc>
        <w:tc>
          <w:tcPr>
            <w:tcW w:w="1158"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noProof/>
              </w:rPr>
              <w:t>N/A»;</w:t>
            </w:r>
          </w:p>
        </w:tc>
      </w:tr>
      <w:tr>
        <w:trPr>
          <w:gridBefore w:val="1"/>
          <w:gridAfter w:val="18"/>
          <w:wAfter w:w="1479" w:type="dxa"/>
        </w:trPr>
        <w:tc>
          <w:tcPr>
            <w:tcW w:w="721" w:type="dxa"/>
            <w:gridSpan w:val="11"/>
            <w:tcBorders>
              <w:top w:val="nil"/>
              <w:left w:val="nil"/>
              <w:bottom w:val="nil"/>
              <w:right w:val="nil"/>
            </w:tcBorders>
            <w:shd w:val="clear" w:color="auto" w:fill="auto"/>
          </w:tcPr>
          <w:p>
            <w:pPr>
              <w:rPr>
                <w:noProof/>
                <w:szCs w:val="24"/>
              </w:rPr>
            </w:pPr>
          </w:p>
        </w:tc>
        <w:tc>
          <w:tcPr>
            <w:tcW w:w="7777" w:type="dxa"/>
            <w:gridSpan w:val="81"/>
            <w:tcBorders>
              <w:top w:val="nil"/>
              <w:left w:val="nil"/>
              <w:bottom w:val="nil"/>
              <w:right w:val="nil"/>
            </w:tcBorders>
            <w:shd w:val="clear" w:color="auto" w:fill="auto"/>
          </w:tcPr>
          <w:p>
            <w:pPr>
              <w:pStyle w:val="Point0"/>
              <w:ind w:left="596" w:hanging="176"/>
              <w:rPr>
                <w:noProof/>
                <w:szCs w:val="24"/>
              </w:rPr>
            </w:pPr>
            <w:r>
              <w:rPr>
                <w:noProof/>
              </w:rPr>
              <w:t>ii) dans le tableau, l’entrée correspondant au numéro 58 est remplacée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581" w:type="dxa"/>
        </w:trPr>
        <w:tc>
          <w:tcPr>
            <w:tcW w:w="619"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3160" w:type="dxa"/>
            <w:gridSpan w:val="25"/>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Protection des piétons</w:t>
            </w:r>
          </w:p>
        </w:tc>
        <w:tc>
          <w:tcPr>
            <w:tcW w:w="3459" w:type="dxa"/>
            <w:gridSpan w:val="4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127 de l’ONU</w:t>
            </w:r>
          </w:p>
        </w:tc>
        <w:tc>
          <w:tcPr>
            <w:tcW w:w="1158"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noProof/>
              </w:rPr>
              <w:t>G»;</w:t>
            </w:r>
          </w:p>
        </w:tc>
      </w:tr>
      <w:tr>
        <w:trPr>
          <w:gridBefore w:val="1"/>
          <w:gridAfter w:val="18"/>
          <w:wAfter w:w="1479" w:type="dxa"/>
        </w:trPr>
        <w:tc>
          <w:tcPr>
            <w:tcW w:w="721" w:type="dxa"/>
            <w:gridSpan w:val="11"/>
            <w:tcBorders>
              <w:top w:val="nil"/>
              <w:left w:val="nil"/>
              <w:bottom w:val="nil"/>
              <w:right w:val="nil"/>
            </w:tcBorders>
            <w:shd w:val="clear" w:color="auto" w:fill="auto"/>
          </w:tcPr>
          <w:p>
            <w:pPr>
              <w:rPr>
                <w:noProof/>
                <w:szCs w:val="24"/>
              </w:rPr>
            </w:pPr>
          </w:p>
        </w:tc>
        <w:tc>
          <w:tcPr>
            <w:tcW w:w="7777" w:type="dxa"/>
            <w:gridSpan w:val="81"/>
            <w:tcBorders>
              <w:top w:val="nil"/>
              <w:left w:val="nil"/>
              <w:bottom w:val="nil"/>
              <w:right w:val="nil"/>
            </w:tcBorders>
            <w:shd w:val="clear" w:color="auto" w:fill="auto"/>
          </w:tcPr>
          <w:p>
            <w:pPr>
              <w:pStyle w:val="Point0"/>
              <w:ind w:left="596" w:hanging="176"/>
              <w:rPr>
                <w:noProof/>
                <w:szCs w:val="24"/>
              </w:rPr>
            </w:pPr>
            <w:r>
              <w:rPr>
                <w:noProof/>
              </w:rPr>
              <w:t>iii) dans le tableau, les entrées correspondant aux numéros 62 et 63 sont remplacées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581" w:type="dxa"/>
        </w:trPr>
        <w:tc>
          <w:tcPr>
            <w:tcW w:w="619"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3160" w:type="dxa"/>
            <w:gridSpan w:val="25"/>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Système hydrogène</w:t>
            </w:r>
          </w:p>
        </w:tc>
        <w:tc>
          <w:tcPr>
            <w:tcW w:w="3459" w:type="dxa"/>
            <w:gridSpan w:val="4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134 de l’ONU</w:t>
            </w:r>
          </w:p>
        </w:tc>
        <w:tc>
          <w:tcPr>
            <w:tcW w:w="1158"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noProof/>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581" w:type="dxa"/>
        </w:trPr>
        <w:tc>
          <w:tcPr>
            <w:tcW w:w="619" w:type="dxa"/>
            <w:gridSpan w:val="7"/>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3160" w:type="dxa"/>
            <w:gridSpan w:val="25"/>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 xml:space="preserve">Sécurité générale </w:t>
            </w:r>
          </w:p>
        </w:tc>
        <w:tc>
          <w:tcPr>
            <w:tcW w:w="3459" w:type="dxa"/>
            <w:gridSpan w:val="4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Règlement (UE) 2019/…</w:t>
            </w:r>
            <w:r>
              <w:rPr>
                <w:noProof/>
                <w:vertAlign w:val="superscript"/>
              </w:rPr>
              <w:t>+</w:t>
            </w:r>
          </w:p>
        </w:tc>
        <w:tc>
          <w:tcPr>
            <w:tcW w:w="1158" w:type="dxa"/>
            <w:gridSpan w:val="15"/>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color w:val="000000"/>
              </w:rPr>
              <w:t>X(</w:t>
            </w:r>
            <w:r>
              <w:rPr>
                <w:noProof/>
                <w:color w:val="000000"/>
                <w:vertAlign w:val="superscript"/>
              </w:rPr>
              <w:t>15</w:t>
            </w:r>
            <w:r>
              <w:rPr>
                <w:noProof/>
                <w:color w:val="000000"/>
              </w:rPr>
              <w:t>)»;</w:t>
            </w:r>
          </w:p>
        </w:tc>
      </w:tr>
      <w:tr>
        <w:trPr>
          <w:gridBefore w:val="1"/>
          <w:gridAfter w:val="18"/>
          <w:wAfter w:w="1479" w:type="dxa"/>
        </w:trPr>
        <w:tc>
          <w:tcPr>
            <w:tcW w:w="721" w:type="dxa"/>
            <w:gridSpan w:val="11"/>
            <w:tcBorders>
              <w:top w:val="nil"/>
              <w:left w:val="nil"/>
              <w:bottom w:val="nil"/>
              <w:right w:val="nil"/>
            </w:tcBorders>
            <w:shd w:val="clear" w:color="auto" w:fill="auto"/>
          </w:tcPr>
          <w:p>
            <w:pPr>
              <w:rPr>
                <w:noProof/>
                <w:szCs w:val="24"/>
              </w:rPr>
            </w:pPr>
          </w:p>
        </w:tc>
        <w:tc>
          <w:tcPr>
            <w:tcW w:w="7777" w:type="dxa"/>
            <w:gridSpan w:val="81"/>
            <w:tcBorders>
              <w:top w:val="nil"/>
              <w:left w:val="nil"/>
              <w:bottom w:val="nil"/>
              <w:right w:val="nil"/>
            </w:tcBorders>
            <w:shd w:val="clear" w:color="auto" w:fill="auto"/>
          </w:tcPr>
          <w:p>
            <w:pPr>
              <w:pStyle w:val="Point0"/>
              <w:ind w:left="439" w:hanging="19"/>
              <w:rPr>
                <w:noProof/>
                <w:szCs w:val="24"/>
              </w:rPr>
            </w:pPr>
            <w:r>
              <w:rPr>
                <w:noProof/>
              </w:rPr>
              <w:t>iv) le point suivant est ajouté:</w:t>
            </w:r>
          </w:p>
          <w:p>
            <w:pPr>
              <w:pStyle w:val="Point0"/>
              <w:ind w:left="871" w:hanging="439"/>
              <w:rPr>
                <w:noProof/>
                <w:szCs w:val="24"/>
              </w:rPr>
            </w:pPr>
            <w:r>
              <w:rPr>
                <w:noProof/>
              </w:rPr>
              <w:t xml:space="preserve">«5 </w:t>
            </w:r>
            <w:r>
              <w:rPr>
                <w:noProof/>
              </w:rPr>
              <w:tab/>
              <w:t>Les points 1 à 4.2 s’appliquent également aux véhicules des catégories M</w:t>
            </w:r>
            <w:r>
              <w:rPr>
                <w:noProof/>
                <w:vertAlign w:val="subscript"/>
              </w:rPr>
              <w:t>1</w:t>
            </w:r>
            <w:r>
              <w:rPr>
                <w:noProof/>
              </w:rPr>
              <w:t xml:space="preserve"> qui ne sont pas classés comme véhicules à usage spécial mais qui sont accessibles en fauteur roulant.»;</w:t>
            </w:r>
          </w:p>
        </w:tc>
      </w:tr>
      <w:tr>
        <w:trPr>
          <w:gridBefore w:val="1"/>
          <w:gridAfter w:val="11"/>
          <w:wAfter w:w="859" w:type="dxa"/>
        </w:trPr>
        <w:tc>
          <w:tcPr>
            <w:tcW w:w="721" w:type="dxa"/>
            <w:gridSpan w:val="11"/>
            <w:tcBorders>
              <w:top w:val="nil"/>
              <w:left w:val="nil"/>
              <w:bottom w:val="nil"/>
              <w:right w:val="nil"/>
            </w:tcBorders>
            <w:shd w:val="clear" w:color="auto" w:fill="auto"/>
          </w:tcPr>
          <w:p>
            <w:pPr>
              <w:rPr>
                <w:noProof/>
                <w:szCs w:val="24"/>
              </w:rPr>
            </w:pPr>
          </w:p>
        </w:tc>
        <w:tc>
          <w:tcPr>
            <w:tcW w:w="8397" w:type="dxa"/>
            <w:gridSpan w:val="88"/>
            <w:tcBorders>
              <w:top w:val="nil"/>
              <w:left w:val="nil"/>
              <w:bottom w:val="nil"/>
              <w:right w:val="nil"/>
            </w:tcBorders>
            <w:shd w:val="clear" w:color="auto" w:fill="auto"/>
          </w:tcPr>
          <w:p>
            <w:pPr>
              <w:pStyle w:val="Point0"/>
              <w:ind w:left="596" w:hanging="596"/>
              <w:rPr>
                <w:noProof/>
                <w:szCs w:val="24"/>
              </w:rPr>
            </w:pPr>
            <w:r>
              <w:rPr>
                <w:noProof/>
              </w:rPr>
              <w:t>d) dans l’appendice 4, le tableau est modifié comme suit:</w:t>
            </w:r>
          </w:p>
          <w:p>
            <w:pPr>
              <w:pStyle w:val="Point0"/>
              <w:ind w:left="596" w:hanging="176"/>
              <w:rPr>
                <w:noProof/>
                <w:szCs w:val="24"/>
              </w:rPr>
            </w:pPr>
            <w:r>
              <w:rPr>
                <w:noProof/>
              </w:rPr>
              <w:t>i) l’entrée suivante est insérée à l’endroit approprié par numéro de rubrique:</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551" w:type="dxa"/>
        </w:trPr>
        <w:tc>
          <w:tcPr>
            <w:tcW w:w="681" w:type="dxa"/>
            <w:gridSpan w:val="10"/>
          </w:tcPr>
          <w:p>
            <w:pPr>
              <w:spacing w:before="60" w:after="60"/>
              <w:jc w:val="center"/>
              <w:rPr>
                <w:noProof/>
                <w:szCs w:val="24"/>
              </w:rPr>
            </w:pPr>
            <w:r>
              <w:rPr>
                <w:noProof/>
              </w:rPr>
              <w:t>«55A</w:t>
            </w:r>
          </w:p>
        </w:tc>
        <w:tc>
          <w:tcPr>
            <w:tcW w:w="1604" w:type="dxa"/>
            <w:gridSpan w:val="6"/>
          </w:tcPr>
          <w:p>
            <w:pPr>
              <w:spacing w:before="60" w:after="60"/>
              <w:jc w:val="left"/>
              <w:rPr>
                <w:noProof/>
                <w:szCs w:val="24"/>
              </w:rPr>
            </w:pPr>
            <w:r>
              <w:rPr>
                <w:noProof/>
              </w:rPr>
              <w:t>Choc latéral contre un poteau</w:t>
            </w:r>
          </w:p>
        </w:tc>
        <w:tc>
          <w:tcPr>
            <w:tcW w:w="1277" w:type="dxa"/>
            <w:gridSpan w:val="10"/>
          </w:tcPr>
          <w:p>
            <w:pPr>
              <w:spacing w:before="60" w:after="60"/>
              <w:jc w:val="left"/>
              <w:rPr>
                <w:noProof/>
                <w:szCs w:val="24"/>
              </w:rPr>
            </w:pPr>
            <w:r>
              <w:rPr>
                <w:noProof/>
              </w:rPr>
              <w:t>Règlement (UE) 2019/…</w:t>
            </w:r>
            <w:r>
              <w:rPr>
                <w:noProof/>
                <w:vertAlign w:val="superscript"/>
              </w:rPr>
              <w:t>+</w:t>
            </w:r>
          </w:p>
          <w:p>
            <w:pPr>
              <w:spacing w:before="60" w:after="60"/>
              <w:jc w:val="left"/>
              <w:rPr>
                <w:noProof/>
                <w:szCs w:val="24"/>
              </w:rPr>
            </w:pPr>
            <w:r>
              <w:rPr>
                <w:noProof/>
              </w:rPr>
              <w:t>Règlement nº 135 de l’ONU</w:t>
            </w:r>
          </w:p>
        </w:tc>
        <w:tc>
          <w:tcPr>
            <w:tcW w:w="522" w:type="dxa"/>
            <w:gridSpan w:val="8"/>
          </w:tcPr>
          <w:p>
            <w:pPr>
              <w:spacing w:before="60" w:after="60"/>
              <w:rPr>
                <w:noProof/>
                <w:szCs w:val="24"/>
              </w:rPr>
            </w:pPr>
          </w:p>
        </w:tc>
        <w:tc>
          <w:tcPr>
            <w:tcW w:w="546" w:type="dxa"/>
            <w:gridSpan w:val="7"/>
          </w:tcPr>
          <w:p>
            <w:pPr>
              <w:spacing w:before="60" w:after="60"/>
              <w:rPr>
                <w:noProof/>
                <w:szCs w:val="24"/>
              </w:rPr>
            </w:pPr>
          </w:p>
        </w:tc>
        <w:tc>
          <w:tcPr>
            <w:tcW w:w="505" w:type="dxa"/>
            <w:gridSpan w:val="6"/>
            <w:shd w:val="clear" w:color="auto" w:fill="auto"/>
          </w:tcPr>
          <w:p>
            <w:pPr>
              <w:spacing w:before="60" w:after="60"/>
              <w:jc w:val="center"/>
              <w:rPr>
                <w:noProof/>
                <w:szCs w:val="24"/>
              </w:rPr>
            </w:pPr>
            <w:r>
              <w:rPr>
                <w:noProof/>
              </w:rPr>
              <w:t>A»;</w:t>
            </w:r>
          </w:p>
        </w:tc>
        <w:tc>
          <w:tcPr>
            <w:tcW w:w="511" w:type="dxa"/>
            <w:gridSpan w:val="7"/>
          </w:tcPr>
          <w:p>
            <w:pPr>
              <w:spacing w:before="60" w:after="60"/>
              <w:rPr>
                <w:noProof/>
                <w:szCs w:val="24"/>
              </w:rPr>
            </w:pPr>
          </w:p>
        </w:tc>
        <w:tc>
          <w:tcPr>
            <w:tcW w:w="648" w:type="dxa"/>
            <w:gridSpan w:val="8"/>
          </w:tcPr>
          <w:p>
            <w:pPr>
              <w:spacing w:before="60" w:after="60"/>
              <w:rPr>
                <w:noProof/>
                <w:szCs w:val="24"/>
              </w:rPr>
            </w:pPr>
          </w:p>
        </w:tc>
        <w:tc>
          <w:tcPr>
            <w:tcW w:w="529" w:type="dxa"/>
            <w:gridSpan w:val="7"/>
          </w:tcPr>
          <w:p>
            <w:pPr>
              <w:spacing w:before="60" w:after="60"/>
              <w:rPr>
                <w:noProof/>
                <w:szCs w:val="24"/>
              </w:rPr>
            </w:pPr>
          </w:p>
        </w:tc>
        <w:tc>
          <w:tcPr>
            <w:tcW w:w="505" w:type="dxa"/>
            <w:gridSpan w:val="6"/>
          </w:tcPr>
          <w:p>
            <w:pPr>
              <w:spacing w:before="60" w:after="60"/>
              <w:rPr>
                <w:noProof/>
                <w:szCs w:val="24"/>
              </w:rPr>
            </w:pPr>
          </w:p>
        </w:tc>
        <w:tc>
          <w:tcPr>
            <w:tcW w:w="505" w:type="dxa"/>
            <w:gridSpan w:val="6"/>
          </w:tcPr>
          <w:p>
            <w:pPr>
              <w:spacing w:before="60" w:after="60"/>
              <w:rPr>
                <w:noProof/>
                <w:szCs w:val="24"/>
              </w:rPr>
            </w:pPr>
          </w:p>
        </w:tc>
        <w:tc>
          <w:tcPr>
            <w:tcW w:w="593" w:type="dxa"/>
            <w:gridSpan w:val="8"/>
          </w:tcPr>
          <w:p>
            <w:pPr>
              <w:spacing w:before="60" w:after="60"/>
              <w:rPr>
                <w:noProof/>
                <w:szCs w:val="24"/>
              </w:rPr>
            </w:pPr>
          </w:p>
        </w:tc>
      </w:tr>
      <w:tr>
        <w:trPr>
          <w:gridBefore w:val="1"/>
          <w:gridAfter w:val="18"/>
          <w:wAfter w:w="1479" w:type="dxa"/>
        </w:trPr>
        <w:tc>
          <w:tcPr>
            <w:tcW w:w="655" w:type="dxa"/>
            <w:gridSpan w:val="8"/>
            <w:tcBorders>
              <w:top w:val="nil"/>
              <w:left w:val="nil"/>
              <w:bottom w:val="nil"/>
              <w:right w:val="nil"/>
            </w:tcBorders>
            <w:shd w:val="clear" w:color="auto" w:fill="auto"/>
          </w:tcPr>
          <w:p>
            <w:pPr>
              <w:rPr>
                <w:noProof/>
                <w:szCs w:val="24"/>
              </w:rPr>
            </w:pPr>
          </w:p>
        </w:tc>
        <w:tc>
          <w:tcPr>
            <w:tcW w:w="7843" w:type="dxa"/>
            <w:gridSpan w:val="84"/>
            <w:tcBorders>
              <w:top w:val="nil"/>
              <w:left w:val="nil"/>
              <w:bottom w:val="nil"/>
              <w:right w:val="nil"/>
            </w:tcBorders>
            <w:shd w:val="clear" w:color="auto" w:fill="auto"/>
          </w:tcPr>
          <w:p>
            <w:pPr>
              <w:pStyle w:val="Point0"/>
              <w:ind w:left="596" w:hanging="102"/>
              <w:rPr>
                <w:noProof/>
                <w:szCs w:val="24"/>
              </w:rPr>
            </w:pPr>
            <w:r>
              <w:rPr>
                <w:noProof/>
              </w:rPr>
              <w:t>ii) l’entrée correspondant au numéro 58 est remplacée par le texte suivant:</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551" w:type="dxa"/>
        </w:trPr>
        <w:tc>
          <w:tcPr>
            <w:tcW w:w="667" w:type="dxa"/>
            <w:gridSpan w:val="9"/>
          </w:tcPr>
          <w:p>
            <w:pPr>
              <w:spacing w:before="60" w:after="60"/>
              <w:jc w:val="center"/>
              <w:rPr>
                <w:noProof/>
                <w:szCs w:val="24"/>
              </w:rPr>
            </w:pPr>
            <w:r>
              <w:rPr>
                <w:noProof/>
              </w:rPr>
              <w:t>«58</w:t>
            </w:r>
          </w:p>
        </w:tc>
        <w:tc>
          <w:tcPr>
            <w:tcW w:w="1618" w:type="dxa"/>
            <w:gridSpan w:val="7"/>
          </w:tcPr>
          <w:p>
            <w:pPr>
              <w:spacing w:before="60" w:after="60"/>
              <w:jc w:val="left"/>
              <w:rPr>
                <w:noProof/>
                <w:szCs w:val="24"/>
              </w:rPr>
            </w:pPr>
            <w:r>
              <w:rPr>
                <w:noProof/>
              </w:rPr>
              <w:t>Protection des piétons</w:t>
            </w:r>
          </w:p>
        </w:tc>
        <w:tc>
          <w:tcPr>
            <w:tcW w:w="1277" w:type="dxa"/>
            <w:gridSpan w:val="10"/>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127 de l’ONU</w:t>
            </w:r>
          </w:p>
        </w:tc>
        <w:tc>
          <w:tcPr>
            <w:tcW w:w="522" w:type="dxa"/>
            <w:gridSpan w:val="8"/>
          </w:tcPr>
          <w:p>
            <w:pPr>
              <w:spacing w:before="60" w:after="60"/>
              <w:rPr>
                <w:noProof/>
                <w:szCs w:val="24"/>
              </w:rPr>
            </w:pPr>
          </w:p>
        </w:tc>
        <w:tc>
          <w:tcPr>
            <w:tcW w:w="546" w:type="dxa"/>
            <w:gridSpan w:val="7"/>
          </w:tcPr>
          <w:p>
            <w:pPr>
              <w:spacing w:before="60" w:after="60"/>
              <w:rPr>
                <w:noProof/>
                <w:szCs w:val="24"/>
              </w:rPr>
            </w:pPr>
          </w:p>
        </w:tc>
        <w:tc>
          <w:tcPr>
            <w:tcW w:w="505" w:type="dxa"/>
            <w:gridSpan w:val="6"/>
            <w:shd w:val="clear" w:color="auto" w:fill="auto"/>
          </w:tcPr>
          <w:p>
            <w:pPr>
              <w:spacing w:before="60" w:after="60"/>
              <w:jc w:val="center"/>
              <w:rPr>
                <w:noProof/>
                <w:szCs w:val="24"/>
              </w:rPr>
            </w:pPr>
            <w:r>
              <w:rPr>
                <w:noProof/>
              </w:rPr>
              <w:t>A»;</w:t>
            </w:r>
          </w:p>
        </w:tc>
        <w:tc>
          <w:tcPr>
            <w:tcW w:w="511" w:type="dxa"/>
            <w:gridSpan w:val="7"/>
          </w:tcPr>
          <w:p>
            <w:pPr>
              <w:spacing w:before="60" w:after="60"/>
              <w:rPr>
                <w:noProof/>
                <w:szCs w:val="24"/>
              </w:rPr>
            </w:pPr>
          </w:p>
        </w:tc>
        <w:tc>
          <w:tcPr>
            <w:tcW w:w="648" w:type="dxa"/>
            <w:gridSpan w:val="8"/>
          </w:tcPr>
          <w:p>
            <w:pPr>
              <w:spacing w:before="60" w:after="60"/>
              <w:rPr>
                <w:noProof/>
                <w:szCs w:val="24"/>
              </w:rPr>
            </w:pPr>
          </w:p>
        </w:tc>
        <w:tc>
          <w:tcPr>
            <w:tcW w:w="529" w:type="dxa"/>
            <w:gridSpan w:val="7"/>
          </w:tcPr>
          <w:p>
            <w:pPr>
              <w:spacing w:before="60" w:after="60"/>
              <w:rPr>
                <w:noProof/>
                <w:szCs w:val="24"/>
              </w:rPr>
            </w:pPr>
          </w:p>
        </w:tc>
        <w:tc>
          <w:tcPr>
            <w:tcW w:w="505" w:type="dxa"/>
            <w:gridSpan w:val="6"/>
          </w:tcPr>
          <w:p>
            <w:pPr>
              <w:spacing w:before="60" w:after="60"/>
              <w:rPr>
                <w:noProof/>
                <w:szCs w:val="24"/>
              </w:rPr>
            </w:pPr>
          </w:p>
        </w:tc>
        <w:tc>
          <w:tcPr>
            <w:tcW w:w="505" w:type="dxa"/>
            <w:gridSpan w:val="6"/>
          </w:tcPr>
          <w:p>
            <w:pPr>
              <w:spacing w:before="60" w:after="60"/>
              <w:rPr>
                <w:noProof/>
                <w:szCs w:val="24"/>
              </w:rPr>
            </w:pPr>
          </w:p>
        </w:tc>
        <w:tc>
          <w:tcPr>
            <w:tcW w:w="593" w:type="dxa"/>
            <w:gridSpan w:val="8"/>
          </w:tcPr>
          <w:p>
            <w:pPr>
              <w:spacing w:before="60" w:after="60"/>
              <w:rPr>
                <w:noProof/>
                <w:szCs w:val="24"/>
              </w:rPr>
            </w:pPr>
          </w:p>
        </w:tc>
      </w:tr>
      <w:tr>
        <w:trPr>
          <w:gridBefore w:val="1"/>
          <w:gridAfter w:val="18"/>
          <w:wAfter w:w="1479" w:type="dxa"/>
        </w:trPr>
        <w:tc>
          <w:tcPr>
            <w:tcW w:w="655" w:type="dxa"/>
            <w:gridSpan w:val="8"/>
            <w:tcBorders>
              <w:top w:val="nil"/>
              <w:left w:val="nil"/>
              <w:bottom w:val="nil"/>
              <w:right w:val="nil"/>
            </w:tcBorders>
            <w:shd w:val="clear" w:color="auto" w:fill="auto"/>
          </w:tcPr>
          <w:p>
            <w:pPr>
              <w:rPr>
                <w:noProof/>
                <w:szCs w:val="24"/>
              </w:rPr>
            </w:pPr>
          </w:p>
        </w:tc>
        <w:tc>
          <w:tcPr>
            <w:tcW w:w="7843" w:type="dxa"/>
            <w:gridSpan w:val="84"/>
            <w:tcBorders>
              <w:top w:val="nil"/>
              <w:left w:val="nil"/>
              <w:bottom w:val="nil"/>
              <w:right w:val="nil"/>
            </w:tcBorders>
            <w:shd w:val="clear" w:color="auto" w:fill="auto"/>
          </w:tcPr>
          <w:p>
            <w:pPr>
              <w:pStyle w:val="Point0"/>
              <w:ind w:left="596" w:hanging="90"/>
              <w:rPr>
                <w:noProof/>
                <w:szCs w:val="24"/>
              </w:rPr>
            </w:pPr>
            <w:r>
              <w:rPr>
                <w:noProof/>
              </w:rPr>
              <w:t>iii) les entrées correspondant aux numéros 62, 63, 65 et 66 sont remplacées par le texte suivant:</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551" w:type="dxa"/>
        </w:trPr>
        <w:tc>
          <w:tcPr>
            <w:tcW w:w="667" w:type="dxa"/>
            <w:gridSpan w:val="9"/>
          </w:tcPr>
          <w:p>
            <w:pPr>
              <w:spacing w:before="60" w:after="60"/>
              <w:jc w:val="center"/>
              <w:rPr>
                <w:noProof/>
                <w:szCs w:val="24"/>
              </w:rPr>
            </w:pPr>
            <w:r>
              <w:rPr>
                <w:noProof/>
              </w:rPr>
              <w:t>«62</w:t>
            </w:r>
          </w:p>
        </w:tc>
        <w:tc>
          <w:tcPr>
            <w:tcW w:w="1618" w:type="dxa"/>
            <w:gridSpan w:val="7"/>
          </w:tcPr>
          <w:p>
            <w:pPr>
              <w:spacing w:before="60" w:after="60"/>
              <w:jc w:val="left"/>
              <w:rPr>
                <w:noProof/>
                <w:szCs w:val="24"/>
              </w:rPr>
            </w:pPr>
            <w:r>
              <w:rPr>
                <w:noProof/>
              </w:rPr>
              <w:t>Système hydrogène</w:t>
            </w:r>
          </w:p>
        </w:tc>
        <w:tc>
          <w:tcPr>
            <w:tcW w:w="1277" w:type="dxa"/>
            <w:gridSpan w:val="10"/>
          </w:tcPr>
          <w:p>
            <w:pPr>
              <w:spacing w:before="60" w:after="60"/>
              <w:jc w:val="left"/>
              <w:rPr>
                <w:noProof/>
                <w:szCs w:val="24"/>
              </w:rPr>
            </w:pPr>
            <w:r>
              <w:rPr>
                <w:noProof/>
              </w:rPr>
              <w:t>Règlement (UE) 2019/…</w:t>
            </w:r>
            <w:r>
              <w:rPr>
                <w:noProof/>
                <w:vertAlign w:val="superscript"/>
              </w:rPr>
              <w:t>+</w:t>
            </w:r>
          </w:p>
          <w:p>
            <w:pPr>
              <w:spacing w:before="60" w:after="60"/>
              <w:jc w:val="left"/>
              <w:rPr>
                <w:noProof/>
                <w:szCs w:val="24"/>
              </w:rPr>
            </w:pPr>
            <w:r>
              <w:rPr>
                <w:noProof/>
              </w:rPr>
              <w:t>Règlement nº 134 de l’ONU</w:t>
            </w:r>
          </w:p>
        </w:tc>
        <w:tc>
          <w:tcPr>
            <w:tcW w:w="522" w:type="dxa"/>
            <w:gridSpan w:val="8"/>
          </w:tcPr>
          <w:p>
            <w:pPr>
              <w:spacing w:before="60" w:after="60"/>
              <w:jc w:val="center"/>
              <w:rPr>
                <w:noProof/>
                <w:szCs w:val="24"/>
              </w:rPr>
            </w:pPr>
            <w:r>
              <w:rPr>
                <w:noProof/>
              </w:rPr>
              <w:t>X</w:t>
            </w:r>
          </w:p>
        </w:tc>
        <w:tc>
          <w:tcPr>
            <w:tcW w:w="546" w:type="dxa"/>
            <w:gridSpan w:val="7"/>
          </w:tcPr>
          <w:p>
            <w:pPr>
              <w:spacing w:before="60" w:after="60"/>
              <w:jc w:val="center"/>
              <w:rPr>
                <w:noProof/>
                <w:szCs w:val="24"/>
              </w:rPr>
            </w:pPr>
            <w:r>
              <w:rPr>
                <w:noProof/>
              </w:rPr>
              <w:t>X</w:t>
            </w:r>
          </w:p>
        </w:tc>
        <w:tc>
          <w:tcPr>
            <w:tcW w:w="505" w:type="dxa"/>
            <w:gridSpan w:val="6"/>
            <w:shd w:val="clear" w:color="auto" w:fill="auto"/>
          </w:tcPr>
          <w:p>
            <w:pPr>
              <w:spacing w:before="60" w:after="60"/>
              <w:jc w:val="center"/>
              <w:rPr>
                <w:noProof/>
                <w:szCs w:val="24"/>
              </w:rPr>
            </w:pPr>
            <w:r>
              <w:rPr>
                <w:noProof/>
              </w:rPr>
              <w:t>X</w:t>
            </w:r>
          </w:p>
        </w:tc>
        <w:tc>
          <w:tcPr>
            <w:tcW w:w="511" w:type="dxa"/>
            <w:gridSpan w:val="7"/>
          </w:tcPr>
          <w:p>
            <w:pPr>
              <w:spacing w:before="60" w:after="60"/>
              <w:jc w:val="center"/>
              <w:rPr>
                <w:noProof/>
                <w:szCs w:val="24"/>
              </w:rPr>
            </w:pPr>
            <w:r>
              <w:rPr>
                <w:noProof/>
              </w:rPr>
              <w:t>X</w:t>
            </w:r>
          </w:p>
        </w:tc>
        <w:tc>
          <w:tcPr>
            <w:tcW w:w="648" w:type="dxa"/>
            <w:gridSpan w:val="8"/>
          </w:tcPr>
          <w:p>
            <w:pPr>
              <w:spacing w:before="60" w:after="60"/>
              <w:jc w:val="center"/>
              <w:rPr>
                <w:noProof/>
                <w:szCs w:val="24"/>
              </w:rPr>
            </w:pPr>
            <w:r>
              <w:rPr>
                <w:noProof/>
              </w:rPr>
              <w:t>X</w:t>
            </w:r>
          </w:p>
        </w:tc>
        <w:tc>
          <w:tcPr>
            <w:tcW w:w="529" w:type="dxa"/>
            <w:gridSpan w:val="7"/>
          </w:tcPr>
          <w:p>
            <w:pPr>
              <w:spacing w:before="60" w:after="60"/>
              <w:rPr>
                <w:noProof/>
                <w:szCs w:val="24"/>
              </w:rPr>
            </w:pPr>
          </w:p>
        </w:tc>
        <w:tc>
          <w:tcPr>
            <w:tcW w:w="505" w:type="dxa"/>
            <w:gridSpan w:val="6"/>
          </w:tcPr>
          <w:p>
            <w:pPr>
              <w:spacing w:before="60" w:after="60"/>
              <w:jc w:val="center"/>
              <w:rPr>
                <w:noProof/>
                <w:szCs w:val="24"/>
              </w:rPr>
            </w:pPr>
          </w:p>
        </w:tc>
        <w:tc>
          <w:tcPr>
            <w:tcW w:w="505" w:type="dxa"/>
            <w:gridSpan w:val="6"/>
          </w:tcPr>
          <w:p>
            <w:pPr>
              <w:spacing w:before="60" w:after="60"/>
              <w:rPr>
                <w:noProof/>
                <w:szCs w:val="24"/>
              </w:rPr>
            </w:pPr>
          </w:p>
        </w:tc>
        <w:tc>
          <w:tcPr>
            <w:tcW w:w="593" w:type="dxa"/>
            <w:gridSpan w:val="8"/>
          </w:tcPr>
          <w:p>
            <w:pPr>
              <w:spacing w:before="60" w:after="60"/>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551" w:type="dxa"/>
        </w:trPr>
        <w:tc>
          <w:tcPr>
            <w:tcW w:w="667" w:type="dxa"/>
            <w:gridSpan w:val="9"/>
            <w:tcBorders>
              <w:top w:val="single" w:sz="12" w:space="0" w:color="auto"/>
              <w:left w:val="single" w:sz="12" w:space="0" w:color="auto"/>
              <w:bottom w:val="single" w:sz="12" w:space="0" w:color="auto"/>
              <w:right w:val="single" w:sz="12" w:space="0" w:color="auto"/>
            </w:tcBorders>
          </w:tcPr>
          <w:p>
            <w:pPr>
              <w:spacing w:before="60" w:after="60"/>
              <w:jc w:val="center"/>
              <w:rPr>
                <w:noProof/>
                <w:szCs w:val="24"/>
              </w:rPr>
            </w:pPr>
            <w:r>
              <w:rPr>
                <w:noProof/>
              </w:rPr>
              <w:t>63</w:t>
            </w:r>
          </w:p>
        </w:tc>
        <w:tc>
          <w:tcPr>
            <w:tcW w:w="1618" w:type="dxa"/>
            <w:gridSpan w:val="7"/>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 xml:space="preserve">Sécurité générale </w:t>
            </w:r>
          </w:p>
        </w:tc>
        <w:tc>
          <w:tcPr>
            <w:tcW w:w="1277" w:type="dxa"/>
            <w:gridSpan w:val="10"/>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Règlement (UE) 2019/…</w:t>
            </w:r>
            <w:r>
              <w:rPr>
                <w:noProof/>
                <w:vertAlign w:val="superscript"/>
              </w:rPr>
              <w:t>+</w:t>
            </w:r>
          </w:p>
        </w:tc>
        <w:tc>
          <w:tcPr>
            <w:tcW w:w="522" w:type="dxa"/>
            <w:gridSpan w:val="8"/>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rPr>
              <w:t>X</w:t>
            </w:r>
            <w:r>
              <w:rPr>
                <w:noProof/>
                <w:color w:val="000000"/>
                <w:sz w:val="22"/>
                <w:vertAlign w:val="superscript"/>
              </w:rPr>
              <w:t>(15)</w:t>
            </w:r>
          </w:p>
        </w:tc>
        <w:tc>
          <w:tcPr>
            <w:tcW w:w="546"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rPr>
              <w:t>X</w:t>
            </w:r>
            <w:r>
              <w:rPr>
                <w:noProof/>
                <w:color w:val="000000"/>
                <w:sz w:val="22"/>
                <w:vertAlign w:val="superscript"/>
              </w:rPr>
              <w:t>(15)</w:t>
            </w:r>
          </w:p>
        </w:tc>
        <w:tc>
          <w:tcPr>
            <w:tcW w:w="505" w:type="dxa"/>
            <w:gridSpan w:val="6"/>
            <w:tcBorders>
              <w:top w:val="single" w:sz="12" w:space="0" w:color="auto"/>
              <w:left w:val="single" w:sz="2" w:space="0" w:color="auto"/>
              <w:bottom w:val="single" w:sz="12" w:space="0" w:color="auto"/>
              <w:right w:val="single" w:sz="12" w:space="0" w:color="auto"/>
            </w:tcBorders>
            <w:shd w:val="clear" w:color="auto" w:fill="auto"/>
          </w:tcPr>
          <w:p>
            <w:pPr>
              <w:spacing w:before="60" w:after="60"/>
              <w:jc w:val="center"/>
              <w:rPr>
                <w:noProof/>
                <w:sz w:val="22"/>
                <w:szCs w:val="24"/>
              </w:rPr>
            </w:pPr>
            <w:r>
              <w:rPr>
                <w:noProof/>
                <w:color w:val="000000"/>
                <w:sz w:val="22"/>
              </w:rPr>
              <w:t>X</w:t>
            </w:r>
            <w:r>
              <w:rPr>
                <w:noProof/>
                <w:color w:val="000000"/>
                <w:sz w:val="22"/>
                <w:vertAlign w:val="superscript"/>
              </w:rPr>
              <w:t>(15)</w:t>
            </w:r>
          </w:p>
        </w:tc>
        <w:tc>
          <w:tcPr>
            <w:tcW w:w="511"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rPr>
              <w:t>X</w:t>
            </w:r>
            <w:r>
              <w:rPr>
                <w:noProof/>
                <w:color w:val="000000"/>
                <w:sz w:val="22"/>
                <w:vertAlign w:val="superscript"/>
              </w:rPr>
              <w:t>(15)</w:t>
            </w:r>
          </w:p>
        </w:tc>
        <w:tc>
          <w:tcPr>
            <w:tcW w:w="648" w:type="dxa"/>
            <w:gridSpan w:val="8"/>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rPr>
              <w:t>X</w:t>
            </w:r>
            <w:r>
              <w:rPr>
                <w:noProof/>
                <w:color w:val="000000"/>
                <w:sz w:val="22"/>
                <w:vertAlign w:val="superscript"/>
              </w:rPr>
              <w:t>(15)</w:t>
            </w:r>
          </w:p>
        </w:tc>
        <w:tc>
          <w:tcPr>
            <w:tcW w:w="529"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rPr>
              <w:t>X</w:t>
            </w:r>
            <w:r>
              <w:rPr>
                <w:noProof/>
                <w:color w:val="000000"/>
                <w:sz w:val="22"/>
                <w:vertAlign w:val="superscript"/>
              </w:rPr>
              <w:t>(15)</w:t>
            </w:r>
          </w:p>
        </w:tc>
        <w:tc>
          <w:tcPr>
            <w:tcW w:w="505"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rPr>
              <w:t>X</w:t>
            </w:r>
            <w:r>
              <w:rPr>
                <w:noProof/>
                <w:color w:val="000000"/>
                <w:sz w:val="22"/>
                <w:vertAlign w:val="superscript"/>
              </w:rPr>
              <w:t>(15)</w:t>
            </w:r>
          </w:p>
        </w:tc>
        <w:tc>
          <w:tcPr>
            <w:tcW w:w="505" w:type="dxa"/>
            <w:gridSpan w:val="6"/>
            <w:tcBorders>
              <w:top w:val="single" w:sz="12" w:space="0" w:color="auto"/>
              <w:left w:val="single" w:sz="2" w:space="0" w:color="auto"/>
              <w:bottom w:val="single" w:sz="12" w:space="0" w:color="auto"/>
              <w:right w:val="single" w:sz="12" w:space="0" w:color="auto"/>
            </w:tcBorders>
          </w:tcPr>
          <w:p>
            <w:pPr>
              <w:spacing w:before="60" w:after="60"/>
              <w:rPr>
                <w:noProof/>
                <w:sz w:val="22"/>
                <w:szCs w:val="24"/>
              </w:rPr>
            </w:pPr>
            <w:r>
              <w:rPr>
                <w:noProof/>
                <w:color w:val="000000"/>
                <w:sz w:val="22"/>
              </w:rPr>
              <w:t>X</w:t>
            </w:r>
            <w:r>
              <w:rPr>
                <w:noProof/>
                <w:color w:val="000000"/>
                <w:sz w:val="22"/>
                <w:vertAlign w:val="superscript"/>
              </w:rPr>
              <w:t>(15)</w:t>
            </w:r>
          </w:p>
        </w:tc>
        <w:tc>
          <w:tcPr>
            <w:tcW w:w="593" w:type="dxa"/>
            <w:gridSpan w:val="8"/>
            <w:tcBorders>
              <w:top w:val="single" w:sz="12" w:space="0" w:color="auto"/>
              <w:left w:val="single" w:sz="2" w:space="0" w:color="auto"/>
              <w:bottom w:val="single" w:sz="12" w:space="0" w:color="auto"/>
              <w:right w:val="single" w:sz="12" w:space="0" w:color="auto"/>
            </w:tcBorders>
          </w:tcPr>
          <w:p>
            <w:pPr>
              <w:spacing w:before="60" w:after="60"/>
              <w:rPr>
                <w:noProof/>
                <w:sz w:val="22"/>
                <w:szCs w:val="24"/>
              </w:rPr>
            </w:pPr>
            <w:r>
              <w:rPr>
                <w:noProof/>
                <w:color w:val="000000"/>
                <w:sz w:val="22"/>
              </w:rPr>
              <w:t>X</w:t>
            </w:r>
            <w:r>
              <w:rPr>
                <w:noProof/>
                <w:color w:val="000000"/>
                <w:sz w:val="22"/>
                <w:vertAlign w:val="superscript"/>
              </w:rPr>
              <w:t>(15)</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551" w:type="dxa"/>
        </w:trPr>
        <w:tc>
          <w:tcPr>
            <w:tcW w:w="667" w:type="dxa"/>
            <w:gridSpan w:val="9"/>
          </w:tcPr>
          <w:p>
            <w:pPr>
              <w:spacing w:before="60" w:after="60"/>
              <w:jc w:val="center"/>
              <w:rPr>
                <w:noProof/>
                <w:szCs w:val="24"/>
              </w:rPr>
            </w:pPr>
            <w:r>
              <w:rPr>
                <w:noProof/>
              </w:rPr>
              <w:t>65</w:t>
            </w:r>
          </w:p>
        </w:tc>
        <w:tc>
          <w:tcPr>
            <w:tcW w:w="1650" w:type="dxa"/>
            <w:gridSpan w:val="9"/>
          </w:tcPr>
          <w:p>
            <w:pPr>
              <w:spacing w:before="60" w:after="60"/>
              <w:jc w:val="left"/>
              <w:rPr>
                <w:noProof/>
                <w:szCs w:val="24"/>
              </w:rPr>
            </w:pPr>
            <w:r>
              <w:rPr>
                <w:noProof/>
              </w:rPr>
              <w:t xml:space="preserve">Système avancé de freinage d’urgence </w:t>
            </w:r>
          </w:p>
        </w:tc>
        <w:tc>
          <w:tcPr>
            <w:tcW w:w="1319" w:type="dxa"/>
            <w:gridSpan w:val="11"/>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131 de l’ONU</w:t>
            </w:r>
          </w:p>
        </w:tc>
        <w:tc>
          <w:tcPr>
            <w:tcW w:w="532" w:type="dxa"/>
            <w:gridSpan w:val="7"/>
          </w:tcPr>
          <w:p>
            <w:pPr>
              <w:spacing w:before="60" w:after="60"/>
              <w:jc w:val="center"/>
              <w:rPr>
                <w:noProof/>
                <w:szCs w:val="24"/>
              </w:rPr>
            </w:pPr>
            <w:r>
              <w:rPr>
                <w:noProof/>
              </w:rPr>
              <w:t>N/A</w:t>
            </w:r>
          </w:p>
        </w:tc>
        <w:tc>
          <w:tcPr>
            <w:tcW w:w="533" w:type="dxa"/>
            <w:gridSpan w:val="6"/>
          </w:tcPr>
          <w:p>
            <w:pPr>
              <w:spacing w:before="60" w:after="60"/>
              <w:jc w:val="center"/>
              <w:rPr>
                <w:noProof/>
                <w:szCs w:val="24"/>
              </w:rPr>
            </w:pPr>
            <w:r>
              <w:rPr>
                <w:noProof/>
              </w:rPr>
              <w:t>N/A</w:t>
            </w:r>
          </w:p>
        </w:tc>
        <w:tc>
          <w:tcPr>
            <w:tcW w:w="506" w:type="dxa"/>
            <w:gridSpan w:val="6"/>
            <w:shd w:val="clear" w:color="auto" w:fill="auto"/>
          </w:tcPr>
          <w:p>
            <w:pPr>
              <w:spacing w:before="60" w:after="60"/>
              <w:jc w:val="center"/>
              <w:rPr>
                <w:noProof/>
                <w:szCs w:val="24"/>
              </w:rPr>
            </w:pPr>
          </w:p>
        </w:tc>
        <w:tc>
          <w:tcPr>
            <w:tcW w:w="507" w:type="dxa"/>
            <w:gridSpan w:val="7"/>
          </w:tcPr>
          <w:p>
            <w:pPr>
              <w:spacing w:before="60" w:after="60"/>
              <w:jc w:val="center"/>
              <w:rPr>
                <w:noProof/>
                <w:szCs w:val="24"/>
              </w:rPr>
            </w:pPr>
            <w:r>
              <w:rPr>
                <w:noProof/>
              </w:rPr>
              <w:t>N/A</w:t>
            </w:r>
          </w:p>
        </w:tc>
        <w:tc>
          <w:tcPr>
            <w:tcW w:w="660" w:type="dxa"/>
            <w:gridSpan w:val="8"/>
          </w:tcPr>
          <w:p>
            <w:pPr>
              <w:spacing w:before="60" w:after="60"/>
              <w:jc w:val="center"/>
              <w:rPr>
                <w:noProof/>
                <w:szCs w:val="24"/>
              </w:rPr>
            </w:pPr>
            <w:r>
              <w:rPr>
                <w:noProof/>
              </w:rPr>
              <w:t>N/A</w:t>
            </w:r>
          </w:p>
        </w:tc>
        <w:tc>
          <w:tcPr>
            <w:tcW w:w="505" w:type="dxa"/>
            <w:gridSpan w:val="7"/>
          </w:tcPr>
          <w:p>
            <w:pPr>
              <w:spacing w:before="60" w:after="60"/>
              <w:jc w:val="center"/>
              <w:rPr>
                <w:noProof/>
                <w:szCs w:val="24"/>
              </w:rPr>
            </w:pPr>
          </w:p>
        </w:tc>
        <w:tc>
          <w:tcPr>
            <w:tcW w:w="505" w:type="dxa"/>
            <w:gridSpan w:val="7"/>
          </w:tcPr>
          <w:p>
            <w:pPr>
              <w:spacing w:before="60" w:after="60"/>
              <w:jc w:val="center"/>
              <w:rPr>
                <w:noProof/>
                <w:szCs w:val="24"/>
              </w:rPr>
            </w:pPr>
          </w:p>
        </w:tc>
        <w:tc>
          <w:tcPr>
            <w:tcW w:w="505" w:type="dxa"/>
            <w:gridSpan w:val="6"/>
          </w:tcPr>
          <w:p>
            <w:pPr>
              <w:spacing w:before="60" w:after="60"/>
              <w:jc w:val="center"/>
              <w:rPr>
                <w:noProof/>
                <w:szCs w:val="24"/>
              </w:rPr>
            </w:pPr>
          </w:p>
        </w:tc>
        <w:tc>
          <w:tcPr>
            <w:tcW w:w="537" w:type="dxa"/>
            <w:gridSpan w:val="6"/>
          </w:tcPr>
          <w:p>
            <w:pPr>
              <w:spacing w:before="60" w:after="60"/>
              <w:jc w:val="center"/>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551" w:type="dxa"/>
        </w:trPr>
        <w:tc>
          <w:tcPr>
            <w:tcW w:w="667" w:type="dxa"/>
            <w:gridSpan w:val="9"/>
            <w:tcBorders>
              <w:top w:val="single" w:sz="12" w:space="0" w:color="auto"/>
              <w:left w:val="single" w:sz="12" w:space="0" w:color="auto"/>
              <w:bottom w:val="single" w:sz="12" w:space="0" w:color="auto"/>
              <w:right w:val="single" w:sz="12" w:space="0" w:color="auto"/>
            </w:tcBorders>
          </w:tcPr>
          <w:p>
            <w:pPr>
              <w:spacing w:before="60" w:after="60"/>
              <w:jc w:val="center"/>
              <w:rPr>
                <w:noProof/>
                <w:szCs w:val="24"/>
              </w:rPr>
            </w:pPr>
            <w:r>
              <w:rPr>
                <w:noProof/>
              </w:rPr>
              <w:t>66</w:t>
            </w:r>
          </w:p>
        </w:tc>
        <w:tc>
          <w:tcPr>
            <w:tcW w:w="1650" w:type="dxa"/>
            <w:gridSpan w:val="9"/>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 xml:space="preserve">Système d’avertissement de déviation de trajectoire </w:t>
            </w:r>
          </w:p>
        </w:tc>
        <w:tc>
          <w:tcPr>
            <w:tcW w:w="1319" w:type="dxa"/>
            <w:gridSpan w:val="11"/>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Règlement (UE) 2019/…</w:t>
            </w:r>
            <w:r>
              <w:rPr>
                <w:noProof/>
                <w:vertAlign w:val="superscript"/>
              </w:rPr>
              <w:t>+</w:t>
            </w:r>
          </w:p>
          <w:p>
            <w:pPr>
              <w:spacing w:before="60" w:after="60"/>
              <w:jc w:val="left"/>
              <w:rPr>
                <w:noProof/>
                <w:szCs w:val="24"/>
              </w:rPr>
            </w:pPr>
            <w:r>
              <w:rPr>
                <w:noProof/>
              </w:rPr>
              <w:t>Règlement nº 130 de l’ONU</w:t>
            </w:r>
          </w:p>
        </w:tc>
        <w:tc>
          <w:tcPr>
            <w:tcW w:w="532"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533"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506" w:type="dxa"/>
            <w:gridSpan w:val="6"/>
            <w:tcBorders>
              <w:top w:val="single" w:sz="12" w:space="0" w:color="auto"/>
              <w:left w:val="single" w:sz="2" w:space="0" w:color="auto"/>
              <w:bottom w:val="single" w:sz="12" w:space="0" w:color="auto"/>
              <w:right w:val="single" w:sz="12" w:space="0" w:color="auto"/>
            </w:tcBorders>
            <w:shd w:val="clear" w:color="auto" w:fill="auto"/>
          </w:tcPr>
          <w:p>
            <w:pPr>
              <w:spacing w:before="60" w:after="60"/>
              <w:jc w:val="center"/>
              <w:rPr>
                <w:noProof/>
                <w:szCs w:val="24"/>
              </w:rPr>
            </w:pPr>
          </w:p>
        </w:tc>
        <w:tc>
          <w:tcPr>
            <w:tcW w:w="507"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660" w:type="dxa"/>
            <w:gridSpan w:val="8"/>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505"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505"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505"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537"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rPr>
          <w:gridBefore w:val="1"/>
          <w:gridAfter w:val="18"/>
          <w:wAfter w:w="1479" w:type="dxa"/>
        </w:trPr>
        <w:tc>
          <w:tcPr>
            <w:tcW w:w="655" w:type="dxa"/>
            <w:gridSpan w:val="8"/>
            <w:tcBorders>
              <w:top w:val="nil"/>
              <w:left w:val="nil"/>
              <w:bottom w:val="nil"/>
              <w:right w:val="nil"/>
            </w:tcBorders>
            <w:shd w:val="clear" w:color="auto" w:fill="auto"/>
          </w:tcPr>
          <w:p>
            <w:pPr>
              <w:rPr>
                <w:noProof/>
                <w:szCs w:val="24"/>
              </w:rPr>
            </w:pPr>
          </w:p>
        </w:tc>
        <w:tc>
          <w:tcPr>
            <w:tcW w:w="7843" w:type="dxa"/>
            <w:gridSpan w:val="84"/>
            <w:tcBorders>
              <w:top w:val="nil"/>
              <w:left w:val="nil"/>
              <w:bottom w:val="nil"/>
              <w:right w:val="nil"/>
            </w:tcBorders>
            <w:shd w:val="clear" w:color="auto" w:fill="auto"/>
          </w:tcPr>
          <w:p>
            <w:pPr>
              <w:pStyle w:val="Point0"/>
              <w:ind w:left="596" w:hanging="596"/>
              <w:rPr>
                <w:noProof/>
                <w:szCs w:val="24"/>
              </w:rPr>
            </w:pPr>
            <w:r>
              <w:rPr>
                <w:noProof/>
              </w:rPr>
              <w:t>e) dans l’appendice 5, dans le tableau, les entrées correspondant aux numéros 62, 63, 65 et 66 sont remplacées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03" w:type="dxa"/>
        </w:trPr>
        <w:tc>
          <w:tcPr>
            <w:tcW w:w="824" w:type="dxa"/>
            <w:gridSpan w:val="13"/>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2693"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Système hydrogène</w:t>
            </w:r>
          </w:p>
        </w:tc>
        <w:tc>
          <w:tcPr>
            <w:tcW w:w="3833" w:type="dxa"/>
            <w:gridSpan w:val="52"/>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134 de l’ONU</w:t>
            </w:r>
          </w:p>
        </w:tc>
        <w:tc>
          <w:tcPr>
            <w:tcW w:w="1124"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noProof/>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03" w:type="dxa"/>
        </w:trPr>
        <w:tc>
          <w:tcPr>
            <w:tcW w:w="824" w:type="dxa"/>
            <w:gridSpan w:val="13"/>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2693" w:type="dxa"/>
            <w:gridSpan w:val="1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Sécurité générale</w:t>
            </w:r>
          </w:p>
        </w:tc>
        <w:tc>
          <w:tcPr>
            <w:tcW w:w="3833" w:type="dxa"/>
            <w:gridSpan w:val="52"/>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Règlement (UE) 2019/…</w:t>
            </w:r>
            <w:r>
              <w:rPr>
                <w:noProof/>
                <w:vertAlign w:val="superscript"/>
              </w:rPr>
              <w:t>+</w:t>
            </w:r>
          </w:p>
        </w:tc>
        <w:tc>
          <w:tcPr>
            <w:tcW w:w="1124" w:type="dxa"/>
            <w:gridSpan w:val="15"/>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color w:val="000000"/>
              </w:rPr>
              <w:t>X(</w:t>
            </w:r>
            <w:r>
              <w:rPr>
                <w:noProof/>
                <w:color w:val="000000"/>
                <w:vertAlign w:val="superscript"/>
              </w:rPr>
              <w:t>15</w:t>
            </w:r>
            <w:r>
              <w:rPr>
                <w:noProof/>
                <w:color w:val="000000"/>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03" w:type="dxa"/>
        </w:trPr>
        <w:tc>
          <w:tcPr>
            <w:tcW w:w="824" w:type="dxa"/>
            <w:gridSpan w:val="13"/>
            <w:tcBorders>
              <w:top w:val="single" w:sz="12" w:space="0" w:color="auto"/>
              <w:left w:val="single" w:sz="12" w:space="0" w:color="auto"/>
              <w:bottom w:val="single" w:sz="12" w:space="0" w:color="auto"/>
              <w:right w:val="single" w:sz="2" w:space="0" w:color="auto"/>
            </w:tcBorders>
            <w:hideMark/>
          </w:tcPr>
          <w:p>
            <w:pPr>
              <w:spacing w:before="60" w:after="60"/>
              <w:jc w:val="center"/>
              <w:rPr>
                <w:noProof/>
                <w:szCs w:val="24"/>
              </w:rPr>
            </w:pPr>
            <w:r>
              <w:rPr>
                <w:noProof/>
              </w:rPr>
              <w:t>65</w:t>
            </w:r>
          </w:p>
        </w:tc>
        <w:tc>
          <w:tcPr>
            <w:tcW w:w="2693"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 xml:space="preserve">Système avancé de freinage d’urgence </w:t>
            </w:r>
          </w:p>
        </w:tc>
        <w:tc>
          <w:tcPr>
            <w:tcW w:w="3833" w:type="dxa"/>
            <w:gridSpan w:val="52"/>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131 de l’ONU</w:t>
            </w:r>
          </w:p>
        </w:tc>
        <w:tc>
          <w:tcPr>
            <w:tcW w:w="1124"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noProof/>
                <w:szCs w:val="24"/>
              </w:rPr>
            </w:pPr>
            <w:r>
              <w:rPr>
                <w:noProof/>
              </w:rPr>
              <w:t>N/A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03" w:type="dxa"/>
        </w:trPr>
        <w:tc>
          <w:tcPr>
            <w:tcW w:w="824" w:type="dxa"/>
            <w:gridSpan w:val="13"/>
            <w:tcBorders>
              <w:top w:val="single" w:sz="12" w:space="0" w:color="auto"/>
              <w:left w:val="single" w:sz="12" w:space="0" w:color="auto"/>
              <w:bottom w:val="single" w:sz="12" w:space="0" w:color="auto"/>
              <w:right w:val="single" w:sz="2" w:space="0" w:color="auto"/>
            </w:tcBorders>
          </w:tcPr>
          <w:p>
            <w:pPr>
              <w:spacing w:before="60" w:after="60"/>
              <w:jc w:val="center"/>
              <w:rPr>
                <w:noProof/>
                <w:szCs w:val="24"/>
              </w:rPr>
            </w:pPr>
            <w:r>
              <w:rPr>
                <w:noProof/>
              </w:rPr>
              <w:t>66</w:t>
            </w:r>
          </w:p>
        </w:tc>
        <w:tc>
          <w:tcPr>
            <w:tcW w:w="2693" w:type="dxa"/>
            <w:gridSpan w:val="1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 xml:space="preserve">Système d’avertissement de déviation de trajectoire </w:t>
            </w:r>
          </w:p>
        </w:tc>
        <w:tc>
          <w:tcPr>
            <w:tcW w:w="3833" w:type="dxa"/>
            <w:gridSpan w:val="52"/>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Règlement (UE) 2019/…</w:t>
            </w:r>
            <w:r>
              <w:rPr>
                <w:noProof/>
                <w:vertAlign w:val="superscript"/>
              </w:rPr>
              <w:t>+</w:t>
            </w:r>
          </w:p>
          <w:p>
            <w:pPr>
              <w:spacing w:before="60" w:after="60"/>
              <w:jc w:val="left"/>
              <w:rPr>
                <w:noProof/>
                <w:szCs w:val="24"/>
              </w:rPr>
            </w:pPr>
            <w:r>
              <w:rPr>
                <w:noProof/>
              </w:rPr>
              <w:t>Règlement nº 130 de l’ONU</w:t>
            </w:r>
          </w:p>
        </w:tc>
        <w:tc>
          <w:tcPr>
            <w:tcW w:w="1124" w:type="dxa"/>
            <w:gridSpan w:val="15"/>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r>
      <w:tr>
        <w:trPr>
          <w:gridBefore w:val="1"/>
        </w:trPr>
        <w:tc>
          <w:tcPr>
            <w:tcW w:w="619" w:type="dxa"/>
            <w:gridSpan w:val="7"/>
            <w:tcBorders>
              <w:top w:val="nil"/>
              <w:left w:val="nil"/>
              <w:bottom w:val="nil"/>
              <w:right w:val="nil"/>
            </w:tcBorders>
            <w:shd w:val="clear" w:color="auto" w:fill="auto"/>
          </w:tcPr>
          <w:p>
            <w:pPr>
              <w:rPr>
                <w:noProof/>
                <w:szCs w:val="24"/>
              </w:rPr>
            </w:pPr>
          </w:p>
        </w:tc>
        <w:tc>
          <w:tcPr>
            <w:tcW w:w="9356" w:type="dxa"/>
            <w:gridSpan w:val="103"/>
            <w:tcBorders>
              <w:top w:val="nil"/>
              <w:left w:val="nil"/>
              <w:bottom w:val="nil"/>
              <w:right w:val="nil"/>
            </w:tcBorders>
            <w:shd w:val="clear" w:color="auto" w:fill="auto"/>
          </w:tcPr>
          <w:p>
            <w:pPr>
              <w:pStyle w:val="Point0"/>
              <w:ind w:left="596" w:hanging="596"/>
              <w:rPr>
                <w:noProof/>
                <w:szCs w:val="24"/>
              </w:rPr>
            </w:pPr>
            <w:r>
              <w:rPr>
                <w:noProof/>
              </w:rPr>
              <w:t xml:space="preserve"> f) dans l’appendice 6, dans le tableau, les entrées correspondant aux numéros 62, 63, 65 et 66 sont remplacées par le texte suivant: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0"/>
          <w:wAfter w:w="1537" w:type="dxa"/>
        </w:trPr>
        <w:tc>
          <w:tcPr>
            <w:tcW w:w="589" w:type="dxa"/>
            <w:gridSpan w:val="4"/>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2283" w:type="dxa"/>
            <w:gridSpan w:val="18"/>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Système hydrogène</w:t>
            </w:r>
          </w:p>
        </w:tc>
        <w:tc>
          <w:tcPr>
            <w:tcW w:w="3001" w:type="dxa"/>
            <w:gridSpan w:val="37"/>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rFonts w:eastAsia="Arial Unicode MS"/>
                <w:bCs/>
                <w:noProof/>
                <w:szCs w:val="24"/>
              </w:rPr>
            </w:pPr>
            <w:r>
              <w:rPr>
                <w:noProof/>
              </w:rPr>
              <w:t>Règlement nº 134 de l’ONU</w:t>
            </w:r>
          </w:p>
        </w:tc>
        <w:tc>
          <w:tcPr>
            <w:tcW w:w="1389" w:type="dxa"/>
            <w:gridSpan w:val="15"/>
            <w:tcBorders>
              <w:top w:val="single" w:sz="12" w:space="0" w:color="auto"/>
              <w:left w:val="single" w:sz="2" w:space="0" w:color="auto"/>
              <w:bottom w:val="single" w:sz="12" w:space="0" w:color="auto"/>
              <w:right w:val="single" w:sz="2" w:space="0" w:color="auto"/>
            </w:tcBorders>
            <w:hideMark/>
          </w:tcPr>
          <w:p>
            <w:pPr>
              <w:spacing w:before="60" w:after="60"/>
              <w:ind w:left="238" w:hanging="238"/>
              <w:jc w:val="center"/>
              <w:rPr>
                <w:rFonts w:eastAsia="Arial Unicode MS"/>
                <w:bCs/>
                <w:noProof/>
                <w:szCs w:val="24"/>
              </w:rPr>
            </w:pPr>
            <w:r>
              <w:rPr>
                <w:noProof/>
              </w:rPr>
              <w:t>X</w:t>
            </w:r>
          </w:p>
        </w:tc>
        <w:tc>
          <w:tcPr>
            <w:tcW w:w="1178" w:type="dxa"/>
            <w:gridSpan w:val="16"/>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0"/>
          <w:wAfter w:w="1537" w:type="dxa"/>
        </w:trPr>
        <w:tc>
          <w:tcPr>
            <w:tcW w:w="589" w:type="dxa"/>
            <w:gridSpan w:val="4"/>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2283" w:type="dxa"/>
            <w:gridSpan w:val="18"/>
            <w:tcBorders>
              <w:top w:val="single" w:sz="12" w:space="0" w:color="auto"/>
              <w:left w:val="single" w:sz="2" w:space="0" w:color="auto"/>
              <w:bottom w:val="single" w:sz="12" w:space="0" w:color="auto"/>
              <w:right w:val="single" w:sz="2" w:space="0" w:color="auto"/>
            </w:tcBorders>
          </w:tcPr>
          <w:p>
            <w:pPr>
              <w:spacing w:before="60" w:after="60"/>
              <w:jc w:val="left"/>
              <w:rPr>
                <w:rFonts w:eastAsia="Arial Unicode MS"/>
                <w:noProof/>
                <w:szCs w:val="24"/>
              </w:rPr>
            </w:pPr>
            <w:r>
              <w:rPr>
                <w:noProof/>
              </w:rPr>
              <w:t>Sécurité générale</w:t>
            </w:r>
          </w:p>
        </w:tc>
        <w:tc>
          <w:tcPr>
            <w:tcW w:w="3001" w:type="dxa"/>
            <w:gridSpan w:val="37"/>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Règlement (UE) 2019/…</w:t>
            </w:r>
            <w:r>
              <w:rPr>
                <w:noProof/>
                <w:vertAlign w:val="superscript"/>
              </w:rPr>
              <w:t>+</w:t>
            </w:r>
          </w:p>
        </w:tc>
        <w:tc>
          <w:tcPr>
            <w:tcW w:w="1389" w:type="dxa"/>
            <w:gridSpan w:val="15"/>
            <w:tcBorders>
              <w:top w:val="single" w:sz="12" w:space="0" w:color="auto"/>
              <w:left w:val="single" w:sz="2" w:space="0" w:color="auto"/>
              <w:bottom w:val="single" w:sz="12" w:space="0" w:color="auto"/>
              <w:right w:val="single" w:sz="2" w:space="0" w:color="auto"/>
            </w:tcBorders>
          </w:tcPr>
          <w:p>
            <w:pPr>
              <w:spacing w:before="60" w:after="60"/>
              <w:ind w:left="238" w:hanging="238"/>
              <w:jc w:val="center"/>
              <w:rPr>
                <w:rFonts w:eastAsia="Arial Unicode MS"/>
                <w:bCs/>
                <w:noProof/>
                <w:szCs w:val="24"/>
              </w:rPr>
            </w:pPr>
            <w:r>
              <w:rPr>
                <w:noProof/>
                <w:color w:val="000000"/>
              </w:rPr>
              <w:t>X</w:t>
            </w:r>
            <w:r>
              <w:rPr>
                <w:noProof/>
                <w:color w:val="000000"/>
                <w:vertAlign w:val="superscript"/>
              </w:rPr>
              <w:t>(15)</w:t>
            </w:r>
          </w:p>
        </w:tc>
        <w:tc>
          <w:tcPr>
            <w:tcW w:w="1178"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bCs/>
                <w:noProof/>
                <w:szCs w:val="24"/>
              </w:rPr>
            </w:pPr>
            <w:r>
              <w:rPr>
                <w:noProof/>
                <w:color w:val="000000"/>
              </w:rPr>
              <w:t>X</w:t>
            </w:r>
            <w:r>
              <w:rPr>
                <w:noProof/>
                <w:color w:val="000000"/>
                <w:vertAlign w:val="superscript"/>
              </w:rPr>
              <w:t>(15)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0"/>
          <w:wAfter w:w="1537" w:type="dxa"/>
        </w:trPr>
        <w:tc>
          <w:tcPr>
            <w:tcW w:w="589" w:type="dxa"/>
            <w:gridSpan w:val="4"/>
            <w:tcBorders>
              <w:top w:val="single" w:sz="12" w:space="0" w:color="auto"/>
              <w:left w:val="single" w:sz="12" w:space="0" w:color="auto"/>
              <w:bottom w:val="single" w:sz="12" w:space="0" w:color="auto"/>
              <w:right w:val="single" w:sz="2" w:space="0" w:color="auto"/>
            </w:tcBorders>
            <w:hideMark/>
          </w:tcPr>
          <w:p>
            <w:pPr>
              <w:spacing w:before="60" w:after="60"/>
              <w:jc w:val="center"/>
              <w:rPr>
                <w:noProof/>
                <w:szCs w:val="24"/>
              </w:rPr>
            </w:pPr>
            <w:r>
              <w:rPr>
                <w:noProof/>
              </w:rPr>
              <w:t>65</w:t>
            </w:r>
          </w:p>
        </w:tc>
        <w:tc>
          <w:tcPr>
            <w:tcW w:w="2283" w:type="dxa"/>
            <w:gridSpan w:val="18"/>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 xml:space="preserve">Système avancé de freinage d’urgence </w:t>
            </w:r>
          </w:p>
        </w:tc>
        <w:tc>
          <w:tcPr>
            <w:tcW w:w="3001" w:type="dxa"/>
            <w:gridSpan w:val="37"/>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Règlement (UE) 2019/…</w:t>
            </w:r>
            <w:r>
              <w:rPr>
                <w:noProof/>
                <w:vertAlign w:val="superscript"/>
              </w:rPr>
              <w:t>+</w:t>
            </w:r>
          </w:p>
          <w:p>
            <w:pPr>
              <w:spacing w:before="60" w:after="60"/>
              <w:jc w:val="left"/>
              <w:rPr>
                <w:noProof/>
                <w:szCs w:val="24"/>
                <w:vertAlign w:val="superscript"/>
              </w:rPr>
            </w:pPr>
            <w:r>
              <w:rPr>
                <w:noProof/>
              </w:rPr>
              <w:t>Règlement nº 131 de l’ONU</w:t>
            </w:r>
          </w:p>
        </w:tc>
        <w:tc>
          <w:tcPr>
            <w:tcW w:w="1389" w:type="dxa"/>
            <w:gridSpan w:val="15"/>
            <w:tcBorders>
              <w:top w:val="single" w:sz="12" w:space="0" w:color="auto"/>
              <w:left w:val="single" w:sz="2" w:space="0" w:color="auto"/>
              <w:bottom w:val="single" w:sz="12" w:space="0" w:color="auto"/>
              <w:right w:val="single" w:sz="2" w:space="0" w:color="auto"/>
            </w:tcBorders>
            <w:hideMark/>
          </w:tcPr>
          <w:p>
            <w:pPr>
              <w:spacing w:before="60" w:after="60"/>
              <w:jc w:val="center"/>
              <w:rPr>
                <w:noProof/>
                <w:szCs w:val="24"/>
              </w:rPr>
            </w:pPr>
            <w:r>
              <w:rPr>
                <w:noProof/>
              </w:rPr>
              <w:t>N/A</w:t>
            </w:r>
          </w:p>
        </w:tc>
        <w:tc>
          <w:tcPr>
            <w:tcW w:w="1178"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0"/>
          <w:wAfter w:w="1537" w:type="dxa"/>
        </w:trPr>
        <w:tc>
          <w:tcPr>
            <w:tcW w:w="589" w:type="dxa"/>
            <w:gridSpan w:val="4"/>
            <w:tcBorders>
              <w:top w:val="single" w:sz="12" w:space="0" w:color="auto"/>
              <w:left w:val="single" w:sz="12" w:space="0" w:color="auto"/>
              <w:bottom w:val="single" w:sz="12" w:space="0" w:color="auto"/>
              <w:right w:val="single" w:sz="2" w:space="0" w:color="auto"/>
            </w:tcBorders>
          </w:tcPr>
          <w:p>
            <w:pPr>
              <w:spacing w:before="60" w:after="60"/>
              <w:jc w:val="center"/>
              <w:rPr>
                <w:noProof/>
                <w:szCs w:val="24"/>
              </w:rPr>
            </w:pPr>
            <w:r>
              <w:rPr>
                <w:noProof/>
              </w:rPr>
              <w:t>66</w:t>
            </w:r>
          </w:p>
        </w:tc>
        <w:tc>
          <w:tcPr>
            <w:tcW w:w="2283" w:type="dxa"/>
            <w:gridSpan w:val="18"/>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 xml:space="preserve">Système d’avertissement de déviation de trajectoire </w:t>
            </w:r>
          </w:p>
        </w:tc>
        <w:tc>
          <w:tcPr>
            <w:tcW w:w="3001" w:type="dxa"/>
            <w:gridSpan w:val="37"/>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Règlement (UE) 2019/…</w:t>
            </w:r>
            <w:r>
              <w:rPr>
                <w:noProof/>
                <w:vertAlign w:val="superscript"/>
              </w:rPr>
              <w:t>+</w:t>
            </w:r>
          </w:p>
          <w:p>
            <w:pPr>
              <w:spacing w:before="60" w:after="60"/>
              <w:jc w:val="left"/>
              <w:rPr>
                <w:noProof/>
                <w:szCs w:val="24"/>
              </w:rPr>
            </w:pPr>
            <w:r>
              <w:rPr>
                <w:noProof/>
              </w:rPr>
              <w:t>Règlement nº 130 de l’ONU</w:t>
            </w:r>
          </w:p>
        </w:tc>
        <w:tc>
          <w:tcPr>
            <w:tcW w:w="1389" w:type="dxa"/>
            <w:gridSpan w:val="15"/>
            <w:tcBorders>
              <w:top w:val="single" w:sz="12" w:space="0" w:color="auto"/>
              <w:left w:val="single" w:sz="2" w:space="0" w:color="auto"/>
              <w:bottom w:val="single" w:sz="12" w:space="0" w:color="auto"/>
              <w:right w:val="single" w:sz="2" w:space="0" w:color="auto"/>
            </w:tcBorders>
          </w:tcPr>
          <w:p>
            <w:pPr>
              <w:spacing w:before="60" w:after="60"/>
              <w:jc w:val="center"/>
              <w:rPr>
                <w:noProof/>
                <w:szCs w:val="24"/>
              </w:rPr>
            </w:pPr>
            <w:r>
              <w:rPr>
                <w:noProof/>
              </w:rPr>
              <w:t>N/A»;</w:t>
            </w:r>
          </w:p>
        </w:tc>
        <w:tc>
          <w:tcPr>
            <w:tcW w:w="1178"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rPr>
          <w:gridBefore w:val="1"/>
          <w:gridAfter w:val="23"/>
          <w:wAfter w:w="1701" w:type="dxa"/>
        </w:trPr>
        <w:tc>
          <w:tcPr>
            <w:tcW w:w="619" w:type="dxa"/>
            <w:gridSpan w:val="7"/>
            <w:tcBorders>
              <w:top w:val="nil"/>
              <w:left w:val="nil"/>
              <w:bottom w:val="nil"/>
              <w:right w:val="nil"/>
            </w:tcBorders>
            <w:shd w:val="clear" w:color="auto" w:fill="auto"/>
          </w:tcPr>
          <w:p>
            <w:pPr>
              <w:rPr>
                <w:noProof/>
                <w:szCs w:val="24"/>
              </w:rPr>
            </w:pPr>
          </w:p>
        </w:tc>
        <w:tc>
          <w:tcPr>
            <w:tcW w:w="7657" w:type="dxa"/>
            <w:gridSpan w:val="80"/>
            <w:tcBorders>
              <w:top w:val="nil"/>
              <w:left w:val="nil"/>
              <w:bottom w:val="nil"/>
              <w:right w:val="nil"/>
            </w:tcBorders>
          </w:tcPr>
          <w:p>
            <w:pPr>
              <w:pStyle w:val="Point0"/>
              <w:rPr>
                <w:noProof/>
                <w:szCs w:val="24"/>
              </w:rPr>
            </w:pPr>
            <w:r>
              <w:rPr>
                <w:noProof/>
              </w:rPr>
              <w:t>g) les notes explicatives sont modifiées comme suit:</w:t>
            </w:r>
          </w:p>
          <w:p>
            <w:pPr>
              <w:pStyle w:val="Point0"/>
              <w:ind w:hanging="295"/>
              <w:rPr>
                <w:noProof/>
                <w:szCs w:val="24"/>
              </w:rPr>
            </w:pPr>
            <w:r>
              <w:rPr>
                <w:noProof/>
              </w:rPr>
              <w:t>i) la note explicative pour X est remplacée par le texte suivant:</w:t>
            </w:r>
          </w:p>
          <w:p>
            <w:pPr>
              <w:pStyle w:val="Point0"/>
              <w:ind w:left="981" w:firstLine="0"/>
              <w:rPr>
                <w:noProof/>
                <w:szCs w:val="24"/>
              </w:rPr>
            </w:pPr>
            <w:r>
              <w:rPr>
                <w:noProof/>
              </w:rPr>
              <w:t>«X Les prescriptions énoncées dans l’acte réglementaire correspondant sont applicables.»;</w:t>
            </w:r>
          </w:p>
          <w:p>
            <w:pPr>
              <w:pStyle w:val="Point0"/>
              <w:ind w:hanging="295"/>
              <w:rPr>
                <w:noProof/>
                <w:szCs w:val="24"/>
              </w:rPr>
            </w:pPr>
            <w:r>
              <w:rPr>
                <w:noProof/>
              </w:rPr>
              <w:t>ii) les notes explicatives 3 et 4 sont remplacées par le texte suivant:</w:t>
            </w:r>
          </w:p>
          <w:p>
            <w:pPr>
              <w:pStyle w:val="Point0"/>
              <w:ind w:left="981" w:firstLine="0"/>
              <w:rPr>
                <w:noProof/>
                <w:szCs w:val="24"/>
              </w:rPr>
            </w:pPr>
            <w:r>
              <w:rPr>
                <w:noProof/>
              </w:rPr>
              <w:t>«</w:t>
            </w:r>
            <w:r>
              <w:rPr>
                <w:noProof/>
                <w:vertAlign w:val="superscript"/>
              </w:rPr>
              <w:t>3</w:t>
            </w:r>
            <w:r>
              <w:rPr>
                <w:noProof/>
              </w:rPr>
              <w:t>) La présence de la fonction de contrôle de la stabilité du véhicule est requise conformément à l’article 4, paragraphe 5, du règlement (UE) 2019/…</w:t>
            </w:r>
            <w:r>
              <w:rPr>
                <w:noProof/>
                <w:vertAlign w:val="superscript"/>
              </w:rPr>
              <w:t>+</w:t>
            </w:r>
          </w:p>
          <w:p>
            <w:pPr>
              <w:pStyle w:val="Point0"/>
              <w:ind w:left="981" w:firstLine="0"/>
              <w:rPr>
                <w:noProof/>
                <w:szCs w:val="24"/>
              </w:rPr>
            </w:pPr>
            <w:r>
              <w:rPr>
                <w:noProof/>
                <w:vertAlign w:val="superscript"/>
              </w:rPr>
              <w:t>4</w:t>
            </w:r>
            <w:r>
              <w:rPr>
                <w:noProof/>
              </w:rPr>
              <w:t>) La présence d’un système électronique de contrôle de la stabilité est requise conformément à l’article 4, paragraphe 5, du règlement (UE) 2019/…</w:t>
            </w:r>
            <w:r>
              <w:rPr>
                <w:noProof/>
                <w:vertAlign w:val="superscript"/>
              </w:rPr>
              <w:t>+</w:t>
            </w:r>
            <w:r>
              <w:rPr>
                <w:noProof/>
              </w:rPr>
              <w:t>»;</w:t>
            </w:r>
          </w:p>
          <w:p>
            <w:pPr>
              <w:pStyle w:val="Point0"/>
              <w:ind w:hanging="295"/>
              <w:rPr>
                <w:noProof/>
                <w:szCs w:val="24"/>
              </w:rPr>
            </w:pPr>
            <w:r>
              <w:rPr>
                <w:noProof/>
              </w:rPr>
              <w:t>iii) la note explicative 9A est remplacée par le texte suivant:</w:t>
            </w:r>
          </w:p>
          <w:p>
            <w:pPr>
              <w:pStyle w:val="Point0"/>
              <w:ind w:left="981" w:firstLine="0"/>
              <w:rPr>
                <w:noProof/>
                <w:szCs w:val="24"/>
              </w:rPr>
            </w:pPr>
            <w:r>
              <w:rPr>
                <w:noProof/>
              </w:rPr>
              <w:t>«(</w:t>
            </w:r>
            <w:r>
              <w:rPr>
                <w:noProof/>
                <w:vertAlign w:val="superscript"/>
              </w:rPr>
              <w:t>9A</w:t>
            </w:r>
            <w:r>
              <w:rPr>
                <w:noProof/>
              </w:rPr>
              <w:t>) S’applique uniquement si les véhicules sont pourvus des équipements couverts par le règlement nº 64 de l’ONU. Cependant, le système de surveillance de la pression des pneumatiques est obligatoire conformément à l'article 4, paragraphe 5 du règlement (UE) 2019/...</w:t>
            </w:r>
            <w:r>
              <w:rPr>
                <w:noProof/>
                <w:vertAlign w:val="superscript"/>
              </w:rPr>
              <w:t>+</w:t>
            </w:r>
            <w:r>
              <w:rPr>
                <w:noProof/>
              </w:rPr>
              <w:t>»;</w:t>
            </w:r>
          </w:p>
          <w:p>
            <w:pPr>
              <w:pStyle w:val="Point0"/>
              <w:ind w:hanging="295"/>
              <w:rPr>
                <w:noProof/>
                <w:szCs w:val="24"/>
              </w:rPr>
            </w:pPr>
            <w:r>
              <w:rPr>
                <w:noProof/>
              </w:rPr>
              <w:t>iv) la note explicative 15 est remplacée par le texte suivant:</w:t>
            </w:r>
          </w:p>
        </w:tc>
      </w:tr>
      <w:tr>
        <w:trPr>
          <w:gridBefore w:val="1"/>
          <w:gridAfter w:val="23"/>
          <w:wAfter w:w="1701" w:type="dxa"/>
        </w:trPr>
        <w:tc>
          <w:tcPr>
            <w:tcW w:w="619" w:type="dxa"/>
            <w:gridSpan w:val="7"/>
            <w:tcBorders>
              <w:top w:val="nil"/>
              <w:left w:val="nil"/>
              <w:bottom w:val="nil"/>
              <w:right w:val="nil"/>
            </w:tcBorders>
            <w:shd w:val="clear" w:color="auto" w:fill="auto"/>
          </w:tcPr>
          <w:p>
            <w:pPr>
              <w:rPr>
                <w:noProof/>
                <w:szCs w:val="24"/>
              </w:rPr>
            </w:pPr>
          </w:p>
        </w:tc>
        <w:tc>
          <w:tcPr>
            <w:tcW w:w="7657" w:type="dxa"/>
            <w:gridSpan w:val="80"/>
            <w:tcBorders>
              <w:top w:val="nil"/>
              <w:left w:val="nil"/>
              <w:bottom w:val="nil"/>
              <w:right w:val="nil"/>
            </w:tcBorders>
          </w:tcPr>
          <w:p>
            <w:pPr>
              <w:pStyle w:val="Point0"/>
              <w:ind w:left="981" w:firstLine="0"/>
              <w:rPr>
                <w:noProof/>
                <w:szCs w:val="24"/>
              </w:rPr>
            </w:pPr>
            <w:r>
              <w:rPr>
                <w:noProof/>
              </w:rPr>
              <w:t>«</w:t>
            </w:r>
            <w:r>
              <w:rPr>
                <w:noProof/>
                <w:vertAlign w:val="superscript"/>
              </w:rPr>
              <w:t>15</w:t>
            </w:r>
            <w:r>
              <w:rPr>
                <w:noProof/>
              </w:rPr>
              <w:t>) La conformité au règlement (UE) 2019/...</w:t>
            </w:r>
            <w:r>
              <w:rPr>
                <w:noProof/>
                <w:vertAlign w:val="superscript"/>
              </w:rPr>
              <w:t>+</w:t>
            </w:r>
            <w:r>
              <w:rPr>
                <w:noProof/>
              </w:rPr>
              <w:t xml:space="preserve"> est obligatoire. Toutefois, la réception par type pour cette rubrique poste spécifique n’est pas envisagée car elle représente simplement la collection de rubriques individuelles énumérées ailleurs dans le tableau correspondant.»;</w:t>
            </w:r>
          </w:p>
        </w:tc>
      </w:tr>
      <w:tr>
        <w:trPr>
          <w:gridBefore w:val="1"/>
          <w:gridAfter w:val="23"/>
          <w:wAfter w:w="1701" w:type="dxa"/>
        </w:trPr>
        <w:tc>
          <w:tcPr>
            <w:tcW w:w="619" w:type="dxa"/>
            <w:gridSpan w:val="7"/>
            <w:tcBorders>
              <w:top w:val="nil"/>
              <w:left w:val="nil"/>
              <w:bottom w:val="nil"/>
              <w:right w:val="nil"/>
            </w:tcBorders>
            <w:shd w:val="clear" w:color="auto" w:fill="auto"/>
          </w:tcPr>
          <w:p>
            <w:pPr>
              <w:rPr>
                <w:noProof/>
                <w:szCs w:val="24"/>
              </w:rPr>
            </w:pPr>
          </w:p>
        </w:tc>
        <w:tc>
          <w:tcPr>
            <w:tcW w:w="7657" w:type="dxa"/>
            <w:gridSpan w:val="80"/>
            <w:tcBorders>
              <w:top w:val="nil"/>
              <w:left w:val="nil"/>
              <w:bottom w:val="nil"/>
              <w:right w:val="nil"/>
            </w:tcBorders>
          </w:tcPr>
          <w:p>
            <w:pPr>
              <w:pStyle w:val="Point0"/>
              <w:ind w:left="555" w:firstLine="0"/>
              <w:rPr>
                <w:noProof/>
                <w:szCs w:val="24"/>
              </w:rPr>
            </w:pPr>
            <w:r>
              <w:rPr>
                <w:noProof/>
              </w:rPr>
              <w:t>v) les notes explicatives 16 et 17 sont supprimées.</w:t>
            </w:r>
          </w:p>
        </w:tc>
      </w:tr>
    </w:tbl>
    <w:p>
      <w:pPr>
        <w:rPr>
          <w:noProof/>
        </w:rPr>
        <w:sectPr>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60"/>
        </w:sectPr>
      </w:pPr>
    </w:p>
    <w:p>
      <w:pPr>
        <w:pStyle w:val="Annexetitre"/>
        <w:rPr>
          <w:rStyle w:val="Marker"/>
          <w:noProof/>
        </w:rPr>
      </w:pPr>
      <w:r>
        <w:rPr>
          <w:noProof/>
        </w:rPr>
        <w:t>ANNEXE IV</w:t>
      </w:r>
    </w:p>
    <w:p>
      <w:pPr>
        <w:rPr>
          <w:noProof/>
        </w:rPr>
      </w:pPr>
    </w:p>
    <w:p>
      <w:pPr>
        <w:rPr>
          <w:b/>
          <w:noProof/>
        </w:rPr>
      </w:pPr>
      <w:r>
        <w:rPr>
          <w:b/>
          <w:noProof/>
        </w:rPr>
        <w:t>Systèmes de protection frontale montés en tant qu’équipement d’origine sur les véhicules des catégories M</w:t>
      </w:r>
      <w:r>
        <w:rPr>
          <w:b/>
          <w:noProof/>
          <w:vertAlign w:val="subscript"/>
        </w:rPr>
        <w:t>1</w:t>
      </w:r>
      <w:r>
        <w:rPr>
          <w:b/>
          <w:noProof/>
        </w:rPr>
        <w:t xml:space="preserve"> et N</w:t>
      </w:r>
      <w:r>
        <w:rPr>
          <w:b/>
          <w:noProof/>
          <w:vertAlign w:val="subscript"/>
        </w:rPr>
        <w:t>1</w:t>
      </w:r>
      <w:r>
        <w:rPr>
          <w:b/>
          <w:noProof/>
        </w:rPr>
        <w:t xml:space="preserve"> ou disponibles sur le marché en tant qu’entités techniques distinctes destinées à ces véhicules</w:t>
      </w:r>
    </w:p>
    <w:p>
      <w:pPr>
        <w:rPr>
          <w:noProof/>
        </w:rPr>
      </w:pPr>
    </w:p>
    <w:p>
      <w:pPr>
        <w:rPr>
          <w:noProof/>
        </w:rPr>
      </w:pPr>
      <w:r>
        <w:rPr>
          <w:noProof/>
        </w:rPr>
        <w:t>1.</w:t>
      </w:r>
      <w:r>
        <w:rPr>
          <w:noProof/>
        </w:rPr>
        <w:tab/>
        <w:t>Dispositions relatives à la réception des systèmes de protection frontale</w:t>
      </w:r>
    </w:p>
    <w:p>
      <w:pPr>
        <w:rPr>
          <w:noProof/>
        </w:rPr>
      </w:pPr>
      <w:r>
        <w:rPr>
          <w:noProof/>
        </w:rPr>
        <w:t>1.1.</w:t>
      </w:r>
      <w:r>
        <w:rPr>
          <w:noProof/>
        </w:rPr>
        <w:tab/>
        <w:t>Un système de protection frontale conçu comme équipement d’origine doit être homologué conformément au règlement nº 127 de l’ONU et être considéré comme faisant partie intégrante du véhicule concerné.</w:t>
      </w:r>
    </w:p>
    <w:p>
      <w:pPr>
        <w:rPr>
          <w:noProof/>
        </w:rPr>
      </w:pPr>
      <w:r>
        <w:rPr>
          <w:noProof/>
        </w:rPr>
        <w:t>1.2.</w:t>
      </w:r>
      <w:r>
        <w:rPr>
          <w:noProof/>
        </w:rPr>
        <w:tab/>
        <w:t>Un système de protection frontale conçu comme entité technique distincte doit satisfaire aux prescriptions suivantes:</w:t>
      </w:r>
    </w:p>
    <w:p>
      <w:pPr>
        <w:rPr>
          <w:noProof/>
        </w:rPr>
      </w:pPr>
      <w:r>
        <w:rPr>
          <w:noProof/>
        </w:rPr>
        <w:t>1.2.1.</w:t>
      </w:r>
      <w:r>
        <w:rPr>
          <w:noProof/>
        </w:rPr>
        <w:tab/>
        <w:t>Les systèmes de protection frontale doivent être accompagnés d’informations qui décrivent exactement le type, la variante et la version du véhicule pour lequel ils sont réceptionnés par type et être accompagnés d’instructions de montage suffisamment détaillées pour permettre à une personne compétente de les installer correctement sur le véhicule. Les instructions doivent être fournies dans toutes les langues officielles de l’Union.</w:t>
      </w:r>
    </w:p>
    <w:p>
      <w:pPr>
        <w:rPr>
          <w:noProof/>
        </w:rPr>
      </w:pPr>
      <w:r>
        <w:rPr>
          <w:noProof/>
        </w:rPr>
        <w:t>1.2.2.</w:t>
      </w:r>
      <w:r>
        <w:rPr>
          <w:noProof/>
        </w:rPr>
        <w:tab/>
        <w:t>Tous les essais sont à effectuer soit avec le système de protection frontale monté sur un véhicule du type, de la variante et de la version auxquels il est destiné, soit sur un châssis d’essai très représentatif des dimensions essentielles de la partie avant du véhicule de destination. Lorsqu’un châssis d’essai est utilisé, il n’est pas permis que, mis à part les points de montage initiaux, le système de protection frontale soit en contact avec le châssis durant l’essai. Le contact en cours d’essai de la jambe ou tête factice du dispositif d’essai avec le châssis n’est pas permis non plus. Dans le cas où un tel contact ne peut être évité, l’essai en question doit être effectué, à la place, avec le système de protection frontale monté sur un véhicule du type, de la variante et de la version concernés.</w:t>
      </w:r>
    </w:p>
    <w:p>
      <w:pPr>
        <w:rPr>
          <w:noProof/>
        </w:rPr>
      </w:pPr>
      <w:r>
        <w:rPr>
          <w:noProof/>
        </w:rPr>
        <w:t>1.2.3.</w:t>
      </w:r>
      <w:r>
        <w:rPr>
          <w:noProof/>
        </w:rPr>
        <w:tab/>
        <w:t>Pour les systèmes de protection frontale devant être montés sur des véhicules de telle sorte que la hauteur inférieure du système de protection frontale à la position d’essai se situe entre ≥ 425 mm et &lt; 500 mm, les essais sont à effectuer selon le point 1.2.4 ou le point 1.2.5, au choix du constructeur. Lorsque la hauteur est &lt; 425 mm, les essais sont à effectuer selon le point 1.2.4. Lorsque la hauteur est ≥ 500 mm, les essais sont à effectuer selon le point 1.2.5.</w:t>
      </w:r>
    </w:p>
    <w:p>
      <w:pPr>
        <w:rPr>
          <w:noProof/>
        </w:rPr>
      </w:pPr>
      <w:r>
        <w:rPr>
          <w:noProof/>
        </w:rPr>
        <w:t>1.2.4.</w:t>
      </w:r>
      <w:r>
        <w:rPr>
          <w:noProof/>
        </w:rPr>
        <w:tab/>
        <w:t>Les essais avec jambe inférieure factice flexible sur le système de protection frontale sont à effectuer conformément aux dispositions correspondantes énoncées dans le règlement 127 de l’ONU pour les essais de conformité de la «zone d’impact du pare-chocs», celle-ci étant comprise, aux fins du système de protection frontale, comme la zone d’essai de la jambe factice, y compris en appliquant les prescriptions pertinentes relatives aux critères de blessure. Les coins du système de protection frontale doivent cependant être pris en compte et aucune zone d’exception ne s’applique. Les points d’essai doivent être clairement identifiés dans le rapport d’essai.</w:t>
      </w:r>
    </w:p>
    <w:p>
      <w:pPr>
        <w:rPr>
          <w:noProof/>
        </w:rPr>
      </w:pPr>
      <w:r>
        <w:rPr>
          <w:noProof/>
        </w:rPr>
        <w:t>1.2.5.</w:t>
      </w:r>
      <w:r>
        <w:rPr>
          <w:noProof/>
        </w:rPr>
        <w:tab/>
        <w:t>Les essais avec jambe supérieure factice sur le système de protection frontale sont à effectuer conformément aux dispositions correspondantes énoncées dans le règlement 127 de l’ONU pour les essais de conformité de la «zone d’impact du pare-chocs», celle-ci étant comprise, aux fins du système de protection frontale, comme la zone d’essai de la jambe factice, y compris en appliquant les prescriptions pertinentes relatives aux critères de blessure. Les coins du système de protection frontale doivent cependant être pris en compte. Les points d’essai doivent être clairement identifiés dans le rapport d’essai.</w:t>
      </w:r>
    </w:p>
    <w:p>
      <w:pPr>
        <w:rPr>
          <w:noProof/>
        </w:rPr>
      </w:pPr>
      <w:r>
        <w:rPr>
          <w:noProof/>
        </w:rPr>
        <w:t>1.2.6.</w:t>
      </w:r>
      <w:r>
        <w:rPr>
          <w:noProof/>
        </w:rPr>
        <w:tab/>
        <w:t>Un minimum de trois essais d’impact de tête factice d’enfant conformément au point 1.2.7 doivent être effectués à tous les endroits du système de protection frontale qui sont considérés par le service technique comme les plus défavorables. Les essais doivent être effectués sur différents types de structure lorsque ceux-ci varient dans la zone à évaluer. Les points d’essai doivent être clairement identifiés dans le rapport d’essai et être choisis directement sur le système de protection frontale lorsque la ou les parties concernées sont situées au-delà de la longueur développée de 900 mm considérée avec le véhicule du type, de la variante et de la version de destination dans son assiette normale.</w:t>
      </w:r>
    </w:p>
    <w:p>
      <w:pPr>
        <w:rPr>
          <w:noProof/>
        </w:rPr>
      </w:pPr>
      <w:r>
        <w:rPr>
          <w:noProof/>
        </w:rPr>
        <w:t>1.2.7.</w:t>
      </w:r>
      <w:r>
        <w:rPr>
          <w:noProof/>
        </w:rPr>
        <w:tab/>
        <w:t>Les essais doivent être effectués conformément aux dispositions pertinentes énoncées dans le règlement 127 de l’ONU pour les essais de conformité de la «zone d’impact de la tête factice d’enfant», celle-ci étant comprise, aux fins du système de protection frontale, comme la zone d’impact de la tête factice d’enfant. Toutefois les valeurs HIC enregistrées ne doivent pas dépasser 1 000 dans tous les cas. Les points d’essai doivent être clairement identifiés dans les rapports d’essai.</w:t>
      </w:r>
    </w:p>
    <w:p>
      <w:pPr>
        <w:rPr>
          <w:noProof/>
        </w:rPr>
      </w:pPr>
      <w:r>
        <w:rPr>
          <w:noProof/>
        </w:rPr>
        <w:t>2.</w:t>
      </w:r>
      <w:r>
        <w:rPr>
          <w:noProof/>
        </w:rPr>
        <w:tab/>
        <w:t>Marquages</w:t>
      </w:r>
    </w:p>
    <w:p>
      <w:pPr>
        <w:rPr>
          <w:noProof/>
        </w:rPr>
      </w:pPr>
      <w:r>
        <w:rPr>
          <w:noProof/>
        </w:rPr>
        <w:t>2.1.</w:t>
      </w:r>
      <w:r>
        <w:rPr>
          <w:noProof/>
        </w:rPr>
        <w:tab/>
        <w:t>Chaque système de protection frontale doit être marqué de façon claire et indélébile de la dénomination commerciale, du nom du fabricant ou de sa marque et de la désignation du type, ainsi que de la marque de réception UE par type, pour laquelle l’espace doit être suffisant.</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V</w:t>
      </w:r>
    </w:p>
    <w:p>
      <w:pPr>
        <w:rPr>
          <w:noProof/>
        </w:rPr>
      </w:pPr>
    </w:p>
    <w:p>
      <w:pPr>
        <w:jc w:val="center"/>
        <w:rPr>
          <w:noProof/>
        </w:rPr>
      </w:pPr>
      <w:r>
        <w:rPr>
          <w:b/>
          <w:noProof/>
        </w:rPr>
        <w:t>Véhicules fonctionnant à l’hydrogène, leurs systèmes hydrogène et leurs composants hydrogène</w:t>
      </w:r>
    </w:p>
    <w:p>
      <w:pPr>
        <w:rPr>
          <w:noProof/>
        </w:rPr>
      </w:pPr>
    </w:p>
    <w:tbl>
      <w:tblPr>
        <w:tblW w:w="0" w:type="auto"/>
        <w:tblLayout w:type="fixed"/>
        <w:tblLook w:val="01E0" w:firstRow="1" w:lastRow="1" w:firstColumn="1" w:lastColumn="1" w:noHBand="0" w:noVBand="0"/>
      </w:tblPr>
      <w:tblGrid>
        <w:gridCol w:w="959"/>
        <w:gridCol w:w="8330"/>
      </w:tblGrid>
      <w:tr>
        <w:tc>
          <w:tcPr>
            <w:tcW w:w="959" w:type="dxa"/>
            <w:shd w:val="clear" w:color="auto" w:fill="auto"/>
          </w:tcPr>
          <w:p>
            <w:pPr>
              <w:rPr>
                <w:noProof/>
              </w:rPr>
            </w:pPr>
            <w:r>
              <w:rPr>
                <w:noProof/>
              </w:rPr>
              <w:t>1.</w:t>
            </w:r>
          </w:p>
        </w:tc>
        <w:tc>
          <w:tcPr>
            <w:tcW w:w="8330" w:type="dxa"/>
            <w:shd w:val="clear" w:color="auto" w:fill="auto"/>
          </w:tcPr>
          <w:p>
            <w:pPr>
              <w:rPr>
                <w:noProof/>
              </w:rPr>
            </w:pPr>
            <w:r>
              <w:rPr>
                <w:noProof/>
              </w:rPr>
              <w:t>Champ d'application</w:t>
            </w:r>
          </w:p>
          <w:p>
            <w:pPr>
              <w:rPr>
                <w:noProof/>
              </w:rPr>
            </w:pPr>
            <w:r>
              <w:rPr>
                <w:noProof/>
              </w:rPr>
              <w:t>La présente annexe s’applique aux véhicules fonctionnant à l’hydrogène des catégories M et N, y compris leurs systèmes hydrogène et leurs composants hydrogène.</w:t>
            </w:r>
          </w:p>
        </w:tc>
      </w:tr>
      <w:tr>
        <w:tc>
          <w:tcPr>
            <w:tcW w:w="959" w:type="dxa"/>
            <w:shd w:val="clear" w:color="auto" w:fill="auto"/>
          </w:tcPr>
          <w:p>
            <w:pPr>
              <w:rPr>
                <w:noProof/>
              </w:rPr>
            </w:pPr>
            <w:r>
              <w:rPr>
                <w:noProof/>
              </w:rPr>
              <w:t>1.1.</w:t>
            </w:r>
          </w:p>
        </w:tc>
        <w:tc>
          <w:tcPr>
            <w:tcW w:w="8330" w:type="dxa"/>
            <w:shd w:val="clear" w:color="auto" w:fill="auto"/>
          </w:tcPr>
          <w:p>
            <w:pPr>
              <w:rPr>
                <w:noProof/>
              </w:rPr>
            </w:pPr>
            <w:r>
              <w:rPr>
                <w:noProof/>
              </w:rPr>
              <w:t>Matériaux utilisés dans les systèmes de véhicule à hydrogène comprimé.</w:t>
            </w:r>
          </w:p>
        </w:tc>
      </w:tr>
      <w:tr>
        <w:tc>
          <w:tcPr>
            <w:tcW w:w="959" w:type="dxa"/>
            <w:shd w:val="clear" w:color="auto" w:fill="auto"/>
          </w:tcPr>
          <w:p>
            <w:pPr>
              <w:rPr>
                <w:noProof/>
              </w:rPr>
            </w:pPr>
            <w:r>
              <w:rPr>
                <w:noProof/>
              </w:rPr>
              <w:t>1.1.1.</w:t>
            </w:r>
          </w:p>
        </w:tc>
        <w:tc>
          <w:tcPr>
            <w:tcW w:w="8330" w:type="dxa"/>
            <w:shd w:val="clear" w:color="auto" w:fill="auto"/>
          </w:tcPr>
          <w:p>
            <w:pPr>
              <w:rPr>
                <w:noProof/>
              </w:rPr>
            </w:pPr>
            <w:r>
              <w:rPr>
                <w:noProof/>
              </w:rPr>
              <w:t>Les matériaux utilisés dans les systèmes hydrogène, ainsi que dans leurs composants et dans les réservoirs doivent être compatibles avec l’hydrogène lorsqu’ils sont en contact avec celui-ci à l’état liquide et/ou gazeux. Les tables de matériaux contenues dans le document SAE J 2579 B2 s’appliquent le cas échéant. Il ne doit pas y avoir de contact entre deux matériaux incompatibles.</w:t>
            </w:r>
          </w:p>
        </w:tc>
      </w:tr>
      <w:tr>
        <w:tc>
          <w:tcPr>
            <w:tcW w:w="959" w:type="dxa"/>
            <w:shd w:val="clear" w:color="auto" w:fill="auto"/>
          </w:tcPr>
          <w:p>
            <w:pPr>
              <w:rPr>
                <w:noProof/>
              </w:rPr>
            </w:pPr>
            <w:r>
              <w:rPr>
                <w:noProof/>
              </w:rPr>
              <w:t>1.1.2.</w:t>
            </w:r>
          </w:p>
        </w:tc>
        <w:tc>
          <w:tcPr>
            <w:tcW w:w="8330" w:type="dxa"/>
            <w:shd w:val="clear" w:color="auto" w:fill="auto"/>
          </w:tcPr>
          <w:p>
            <w:pPr>
              <w:pStyle w:val="NumPar3"/>
              <w:numPr>
                <w:ilvl w:val="2"/>
                <w:numId w:val="0"/>
              </w:numPr>
              <w:rPr>
                <w:noProof/>
              </w:rPr>
            </w:pPr>
            <w:r>
              <w:rPr>
                <w:noProof/>
              </w:rPr>
              <w:t>Aciers</w:t>
            </w:r>
          </w:p>
          <w:p>
            <w:pPr>
              <w:pStyle w:val="NumPar3"/>
              <w:numPr>
                <w:ilvl w:val="2"/>
                <w:numId w:val="0"/>
              </w:numPr>
              <w:rPr>
                <w:noProof/>
              </w:rPr>
            </w:pPr>
            <w:r>
              <w:rPr>
                <w:noProof/>
              </w:rPr>
              <w:t>Les aciers utilisés pour les réservoirs et les chemises doivent être conformes aux prescriptions concernant les matériaux des sections 6.1 à 6.4 de la norme EN 9809-1 ou des sections 6.1 à 6.3 de la norme EN 9809</w:t>
            </w:r>
            <w:r>
              <w:rPr>
                <w:noProof/>
              </w:rPr>
              <w:noBreakHyphen/>
              <w:t>2, selon le cas.</w:t>
            </w:r>
          </w:p>
        </w:tc>
      </w:tr>
      <w:tr>
        <w:tc>
          <w:tcPr>
            <w:tcW w:w="959" w:type="dxa"/>
            <w:shd w:val="clear" w:color="auto" w:fill="auto"/>
          </w:tcPr>
          <w:p>
            <w:pPr>
              <w:rPr>
                <w:noProof/>
              </w:rPr>
            </w:pPr>
            <w:r>
              <w:rPr>
                <w:noProof/>
              </w:rPr>
              <w:t>1.1.3.</w:t>
            </w:r>
          </w:p>
        </w:tc>
        <w:tc>
          <w:tcPr>
            <w:tcW w:w="8330" w:type="dxa"/>
            <w:shd w:val="clear" w:color="auto" w:fill="auto"/>
          </w:tcPr>
          <w:p>
            <w:pPr>
              <w:pStyle w:val="NumPar3"/>
              <w:numPr>
                <w:ilvl w:val="2"/>
                <w:numId w:val="0"/>
              </w:numPr>
              <w:rPr>
                <w:noProof/>
              </w:rPr>
            </w:pPr>
            <w:r>
              <w:rPr>
                <w:noProof/>
              </w:rPr>
              <w:t>Aciers inoxydables</w:t>
            </w:r>
          </w:p>
          <w:p>
            <w:pPr>
              <w:pStyle w:val="NumPar3"/>
              <w:numPr>
                <w:ilvl w:val="2"/>
                <w:numId w:val="0"/>
              </w:numPr>
              <w:rPr>
                <w:noProof/>
              </w:rPr>
            </w:pPr>
            <w:r>
              <w:rPr>
                <w:noProof/>
              </w:rPr>
              <w:t>Les aciers inoxydables utilisés pour les réservoirs et les chemises doivent être conformes aux sections 4.1 à 4.4 de la norme EN 1964-3.</w:t>
            </w:r>
          </w:p>
        </w:tc>
      </w:tr>
      <w:tr>
        <w:tc>
          <w:tcPr>
            <w:tcW w:w="959" w:type="dxa"/>
            <w:shd w:val="clear" w:color="auto" w:fill="auto"/>
          </w:tcPr>
          <w:p>
            <w:pPr>
              <w:rPr>
                <w:noProof/>
              </w:rPr>
            </w:pPr>
            <w:r>
              <w:rPr>
                <w:noProof/>
              </w:rPr>
              <w:t>1.1.3.1.</w:t>
            </w:r>
          </w:p>
        </w:tc>
        <w:tc>
          <w:tcPr>
            <w:tcW w:w="8330" w:type="dxa"/>
            <w:shd w:val="clear" w:color="auto" w:fill="auto"/>
          </w:tcPr>
          <w:p>
            <w:pPr>
              <w:pStyle w:val="NumPar3"/>
              <w:numPr>
                <w:ilvl w:val="2"/>
                <w:numId w:val="0"/>
              </w:numPr>
              <w:rPr>
                <w:noProof/>
              </w:rPr>
            </w:pPr>
            <w:r>
              <w:rPr>
                <w:noProof/>
              </w:rPr>
              <w:t>Les aciers inoxydables soudés utilisés pour les chemises des réservoirs doivent être conformes aux sections 4.1 à 4.3, ainsi qu’aux sections 6.1, 6.2 et 6.4 de la norme EN 13322-2, selon le cas.</w:t>
            </w:r>
          </w:p>
        </w:tc>
      </w:tr>
      <w:tr>
        <w:tc>
          <w:tcPr>
            <w:tcW w:w="959" w:type="dxa"/>
            <w:shd w:val="clear" w:color="auto" w:fill="auto"/>
          </w:tcPr>
          <w:p>
            <w:pPr>
              <w:rPr>
                <w:noProof/>
              </w:rPr>
            </w:pPr>
            <w:r>
              <w:rPr>
                <w:noProof/>
              </w:rPr>
              <w:t>1.1.4.</w:t>
            </w:r>
          </w:p>
        </w:tc>
        <w:tc>
          <w:tcPr>
            <w:tcW w:w="8330" w:type="dxa"/>
            <w:shd w:val="clear" w:color="auto" w:fill="auto"/>
          </w:tcPr>
          <w:p>
            <w:pPr>
              <w:pStyle w:val="NumPar4"/>
              <w:numPr>
                <w:ilvl w:val="3"/>
                <w:numId w:val="0"/>
              </w:numPr>
              <w:rPr>
                <w:noProof/>
              </w:rPr>
            </w:pPr>
            <w:r>
              <w:rPr>
                <w:noProof/>
              </w:rPr>
              <w:t>Alliages d’aluminium</w:t>
            </w:r>
          </w:p>
          <w:p>
            <w:pPr>
              <w:pStyle w:val="NumPar4"/>
              <w:numPr>
                <w:ilvl w:val="3"/>
                <w:numId w:val="0"/>
              </w:numPr>
              <w:rPr>
                <w:noProof/>
              </w:rPr>
            </w:pPr>
            <w:r>
              <w:rPr>
                <w:noProof/>
              </w:rPr>
              <w:t>Les alliages d’aluminium utilisés pour les réservoirs et les chemises doivent être conformes aux prescriptions concernant les matériaux des sections 6.1 et 6.2 de la norme internationale ISO 7866:2012.</w:t>
            </w:r>
          </w:p>
        </w:tc>
      </w:tr>
      <w:tr>
        <w:tc>
          <w:tcPr>
            <w:tcW w:w="959" w:type="dxa"/>
            <w:shd w:val="clear" w:color="auto" w:fill="auto"/>
          </w:tcPr>
          <w:p>
            <w:pPr>
              <w:rPr>
                <w:noProof/>
              </w:rPr>
            </w:pPr>
            <w:r>
              <w:rPr>
                <w:noProof/>
              </w:rPr>
              <w:t>1.1.4.1.</w:t>
            </w:r>
          </w:p>
        </w:tc>
        <w:tc>
          <w:tcPr>
            <w:tcW w:w="8330" w:type="dxa"/>
            <w:shd w:val="clear" w:color="auto" w:fill="auto"/>
          </w:tcPr>
          <w:p>
            <w:pPr>
              <w:pStyle w:val="NumPar4"/>
              <w:numPr>
                <w:ilvl w:val="3"/>
                <w:numId w:val="0"/>
              </w:numPr>
              <w:rPr>
                <w:noProof/>
              </w:rPr>
            </w:pPr>
            <w:r>
              <w:rPr>
                <w:noProof/>
              </w:rPr>
              <w:t>Les alliages d’aluminium soudés utilisés pour les chemises de réservoirs doivent être conformes aux sections 4.2 et 4.3, ainsi qu’aux sections 4.1.2 et 6.1 de la norme EN 12862.</w:t>
            </w:r>
          </w:p>
        </w:tc>
      </w:tr>
      <w:tr>
        <w:tc>
          <w:tcPr>
            <w:tcW w:w="959" w:type="dxa"/>
            <w:shd w:val="clear" w:color="auto" w:fill="auto"/>
          </w:tcPr>
          <w:p>
            <w:pPr>
              <w:rPr>
                <w:noProof/>
              </w:rPr>
            </w:pPr>
            <w:r>
              <w:rPr>
                <w:noProof/>
              </w:rPr>
              <w:t>1.1.5.</w:t>
            </w:r>
          </w:p>
        </w:tc>
        <w:tc>
          <w:tcPr>
            <w:tcW w:w="8330" w:type="dxa"/>
            <w:shd w:val="clear" w:color="auto" w:fill="auto"/>
          </w:tcPr>
          <w:p>
            <w:pPr>
              <w:pStyle w:val="NumPar4"/>
              <w:numPr>
                <w:ilvl w:val="3"/>
                <w:numId w:val="0"/>
              </w:numPr>
              <w:rPr>
                <w:noProof/>
              </w:rPr>
            </w:pPr>
            <w:r>
              <w:rPr>
                <w:noProof/>
              </w:rPr>
              <w:t>Matériaux des chemises en plastique</w:t>
            </w:r>
          </w:p>
          <w:p>
            <w:pPr>
              <w:pStyle w:val="NumPar4"/>
              <w:numPr>
                <w:ilvl w:val="3"/>
                <w:numId w:val="0"/>
              </w:numPr>
              <w:rPr>
                <w:noProof/>
              </w:rPr>
            </w:pPr>
            <w:r>
              <w:rPr>
                <w:noProof/>
              </w:rPr>
              <w:t>Le matériau utilisé pour les chemises en plastique des réservoirs de stockage d’hydrogène peut être thermodurcissable ou thermoplastique.</w:t>
            </w:r>
          </w:p>
        </w:tc>
      </w:tr>
      <w:tr>
        <w:tc>
          <w:tcPr>
            <w:tcW w:w="959" w:type="dxa"/>
            <w:shd w:val="clear" w:color="auto" w:fill="auto"/>
          </w:tcPr>
          <w:p>
            <w:pPr>
              <w:rPr>
                <w:noProof/>
              </w:rPr>
            </w:pPr>
            <w:r>
              <w:rPr>
                <w:noProof/>
              </w:rPr>
              <w:t>1.1.6.</w:t>
            </w:r>
          </w:p>
        </w:tc>
        <w:tc>
          <w:tcPr>
            <w:tcW w:w="8330" w:type="dxa"/>
            <w:shd w:val="clear" w:color="auto" w:fill="auto"/>
          </w:tcPr>
          <w:p>
            <w:pPr>
              <w:pStyle w:val="NumPar4"/>
              <w:numPr>
                <w:ilvl w:val="3"/>
                <w:numId w:val="0"/>
              </w:numPr>
              <w:rPr>
                <w:noProof/>
              </w:rPr>
            </w:pPr>
            <w:r>
              <w:rPr>
                <w:noProof/>
              </w:rPr>
              <w:t>Fibres</w:t>
            </w:r>
          </w:p>
          <w:p>
            <w:pPr>
              <w:pStyle w:val="NumPar4"/>
              <w:numPr>
                <w:ilvl w:val="3"/>
                <w:numId w:val="0"/>
              </w:numPr>
              <w:rPr>
                <w:noProof/>
              </w:rPr>
            </w:pPr>
            <w:r>
              <w:rPr>
                <w:noProof/>
              </w:rPr>
              <w:t>Le fabricant du réservoir doit conserver, pendant la durée de vie prévue du modèle de réservoir, les spécifications publiées concernant les matériaux composites, y compris les principaux résultats d’essai, notamment de l’épreuve de traction, ainsi que les recommandations du fabricant du matériau concernant le stockage, les conditions d’utilisation et la durée de conservation avant l’utilisation.</w:t>
            </w:r>
          </w:p>
          <w:p>
            <w:pPr>
              <w:pStyle w:val="NumPar4"/>
              <w:numPr>
                <w:ilvl w:val="3"/>
                <w:numId w:val="0"/>
              </w:numPr>
              <w:rPr>
                <w:noProof/>
              </w:rPr>
            </w:pPr>
            <w:r>
              <w:rPr>
                <w:noProof/>
              </w:rPr>
              <w:t>Le fabricant du réservoir doit conserver pendant la durée de vie prévue de chaque lot de réservoirs les attestations du fabricant de fibres selon lesquelles chaque lot fourni est conforme aux spécifications du fabricant pour le produit.</w:t>
            </w:r>
          </w:p>
        </w:tc>
      </w:tr>
      <w:tr>
        <w:tc>
          <w:tcPr>
            <w:tcW w:w="959" w:type="dxa"/>
            <w:shd w:val="clear" w:color="auto" w:fill="auto"/>
          </w:tcPr>
          <w:p>
            <w:pPr>
              <w:rPr>
                <w:noProof/>
              </w:rPr>
            </w:pPr>
            <w:r>
              <w:rPr>
                <w:noProof/>
              </w:rPr>
              <w:t>1.1.6.1.</w:t>
            </w:r>
          </w:p>
        </w:tc>
        <w:tc>
          <w:tcPr>
            <w:tcW w:w="8330" w:type="dxa"/>
            <w:shd w:val="clear" w:color="auto" w:fill="auto"/>
          </w:tcPr>
          <w:p>
            <w:pPr>
              <w:pStyle w:val="NumPar3"/>
              <w:numPr>
                <w:ilvl w:val="2"/>
                <w:numId w:val="0"/>
              </w:numPr>
              <w:rPr>
                <w:noProof/>
              </w:rPr>
            </w:pPr>
            <w:r>
              <w:rPr>
                <w:noProof/>
              </w:rPr>
              <w:t>Résines</w:t>
            </w:r>
          </w:p>
          <w:p>
            <w:pPr>
              <w:pStyle w:val="Text1"/>
              <w:ind w:left="0"/>
              <w:rPr>
                <w:noProof/>
              </w:rPr>
            </w:pPr>
            <w:r>
              <w:rPr>
                <w:noProof/>
              </w:rPr>
              <w:t>Le matériau polymère utilisé pour l’imprégnation des fibres peut être une résine thermodurcissable ou thermoplastique.</w:t>
            </w:r>
          </w:p>
        </w:tc>
      </w:tr>
      <w:tr>
        <w:tc>
          <w:tcPr>
            <w:tcW w:w="959" w:type="dxa"/>
            <w:shd w:val="clear" w:color="auto" w:fill="auto"/>
          </w:tcPr>
          <w:p>
            <w:pPr>
              <w:rPr>
                <w:noProof/>
              </w:rPr>
            </w:pPr>
            <w:r>
              <w:rPr>
                <w:noProof/>
              </w:rPr>
              <w:t>1.1.7.</w:t>
            </w:r>
          </w:p>
        </w:tc>
        <w:tc>
          <w:tcPr>
            <w:tcW w:w="8330" w:type="dxa"/>
            <w:shd w:val="clear" w:color="auto" w:fill="auto"/>
          </w:tcPr>
          <w:p>
            <w:pPr>
              <w:pStyle w:val="NumPar3"/>
              <w:numPr>
                <w:ilvl w:val="2"/>
                <w:numId w:val="0"/>
              </w:numPr>
              <w:rPr>
                <w:noProof/>
              </w:rPr>
            </w:pPr>
            <w:r>
              <w:rPr>
                <w:noProof/>
              </w:rPr>
              <w:t>Essai de compatibilité avec l’hydrogène</w:t>
            </w:r>
          </w:p>
          <w:p>
            <w:pPr>
              <w:pStyle w:val="Text1"/>
              <w:ind w:left="0"/>
              <w:rPr>
                <w:noProof/>
              </w:rPr>
            </w:pPr>
            <w:r>
              <w:rPr>
                <w:noProof/>
              </w:rPr>
              <w:t>Cet essai n’est pas nécessaire pour</w:t>
            </w:r>
          </w:p>
          <w:p>
            <w:pPr>
              <w:pStyle w:val="Text1"/>
              <w:numPr>
                <w:ilvl w:val="0"/>
                <w:numId w:val="7"/>
              </w:numPr>
              <w:rPr>
                <w:noProof/>
              </w:rPr>
            </w:pPr>
            <w:r>
              <w:rPr>
                <w:noProof/>
              </w:rPr>
              <w:t>les aciers qui sont conformes aux paragraphes 6.3 et 7.2.2 de la norme EN 9809-1;</w:t>
            </w:r>
          </w:p>
          <w:p>
            <w:pPr>
              <w:pStyle w:val="Text1"/>
              <w:numPr>
                <w:ilvl w:val="0"/>
                <w:numId w:val="7"/>
              </w:numPr>
              <w:rPr>
                <w:noProof/>
              </w:rPr>
            </w:pPr>
            <w:r>
              <w:rPr>
                <w:noProof/>
              </w:rPr>
              <w:t>les alliages d’aluminium qui sont conformes au paragraphe 6.1 de la norme internationale ISO 7866:2012 et</w:t>
            </w:r>
          </w:p>
          <w:p>
            <w:pPr>
              <w:pStyle w:val="Text1"/>
              <w:numPr>
                <w:ilvl w:val="0"/>
                <w:numId w:val="7"/>
              </w:numPr>
              <w:rPr>
                <w:noProof/>
              </w:rPr>
            </w:pPr>
            <w:r>
              <w:rPr>
                <w:noProof/>
              </w:rPr>
              <w:t>les réservoirs entièrement bobinés avec une chemise non métallique.</w:t>
            </w:r>
          </w:p>
          <w:p>
            <w:pPr>
              <w:pStyle w:val="Text1"/>
              <w:ind w:left="0"/>
              <w:rPr>
                <w:noProof/>
              </w:rPr>
            </w:pPr>
            <w:r>
              <w:rPr>
                <w:noProof/>
              </w:rPr>
              <w:t>Pour les autres réservoirs, chemises et composants métalliques, lorsque leur pression de service maximale autorisée &gt; 2,0 MPa, la compatibilité avec l’hydrogène du matériau, y compris celle des soudures, doit être démontrée conformément aux normes internationales ISO 11114-1 et ISO 11114-4, les essais étant réalisés dans des environnements d’hydrogène similaires à ceux attendus en service (par exemple, dans le cas de systèmes à 70 MPa, l’essai de compatibilité avec l’hydrogène est réalisé dans un environnement de 70 MPA à la température de -40° C).</w:t>
            </w:r>
          </w:p>
        </w:tc>
      </w:tr>
      <w:tr>
        <w:tc>
          <w:tcPr>
            <w:tcW w:w="959" w:type="dxa"/>
            <w:shd w:val="clear" w:color="auto" w:fill="auto"/>
          </w:tcPr>
          <w:p>
            <w:pPr>
              <w:rPr>
                <w:noProof/>
              </w:rPr>
            </w:pPr>
            <w:r>
              <w:rPr>
                <w:noProof/>
              </w:rPr>
              <w:t>1.1.7.1.</w:t>
            </w:r>
          </w:p>
        </w:tc>
        <w:tc>
          <w:tcPr>
            <w:tcW w:w="8330" w:type="dxa"/>
            <w:shd w:val="clear" w:color="auto" w:fill="auto"/>
          </w:tcPr>
          <w:p>
            <w:pPr>
              <w:pStyle w:val="NumPar4"/>
              <w:numPr>
                <w:ilvl w:val="3"/>
                <w:numId w:val="0"/>
              </w:numPr>
              <w:ind w:left="850" w:hanging="850"/>
              <w:rPr>
                <w:noProof/>
              </w:rPr>
            </w:pPr>
            <w:r>
              <w:rPr>
                <w:noProof/>
              </w:rPr>
              <w:t>Procédure d’essai pour les réservoirs utilisés dans les véhicules</w:t>
            </w:r>
          </w:p>
          <w:p>
            <w:pPr>
              <w:pStyle w:val="Text1"/>
              <w:ind w:left="0"/>
              <w:rPr>
                <w:noProof/>
              </w:rPr>
            </w:pPr>
            <w:r>
              <w:rPr>
                <w:noProof/>
              </w:rPr>
              <w:t>À la température ambiante appropriée, on exécute un nombre de cycles de pression avec l’hydrogène égal à 3,0 fois le nombre de cycles de remplissage déclaré par le fabricant, soit:</w:t>
            </w:r>
          </w:p>
          <w:p>
            <w:pPr>
              <w:pStyle w:val="ListNumberLevel2"/>
              <w:numPr>
                <w:ilvl w:val="1"/>
                <w:numId w:val="9"/>
              </w:numPr>
              <w:rPr>
                <w:noProof/>
              </w:rPr>
            </w:pPr>
            <w:r>
              <w:rPr>
                <w:noProof/>
              </w:rPr>
              <w:t>sur le réservoir, entre ≤ 2,0 MPa et ≥ 1,25 fois la pression de service nominale, soit</w:t>
            </w:r>
          </w:p>
          <w:p>
            <w:pPr>
              <w:pStyle w:val="ListNumberLevel2"/>
              <w:numPr>
                <w:ilvl w:val="1"/>
                <w:numId w:val="9"/>
              </w:numPr>
              <w:rPr>
                <w:noProof/>
              </w:rPr>
            </w:pPr>
            <w:r>
              <w:rPr>
                <w:noProof/>
              </w:rPr>
              <w:t>sur la chemise, entre les valeurs de pression qui produisent des contraintes de paroi dans la chemise équivalentes à celles qui seraient obtenues à ≤ 2,0 Mpa et à ≥ 1,25 fois la pression de service nominale pour le réservoir.</w:t>
            </w:r>
          </w:p>
          <w:p>
            <w:pPr>
              <w:pStyle w:val="ListNumberLevel2"/>
              <w:numPr>
                <w:ilvl w:val="0"/>
                <w:numId w:val="0"/>
              </w:numPr>
              <w:rPr>
                <w:noProof/>
              </w:rPr>
            </w:pPr>
            <w:r>
              <w:rPr>
                <w:noProof/>
              </w:rPr>
              <w:t>Il ne doit pas se produire de défaillance du réservoir ou de la chemise avant l’achèvement de l’essai.</w:t>
            </w:r>
          </w:p>
        </w:tc>
      </w:tr>
      <w:tr>
        <w:tc>
          <w:tcPr>
            <w:tcW w:w="959" w:type="dxa"/>
            <w:shd w:val="clear" w:color="auto" w:fill="auto"/>
          </w:tcPr>
          <w:p>
            <w:pPr>
              <w:rPr>
                <w:noProof/>
              </w:rPr>
            </w:pPr>
            <w:r>
              <w:rPr>
                <w:noProof/>
              </w:rPr>
              <w:t>1.1.7.2.</w:t>
            </w:r>
          </w:p>
        </w:tc>
        <w:tc>
          <w:tcPr>
            <w:tcW w:w="8330" w:type="dxa"/>
            <w:shd w:val="clear" w:color="auto" w:fill="auto"/>
          </w:tcPr>
          <w:p>
            <w:pPr>
              <w:pStyle w:val="NumPar4"/>
              <w:numPr>
                <w:ilvl w:val="3"/>
                <w:numId w:val="0"/>
              </w:numPr>
              <w:ind w:left="850" w:hanging="850"/>
              <w:rPr>
                <w:noProof/>
              </w:rPr>
            </w:pPr>
            <w:r>
              <w:rPr>
                <w:noProof/>
              </w:rPr>
              <w:t>Procédure d’essai pour les composants utilisés dans les systèmes à hydrogène</w:t>
            </w:r>
          </w:p>
          <w:p>
            <w:pPr>
              <w:pStyle w:val="Text1"/>
              <w:ind w:left="0"/>
              <w:rPr>
                <w:noProof/>
              </w:rPr>
            </w:pPr>
            <w:r>
              <w:rPr>
                <w:noProof/>
              </w:rPr>
              <w:t>Si un composant est exposé à la pression lors du remplissage, il doit être soumis pour l’épreuve à des cycles de remplissage. Si un composant est exposé à la pression lors du fonctionnement du véhicule (par exemple lors de l’actionnement du dispositif de mise en marche du véhicule), il doit être soumis pour l’épreuve à des cycles de fonctionnement.</w:t>
            </w:r>
          </w:p>
          <w:p>
            <w:pPr>
              <w:pStyle w:val="Text1"/>
              <w:ind w:left="0"/>
              <w:rPr>
                <w:noProof/>
              </w:rPr>
            </w:pPr>
            <w:r>
              <w:rPr>
                <w:noProof/>
              </w:rPr>
              <w:t>À la température ambiante appropriée, on soumet les composants à un nombre de cycles de pression avec l’hydrogène égal à 3,0 fois le nombre de cycles de remplissage déclaré par le fabricant ou 2,0 fois le nombre de cycles de fonctionnement déclaré par le fabricant, entre les valeurs de pression qui produisent sur le composant des contraintes équivalentes à celles qui seraient obtenues à ≤ 2,0 Mpa et ≥ 1,25 fois soit la pression de service maximale autorisée, soit la pression de service nominale pour le réservoir, selon le cas.</w:t>
            </w:r>
          </w:p>
          <w:p>
            <w:pPr>
              <w:pStyle w:val="Text1"/>
              <w:ind w:left="0"/>
              <w:rPr>
                <w:noProof/>
              </w:rPr>
            </w:pPr>
            <w:r>
              <w:rPr>
                <w:noProof/>
              </w:rPr>
              <w:t>Il ne doit pas se produire de défaillance du composant avec l’achèvement de l'essai.</w:t>
            </w:r>
          </w:p>
        </w:tc>
      </w:tr>
      <w:tr>
        <w:tc>
          <w:tcPr>
            <w:tcW w:w="959" w:type="dxa"/>
            <w:shd w:val="clear" w:color="auto" w:fill="auto"/>
          </w:tcPr>
          <w:p>
            <w:pPr>
              <w:rPr>
                <w:noProof/>
              </w:rPr>
            </w:pPr>
            <w:r>
              <w:rPr>
                <w:noProof/>
              </w:rPr>
              <w:t>1.1.8.</w:t>
            </w:r>
          </w:p>
        </w:tc>
        <w:tc>
          <w:tcPr>
            <w:tcW w:w="8330" w:type="dxa"/>
            <w:shd w:val="clear" w:color="auto" w:fill="auto"/>
          </w:tcPr>
          <w:p>
            <w:pPr>
              <w:pStyle w:val="NumPar2"/>
              <w:numPr>
                <w:ilvl w:val="1"/>
                <w:numId w:val="0"/>
              </w:numPr>
              <w:rPr>
                <w:noProof/>
              </w:rPr>
            </w:pPr>
            <w:r>
              <w:rPr>
                <w:noProof/>
              </w:rPr>
              <w:t>Pour les besoins des points 1.1.7 à 1.1.7.2, le nombre de cycles de remplissage déclaré par le fabricant est tel qu’il est défini dans le règlement 134 de l’ONU, c'est-à-dire d’au moins 11 000 et le nombre de cycles de fonctionnement déclaré par le fabricant doit être d’au moins 37 500.</w:t>
            </w:r>
          </w:p>
        </w:tc>
      </w:tr>
      <w:tr>
        <w:tc>
          <w:tcPr>
            <w:tcW w:w="959" w:type="dxa"/>
            <w:shd w:val="clear" w:color="auto" w:fill="auto"/>
          </w:tcPr>
          <w:p>
            <w:pPr>
              <w:rPr>
                <w:noProof/>
              </w:rPr>
            </w:pPr>
            <w:r>
              <w:rPr>
                <w:noProof/>
              </w:rPr>
              <w:t>1.1.9.</w:t>
            </w:r>
          </w:p>
        </w:tc>
        <w:tc>
          <w:tcPr>
            <w:tcW w:w="8330" w:type="dxa"/>
            <w:shd w:val="clear" w:color="auto" w:fill="auto"/>
          </w:tcPr>
          <w:p>
            <w:pPr>
              <w:pStyle w:val="NumPar4"/>
              <w:numPr>
                <w:ilvl w:val="3"/>
                <w:numId w:val="0"/>
              </w:numPr>
              <w:rPr>
                <w:noProof/>
              </w:rPr>
            </w:pPr>
            <w:r>
              <w:rPr>
                <w:noProof/>
              </w:rPr>
              <w:t>Le service technique vérifie tous les points ci-dessus et les résultats d’essai sont documentés de manière détaillée dans le rapport d’essai.</w:t>
            </w:r>
          </w:p>
          <w:p>
            <w:pPr>
              <w:pStyle w:val="Text1"/>
              <w:ind w:left="0"/>
              <w:rPr>
                <w:noProof/>
              </w:rPr>
            </w:pPr>
            <w:r>
              <w:rPr>
                <w:noProof/>
              </w:rPr>
              <w:t>Le fabricant conserve les résultats d'essai tout au long de la durée de service prévue de tous les composants, réservoirs et systèmes qui sont mis sur le marché.</w:t>
            </w:r>
          </w:p>
        </w:tc>
      </w:tr>
      <w:tr>
        <w:tc>
          <w:tcPr>
            <w:tcW w:w="959" w:type="dxa"/>
            <w:shd w:val="clear" w:color="auto" w:fill="auto"/>
          </w:tcPr>
          <w:p>
            <w:pPr>
              <w:rPr>
                <w:noProof/>
              </w:rPr>
            </w:pPr>
            <w:r>
              <w:rPr>
                <w:noProof/>
              </w:rPr>
              <w:t>1.2.</w:t>
            </w:r>
          </w:p>
        </w:tc>
        <w:tc>
          <w:tcPr>
            <w:tcW w:w="8330" w:type="dxa"/>
            <w:shd w:val="clear" w:color="auto" w:fill="auto"/>
          </w:tcPr>
          <w:p>
            <w:pPr>
              <w:rPr>
                <w:noProof/>
              </w:rPr>
            </w:pPr>
            <w:r>
              <w:rPr>
                <w:noProof/>
              </w:rPr>
              <w:t>L’embout de remplissage des véhicules fonctionnant à l’hydrogène gazeux comprimé doit être conforme à la norme ISO 17268:2012 (ou version ultérieure) et être compatible avec la spécification H35, H35HF, H70 ou H70HF en fonction de sa pression de service nominale et de l’application spécifique.</w:t>
            </w:r>
          </w:p>
        </w:tc>
      </w:tr>
      <w:tr>
        <w:tc>
          <w:tcPr>
            <w:tcW w:w="959" w:type="dxa"/>
            <w:shd w:val="clear" w:color="auto" w:fill="auto"/>
          </w:tcPr>
          <w:p>
            <w:pPr>
              <w:rPr>
                <w:noProof/>
              </w:rPr>
            </w:pPr>
            <w:r>
              <w:rPr>
                <w:noProof/>
              </w:rPr>
              <w:t>1.3.</w:t>
            </w:r>
          </w:p>
        </w:tc>
        <w:tc>
          <w:tcPr>
            <w:tcW w:w="8330" w:type="dxa"/>
            <w:shd w:val="clear" w:color="auto" w:fill="auto"/>
          </w:tcPr>
          <w:p>
            <w:pPr>
              <w:pStyle w:val="NumPar4"/>
              <w:numPr>
                <w:ilvl w:val="3"/>
                <w:numId w:val="0"/>
              </w:numPr>
              <w:rPr>
                <w:noProof/>
              </w:rPr>
            </w:pPr>
            <w:r>
              <w:rPr>
                <w:noProof/>
              </w:rPr>
              <w:t>Les composants spécifiques installés sur les véhicules fonctionnant à l’hydrogène gazeux comprimé doivent faire l’objet d’une réception par type conformément aux dispositions énoncées dans le règlement 134 de l’ONU. En plus de la marque de réception par type et des informations requises par le règlement 134 de l’ONU pour des composants spécifiques, ceux-ci doivent également être marqués de la pression de service nominale (NWP) et, s’ils sont situés en aval du premier régulateur de pression, de la pression de service maximale autorisée (MAWP).</w:t>
            </w:r>
          </w:p>
        </w:tc>
      </w:tr>
      <w:tr>
        <w:tc>
          <w:tcPr>
            <w:tcW w:w="959" w:type="dxa"/>
            <w:shd w:val="clear" w:color="auto" w:fill="auto"/>
          </w:tcPr>
          <w:p>
            <w:pPr>
              <w:rPr>
                <w:noProof/>
              </w:rPr>
            </w:pPr>
            <w:r>
              <w:rPr>
                <w:noProof/>
              </w:rPr>
              <w:t>1.4.</w:t>
            </w:r>
          </w:p>
        </w:tc>
        <w:tc>
          <w:tcPr>
            <w:tcW w:w="8330" w:type="dxa"/>
            <w:shd w:val="clear" w:color="auto" w:fill="auto"/>
          </w:tcPr>
          <w:p>
            <w:pPr>
              <w:pStyle w:val="NumPar4"/>
              <w:numPr>
                <w:ilvl w:val="3"/>
                <w:numId w:val="0"/>
              </w:numPr>
              <w:rPr>
                <w:noProof/>
              </w:rPr>
            </w:pPr>
            <w:r>
              <w:rPr>
                <w:noProof/>
              </w:rPr>
              <w:t>Les véhicules équipés de systèmes à hydrogène liquéfié doivent être réceptionnés conformément à l'article 39 du règlement (UE) 2018/ … concernant les exemptions applicables aux nouvelles technologies ou nouveaux concepts, sur la base de la section 7 de la partie II du règlement technique mondial nº 13 de l’ONU sur les véhicules à hydrogène à pile à combustible.</w:t>
            </w:r>
          </w:p>
        </w:tc>
      </w:tr>
      <w:tr>
        <w:tc>
          <w:tcPr>
            <w:tcW w:w="959" w:type="dxa"/>
            <w:shd w:val="clear" w:color="auto" w:fill="auto"/>
          </w:tcPr>
          <w:p>
            <w:pPr>
              <w:rPr>
                <w:noProof/>
              </w:rPr>
            </w:pPr>
            <w:r>
              <w:rPr>
                <w:noProof/>
              </w:rPr>
              <w:t>1.4.1.</w:t>
            </w:r>
          </w:p>
        </w:tc>
        <w:tc>
          <w:tcPr>
            <w:tcW w:w="8330" w:type="dxa"/>
            <w:shd w:val="clear" w:color="auto" w:fill="auto"/>
          </w:tcPr>
          <w:p>
            <w:pPr>
              <w:pStyle w:val="NumPar4"/>
              <w:numPr>
                <w:ilvl w:val="3"/>
                <w:numId w:val="0"/>
              </w:numPr>
              <w:rPr>
                <w:noProof/>
              </w:rPr>
            </w:pPr>
            <w:r>
              <w:rPr>
                <w:noProof/>
              </w:rPr>
              <w:t>Les matériaux utilisés dans les composants réservoirs et systèmes à hydrogène doivent être compatibles avec l’hydrogène lorsqu’ils sont en contact avec celui-ci à l’état liquide et/ou gazeux. Cette compatibilité doit être démontrée conformément aux normes ISO 11114-1 et ISO 11114-4, dans la mesure où cela est pertinent et possible, les essais étant réalisés dans des environnements d’hydrogène similaires à ceux attendus en service. Le service technique vérifie tous ces points et les résultats d’essai sont documentés de manière détaillée dans le rapport d’essai.</w:t>
            </w:r>
          </w:p>
        </w:tc>
      </w:tr>
    </w:tbl>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VI</w:t>
      </w:r>
    </w:p>
    <w:p>
      <w:pPr>
        <w:rPr>
          <w:noProof/>
        </w:rPr>
      </w:pPr>
    </w:p>
    <w:p>
      <w:pPr>
        <w:pStyle w:val="Annexetitreacte"/>
        <w:rPr>
          <w:noProof/>
          <w:u w:val="none"/>
        </w:rPr>
      </w:pPr>
      <w:r>
        <w:rPr>
          <w:noProof/>
          <w:u w:val="none"/>
        </w:rPr>
        <w:t xml:space="preserve">Dispositions transitoires visées à l'article 13, paragraphe 3 </w:t>
      </w:r>
    </w:p>
    <w:p>
      <w:pPr>
        <w:pStyle w:val="Annexetitreacte"/>
        <w:jc w:val="both"/>
        <w:rPr>
          <w:noProof/>
        </w:rPr>
      </w:pPr>
    </w:p>
    <w:tbl>
      <w:tblPr>
        <w:tblW w:w="935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5047"/>
        <w:gridCol w:w="2976"/>
      </w:tblGrid>
      <w:tr>
        <w:tc>
          <w:tcPr>
            <w:tcW w:w="1333" w:type="dxa"/>
            <w:tcMar>
              <w:left w:w="57" w:type="dxa"/>
              <w:right w:w="57" w:type="dxa"/>
            </w:tcMar>
          </w:tcPr>
          <w:p>
            <w:pPr>
              <w:jc w:val="center"/>
              <w:rPr>
                <w:b/>
                <w:noProof/>
              </w:rPr>
            </w:pPr>
            <w:r>
              <w:rPr>
                <w:b/>
                <w:noProof/>
              </w:rPr>
              <w:t>Règlement de l’ONU</w:t>
            </w:r>
          </w:p>
        </w:tc>
        <w:tc>
          <w:tcPr>
            <w:tcW w:w="5047" w:type="dxa"/>
            <w:tcMar>
              <w:left w:w="57" w:type="dxa"/>
              <w:right w:w="57" w:type="dxa"/>
            </w:tcMar>
          </w:tcPr>
          <w:p>
            <w:pPr>
              <w:jc w:val="center"/>
              <w:rPr>
                <w:b/>
                <w:noProof/>
              </w:rPr>
            </w:pPr>
            <w:r>
              <w:rPr>
                <w:b/>
                <w:noProof/>
              </w:rPr>
              <w:t xml:space="preserve">Prescriptions spécifiques </w:t>
            </w:r>
          </w:p>
        </w:tc>
        <w:tc>
          <w:tcPr>
            <w:tcW w:w="2976" w:type="dxa"/>
            <w:tcMar>
              <w:left w:w="57" w:type="dxa"/>
              <w:right w:w="57" w:type="dxa"/>
            </w:tcMar>
          </w:tcPr>
          <w:p>
            <w:pPr>
              <w:jc w:val="center"/>
              <w:rPr>
                <w:b/>
                <w:noProof/>
              </w:rPr>
            </w:pPr>
            <w:r>
              <w:rPr>
                <w:b/>
                <w:noProof/>
              </w:rPr>
              <w:t>Date finale pour l’immatriculation de véhicules non conformes ainsi que pour la vente ou la mise en service de composants non conformes (</w:t>
            </w:r>
            <w:r>
              <w:rPr>
                <w:b/>
                <w:noProof/>
                <w:vertAlign w:val="superscript"/>
              </w:rPr>
              <w:t>1</w:t>
            </w:r>
            <w:r>
              <w:rPr>
                <w:b/>
                <w:noProof/>
              </w:rPr>
              <w:t>)</w:t>
            </w:r>
          </w:p>
        </w:tc>
      </w:tr>
      <w:tr>
        <w:trPr>
          <w:trHeight w:val="437"/>
        </w:trPr>
        <w:tc>
          <w:tcPr>
            <w:tcW w:w="1333" w:type="dxa"/>
            <w:vMerge w:val="restart"/>
            <w:tcMar>
              <w:left w:w="57" w:type="dxa"/>
              <w:right w:w="57" w:type="dxa"/>
            </w:tcMar>
          </w:tcPr>
          <w:p>
            <w:pPr>
              <w:jc w:val="center"/>
              <w:rPr>
                <w:b/>
                <w:bCs/>
                <w:noProof/>
              </w:rPr>
            </w:pPr>
            <w:r>
              <w:rPr>
                <w:b/>
                <w:noProof/>
              </w:rPr>
              <w:t>29</w:t>
            </w:r>
          </w:p>
        </w:tc>
        <w:tc>
          <w:tcPr>
            <w:tcW w:w="5047" w:type="dxa"/>
            <w:tcMar>
              <w:left w:w="57" w:type="dxa"/>
              <w:right w:w="57" w:type="dxa"/>
            </w:tcMar>
          </w:tcPr>
          <w:p>
            <w:pPr>
              <w:rPr>
                <w:noProof/>
              </w:rPr>
            </w:pPr>
            <w:r>
              <w:rPr>
                <w:noProof/>
              </w:rPr>
              <w:t>Résistance de la cabine des véhicules utilitaires</w:t>
            </w:r>
          </w:p>
        </w:tc>
        <w:tc>
          <w:tcPr>
            <w:tcW w:w="2976" w:type="dxa"/>
            <w:vMerge w:val="restart"/>
            <w:tcMar>
              <w:left w:w="57" w:type="dxa"/>
              <w:right w:w="57" w:type="dxa"/>
            </w:tcMar>
          </w:tcPr>
          <w:p>
            <w:pPr>
              <w:jc w:val="center"/>
              <w:rPr>
                <w:b/>
                <w:bCs/>
                <w:noProof/>
              </w:rPr>
            </w:pPr>
            <w:r>
              <w:rPr>
                <w:noProof/>
              </w:rPr>
              <w:t>29 janvier 2021</w:t>
            </w:r>
          </w:p>
        </w:tc>
      </w:tr>
      <w:tr>
        <w:trPr>
          <w:trHeight w:val="437"/>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Les véhicules de catégorie N doivent être conformes au règlement.</w:t>
            </w:r>
          </w:p>
        </w:tc>
        <w:tc>
          <w:tcPr>
            <w:tcW w:w="2976" w:type="dxa"/>
            <w:vMerge/>
            <w:tcMar>
              <w:left w:w="57" w:type="dxa"/>
              <w:right w:w="57" w:type="dxa"/>
            </w:tcMar>
          </w:tcPr>
          <w:p>
            <w:pPr>
              <w:jc w:val="center"/>
              <w:rPr>
                <w:bCs/>
                <w:noProof/>
              </w:rPr>
            </w:pPr>
          </w:p>
        </w:tc>
      </w:tr>
      <w:tr>
        <w:trPr>
          <w:trHeight w:val="543"/>
        </w:trPr>
        <w:tc>
          <w:tcPr>
            <w:tcW w:w="1333" w:type="dxa"/>
            <w:vMerge w:val="restart"/>
            <w:tcMar>
              <w:left w:w="57" w:type="dxa"/>
              <w:right w:w="57" w:type="dxa"/>
            </w:tcMar>
          </w:tcPr>
          <w:p>
            <w:pPr>
              <w:jc w:val="center"/>
              <w:rPr>
                <w:b/>
                <w:bCs/>
                <w:noProof/>
              </w:rPr>
            </w:pPr>
            <w:r>
              <w:rPr>
                <w:b/>
                <w:noProof/>
              </w:rPr>
              <w:t>142</w:t>
            </w:r>
          </w:p>
        </w:tc>
        <w:tc>
          <w:tcPr>
            <w:tcW w:w="5047" w:type="dxa"/>
            <w:tcMar>
              <w:left w:w="57" w:type="dxa"/>
              <w:right w:w="57" w:type="dxa"/>
            </w:tcMar>
          </w:tcPr>
          <w:p>
            <w:pPr>
              <w:rPr>
                <w:noProof/>
              </w:rPr>
            </w:pPr>
            <w:r>
              <w:rPr>
                <w:noProof/>
              </w:rPr>
              <w:t>Montage des pneumatiques</w:t>
            </w:r>
          </w:p>
        </w:tc>
        <w:tc>
          <w:tcPr>
            <w:tcW w:w="2976" w:type="dxa"/>
            <w:vMerge w:val="restart"/>
            <w:tcMar>
              <w:left w:w="57" w:type="dxa"/>
              <w:right w:w="57" w:type="dxa"/>
            </w:tcMar>
          </w:tcPr>
          <w:p>
            <w:pPr>
              <w:jc w:val="center"/>
              <w:rPr>
                <w:noProof/>
              </w:rPr>
            </w:pPr>
            <w:r>
              <w:rPr>
                <w:noProof/>
              </w:rPr>
              <w:t>31 octobre 2018</w:t>
            </w:r>
          </w:p>
        </w:tc>
      </w:tr>
      <w:tr>
        <w:trPr>
          <w:trHeight w:val="1342"/>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Les véhicules des catégories O</w:t>
            </w:r>
            <w:r>
              <w:rPr>
                <w:noProof/>
                <w:vertAlign w:val="subscript"/>
              </w:rPr>
              <w:t>1</w:t>
            </w:r>
            <w:r>
              <w:rPr>
                <w:noProof/>
              </w:rPr>
              <w:t>, O</w:t>
            </w:r>
            <w:r>
              <w:rPr>
                <w:noProof/>
                <w:vertAlign w:val="subscript"/>
              </w:rPr>
              <w:t>2</w:t>
            </w:r>
            <w:r>
              <w:rPr>
                <w:noProof/>
              </w:rPr>
              <w:t>,</w:t>
            </w:r>
            <w:r>
              <w:rPr>
                <w:noProof/>
                <w:vertAlign w:val="subscript"/>
              </w:rPr>
              <w:t xml:space="preserve"> </w:t>
            </w:r>
            <w:r>
              <w:rPr>
                <w:noProof/>
              </w:rPr>
              <w:t>O</w:t>
            </w:r>
            <w:r>
              <w:rPr>
                <w:noProof/>
                <w:vertAlign w:val="subscript"/>
              </w:rPr>
              <w:t>3</w:t>
            </w:r>
            <w:r>
              <w:rPr>
                <w:noProof/>
              </w:rPr>
              <w:t xml:space="preserve"> et O</w:t>
            </w:r>
            <w:r>
              <w:rPr>
                <w:noProof/>
                <w:vertAlign w:val="subscript"/>
              </w:rPr>
              <w:t>4</w:t>
            </w:r>
            <w:r>
              <w:rPr>
                <w:noProof/>
              </w:rPr>
              <w:t xml:space="preserve"> doivent avoir des pneumatiques de classe C1 ou C2 conformes aux prescriptions en matière de résistance au roulement de la phase 2</w:t>
            </w:r>
          </w:p>
        </w:tc>
        <w:tc>
          <w:tcPr>
            <w:tcW w:w="2976" w:type="dxa"/>
            <w:vMerge/>
            <w:tcMar>
              <w:left w:w="57" w:type="dxa"/>
              <w:right w:w="57" w:type="dxa"/>
            </w:tcMar>
          </w:tcPr>
          <w:p>
            <w:pPr>
              <w:jc w:val="center"/>
              <w:rPr>
                <w:noProof/>
              </w:rPr>
            </w:pPr>
          </w:p>
        </w:tc>
      </w:tr>
      <w:tr>
        <w:trPr>
          <w:trHeight w:val="493"/>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Montage des pneumatiques</w:t>
            </w:r>
          </w:p>
        </w:tc>
        <w:tc>
          <w:tcPr>
            <w:tcW w:w="2976" w:type="dxa"/>
            <w:vMerge w:val="restart"/>
            <w:tcMar>
              <w:left w:w="57" w:type="dxa"/>
              <w:right w:w="57" w:type="dxa"/>
            </w:tcMar>
          </w:tcPr>
          <w:p>
            <w:pPr>
              <w:jc w:val="center"/>
              <w:rPr>
                <w:noProof/>
              </w:rPr>
            </w:pPr>
            <w:r>
              <w:rPr>
                <w:noProof/>
              </w:rPr>
              <w:t>31 octobre 2020</w:t>
            </w:r>
          </w:p>
        </w:tc>
      </w:tr>
      <w:tr>
        <w:trPr>
          <w:trHeight w:val="94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Les véhicules des catégories O</w:t>
            </w:r>
            <w:r>
              <w:rPr>
                <w:noProof/>
                <w:vertAlign w:val="subscript"/>
              </w:rPr>
              <w:t>3</w:t>
            </w:r>
            <w:r>
              <w:rPr>
                <w:noProof/>
              </w:rPr>
              <w:t xml:space="preserve"> et O</w:t>
            </w:r>
            <w:r>
              <w:rPr>
                <w:noProof/>
                <w:vertAlign w:val="subscript"/>
              </w:rPr>
              <w:t>4</w:t>
            </w:r>
            <w:r>
              <w:rPr>
                <w:noProof/>
              </w:rPr>
              <w:t xml:space="preserve"> doivent avoir des pneumatiques de classe C3 conformes aux prescriptions en matière de résistance au roulement de la phase 2.</w:t>
            </w:r>
          </w:p>
        </w:tc>
        <w:tc>
          <w:tcPr>
            <w:tcW w:w="2976" w:type="dxa"/>
            <w:vMerge/>
            <w:tcMar>
              <w:left w:w="57" w:type="dxa"/>
              <w:right w:w="57" w:type="dxa"/>
            </w:tcMar>
          </w:tcPr>
          <w:p>
            <w:pPr>
              <w:jc w:val="center"/>
              <w:rPr>
                <w:noProof/>
              </w:rPr>
            </w:pPr>
          </w:p>
        </w:tc>
      </w:tr>
      <w:tr>
        <w:tc>
          <w:tcPr>
            <w:tcW w:w="1333" w:type="dxa"/>
            <w:vMerge w:val="restart"/>
            <w:tcMar>
              <w:left w:w="57" w:type="dxa"/>
              <w:right w:w="57" w:type="dxa"/>
            </w:tcMar>
          </w:tcPr>
          <w:p>
            <w:pPr>
              <w:jc w:val="center"/>
              <w:rPr>
                <w:b/>
                <w:bCs/>
                <w:noProof/>
              </w:rPr>
            </w:pPr>
            <w:r>
              <w:rPr>
                <w:b/>
                <w:noProof/>
              </w:rPr>
              <w:t>117</w:t>
            </w:r>
          </w:p>
          <w:p>
            <w:pPr>
              <w:rPr>
                <w:noProof/>
              </w:rPr>
            </w:pPr>
          </w:p>
          <w:p>
            <w:pPr>
              <w:jc w:val="center"/>
              <w:rPr>
                <w:noProof/>
              </w:rPr>
            </w:pPr>
          </w:p>
        </w:tc>
        <w:tc>
          <w:tcPr>
            <w:tcW w:w="5047" w:type="dxa"/>
            <w:tcMar>
              <w:left w:w="57" w:type="dxa"/>
              <w:right w:w="57" w:type="dxa"/>
            </w:tcMar>
          </w:tcPr>
          <w:p>
            <w:pPr>
              <w:rPr>
                <w:noProof/>
              </w:rPr>
            </w:pPr>
            <w:r>
              <w:rPr>
                <w:noProof/>
              </w:rPr>
              <w:t>Pneumatiques en ce qui concerne les émissions sonores au roulement, l’adhésion sur surfaces humides et la résistance au roulement</w:t>
            </w:r>
          </w:p>
        </w:tc>
        <w:tc>
          <w:tcPr>
            <w:tcW w:w="2976" w:type="dxa"/>
            <w:vMerge w:val="restart"/>
            <w:tcMar>
              <w:left w:w="57" w:type="dxa"/>
              <w:right w:w="57" w:type="dxa"/>
            </w:tcMar>
          </w:tcPr>
          <w:p>
            <w:pPr>
              <w:jc w:val="center"/>
              <w:rPr>
                <w:noProof/>
              </w:rPr>
            </w:pPr>
            <w:r>
              <w:rPr>
                <w:noProof/>
              </w:rPr>
              <w:t>30 avril 2019</w:t>
            </w:r>
          </w:p>
        </w:tc>
      </w:tr>
      <w:t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Les pneumatiques des classes C1, C2 et C3 doivent être conformes aux prescriptions en matière d’émissions sonores au roulement de la phase 2</w:t>
            </w:r>
          </w:p>
        </w:tc>
        <w:tc>
          <w:tcPr>
            <w:tcW w:w="2976" w:type="dxa"/>
            <w:vMerge/>
            <w:tcMar>
              <w:left w:w="57" w:type="dxa"/>
              <w:right w:w="57" w:type="dxa"/>
            </w:tcMar>
          </w:tcPr>
          <w:p>
            <w:pPr>
              <w:jc w:val="center"/>
              <w:rPr>
                <w:noProof/>
              </w:rPr>
            </w:pP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Pneumatiques en ce qui concerne les émissions sonores au roulement, l’adhésion sur surfaces humides et la résistance au roulement</w:t>
            </w:r>
          </w:p>
        </w:tc>
        <w:tc>
          <w:tcPr>
            <w:tcW w:w="2976" w:type="dxa"/>
            <w:vMerge w:val="restart"/>
            <w:tcMar>
              <w:left w:w="57" w:type="dxa"/>
              <w:right w:w="57" w:type="dxa"/>
            </w:tcMar>
          </w:tcPr>
          <w:p>
            <w:pPr>
              <w:jc w:val="center"/>
              <w:rPr>
                <w:noProof/>
              </w:rPr>
            </w:pPr>
            <w:r>
              <w:rPr>
                <w:noProof/>
              </w:rPr>
              <w:t>30 avril 2019</w:t>
            </w: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Les pneumatiques de la classe C3 doivent être conformes aux prescriptions relatives à la résistance au roulement de la phase 1.</w:t>
            </w:r>
          </w:p>
        </w:tc>
        <w:tc>
          <w:tcPr>
            <w:tcW w:w="2976" w:type="dxa"/>
            <w:vMerge/>
            <w:tcMar>
              <w:left w:w="57" w:type="dxa"/>
              <w:right w:w="57" w:type="dxa"/>
            </w:tcMar>
          </w:tcPr>
          <w:p>
            <w:pPr>
              <w:jc w:val="center"/>
              <w:rPr>
                <w:noProof/>
              </w:rPr>
            </w:pP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Pneumatiques en ce qui concerne les émissions sonores au roulement, l’adhésion sur surfaces humides et la résistance au roulement</w:t>
            </w:r>
          </w:p>
        </w:tc>
        <w:tc>
          <w:tcPr>
            <w:tcW w:w="2976" w:type="dxa"/>
            <w:vMerge w:val="restart"/>
            <w:tcMar>
              <w:left w:w="57" w:type="dxa"/>
              <w:right w:w="57" w:type="dxa"/>
            </w:tcMar>
          </w:tcPr>
          <w:p>
            <w:pPr>
              <w:jc w:val="center"/>
              <w:rPr>
                <w:noProof/>
              </w:rPr>
            </w:pPr>
            <w:r>
              <w:rPr>
                <w:noProof/>
              </w:rPr>
              <w:t>30 avril 2021</w:t>
            </w: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Les pneumatiques des classes C1 et C2 doivent être conformes aux prescriptions relatives à la résistance au roulement de la phase 2.</w:t>
            </w:r>
          </w:p>
        </w:tc>
        <w:tc>
          <w:tcPr>
            <w:tcW w:w="2976" w:type="dxa"/>
            <w:vMerge/>
            <w:tcMar>
              <w:left w:w="57" w:type="dxa"/>
              <w:right w:w="57" w:type="dxa"/>
            </w:tcMar>
          </w:tcPr>
          <w:p>
            <w:pPr>
              <w:jc w:val="center"/>
              <w:rPr>
                <w:noProof/>
              </w:rPr>
            </w:pP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Pneumatiques en ce qui concerne les émissions sonores au roulement, l’adhésion sur surfaces humides et la résistance au roulement</w:t>
            </w:r>
          </w:p>
        </w:tc>
        <w:tc>
          <w:tcPr>
            <w:tcW w:w="2976" w:type="dxa"/>
            <w:vMerge w:val="restart"/>
            <w:tcMar>
              <w:left w:w="57" w:type="dxa"/>
              <w:right w:w="57" w:type="dxa"/>
            </w:tcMar>
          </w:tcPr>
          <w:p>
            <w:pPr>
              <w:jc w:val="center"/>
              <w:rPr>
                <w:noProof/>
              </w:rPr>
            </w:pPr>
            <w:r>
              <w:rPr>
                <w:noProof/>
              </w:rPr>
              <w:t>30 avril 2023</w:t>
            </w: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Les pneumatiques de la classe C3 doivent être conformes aux prescriptions relatives à la résistance au roulement de la phase 2.</w:t>
            </w:r>
          </w:p>
        </w:tc>
        <w:tc>
          <w:tcPr>
            <w:tcW w:w="2976" w:type="dxa"/>
            <w:vMerge/>
            <w:tcMar>
              <w:left w:w="57" w:type="dxa"/>
              <w:right w:w="57" w:type="dxa"/>
            </w:tcMar>
          </w:tcPr>
          <w:p>
            <w:pPr>
              <w:jc w:val="center"/>
              <w:rPr>
                <w:noProof/>
              </w:rPr>
            </w:pPr>
          </w:p>
        </w:tc>
      </w:tr>
      <w:tr>
        <w:trPr>
          <w:trHeight w:val="533"/>
        </w:trPr>
        <w:tc>
          <w:tcPr>
            <w:tcW w:w="1333" w:type="dxa"/>
            <w:vMerge w:val="restart"/>
            <w:tcMar>
              <w:left w:w="57" w:type="dxa"/>
              <w:right w:w="57" w:type="dxa"/>
            </w:tcMar>
          </w:tcPr>
          <w:p>
            <w:pPr>
              <w:jc w:val="center"/>
              <w:rPr>
                <w:b/>
                <w:bCs/>
                <w:noProof/>
              </w:rPr>
            </w:pPr>
            <w:r>
              <w:rPr>
                <w:b/>
                <w:noProof/>
              </w:rPr>
              <w:t>127</w:t>
            </w:r>
          </w:p>
        </w:tc>
        <w:tc>
          <w:tcPr>
            <w:tcW w:w="5047" w:type="dxa"/>
            <w:tcMar>
              <w:left w:w="57" w:type="dxa"/>
              <w:right w:w="57" w:type="dxa"/>
            </w:tcMar>
          </w:tcPr>
          <w:p>
            <w:pPr>
              <w:rPr>
                <w:noProof/>
              </w:rPr>
            </w:pPr>
            <w:r>
              <w:rPr>
                <w:noProof/>
              </w:rPr>
              <w:t>Performance en matière de sécurité des piétons</w:t>
            </w:r>
          </w:p>
        </w:tc>
        <w:tc>
          <w:tcPr>
            <w:tcW w:w="2976" w:type="dxa"/>
            <w:vMerge w:val="restart"/>
            <w:tcMar>
              <w:left w:w="57" w:type="dxa"/>
              <w:right w:w="57" w:type="dxa"/>
            </w:tcMar>
          </w:tcPr>
          <w:p>
            <w:pPr>
              <w:jc w:val="center"/>
              <w:rPr>
                <w:noProof/>
              </w:rPr>
            </w:pPr>
            <w:r>
              <w:rPr>
                <w:noProof/>
              </w:rPr>
              <w:t>23 août 2019</w:t>
            </w:r>
          </w:p>
        </w:tc>
      </w:tr>
      <w:tr>
        <w:trPr>
          <w:trHeight w:val="532"/>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Véhicules de catégorie M</w:t>
            </w:r>
            <w:r>
              <w:rPr>
                <w:noProof/>
                <w:vertAlign w:val="subscript"/>
              </w:rPr>
              <w:t>1</w:t>
            </w:r>
            <w:r>
              <w:rPr>
                <w:noProof/>
              </w:rPr>
              <w:t xml:space="preserve"> dont la masse maximale &gt; 2 500 kg et véhicules de catégorie N</w:t>
            </w:r>
            <w:r>
              <w:rPr>
                <w:noProof/>
                <w:vertAlign w:val="subscript"/>
              </w:rPr>
              <w:t>1</w:t>
            </w:r>
          </w:p>
        </w:tc>
        <w:tc>
          <w:tcPr>
            <w:tcW w:w="2976" w:type="dxa"/>
            <w:vMerge/>
            <w:tcMar>
              <w:left w:w="57" w:type="dxa"/>
              <w:right w:w="57" w:type="dxa"/>
            </w:tcMar>
          </w:tcPr>
          <w:p>
            <w:pPr>
              <w:jc w:val="center"/>
              <w:rPr>
                <w:noProof/>
              </w:rPr>
            </w:pPr>
          </w:p>
        </w:tc>
      </w:tr>
    </w:tbl>
    <w:p>
      <w:pPr>
        <w:jc w:val="center"/>
        <w:rPr>
          <w:noProof/>
        </w:rPr>
      </w:pPr>
      <w:r>
        <w:rPr>
          <w:noProof/>
        </w:rPr>
        <w:t>_______________________</w:t>
      </w:r>
    </w:p>
    <w:p>
      <w:pPr>
        <w:jc w:val="center"/>
        <w:rPr>
          <w:i/>
          <w:noProof/>
        </w:rPr>
      </w:pPr>
      <w:r>
        <w:rPr>
          <w:i/>
          <w:noProof/>
        </w:rPr>
        <w:t>Notes relatives au tableau</w:t>
      </w:r>
    </w:p>
    <w:tbl>
      <w:tblPr>
        <w:tblW w:w="0" w:type="auto"/>
        <w:tblLook w:val="01E0" w:firstRow="1" w:lastRow="1" w:firstColumn="1" w:lastColumn="1" w:noHBand="0" w:noVBand="0"/>
      </w:tblPr>
      <w:tblGrid>
        <w:gridCol w:w="588"/>
        <w:gridCol w:w="8625"/>
      </w:tblGrid>
      <w:tr>
        <w:tc>
          <w:tcPr>
            <w:tcW w:w="588" w:type="dxa"/>
            <w:shd w:val="clear" w:color="auto" w:fill="auto"/>
          </w:tcPr>
          <w:p>
            <w:pPr>
              <w:rPr>
                <w:noProof/>
              </w:rPr>
            </w:pPr>
            <w:r>
              <w:rPr>
                <w:noProof/>
                <w:vertAlign w:val="superscript"/>
              </w:rPr>
              <w:t>1</w:t>
            </w:r>
            <w:r>
              <w:rPr>
                <w:noProof/>
              </w:rPr>
              <w:t>)</w:t>
            </w:r>
          </w:p>
        </w:tc>
        <w:tc>
          <w:tcPr>
            <w:tcW w:w="8625" w:type="dxa"/>
            <w:shd w:val="clear" w:color="auto" w:fill="auto"/>
          </w:tcPr>
          <w:p>
            <w:pPr>
              <w:rPr>
                <w:b/>
                <w:noProof/>
              </w:rPr>
            </w:pPr>
            <w:r>
              <w:rPr>
                <w:noProof/>
              </w:rPr>
              <w:t xml:space="preserve">Les dates sont celles indiqués dans le règlement (CE) nº 661/2009 en ce qui concerne les types de véhicule, système et composant satisfaisant aux prescriptions dans sa version applicable le </w:t>
            </w:r>
            <w:r>
              <w:rPr>
                <w:i/>
                <w:noProof/>
              </w:rPr>
              <w:t>[OP: prière d’insérer la date précédant immédiatement la date d’application du présent règlement]</w:t>
            </w:r>
            <w:r>
              <w:rPr>
                <w:noProof/>
              </w:rPr>
              <w:t xml:space="preserve"> et dans le règlement (CE) nº 78/2009 en ce qui concerne les types de véhicule et de système satisfaisant aux prescriptions dans sa version applicable le </w:t>
            </w:r>
            <w:r>
              <w:rPr>
                <w:i/>
                <w:noProof/>
              </w:rPr>
              <w:t>[OP: prière d’insérer la date précédant immédiatement la date d’application du présent règlement</w:t>
            </w:r>
            <w:r>
              <w:rPr>
                <w:noProof/>
              </w:rPr>
              <w:t>].</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footnote>
  <w:footnote w:id="2">
    <w:p>
      <w:pPr>
        <w:pStyle w:val="FootnoteText"/>
        <w:rPr>
          <w:lang w:val="fr-BE"/>
        </w:rPr>
      </w:pPr>
      <w:r>
        <w:rPr>
          <w:rStyle w:val="FootnoteReference"/>
          <w:lang w:val="fr-BE"/>
        </w:rPr>
        <w:t>+</w:t>
      </w:r>
      <w:r>
        <w:rPr>
          <w:lang w:val="fr-BE"/>
        </w:rPr>
        <w:t xml:space="preserve"> </w:t>
      </w:r>
      <w:r>
        <w:rPr>
          <w:lang w:val="fr-BE"/>
        </w:rPr>
        <w:tab/>
      </w:r>
      <w:r>
        <w:rPr>
          <w:i/>
          <w:lang w:val="fr-BE"/>
        </w:rPr>
        <w:t>[OP: Prière d’insérer les détails correspondant dans le texte et dans la note de bas de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B06F3E"/>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D2C4467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4E7C5C9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8196D9A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DF52D32A"/>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3D2833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Number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63C4CF8"/>
    <w:multiLevelType w:val="multilevel"/>
    <w:tmpl w:val="5A6A2276"/>
    <w:lvl w:ilvl="0">
      <w:start w:val="1"/>
      <w:numFmt w:val="decimal"/>
      <w:lvlRestart w:val="0"/>
      <w:pStyle w:val="pj"/>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28364B0"/>
    <w:multiLevelType w:val="singleLevel"/>
    <w:tmpl w:val="D084FB54"/>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9">
    <w:nsid w:val="13E4330B"/>
    <w:multiLevelType w:val="multilevel"/>
    <w:tmpl w:val="875C441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02711F"/>
    <w:multiLevelType w:val="hybridMultilevel"/>
    <w:tmpl w:val="F5C2C91E"/>
    <w:lvl w:ilvl="0" w:tplc="EC5ABE0A">
      <w:start w:val="4"/>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2DB37182"/>
    <w:multiLevelType w:val="singleLevel"/>
    <w:tmpl w:val="F612DBDC"/>
    <w:lvl w:ilvl="0">
      <w:start w:val="1"/>
      <w:numFmt w:val="lowerRoman"/>
      <w:pStyle w:val="Titre1"/>
      <w:lvlText w:val="(%1)"/>
      <w:lvlJc w:val="left"/>
      <w:pPr>
        <w:tabs>
          <w:tab w:val="num" w:pos="720"/>
        </w:tabs>
        <w:ind w:left="567" w:hanging="567"/>
      </w:pPr>
      <w:rPr>
        <w:rFonts w:cs="Times New Roman"/>
      </w:rPr>
    </w:lvl>
  </w:abstractNum>
  <w:abstractNum w:abstractNumId="17">
    <w:nsid w:val="2F191641"/>
    <w:multiLevelType w:val="multilevel"/>
    <w:tmpl w:val="B67C4E92"/>
    <w:name w:val="List Bullet 2"/>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1CD398A"/>
    <w:multiLevelType w:val="singleLevel"/>
    <w:tmpl w:val="0276BF00"/>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9">
    <w:nsid w:val="394F5925"/>
    <w:multiLevelType w:val="singleLevel"/>
    <w:tmpl w:val="395C08BE"/>
    <w:lvl w:ilvl="0">
      <w:start w:val="1"/>
      <w:numFmt w:val="decimal"/>
      <w:pStyle w:val="Par-numbera"/>
      <w:lvlText w:val="(%1)"/>
      <w:lvlJc w:val="left"/>
      <w:pPr>
        <w:tabs>
          <w:tab w:val="num" w:pos="567"/>
        </w:tabs>
        <w:ind w:left="567" w:hanging="567"/>
      </w:pPr>
      <w:rPr>
        <w:rFonts w:cs="Times New Roman"/>
      </w:rPr>
    </w:lvl>
  </w:abstractNum>
  <w:abstractNum w:abstractNumId="20">
    <w:nsid w:val="398C015E"/>
    <w:multiLevelType w:val="multilevel"/>
    <w:tmpl w:val="027A66BA"/>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DD66C9D"/>
    <w:multiLevelType w:val="singleLevel"/>
    <w:tmpl w:val="E5905DC2"/>
    <w:lvl w:ilvl="0">
      <w:start w:val="1"/>
      <w:numFmt w:val="lowerLetter"/>
      <w:pStyle w:val="Titre2"/>
      <w:lvlText w:val="(%1)"/>
      <w:lvlJc w:val="left"/>
      <w:pPr>
        <w:tabs>
          <w:tab w:val="num" w:pos="567"/>
        </w:tabs>
        <w:ind w:left="567" w:hanging="567"/>
      </w:pPr>
      <w:rPr>
        <w:rFonts w:cs="Times New Roman"/>
      </w:rPr>
    </w:lvl>
  </w:abstractNum>
  <w:abstractNum w:abstractNumId="22">
    <w:nsid w:val="3FC80B1B"/>
    <w:multiLevelType w:val="singleLevel"/>
    <w:tmpl w:val="C11CD6E2"/>
    <w:lvl w:ilvl="0">
      <w:start w:val="1"/>
      <w:numFmt w:val="decimal"/>
      <w:pStyle w:val="Par-equal"/>
      <w:lvlText w:val="%1)"/>
      <w:lvlJc w:val="left"/>
      <w:pPr>
        <w:tabs>
          <w:tab w:val="num" w:pos="567"/>
        </w:tabs>
        <w:ind w:left="567" w:hanging="567"/>
      </w:pPr>
      <w:rPr>
        <w:rFonts w:cs="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numberA0"/>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456B4AB1"/>
    <w:multiLevelType w:val="multilevel"/>
    <w:tmpl w:val="783E5A22"/>
    <w:name w:val="List Number__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89D74ED"/>
    <w:multiLevelType w:val="singleLevel"/>
    <w:tmpl w:val="C2E2F936"/>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nsid w:val="542A1204"/>
    <w:multiLevelType w:val="multilevel"/>
    <w:tmpl w:val="BC1E840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85B58CE"/>
    <w:multiLevelType w:val="hybridMultilevel"/>
    <w:tmpl w:val="2236B498"/>
    <w:lvl w:ilvl="0" w:tplc="EC5ABE0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A25106"/>
    <w:multiLevelType w:val="hybridMultilevel"/>
    <w:tmpl w:val="1884D376"/>
    <w:lvl w:ilvl="0" w:tplc="EC5ABE0A">
      <w:start w:val="4"/>
      <w:numFmt w:val="bullet"/>
      <w:lvlText w:val="-"/>
      <w:lvlJc w:val="left"/>
      <w:pPr>
        <w:ind w:left="784" w:hanging="360"/>
      </w:pPr>
      <w:rPr>
        <w:rFonts w:ascii="Times New Roman" w:eastAsiaTheme="minorHAnsi" w:hAnsi="Times New Roman" w:cs="Times New Roman"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9441365"/>
    <w:multiLevelType w:val="multilevel"/>
    <w:tmpl w:val="6780FAA4"/>
    <w:lvl w:ilvl="0">
      <w:start w:val="1"/>
      <w:numFmt w:val="decimal"/>
      <w:lvlRestart w:val="0"/>
      <w:lvlText w:val="(%1)"/>
      <w:lvlJc w:val="left"/>
      <w:pPr>
        <w:tabs>
          <w:tab w:val="num" w:pos="709"/>
        </w:tabs>
        <w:ind w:left="709" w:hanging="709"/>
      </w:pPr>
    </w:lvl>
    <w:lvl w:ilvl="1">
      <w:start w:val="4"/>
      <w:numFmt w:val="bullet"/>
      <w:lvlText w:val="-"/>
      <w:lvlJc w:val="left"/>
      <w:pPr>
        <w:tabs>
          <w:tab w:val="num" w:pos="1417"/>
        </w:tabs>
        <w:ind w:left="1417" w:hanging="708"/>
      </w:pPr>
      <w:rPr>
        <w:rFonts w:ascii="Times New Roman" w:eastAsiaTheme="minorHAnsi" w:hAnsi="Times New Roman" w:cs="Times New Roman" w:hint="default"/>
      </w:r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9C96D36"/>
    <w:multiLevelType w:val="multilevel"/>
    <w:tmpl w:val="BE983CE4"/>
    <w:lvl w:ilvl="0">
      <w:start w:val="1"/>
      <w:numFmt w:val="decimal"/>
      <w:lvlRestart w:val="0"/>
      <w:pStyle w:val="Lignefinal"/>
      <w:lvlText w:val="(%1)"/>
      <w:lvlJc w:val="left"/>
      <w:pPr>
        <w:tabs>
          <w:tab w:val="num" w:pos="1560"/>
        </w:tabs>
        <w:ind w:left="1560" w:hanging="709"/>
      </w:pPr>
      <w:rPr>
        <w:rFonts w:cs="Times New Roman"/>
      </w:rPr>
    </w:lvl>
    <w:lvl w:ilvl="1">
      <w:start w:val="1"/>
      <w:numFmt w:val="lowerLetter"/>
      <w:pStyle w:val="EntLogo"/>
      <w:lvlText w:val="(%2)"/>
      <w:lvlJc w:val="left"/>
      <w:pPr>
        <w:tabs>
          <w:tab w:val="num" w:pos="2268"/>
        </w:tabs>
        <w:ind w:left="2268" w:hanging="708"/>
      </w:pPr>
      <w:rPr>
        <w:rFonts w:cs="Times New Roman"/>
      </w:rPr>
    </w:lvl>
    <w:lvl w:ilvl="2">
      <w:start w:val="1"/>
      <w:numFmt w:val="bullet"/>
      <w:pStyle w:val="EntEU"/>
      <w:lvlText w:val="–"/>
      <w:lvlJc w:val="left"/>
      <w:pPr>
        <w:tabs>
          <w:tab w:val="num" w:pos="2977"/>
        </w:tabs>
        <w:ind w:left="2977" w:hanging="709"/>
      </w:pPr>
      <w:rPr>
        <w:rFonts w:ascii="Times New Roman" w:hAnsi="Times New Roman"/>
      </w:rPr>
    </w:lvl>
    <w:lvl w:ilvl="3">
      <w:start w:val="1"/>
      <w:numFmt w:val="bullet"/>
      <w:pStyle w:val="Accordtitre"/>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4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nsid w:val="7D0738F2"/>
    <w:multiLevelType w:val="hybridMultilevel"/>
    <w:tmpl w:val="B6FA12E6"/>
    <w:lvl w:ilvl="0" w:tplc="EC5ABE0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2"/>
  </w:num>
  <w:num w:numId="6">
    <w:abstractNumId w:val="37"/>
  </w:num>
  <w:num w:numId="7">
    <w:abstractNumId w:val="43"/>
  </w:num>
  <w:num w:numId="8">
    <w:abstractNumId w:val="27"/>
  </w:num>
  <w:num w:numId="9">
    <w:abstractNumId w:val="39"/>
  </w:num>
  <w:num w:numId="10">
    <w:abstractNumId w:val="1"/>
  </w:num>
  <w:num w:numId="11">
    <w:abstractNumId w:val="0"/>
  </w:num>
  <w:num w:numId="12">
    <w:abstractNumId w:val="21"/>
  </w:num>
  <w:num w:numId="13">
    <w:abstractNumId w:val="41"/>
  </w:num>
  <w:num w:numId="14">
    <w:abstractNumId w:val="25"/>
  </w:num>
  <w:num w:numId="15">
    <w:abstractNumId w:val="19"/>
  </w:num>
  <w:num w:numId="16">
    <w:abstractNumId w:val="22"/>
  </w:num>
  <w:num w:numId="17">
    <w:abstractNumId w:val="16"/>
  </w:num>
  <w:num w:numId="18">
    <w:abstractNumId w:val="7"/>
  </w:num>
  <w:num w:numId="19">
    <w:abstractNumId w:val="6"/>
  </w:num>
  <w:num w:numId="20">
    <w:abstractNumId w:val="15"/>
  </w:num>
  <w:num w:numId="21">
    <w:abstractNumId w:val="29"/>
  </w:num>
  <w:num w:numId="22">
    <w:abstractNumId w:val="28"/>
  </w:num>
  <w:num w:numId="23">
    <w:abstractNumId w:val="8"/>
  </w:num>
  <w:num w:numId="24">
    <w:abstractNumId w:val="18"/>
  </w:num>
  <w:num w:numId="25">
    <w:abstractNumId w:val="9"/>
  </w:num>
  <w:num w:numId="26">
    <w:abstractNumId w:val="20"/>
  </w:num>
  <w:num w:numId="27">
    <w:abstractNumId w:val="17"/>
  </w:num>
  <w:num w:numId="28">
    <w:abstractNumId w:val="30"/>
  </w:num>
  <w:num w:numId="29">
    <w:abstractNumId w:val="40"/>
  </w:num>
  <w:num w:numId="30">
    <w:abstractNumId w:val="3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3"/>
  </w:num>
  <w:num w:numId="34">
    <w:abstractNumId w:val="38"/>
  </w:num>
  <w:num w:numId="35">
    <w:abstractNumId w:val="14"/>
  </w:num>
  <w:num w:numId="36">
    <w:abstractNumId w:val="24"/>
  </w:num>
  <w:num w:numId="37">
    <w:abstractNumId w:val="11"/>
  </w:num>
  <w:num w:numId="38">
    <w:abstractNumId w:val="36"/>
  </w:num>
  <w:num w:numId="39">
    <w:abstractNumId w:val="10"/>
  </w:num>
  <w:num w:numId="40">
    <w:abstractNumId w:val="26"/>
  </w:num>
  <w:num w:numId="41">
    <w:abstractNumId w:val="33"/>
  </w:num>
  <w:num w:numId="42">
    <w:abstractNumId w:val="34"/>
  </w:num>
  <w:num w:numId="43">
    <w:abstractNumId w:val="13"/>
  </w:num>
  <w:num w:numId="44">
    <w:abstractNumId w:val="31"/>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5 17:41:59"/>
    <w:docVar w:name="DQCNUMB_1" w:val="2344"/>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6"/>
    <w:docVar w:name="LW_ANNEX_UNIQUE" w:val="0"/>
    <w:docVar w:name="LW_CORRIGENDUM" w:val="&lt;UNUSED&gt;"/>
    <w:docVar w:name="LW_COVERPAGE_EXISTS" w:val="True"/>
    <w:docVar w:name="LW_COVERPAGE_GUID" w:val="D5193C20-FD54-463B-A3B4-02B014DBFC27"/>
    <w:docVar w:name="LW_COVERPAGE_TYPE" w:val="1"/>
    <w:docVar w:name="LW_CROSSREFERENCE" w:val="{SEC(2018) 270 final}_x000b_{SWD(2018) 190 final}_x000b_{SWD(2018) 191 final}"/>
    <w:docVar w:name="LW_DocType" w:val="ANNEX"/>
    <w:docVar w:name="LW_EMISSION" w:val="17.5.2018"/>
    <w:docVar w:name="LW_EMISSION_ISODATE" w:val="2018-05-17"/>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_x000b_relatif aux prescriptions applicables à la réception par type des véhicules à moteur et de leurs remorques, ainsi que des systèmes, composants et entités techniques distinctes destinés à ces véhicules, en ce qui concerne leur sécurité générale et la protection des occupants des véhicules et des usagers vulnérables de la route, modifiant le règlement (UE) 2018/... et abrogeant les règlements (CE) nº 78/2009, (CE) nº 79/2009 et (CE) no&lt;LWCR:NBS&gt;661/2009"/>
    <w:docVar w:name="LW_OBJETACTEPRINCIPAL.CP" w:val="_x000b_relatif aux prescriptions applicables à la réception par type des véhicules à moteur et de leurs remorques, ainsi que des systèmes, composants et entités techniques distinctes destinés à ces véhicules, en ce qui concerne leur sécurité générale et la protection des occupants des véhicules et des usagers vulnérables de la route, modifiant le règlement (UE) 2018/... et abrogeant les règlements (CE) nº 78/2009, (CE) nº 79/2009 et (CE) no 661/2009"/>
    <w:docVar w:name="LW_PART_NBR" w:val="&lt;UNUSED&gt;"/>
    <w:docVar w:name="LW_PART_NBR_TOTAL" w:val="&lt;UNUSED&gt;"/>
    <w:docVar w:name="LW_REF.INST.NEW" w:val="COM"/>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_x000b_RÈGLEMENT DU PARLEMENT EUROPÉEN ET DU CONSEIL"/>
    <w:docVar w:name="LW_TYPEACTEPRINCIPAL.CP" w:val="proposition de 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360" w:lineRule="auto"/>
      <w:jc w:val="left"/>
      <w:outlineLvl w:val="4"/>
    </w:pPr>
    <w:rPr>
      <w:rFonts w:eastAsia="Times New Roman"/>
      <w:b/>
      <w:bCs/>
      <w:i/>
      <w:iCs/>
      <w:sz w:val="26"/>
      <w:szCs w:val="26"/>
      <w:lang w:eastAsia="en-GB"/>
    </w:rPr>
  </w:style>
  <w:style w:type="paragraph" w:styleId="Heading6">
    <w:name w:val="heading 6"/>
    <w:basedOn w:val="Normal"/>
    <w:next w:val="Normal"/>
    <w:link w:val="Heading6Char"/>
    <w:qFormat/>
    <w:pPr>
      <w:spacing w:before="240" w:after="60" w:line="360" w:lineRule="auto"/>
      <w:jc w:val="left"/>
      <w:outlineLvl w:val="5"/>
    </w:pPr>
    <w:rPr>
      <w:rFonts w:eastAsia="Times New Roman"/>
      <w:b/>
      <w:bCs/>
      <w:sz w:val="22"/>
      <w:lang w:eastAsia="en-GB"/>
    </w:rPr>
  </w:style>
  <w:style w:type="paragraph" w:styleId="Heading7">
    <w:name w:val="heading 7"/>
    <w:basedOn w:val="Normal"/>
    <w:next w:val="Normal"/>
    <w:link w:val="Heading7Char"/>
    <w:qFormat/>
    <w:pPr>
      <w:spacing w:before="240" w:after="60" w:line="360" w:lineRule="auto"/>
      <w:jc w:val="left"/>
      <w:outlineLvl w:val="6"/>
    </w:pPr>
    <w:rPr>
      <w:rFonts w:eastAsia="Times New Roman"/>
      <w:lang w:eastAsia="en-GB"/>
    </w:rPr>
  </w:style>
  <w:style w:type="paragraph" w:styleId="Heading8">
    <w:name w:val="heading 8"/>
    <w:basedOn w:val="Normal"/>
    <w:next w:val="Normal"/>
    <w:link w:val="Heading8Char"/>
    <w:qFormat/>
    <w:pPr>
      <w:spacing w:before="240" w:after="60" w:line="360" w:lineRule="auto"/>
      <w:jc w:val="left"/>
      <w:outlineLvl w:val="7"/>
    </w:pPr>
    <w:rPr>
      <w:rFonts w:eastAsia="Times New Roman"/>
      <w:i/>
      <w:iCs/>
      <w:lang w:eastAsia="en-GB"/>
    </w:rPr>
  </w:style>
  <w:style w:type="paragraph" w:styleId="Heading9">
    <w:name w:val="heading 9"/>
    <w:basedOn w:val="Normal"/>
    <w:next w:val="Normal"/>
    <w:link w:val="Heading9Char"/>
    <w:qFormat/>
    <w:pPr>
      <w:spacing w:before="240" w:after="60" w:line="360" w:lineRule="auto"/>
      <w:jc w:val="left"/>
      <w:outlineLvl w:val="8"/>
    </w:pPr>
    <w:rPr>
      <w:rFonts w:ascii="Arial" w:eastAsia="Times New Roman" w:hAnsi="Arial" w:cs="Arial"/>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rPr>
      <w:rFonts w:ascii="Arial" w:eastAsia="Times New Roman" w:hAnsi="Arial" w:cs="Arial"/>
      <w:lang w:val="en-GB" w:eastAsia="en-GB"/>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Annexetitreacte">
    <w:name w:val="Annexe titre (acte)"/>
    <w:basedOn w:val="Normal"/>
    <w:next w:val="Normal"/>
    <w:pPr>
      <w:autoSpaceDE w:val="0"/>
      <w:autoSpaceDN w:val="0"/>
      <w:jc w:val="center"/>
    </w:pPr>
    <w:rPr>
      <w:rFonts w:eastAsia="Times New Roman"/>
      <w:b/>
      <w:bCs/>
      <w:szCs w:val="20"/>
      <w:u w:val="single"/>
      <w:lang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8"/>
      </w:numPr>
    </w:pPr>
    <w:rPr>
      <w:rFonts w:eastAsia="Times New Roman"/>
      <w:szCs w:val="24"/>
    </w:rPr>
  </w:style>
  <w:style w:type="paragraph" w:customStyle="1" w:styleId="ListNumberLevel2">
    <w:name w:val="List Number (Level 2)"/>
    <w:basedOn w:val="Normal"/>
    <w:pPr>
      <w:numPr>
        <w:ilvl w:val="1"/>
        <w:numId w:val="8"/>
      </w:numPr>
    </w:pPr>
    <w:rPr>
      <w:rFonts w:eastAsia="Times New Roman"/>
      <w:szCs w:val="24"/>
    </w:rPr>
  </w:style>
  <w:style w:type="paragraph" w:customStyle="1" w:styleId="ListNumberLevel3">
    <w:name w:val="List Number (Level 3)"/>
    <w:basedOn w:val="Normal"/>
    <w:pPr>
      <w:numPr>
        <w:ilvl w:val="2"/>
        <w:numId w:val="8"/>
      </w:numPr>
    </w:pPr>
    <w:rPr>
      <w:rFonts w:eastAsia="Times New Roman"/>
      <w:szCs w:val="24"/>
    </w:rPr>
  </w:style>
  <w:style w:type="paragraph" w:customStyle="1" w:styleId="ListNumberLevel4">
    <w:name w:val="List Number (Level 4)"/>
    <w:basedOn w:val="Normal"/>
    <w:pPr>
      <w:numPr>
        <w:ilvl w:val="3"/>
        <w:numId w:val="8"/>
      </w:numPr>
    </w:pPr>
    <w:rPr>
      <w:rFonts w:eastAsia="Times New Roman"/>
      <w:szCs w:val="24"/>
    </w:rPr>
  </w:style>
  <w:style w:type="paragraph" w:styleId="ListNumber2">
    <w:name w:val="List Number 2"/>
    <w:basedOn w:val="Normal"/>
    <w:pPr>
      <w:numPr>
        <w:numId w:val="26"/>
      </w:numPr>
    </w:pPr>
    <w:rPr>
      <w:rFonts w:eastAsia="Times New Roman"/>
      <w:lang w:eastAsia="de-DE"/>
    </w:rPr>
  </w:style>
  <w:style w:type="paragraph" w:styleId="ListNumber3">
    <w:name w:val="List Number 3"/>
    <w:basedOn w:val="Normal"/>
    <w:pPr>
      <w:numPr>
        <w:numId w:val="27"/>
      </w:numPr>
    </w:pPr>
    <w:rPr>
      <w:rFonts w:eastAsia="Times New Roman"/>
      <w:lang w:eastAsia="de-DE"/>
    </w:rPr>
  </w:style>
  <w:style w:type="paragraph" w:styleId="ListNumber4">
    <w:name w:val="List Number 4"/>
    <w:basedOn w:val="Normal"/>
    <w:pPr>
      <w:numPr>
        <w:numId w:val="28"/>
      </w:numPr>
    </w:pPr>
    <w:rPr>
      <w:rFonts w:eastAsia="Times New Roman"/>
      <w:lang w:eastAsia="de-DE"/>
    </w:rPr>
  </w:style>
  <w:style w:type="paragraph" w:customStyle="1" w:styleId="ListBullet1">
    <w:name w:val="List Bullet 1"/>
    <w:basedOn w:val="Normal"/>
    <w:pPr>
      <w:numPr>
        <w:numId w:val="19"/>
      </w:numPr>
    </w:pPr>
    <w:rPr>
      <w:rFonts w:eastAsia="Times New Roman"/>
      <w:lang w:eastAsia="de-DE"/>
    </w:rPr>
  </w:style>
  <w:style w:type="paragraph" w:customStyle="1" w:styleId="ListDash">
    <w:name w:val="List Dash"/>
    <w:basedOn w:val="Normal"/>
    <w:pPr>
      <w:numPr>
        <w:numId w:val="20"/>
      </w:numPr>
    </w:pPr>
    <w:rPr>
      <w:rFonts w:eastAsia="Times New Roman"/>
      <w:lang w:eastAsia="de-DE"/>
    </w:rPr>
  </w:style>
  <w:style w:type="paragraph" w:customStyle="1" w:styleId="ListDash1">
    <w:name w:val="List Dash 1"/>
    <w:basedOn w:val="Normal"/>
    <w:pPr>
      <w:numPr>
        <w:numId w:val="21"/>
      </w:numPr>
    </w:pPr>
    <w:rPr>
      <w:rFonts w:eastAsia="Times New Roman"/>
      <w:lang w:eastAsia="de-DE"/>
    </w:rPr>
  </w:style>
  <w:style w:type="paragraph" w:customStyle="1" w:styleId="ListDash2">
    <w:name w:val="List Dash 2"/>
    <w:basedOn w:val="Normal"/>
    <w:pPr>
      <w:numPr>
        <w:numId w:val="22"/>
      </w:numPr>
    </w:pPr>
    <w:rPr>
      <w:rFonts w:eastAsia="Times New Roman"/>
      <w:lang w:eastAsia="de-DE"/>
    </w:rPr>
  </w:style>
  <w:style w:type="paragraph" w:customStyle="1" w:styleId="ListDash3">
    <w:name w:val="List Dash 3"/>
    <w:basedOn w:val="Normal"/>
    <w:pPr>
      <w:numPr>
        <w:numId w:val="23"/>
      </w:numPr>
    </w:pPr>
    <w:rPr>
      <w:rFonts w:eastAsia="Times New Roman"/>
      <w:lang w:eastAsia="de-DE"/>
    </w:rPr>
  </w:style>
  <w:style w:type="paragraph" w:customStyle="1" w:styleId="ListDash4">
    <w:name w:val="List Dash 4"/>
    <w:basedOn w:val="Normal"/>
    <w:pPr>
      <w:numPr>
        <w:numId w:val="24"/>
      </w:numPr>
    </w:pPr>
    <w:rPr>
      <w:rFonts w:eastAsia="Times New Roman"/>
      <w:lang w:eastAsia="de-DE"/>
    </w:rPr>
  </w:style>
  <w:style w:type="paragraph" w:customStyle="1" w:styleId="ListNumber1">
    <w:name w:val="List Number 1"/>
    <w:basedOn w:val="Text1"/>
    <w:pPr>
      <w:numPr>
        <w:numId w:val="25"/>
      </w:numPr>
    </w:pPr>
    <w:rPr>
      <w:rFonts w:eastAsia="Times New Roman"/>
      <w:lang w:eastAsia="de-DE"/>
    </w:rPr>
  </w:style>
  <w:style w:type="paragraph" w:customStyle="1" w:styleId="ListNumber1Level2">
    <w:name w:val="List Number 1 (Level 2)"/>
    <w:basedOn w:val="Text1"/>
    <w:pPr>
      <w:numPr>
        <w:ilvl w:val="1"/>
        <w:numId w:val="25"/>
      </w:numPr>
    </w:pPr>
    <w:rPr>
      <w:rFonts w:eastAsia="Times New Roman"/>
      <w:lang w:eastAsia="de-DE"/>
    </w:rPr>
  </w:style>
  <w:style w:type="paragraph" w:customStyle="1" w:styleId="ListNumber2Level2">
    <w:name w:val="List Number 2 (Level 2)"/>
    <w:basedOn w:val="Text2"/>
    <w:pPr>
      <w:numPr>
        <w:ilvl w:val="1"/>
        <w:numId w:val="26"/>
      </w:numPr>
    </w:pPr>
    <w:rPr>
      <w:rFonts w:eastAsia="Times New Roman"/>
      <w:lang w:eastAsia="de-DE"/>
    </w:rPr>
  </w:style>
  <w:style w:type="paragraph" w:customStyle="1" w:styleId="ListNumber3Level2">
    <w:name w:val="List Number 3 (Level 2)"/>
    <w:basedOn w:val="Text3"/>
    <w:pPr>
      <w:numPr>
        <w:ilvl w:val="1"/>
        <w:numId w:val="27"/>
      </w:numPr>
    </w:pPr>
    <w:rPr>
      <w:rFonts w:eastAsia="Times New Roman"/>
      <w:lang w:eastAsia="de-DE"/>
    </w:rPr>
  </w:style>
  <w:style w:type="paragraph" w:customStyle="1" w:styleId="ListNumber4Level2">
    <w:name w:val="List Number 4 (Level 2)"/>
    <w:basedOn w:val="Text4"/>
    <w:pPr>
      <w:numPr>
        <w:ilvl w:val="1"/>
        <w:numId w:val="28"/>
      </w:numPr>
    </w:pPr>
    <w:rPr>
      <w:rFonts w:eastAsia="Times New Roman"/>
      <w:lang w:eastAsia="de-DE"/>
    </w:rPr>
  </w:style>
  <w:style w:type="paragraph" w:customStyle="1" w:styleId="ListNumber1Level3">
    <w:name w:val="List Number 1 (Level 3)"/>
    <w:basedOn w:val="Text1"/>
    <w:pPr>
      <w:numPr>
        <w:ilvl w:val="2"/>
        <w:numId w:val="25"/>
      </w:numPr>
    </w:pPr>
    <w:rPr>
      <w:rFonts w:eastAsia="Times New Roman"/>
      <w:lang w:eastAsia="de-DE"/>
    </w:rPr>
  </w:style>
  <w:style w:type="paragraph" w:customStyle="1" w:styleId="ListNumber2Level3">
    <w:name w:val="List Number 2 (Level 3)"/>
    <w:basedOn w:val="Text2"/>
    <w:pPr>
      <w:numPr>
        <w:ilvl w:val="2"/>
        <w:numId w:val="26"/>
      </w:numPr>
    </w:pPr>
    <w:rPr>
      <w:rFonts w:eastAsia="Times New Roman"/>
      <w:lang w:eastAsia="de-DE"/>
    </w:rPr>
  </w:style>
  <w:style w:type="paragraph" w:customStyle="1" w:styleId="ListNumber3Level3">
    <w:name w:val="List Number 3 (Level 3)"/>
    <w:basedOn w:val="Text3"/>
    <w:pPr>
      <w:numPr>
        <w:ilvl w:val="2"/>
        <w:numId w:val="27"/>
      </w:numPr>
    </w:pPr>
    <w:rPr>
      <w:rFonts w:eastAsia="Times New Roman"/>
      <w:lang w:eastAsia="de-DE"/>
    </w:rPr>
  </w:style>
  <w:style w:type="paragraph" w:customStyle="1" w:styleId="ListNumber4Level3">
    <w:name w:val="List Number 4 (Level 3)"/>
    <w:basedOn w:val="Text4"/>
    <w:pPr>
      <w:numPr>
        <w:ilvl w:val="2"/>
        <w:numId w:val="28"/>
      </w:numPr>
    </w:pPr>
    <w:rPr>
      <w:rFonts w:eastAsia="Times New Roman"/>
      <w:lang w:eastAsia="de-DE"/>
    </w:rPr>
  </w:style>
  <w:style w:type="paragraph" w:customStyle="1" w:styleId="ListNumber1Level4">
    <w:name w:val="List Number 1 (Level 4)"/>
    <w:basedOn w:val="Text1"/>
    <w:pPr>
      <w:numPr>
        <w:ilvl w:val="3"/>
        <w:numId w:val="25"/>
      </w:numPr>
    </w:pPr>
    <w:rPr>
      <w:rFonts w:eastAsia="Times New Roman"/>
      <w:lang w:eastAsia="de-DE"/>
    </w:rPr>
  </w:style>
  <w:style w:type="paragraph" w:customStyle="1" w:styleId="ListNumber2Level4">
    <w:name w:val="List Number 2 (Level 4)"/>
    <w:basedOn w:val="Text2"/>
    <w:pPr>
      <w:numPr>
        <w:ilvl w:val="3"/>
        <w:numId w:val="26"/>
      </w:numPr>
    </w:pPr>
    <w:rPr>
      <w:rFonts w:eastAsia="Times New Roman"/>
      <w:lang w:eastAsia="de-DE"/>
    </w:rPr>
  </w:style>
  <w:style w:type="paragraph" w:customStyle="1" w:styleId="ListNumber3Level4">
    <w:name w:val="List Number 3 (Level 4)"/>
    <w:basedOn w:val="Text3"/>
    <w:pPr>
      <w:numPr>
        <w:ilvl w:val="3"/>
        <w:numId w:val="27"/>
      </w:numPr>
    </w:pPr>
    <w:rPr>
      <w:rFonts w:eastAsia="Times New Roman"/>
      <w:lang w:eastAsia="de-DE"/>
    </w:rPr>
  </w:style>
  <w:style w:type="paragraph" w:customStyle="1" w:styleId="ListNumber4Level4">
    <w:name w:val="List Number 4 (Level 4)"/>
    <w:basedOn w:val="Text4"/>
    <w:pPr>
      <w:numPr>
        <w:ilvl w:val="3"/>
        <w:numId w:val="28"/>
      </w:numPr>
    </w:pPr>
    <w:rPr>
      <w:rFonts w:eastAsia="Times New Roman"/>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de-DE"/>
    </w:rPr>
  </w:style>
  <w:style w:type="paragraph" w:customStyle="1" w:styleId="Sous-titreobjetprliminaire">
    <w:name w:val="Sous-titre objet (préliminaire)"/>
    <w:basedOn w:val="Normal"/>
    <w:pPr>
      <w:spacing w:before="0" w:after="0"/>
      <w:jc w:val="center"/>
    </w:pPr>
    <w:rPr>
      <w:rFonts w:eastAsia="Times New Roman"/>
      <w:b/>
      <w:lang w:eastAsia="de-DE"/>
    </w:rPr>
  </w:style>
  <w:style w:type="paragraph" w:customStyle="1" w:styleId="Statutprliminaire">
    <w:name w:val="Statut (préliminaire)"/>
    <w:basedOn w:val="Normal"/>
    <w:next w:val="Normal"/>
    <w:pPr>
      <w:spacing w:before="360" w:after="0"/>
      <w:jc w:val="center"/>
    </w:pPr>
    <w:rPr>
      <w:rFonts w:eastAsia="Times New Roman"/>
      <w:lang w:eastAsia="de-DE"/>
    </w:rPr>
  </w:style>
  <w:style w:type="paragraph" w:customStyle="1" w:styleId="Titreobjetprliminaire">
    <w:name w:val="Titre objet (préliminaire)"/>
    <w:basedOn w:val="Normal"/>
    <w:next w:val="Normal"/>
    <w:pPr>
      <w:spacing w:before="360" w:after="360"/>
      <w:jc w:val="center"/>
    </w:pPr>
    <w:rPr>
      <w:rFonts w:eastAsia="Times New Roman"/>
      <w:b/>
      <w:lang w:eastAsia="de-DE"/>
    </w:rPr>
  </w:style>
  <w:style w:type="paragraph" w:customStyle="1" w:styleId="Typedudocumentprliminaire">
    <w:name w:val="Type du document (préliminaire)"/>
    <w:basedOn w:val="Normal"/>
    <w:next w:val="Normal"/>
    <w:pPr>
      <w:spacing w:before="360" w:after="0"/>
      <w:jc w:val="center"/>
    </w:pPr>
    <w:rPr>
      <w:rFonts w:eastAsia="Times New Roman"/>
      <w:b/>
      <w:lang w:eastAsia="de-DE"/>
    </w:rPr>
  </w:style>
  <w:style w:type="paragraph" w:customStyle="1" w:styleId="Lignefinal">
    <w:name w:val="Ligne final"/>
    <w:basedOn w:val="Normal"/>
    <w:next w:val="Normal"/>
    <w:pPr>
      <w:numPr>
        <w:numId w:val="29"/>
      </w:numPr>
      <w:pBdr>
        <w:bottom w:val="single" w:sz="4" w:space="0" w:color="000000"/>
      </w:pBdr>
      <w:tabs>
        <w:tab w:val="clear" w:pos="1560"/>
      </w:tabs>
      <w:spacing w:before="720" w:after="360" w:line="360" w:lineRule="auto"/>
      <w:ind w:left="3400" w:right="3400" w:firstLine="0"/>
      <w:jc w:val="center"/>
    </w:pPr>
    <w:rPr>
      <w:rFonts w:eastAsia="Times New Roman"/>
      <w:b/>
      <w:lang w:eastAsia="en-GB"/>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lang w:eastAsia="en-GB"/>
    </w:rPr>
  </w:style>
  <w:style w:type="paragraph" w:customStyle="1" w:styleId="EntLogo">
    <w:name w:val="EntLogo"/>
    <w:basedOn w:val="Normal"/>
    <w:pPr>
      <w:numPr>
        <w:ilvl w:val="1"/>
        <w:numId w:val="29"/>
      </w:numPr>
      <w:tabs>
        <w:tab w:val="clear" w:pos="2268"/>
        <w:tab w:val="right" w:pos="9639"/>
      </w:tabs>
      <w:spacing w:before="0" w:after="0" w:line="360" w:lineRule="auto"/>
      <w:ind w:left="0" w:firstLine="0"/>
      <w:jc w:val="left"/>
    </w:pPr>
    <w:rPr>
      <w:rFonts w:eastAsia="Times New Roman"/>
      <w:b/>
      <w:lang w:eastAsia="en-GB"/>
    </w:rPr>
  </w:style>
  <w:style w:type="paragraph" w:customStyle="1" w:styleId="EntInstit">
    <w:name w:val="EntInstit"/>
    <w:basedOn w:val="Normal"/>
    <w:pPr>
      <w:spacing w:before="0" w:after="0"/>
      <w:jc w:val="right"/>
    </w:pPr>
    <w:rPr>
      <w:rFonts w:eastAsia="Times New Roman"/>
      <w:b/>
      <w:lang w:eastAsia="en-GB"/>
    </w:rPr>
  </w:style>
  <w:style w:type="paragraph" w:customStyle="1" w:styleId="EntRefer">
    <w:name w:val="EntRefer"/>
    <w:basedOn w:val="Normal"/>
    <w:pPr>
      <w:spacing w:before="0" w:after="0"/>
      <w:jc w:val="left"/>
    </w:pPr>
    <w:rPr>
      <w:rFonts w:eastAsia="Times New Roman"/>
      <w:b/>
      <w:lang w:eastAsia="en-GB"/>
    </w:rPr>
  </w:style>
  <w:style w:type="paragraph" w:customStyle="1" w:styleId="EntEmet">
    <w:name w:val="EntEmet"/>
    <w:basedOn w:val="Normal"/>
    <w:pPr>
      <w:spacing w:before="40" w:after="0"/>
      <w:jc w:val="left"/>
    </w:pPr>
    <w:rPr>
      <w:rFonts w:eastAsia="Times New Roman"/>
      <w:lang w:eastAsia="en-GB"/>
    </w:rPr>
  </w:style>
  <w:style w:type="paragraph" w:customStyle="1" w:styleId="EntText">
    <w:name w:val="EntText"/>
    <w:basedOn w:val="Normal"/>
    <w:pPr>
      <w:spacing w:line="360" w:lineRule="auto"/>
      <w:jc w:val="left"/>
    </w:pPr>
    <w:rPr>
      <w:rFonts w:eastAsia="Times New Roman"/>
      <w:lang w:eastAsia="en-GB"/>
    </w:rPr>
  </w:style>
  <w:style w:type="paragraph" w:customStyle="1" w:styleId="EntEU">
    <w:name w:val="EntEU"/>
    <w:basedOn w:val="Normal"/>
    <w:pPr>
      <w:numPr>
        <w:ilvl w:val="2"/>
        <w:numId w:val="29"/>
      </w:numPr>
      <w:tabs>
        <w:tab w:val="clear" w:pos="2977"/>
      </w:tabs>
      <w:spacing w:before="240" w:after="240"/>
      <w:ind w:left="0" w:firstLine="0"/>
      <w:jc w:val="center"/>
    </w:pPr>
    <w:rPr>
      <w:rFonts w:eastAsia="Times New Roman"/>
      <w:b/>
      <w:sz w:val="36"/>
      <w:lang w:eastAsia="en-GB"/>
    </w:rPr>
  </w:style>
  <w:style w:type="paragraph" w:customStyle="1" w:styleId="EntASSOC">
    <w:name w:val="EntASSOC"/>
    <w:basedOn w:val="Normal"/>
    <w:pPr>
      <w:spacing w:before="0" w:after="0"/>
      <w:jc w:val="center"/>
    </w:pPr>
    <w:rPr>
      <w:rFonts w:eastAsia="Times New Roman"/>
      <w:b/>
      <w:lang w:eastAsia="en-GB"/>
    </w:rPr>
  </w:style>
  <w:style w:type="paragraph" w:customStyle="1" w:styleId="EntACP">
    <w:name w:val="EntACP"/>
    <w:basedOn w:val="Normal"/>
    <w:pPr>
      <w:spacing w:before="0"/>
      <w:jc w:val="center"/>
    </w:pPr>
    <w:rPr>
      <w:rFonts w:eastAsia="Times New Roman"/>
      <w:b/>
      <w:spacing w:val="40"/>
      <w:sz w:val="28"/>
      <w:lang w:eastAsia="en-GB"/>
    </w:rPr>
  </w:style>
  <w:style w:type="paragraph" w:customStyle="1" w:styleId="EntInstitACP">
    <w:name w:val="EntInstitACP"/>
    <w:basedOn w:val="Normal"/>
    <w:pPr>
      <w:spacing w:before="0" w:after="0"/>
      <w:jc w:val="center"/>
    </w:pPr>
    <w:rPr>
      <w:rFonts w:eastAsia="Times New Roman"/>
      <w:b/>
      <w:lang w:eastAsia="en-G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numPr>
        <w:ilvl w:val="3"/>
        <w:numId w:val="29"/>
      </w:numPr>
      <w:tabs>
        <w:tab w:val="clear" w:pos="3686"/>
      </w:tabs>
      <w:spacing w:before="0" w:after="0" w:line="360" w:lineRule="auto"/>
      <w:ind w:left="0" w:firstLine="0"/>
      <w:jc w:val="center"/>
    </w:pPr>
    <w:rPr>
      <w:rFonts w:eastAsia="Times New Roman"/>
      <w:lang w:eastAsia="en-GB"/>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lang w:eastAsia="en-GB"/>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lang w:eastAsia="en-GB"/>
    </w:rPr>
  </w:style>
  <w:style w:type="paragraph" w:styleId="BlockText">
    <w:name w:val="Block Text"/>
    <w:basedOn w:val="Normal"/>
    <w:pPr>
      <w:spacing w:line="360" w:lineRule="auto"/>
      <w:ind w:left="1440" w:right="1440"/>
      <w:jc w:val="left"/>
    </w:pPr>
    <w:rPr>
      <w:rFonts w:eastAsia="Times New Roman"/>
      <w:lang w:eastAsia="en-GB"/>
    </w:rPr>
  </w:style>
  <w:style w:type="paragraph" w:styleId="BodyText">
    <w:name w:val="Body Text"/>
    <w:basedOn w:val="Normal"/>
    <w:link w:val="BodyTextChar"/>
    <w:pPr>
      <w:spacing w:line="360" w:lineRule="auto"/>
      <w:jc w:val="left"/>
    </w:pPr>
    <w:rPr>
      <w:rFonts w:eastAsia="Times New Roman"/>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lang w:val="en-GB" w:eastAsia="en-GB"/>
    </w:rPr>
  </w:style>
  <w:style w:type="paragraph" w:styleId="BodyText2">
    <w:name w:val="Body Text 2"/>
    <w:basedOn w:val="Normal"/>
    <w:link w:val="BodyText2Char"/>
    <w:pPr>
      <w:spacing w:line="480" w:lineRule="auto"/>
      <w:jc w:val="left"/>
    </w:pPr>
    <w:rPr>
      <w:rFonts w:eastAsia="Times New Roman"/>
      <w:lang w:eastAsia="en-GB"/>
    </w:rPr>
  </w:style>
  <w:style w:type="character" w:customStyle="1" w:styleId="BodyText2Char">
    <w:name w:val="Body Text 2 Char"/>
    <w:basedOn w:val="DefaultParagraphFont"/>
    <w:link w:val="BodyText2"/>
    <w:rPr>
      <w:rFonts w:ascii="Times New Roman" w:eastAsia="Times New Roman" w:hAnsi="Times New Roman" w:cs="Times New Roman"/>
      <w:sz w:val="24"/>
      <w:lang w:val="en-GB" w:eastAsia="en-GB"/>
    </w:rPr>
  </w:style>
  <w:style w:type="paragraph" w:styleId="BodyText3">
    <w:name w:val="Body Text 3"/>
    <w:basedOn w:val="Normal"/>
    <w:link w:val="BodyText3Char"/>
    <w:pPr>
      <w:spacing w:line="360" w:lineRule="auto"/>
      <w:jc w:val="left"/>
    </w:pPr>
    <w:rPr>
      <w:rFonts w:eastAsia="Times New Roman"/>
      <w:sz w:val="16"/>
      <w:szCs w:val="16"/>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val="en-GB" w:eastAsia="en-GB"/>
    </w:rPr>
  </w:style>
  <w:style w:type="paragraph" w:styleId="BodyTextIndent">
    <w:name w:val="Body Text Indent"/>
    <w:basedOn w:val="Normal"/>
    <w:link w:val="BodyTextIndentChar"/>
    <w:pPr>
      <w:spacing w:line="360" w:lineRule="auto"/>
      <w:ind w:left="283"/>
      <w:jc w:val="left"/>
    </w:pPr>
    <w:rPr>
      <w:rFonts w:eastAsia="Times New Roman"/>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pPr>
      <w:spacing w:line="480" w:lineRule="auto"/>
      <w:ind w:left="283"/>
      <w:jc w:val="left"/>
    </w:pPr>
    <w:rPr>
      <w:rFonts w:eastAsia="Times New Roman"/>
      <w:lang w:eastAsia="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val="en-GB" w:eastAsia="en-GB"/>
    </w:rPr>
  </w:style>
  <w:style w:type="paragraph" w:styleId="BodyTextIndent3">
    <w:name w:val="Body Text Indent 3"/>
    <w:basedOn w:val="Normal"/>
    <w:link w:val="BodyTextIndent3Char"/>
    <w:pPr>
      <w:spacing w:line="360" w:lineRule="auto"/>
      <w:ind w:left="283"/>
      <w:jc w:val="left"/>
    </w:pPr>
    <w:rPr>
      <w:rFonts w:eastAsia="Times New Roman"/>
      <w:sz w:val="16"/>
      <w:szCs w:val="16"/>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en-GB"/>
    </w:rPr>
  </w:style>
  <w:style w:type="paragraph" w:styleId="Closing">
    <w:name w:val="Closing"/>
    <w:basedOn w:val="Normal"/>
    <w:link w:val="ClosingChar"/>
    <w:pPr>
      <w:spacing w:line="360" w:lineRule="auto"/>
      <w:ind w:left="4252"/>
      <w:jc w:val="left"/>
    </w:pPr>
    <w:rPr>
      <w:rFonts w:eastAsia="Times New Roman"/>
      <w:lang w:eastAsia="en-GB"/>
    </w:rPr>
  </w:style>
  <w:style w:type="character" w:customStyle="1" w:styleId="ClosingChar">
    <w:name w:val="Closing Char"/>
    <w:basedOn w:val="DefaultParagraphFont"/>
    <w:link w:val="Closing"/>
    <w:rPr>
      <w:rFonts w:ascii="Times New Roman" w:eastAsia="Times New Roman" w:hAnsi="Times New Roman" w:cs="Times New Roman"/>
      <w:sz w:val="24"/>
      <w:lang w:val="en-GB"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360" w:lineRule="auto"/>
      <w:jc w:val="left"/>
    </w:pPr>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styleId="DocumentMap">
    <w:name w:val="Document Map"/>
    <w:basedOn w:val="Normal"/>
    <w:link w:val="DocumentMapChar"/>
    <w:pPr>
      <w:shd w:val="clear" w:color="auto" w:fill="000080"/>
      <w:spacing w:line="360" w:lineRule="auto"/>
      <w:jc w:val="left"/>
    </w:pPr>
    <w:rPr>
      <w:rFonts w:ascii="Tahoma" w:eastAsia="Times New Roman" w:hAnsi="Tahoma" w:cs="Tahoma"/>
      <w:lang w:eastAsia="en-GB"/>
    </w:rPr>
  </w:style>
  <w:style w:type="character" w:customStyle="1" w:styleId="DocumentMapChar">
    <w:name w:val="Document Map Char"/>
    <w:basedOn w:val="DefaultParagraphFont"/>
    <w:link w:val="DocumentMap"/>
    <w:rPr>
      <w:rFonts w:ascii="Tahoma" w:eastAsia="Times New Roman" w:hAnsi="Tahoma" w:cs="Tahoma"/>
      <w:sz w:val="24"/>
      <w:shd w:val="clear" w:color="auto" w:fill="000080"/>
      <w:lang w:val="en-GB" w:eastAsia="en-GB"/>
    </w:rPr>
  </w:style>
  <w:style w:type="paragraph" w:styleId="E-mailSignature">
    <w:name w:val="E-mail Signature"/>
    <w:basedOn w:val="Normal"/>
    <w:link w:val="E-mailSignatureChar"/>
    <w:pPr>
      <w:spacing w:line="360" w:lineRule="auto"/>
      <w:jc w:val="left"/>
    </w:pPr>
    <w:rPr>
      <w:rFonts w:eastAsia="Times New Roman"/>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lang w:val="en-GB" w:eastAsia="en-GB"/>
    </w:rPr>
  </w:style>
  <w:style w:type="character" w:styleId="Emphasis">
    <w:name w:val="Emphasis"/>
    <w:qFormat/>
    <w:rPr>
      <w:rFonts w:cs="Times New Roman"/>
      <w:i/>
      <w:iCs/>
    </w:rPr>
  </w:style>
  <w:style w:type="character" w:styleId="EndnoteReference">
    <w:name w:val="endnote reference"/>
    <w:rPr>
      <w:rFonts w:cs="Times New Roman"/>
      <w:vertAlign w:val="superscript"/>
    </w:rPr>
  </w:style>
  <w:style w:type="paragraph" w:styleId="EndnoteText">
    <w:name w:val="endnote text"/>
    <w:basedOn w:val="Normal"/>
    <w:link w:val="EndnoteTextChar"/>
    <w:pPr>
      <w:spacing w:line="360" w:lineRule="auto"/>
      <w:jc w:val="left"/>
    </w:pPr>
    <w:rPr>
      <w:rFonts w:eastAsia="Times New Roman"/>
      <w:sz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val="en-GB" w:eastAsia="en-GB"/>
    </w:rPr>
  </w:style>
  <w:style w:type="paragraph" w:styleId="EnvelopeAddress">
    <w:name w:val="envelope address"/>
    <w:basedOn w:val="Normal"/>
    <w:pPr>
      <w:framePr w:w="7920" w:h="1980" w:hRule="exact" w:hSpace="180" w:wrap="auto" w:hAnchor="page" w:xAlign="center" w:yAlign="bottom"/>
      <w:spacing w:line="360" w:lineRule="auto"/>
      <w:ind w:left="2880"/>
      <w:jc w:val="left"/>
    </w:pPr>
    <w:rPr>
      <w:rFonts w:ascii="Arial" w:eastAsia="Times New Roman" w:hAnsi="Arial" w:cs="Arial"/>
      <w:lang w:eastAsia="en-GB"/>
    </w:rPr>
  </w:style>
  <w:style w:type="paragraph" w:styleId="EnvelopeReturn">
    <w:name w:val="envelope return"/>
    <w:basedOn w:val="Normal"/>
    <w:pPr>
      <w:spacing w:line="360" w:lineRule="auto"/>
      <w:jc w:val="left"/>
    </w:pPr>
    <w:rPr>
      <w:rFonts w:ascii="Arial" w:eastAsia="Times New Roman" w:hAnsi="Arial" w:cs="Arial"/>
      <w:sz w:val="20"/>
      <w:lang w:eastAsia="en-GB"/>
    </w:rPr>
  </w:style>
  <w:style w:type="character" w:styleId="FollowedHyperlink">
    <w:name w:val="FollowedHyperlink"/>
    <w:rPr>
      <w:rFonts w:cs="Times New Roman"/>
      <w:color w:val="800080"/>
      <w:u w:val="single"/>
    </w:rPr>
  </w:style>
  <w:style w:type="character" w:styleId="HTMLAcronym">
    <w:name w:val="HTML Acronym"/>
    <w:rPr>
      <w:rFonts w:cs="Times New Roman"/>
    </w:rPr>
  </w:style>
  <w:style w:type="paragraph" w:styleId="HTMLAddress">
    <w:name w:val="HTML Address"/>
    <w:basedOn w:val="Normal"/>
    <w:link w:val="HTMLAddressChar"/>
    <w:pPr>
      <w:spacing w:line="360" w:lineRule="auto"/>
      <w:jc w:val="left"/>
    </w:pPr>
    <w:rPr>
      <w:rFonts w:eastAsia="Times New Roman"/>
      <w:i/>
      <w:iCs/>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lang w:val="en-GB" w:eastAsia="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jc w:val="left"/>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lang w:val="en-GB" w:eastAsia="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Hyperlink">
    <w:name w:val="Hyperlink"/>
    <w:rPr>
      <w:rFonts w:cs="Times New Roman"/>
      <w:color w:val="0000FF"/>
      <w:u w:val="single"/>
    </w:rPr>
  </w:style>
  <w:style w:type="character" w:styleId="LineNumber">
    <w:name w:val="line number"/>
    <w:rPr>
      <w:rFonts w:cs="Times New Roman"/>
    </w:rPr>
  </w:style>
  <w:style w:type="paragraph" w:styleId="List">
    <w:name w:val="List"/>
    <w:basedOn w:val="Normal"/>
    <w:pPr>
      <w:spacing w:line="360" w:lineRule="auto"/>
      <w:ind w:left="283" w:hanging="283"/>
      <w:jc w:val="left"/>
    </w:pPr>
    <w:rPr>
      <w:rFonts w:eastAsia="Times New Roman"/>
      <w:lang w:eastAsia="en-GB"/>
    </w:rPr>
  </w:style>
  <w:style w:type="paragraph" w:styleId="List2">
    <w:name w:val="List 2"/>
    <w:basedOn w:val="Normal"/>
    <w:pPr>
      <w:spacing w:line="360" w:lineRule="auto"/>
      <w:ind w:left="566" w:hanging="283"/>
      <w:jc w:val="left"/>
    </w:pPr>
    <w:rPr>
      <w:rFonts w:eastAsia="Times New Roman"/>
      <w:lang w:eastAsia="en-GB"/>
    </w:rPr>
  </w:style>
  <w:style w:type="paragraph" w:styleId="List3">
    <w:name w:val="List 3"/>
    <w:basedOn w:val="Normal"/>
    <w:pPr>
      <w:spacing w:line="360" w:lineRule="auto"/>
      <w:ind w:left="849" w:hanging="283"/>
      <w:jc w:val="left"/>
    </w:pPr>
    <w:rPr>
      <w:rFonts w:eastAsia="Times New Roman"/>
      <w:lang w:eastAsia="en-GB"/>
    </w:rPr>
  </w:style>
  <w:style w:type="paragraph" w:styleId="List4">
    <w:name w:val="List 4"/>
    <w:basedOn w:val="Normal"/>
    <w:pPr>
      <w:spacing w:line="360" w:lineRule="auto"/>
      <w:ind w:left="1132" w:hanging="283"/>
      <w:jc w:val="left"/>
    </w:pPr>
    <w:rPr>
      <w:rFonts w:eastAsia="Times New Roman"/>
      <w:lang w:eastAsia="en-GB"/>
    </w:rPr>
  </w:style>
  <w:style w:type="paragraph" w:styleId="List5">
    <w:name w:val="List 5"/>
    <w:basedOn w:val="Normal"/>
    <w:pPr>
      <w:spacing w:line="360" w:lineRule="auto"/>
      <w:ind w:left="1415" w:hanging="283"/>
      <w:jc w:val="left"/>
    </w:pPr>
    <w:rPr>
      <w:rFonts w:eastAsia="Times New Roman"/>
      <w:lang w:eastAsia="en-GB"/>
    </w:rPr>
  </w:style>
  <w:style w:type="paragraph" w:styleId="ListBullet5">
    <w:name w:val="List Bullet 5"/>
    <w:basedOn w:val="Normal"/>
    <w:autoRedefine/>
    <w:pPr>
      <w:numPr>
        <w:numId w:val="10"/>
      </w:numPr>
      <w:spacing w:line="360" w:lineRule="auto"/>
      <w:jc w:val="left"/>
    </w:pPr>
    <w:rPr>
      <w:rFonts w:eastAsia="Times New Roman"/>
      <w:lang w:eastAsia="en-GB"/>
    </w:rPr>
  </w:style>
  <w:style w:type="paragraph" w:styleId="ListContinue">
    <w:name w:val="List Continue"/>
    <w:basedOn w:val="Normal"/>
    <w:pPr>
      <w:spacing w:line="360" w:lineRule="auto"/>
      <w:ind w:left="283"/>
      <w:jc w:val="left"/>
    </w:pPr>
    <w:rPr>
      <w:rFonts w:eastAsia="Times New Roman"/>
      <w:lang w:eastAsia="en-GB"/>
    </w:rPr>
  </w:style>
  <w:style w:type="paragraph" w:styleId="ListContinue2">
    <w:name w:val="List Continue 2"/>
    <w:basedOn w:val="Normal"/>
    <w:pPr>
      <w:spacing w:line="360" w:lineRule="auto"/>
      <w:ind w:left="566"/>
      <w:jc w:val="left"/>
    </w:pPr>
    <w:rPr>
      <w:rFonts w:eastAsia="Times New Roman"/>
      <w:lang w:eastAsia="en-GB"/>
    </w:rPr>
  </w:style>
  <w:style w:type="paragraph" w:styleId="ListContinue3">
    <w:name w:val="List Continue 3"/>
    <w:basedOn w:val="Normal"/>
    <w:pPr>
      <w:spacing w:line="360" w:lineRule="auto"/>
      <w:ind w:left="849"/>
      <w:jc w:val="left"/>
    </w:pPr>
    <w:rPr>
      <w:rFonts w:eastAsia="Times New Roman"/>
      <w:lang w:eastAsia="en-GB"/>
    </w:rPr>
  </w:style>
  <w:style w:type="paragraph" w:styleId="ListContinue4">
    <w:name w:val="List Continue 4"/>
    <w:basedOn w:val="Normal"/>
    <w:pPr>
      <w:spacing w:line="360" w:lineRule="auto"/>
      <w:ind w:left="1132"/>
      <w:jc w:val="left"/>
    </w:pPr>
    <w:rPr>
      <w:rFonts w:eastAsia="Times New Roman"/>
      <w:lang w:eastAsia="en-GB"/>
    </w:rPr>
  </w:style>
  <w:style w:type="paragraph" w:styleId="ListContinue5">
    <w:name w:val="List Continue 5"/>
    <w:basedOn w:val="Normal"/>
    <w:pPr>
      <w:spacing w:line="360" w:lineRule="auto"/>
      <w:ind w:left="1415"/>
      <w:jc w:val="left"/>
    </w:pPr>
    <w:rPr>
      <w:rFonts w:eastAsia="Times New Roman"/>
      <w:lang w:eastAsia="en-GB"/>
    </w:rPr>
  </w:style>
  <w:style w:type="paragraph" w:styleId="ListNumber5">
    <w:name w:val="List Number 5"/>
    <w:basedOn w:val="Normal"/>
    <w:pPr>
      <w:numPr>
        <w:numId w:val="11"/>
      </w:numPr>
      <w:spacing w:line="360" w:lineRule="auto"/>
      <w:jc w:val="left"/>
    </w:pPr>
    <w:rPr>
      <w:rFonts w:eastAsia="Times New Roman"/>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eastAsia="Times New Roman" w:hAnsi="Courier New" w:cs="Courier New"/>
      <w:lang w:val="en-GB"/>
    </w:rPr>
  </w:style>
  <w:style w:type="character" w:customStyle="1" w:styleId="MacroTextChar">
    <w:name w:val="Macro Text Char"/>
    <w:basedOn w:val="DefaultParagraphFont"/>
    <w:link w:val="MacroText"/>
    <w:rPr>
      <w:rFonts w:ascii="Courier New" w:eastAsia="Times New Roman"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jc w:val="left"/>
    </w:pPr>
    <w:rPr>
      <w:rFonts w:ascii="Arial" w:eastAsia="Times New Roman" w:hAnsi="Arial" w:cs="Arial"/>
      <w:lang w:eastAsia="en-GB"/>
    </w:rPr>
  </w:style>
  <w:style w:type="character" w:customStyle="1" w:styleId="MessageHeaderChar">
    <w:name w:val="Message Header Char"/>
    <w:basedOn w:val="DefaultParagraphFont"/>
    <w:link w:val="MessageHeader"/>
    <w:rPr>
      <w:rFonts w:ascii="Arial" w:eastAsia="Times New Roman" w:hAnsi="Arial" w:cs="Arial"/>
      <w:sz w:val="24"/>
      <w:shd w:val="pct20" w:color="auto" w:fill="auto"/>
      <w:lang w:val="en-GB" w:eastAsia="en-GB"/>
    </w:rPr>
  </w:style>
  <w:style w:type="paragraph" w:styleId="NormalWeb">
    <w:name w:val="Normal (Web)"/>
    <w:basedOn w:val="Normal"/>
    <w:pPr>
      <w:spacing w:line="360" w:lineRule="auto"/>
      <w:jc w:val="left"/>
    </w:pPr>
    <w:rPr>
      <w:rFonts w:eastAsia="Times New Roman"/>
      <w:lang w:eastAsia="en-GB"/>
    </w:rPr>
  </w:style>
  <w:style w:type="paragraph" w:styleId="NormalIndent">
    <w:name w:val="Normal Indent"/>
    <w:basedOn w:val="Normal"/>
    <w:pPr>
      <w:spacing w:line="360" w:lineRule="auto"/>
      <w:ind w:left="720"/>
      <w:jc w:val="left"/>
    </w:pPr>
    <w:rPr>
      <w:rFonts w:eastAsia="Times New Roman"/>
      <w:lang w:eastAsia="en-GB"/>
    </w:rPr>
  </w:style>
  <w:style w:type="character" w:styleId="PageNumber">
    <w:name w:val="page number"/>
    <w:rPr>
      <w:rFonts w:cs="Times New Roman"/>
    </w:rPr>
  </w:style>
  <w:style w:type="paragraph" w:styleId="PlainText">
    <w:name w:val="Plain Text"/>
    <w:basedOn w:val="Normal"/>
    <w:link w:val="PlainTextChar"/>
    <w:pPr>
      <w:spacing w:line="360" w:lineRule="auto"/>
      <w:jc w:val="left"/>
    </w:pPr>
    <w:rPr>
      <w:rFonts w:ascii="Courier New" w:eastAsia="Times New Roman" w:hAnsi="Courier New" w:cs="Courier New"/>
      <w:sz w:val="20"/>
      <w:lang w:eastAsia="en-GB"/>
    </w:rPr>
  </w:style>
  <w:style w:type="character" w:customStyle="1" w:styleId="PlainTextChar">
    <w:name w:val="Plain Text Char"/>
    <w:basedOn w:val="DefaultParagraphFont"/>
    <w:link w:val="PlainText"/>
    <w:rPr>
      <w:rFonts w:ascii="Courier New" w:eastAsia="Times New Roman" w:hAnsi="Courier New" w:cs="Courier New"/>
      <w:sz w:val="20"/>
      <w:lang w:val="en-GB" w:eastAsia="en-GB"/>
    </w:rPr>
  </w:style>
  <w:style w:type="paragraph" w:styleId="Signature">
    <w:name w:val="Signature"/>
    <w:basedOn w:val="Normal"/>
    <w:link w:val="SignatureChar"/>
    <w:pPr>
      <w:spacing w:line="360" w:lineRule="auto"/>
      <w:ind w:left="4252"/>
      <w:jc w:val="left"/>
    </w:pPr>
    <w:rPr>
      <w:rFonts w:eastAsia="Times New Roman"/>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lang w:val="en-GB" w:eastAsia="en-GB"/>
    </w:rPr>
  </w:style>
  <w:style w:type="character" w:styleId="Strong">
    <w:name w:val="Strong"/>
    <w:qFormat/>
    <w:rPr>
      <w:rFonts w:cs="Times New Roman"/>
      <w:b/>
      <w:bCs/>
    </w:rPr>
  </w:style>
  <w:style w:type="paragraph" w:styleId="Subtitle">
    <w:name w:val="Subtitle"/>
    <w:basedOn w:val="Normal"/>
    <w:link w:val="SubtitleChar"/>
    <w:qFormat/>
    <w:pPr>
      <w:spacing w:after="60" w:line="360" w:lineRule="auto"/>
      <w:jc w:val="center"/>
      <w:outlineLvl w:val="1"/>
    </w:pPr>
    <w:rPr>
      <w:rFonts w:ascii="Arial" w:eastAsia="Times New Roman" w:hAnsi="Arial" w:cs="Arial"/>
      <w:lang w:eastAsia="en-GB"/>
    </w:rPr>
  </w:style>
  <w:style w:type="character" w:customStyle="1" w:styleId="SubtitleChar">
    <w:name w:val="Subtitle Char"/>
    <w:basedOn w:val="DefaultParagraphFont"/>
    <w:link w:val="Subtitle"/>
    <w:rPr>
      <w:rFonts w:ascii="Arial" w:eastAsia="Times New Roman" w:hAnsi="Arial" w:cs="Arial"/>
      <w:sz w:val="24"/>
      <w:lang w:val="en-GB" w:eastAsia="en-GB"/>
    </w:rPr>
  </w:style>
  <w:style w:type="paragraph" w:styleId="Title">
    <w:name w:val="Title"/>
    <w:basedOn w:val="Normal"/>
    <w:link w:val="TitleChar"/>
    <w:qFormat/>
    <w:pPr>
      <w:spacing w:before="240" w:after="60" w:line="36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Pr>
      <w:rFonts w:ascii="Arial" w:eastAsia="Times New Roman" w:hAnsi="Arial" w:cs="Arial"/>
      <w:b/>
      <w:bCs/>
      <w:kern w:val="28"/>
      <w:sz w:val="32"/>
      <w:szCs w:val="32"/>
      <w:lang w:val="en-GB" w:eastAsia="en-GB"/>
    </w:rPr>
  </w:style>
  <w:style w:type="paragraph" w:customStyle="1" w:styleId="Titre2">
    <w:name w:val="Titre2"/>
    <w:basedOn w:val="Normal"/>
    <w:pPr>
      <w:numPr>
        <w:numId w:val="1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eastAsia="Times New Roman" w:hAnsi="Arial"/>
      <w:b/>
      <w:sz w:val="48"/>
      <w:lang w:eastAsia="en-GB"/>
    </w:rPr>
  </w:style>
  <w:style w:type="character" w:customStyle="1" w:styleId="CRDeleted">
    <w:name w:val="CR Deleted"/>
    <w:rPr>
      <w:rFonts w:cs="Times New Roman"/>
      <w:dstrike/>
    </w:rPr>
  </w:style>
  <w:style w:type="paragraph" w:customStyle="1" w:styleId="Normal6">
    <w:name w:val="Normal6"/>
    <w:basedOn w:val="Normal"/>
    <w:pPr>
      <w:widowControl w:val="0"/>
      <w:spacing w:before="0"/>
      <w:jc w:val="left"/>
    </w:pPr>
    <w:rPr>
      <w:rFonts w:eastAsia="Times New Roman"/>
      <w:lang w:eastAsia="en-GB"/>
    </w:rPr>
  </w:style>
  <w:style w:type="paragraph" w:customStyle="1" w:styleId="Normal12Centre">
    <w:name w:val="Normal12Centre"/>
    <w:basedOn w:val="Normal"/>
    <w:pPr>
      <w:widowControl w:val="0"/>
      <w:spacing w:before="0" w:after="240"/>
      <w:jc w:val="center"/>
    </w:pPr>
    <w:rPr>
      <w:rFonts w:eastAsia="Times New Roman"/>
      <w:lang w:eastAsia="en-GB"/>
    </w:rPr>
  </w:style>
  <w:style w:type="paragraph" w:styleId="Index1">
    <w:name w:val="index 1"/>
    <w:basedOn w:val="Normal"/>
    <w:next w:val="Normal"/>
    <w:autoRedefine/>
    <w:pPr>
      <w:spacing w:before="0" w:after="0"/>
      <w:ind w:left="200" w:hanging="200"/>
      <w:jc w:val="left"/>
    </w:pPr>
    <w:rPr>
      <w:rFonts w:eastAsia="Times New Roman"/>
      <w:lang w:eastAsia="en-GB"/>
    </w:rPr>
  </w:style>
  <w:style w:type="paragraph" w:styleId="IndexHeading">
    <w:name w:val="index heading"/>
    <w:basedOn w:val="Normal"/>
    <w:next w:val="Index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rFonts w:eastAsia="Times New Roman"/>
      <w:lang w:eastAsia="en-GB"/>
    </w:rPr>
  </w:style>
  <w:style w:type="paragraph" w:customStyle="1" w:styleId="Titre1">
    <w:name w:val="Titre1"/>
    <w:basedOn w:val="Heading6"/>
    <w:pPr>
      <w:keepNext/>
      <w:numPr>
        <w:numId w:val="17"/>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ind w:left="0" w:firstLine="0"/>
      <w:jc w:val="center"/>
    </w:pPr>
    <w:rPr>
      <w:b w:val="0"/>
      <w:bCs w:val="0"/>
      <w:sz w:val="60"/>
      <w:szCs w:val="20"/>
    </w:rPr>
  </w:style>
  <w:style w:type="paragraph" w:customStyle="1" w:styleId="Par-number1">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bullet">
    <w:name w:val="Par-bullet"/>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lang w:eastAsia="en-GB"/>
    </w:rPr>
  </w:style>
  <w:style w:type="paragraph" w:customStyle="1" w:styleId="Par-numberI">
    <w:name w:val="Par-number I."/>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dash">
    <w:name w:val="Par-dash"/>
    <w:basedOn w:val="Normal"/>
    <w:next w:val="Normal"/>
    <w:pPr>
      <w:widowControl w:val="0"/>
      <w:numPr>
        <w:numId w:val="13"/>
      </w:numPr>
      <w:spacing w:before="0" w:after="0" w:line="360" w:lineRule="auto"/>
      <w:jc w:val="left"/>
    </w:pPr>
    <w:rPr>
      <w:rFonts w:eastAsia="Times New Roman"/>
      <w:lang w:eastAsia="en-GB"/>
    </w:rPr>
  </w:style>
  <w:style w:type="paragraph" w:customStyle="1" w:styleId="Par-numberA0">
    <w:name w:val="Par-number A."/>
    <w:basedOn w:val="Normal"/>
    <w:next w:val="Normal"/>
    <w:pPr>
      <w:widowControl w:val="0"/>
      <w:numPr>
        <w:numId w:val="14"/>
      </w:numPr>
      <w:spacing w:before="0" w:after="0" w:line="360" w:lineRule="auto"/>
      <w:jc w:val="left"/>
    </w:pPr>
    <w:rPr>
      <w:rFonts w:eastAsia="Times New Roman"/>
      <w:lang w:eastAsia="en-GB"/>
    </w:rPr>
  </w:style>
  <w:style w:type="paragraph" w:customStyle="1" w:styleId="Par-numberi0">
    <w:name w:val="Par-number (i)"/>
    <w:basedOn w:val="Normal"/>
    <w:next w:val="Normal"/>
    <w:pPr>
      <w:widowControl w:val="0"/>
      <w:tabs>
        <w:tab w:val="left" w:pos="567"/>
        <w:tab w:val="num" w:pos="1417"/>
      </w:tabs>
      <w:spacing w:before="0" w:after="0" w:line="360" w:lineRule="auto"/>
      <w:ind w:left="1417" w:hanging="567"/>
      <w:jc w:val="left"/>
    </w:pPr>
    <w:rPr>
      <w:rFonts w:eastAsia="Times New Roman"/>
      <w:lang w:eastAsia="en-GB"/>
    </w:rPr>
  </w:style>
  <w:style w:type="paragraph" w:customStyle="1" w:styleId="Par-numbera">
    <w:name w:val="Par-number (a)"/>
    <w:basedOn w:val="Normal"/>
    <w:next w:val="Normal"/>
    <w:pPr>
      <w:widowControl w:val="0"/>
      <w:numPr>
        <w:numId w:val="15"/>
      </w:numPr>
      <w:spacing w:before="0" w:after="0" w:line="360" w:lineRule="auto"/>
      <w:jc w:val="left"/>
    </w:pPr>
    <w:rPr>
      <w:rFonts w:eastAsia="Times New Roman"/>
      <w:lang w:eastAsia="en-GB"/>
    </w:rPr>
  </w:style>
  <w:style w:type="paragraph" w:styleId="Date">
    <w:name w:val="Date"/>
    <w:basedOn w:val="Normal"/>
    <w:next w:val="Normal"/>
    <w:link w:val="DateChar"/>
    <w:pPr>
      <w:spacing w:line="360" w:lineRule="auto"/>
      <w:jc w:val="left"/>
    </w:pPr>
    <w:rPr>
      <w:rFonts w:eastAsia="Times New Roman"/>
      <w:lang w:eastAsia="fr-BE"/>
    </w:rPr>
  </w:style>
  <w:style w:type="character" w:customStyle="1" w:styleId="DateChar">
    <w:name w:val="Date Char"/>
    <w:basedOn w:val="DefaultParagraphFont"/>
    <w:link w:val="Date"/>
    <w:rPr>
      <w:rFonts w:ascii="Times New Roman" w:eastAsia="Times New Roman" w:hAnsi="Times New Roman" w:cs="Times New Roman"/>
      <w:sz w:val="24"/>
      <w:lang w:val="en-GB" w:eastAsia="fr-BE"/>
    </w:rPr>
  </w:style>
  <w:style w:type="paragraph" w:customStyle="1" w:styleId="considerants">
    <w:name w:val="considerants"/>
    <w:basedOn w:val="Normal"/>
    <w:pPr>
      <w:tabs>
        <w:tab w:val="num" w:pos="360"/>
        <w:tab w:val="left" w:pos="1417"/>
        <w:tab w:val="left" w:pos="2126"/>
        <w:tab w:val="left" w:pos="2835"/>
      </w:tabs>
      <w:spacing w:line="360" w:lineRule="auto"/>
      <w:ind w:left="360" w:hanging="360"/>
      <w:jc w:val="left"/>
    </w:pPr>
    <w:rPr>
      <w:rFonts w:eastAsia="Times New Roman"/>
      <w:lang w:eastAsia="fr-BE"/>
    </w:rPr>
  </w:style>
  <w:style w:type="paragraph" w:customStyle="1" w:styleId="pointdouble1">
    <w:name w:val="point double 1"/>
    <w:basedOn w:val="Text1"/>
    <w:pPr>
      <w:spacing w:line="360" w:lineRule="auto"/>
      <w:jc w:val="left"/>
    </w:pPr>
    <w:rPr>
      <w:rFonts w:eastAsia="Times New Roman"/>
      <w:lang w:eastAsia="en-GB"/>
    </w:rPr>
  </w:style>
  <w:style w:type="character" w:customStyle="1" w:styleId="CRMarker">
    <w:name w:val="CR Marker"/>
    <w:uiPriority w:val="99"/>
    <w:rPr>
      <w:rFonts w:ascii="Wingdings" w:hAnsi="Wingdings" w:cs="Times New Roman"/>
    </w:rPr>
  </w:style>
  <w:style w:type="paragraph" w:customStyle="1" w:styleId="CRReference">
    <w:name w:val="CR Reference"/>
    <w:basedOn w:val="Normal"/>
    <w:pPr>
      <w:keepNext/>
      <w:pBdr>
        <w:top w:val="single" w:sz="4" w:space="1" w:color="auto"/>
        <w:left w:val="single" w:sz="4" w:space="2" w:color="auto"/>
        <w:bottom w:val="single" w:sz="4" w:space="1" w:color="auto"/>
        <w:right w:val="single" w:sz="4" w:space="0" w:color="auto"/>
      </w:pBdr>
      <w:spacing w:before="0" w:after="0" w:line="360" w:lineRule="auto"/>
      <w:ind w:left="5669" w:right="40"/>
      <w:jc w:val="left"/>
    </w:pPr>
    <w:rPr>
      <w:rFonts w:eastAsia="Times New Roman"/>
      <w:lang w:eastAsia="fr-BE"/>
    </w:rPr>
  </w:style>
  <w:style w:type="character" w:customStyle="1" w:styleId="CRRefNum">
    <w:name w:val="CR RefNum"/>
    <w:uiPriority w:val="99"/>
    <w:rPr>
      <w:rFonts w:cs="Times New Roman"/>
      <w:vertAlign w:val="subscript"/>
    </w:rPr>
  </w:style>
  <w:style w:type="paragraph" w:customStyle="1" w:styleId="CRSeparator">
    <w:name w:val="CR Separator"/>
    <w:basedOn w:val="Normal"/>
    <w:next w:val="CRReference"/>
    <w:pPr>
      <w:keepNext/>
      <w:pBdr>
        <w:top w:val="single" w:sz="4" w:space="1" w:color="auto"/>
      </w:pBdr>
      <w:spacing w:before="240" w:line="360" w:lineRule="auto"/>
      <w:ind w:right="40"/>
      <w:jc w:val="left"/>
    </w:pPr>
    <w:rPr>
      <w:rFonts w:eastAsia="Times New Roman"/>
      <w:lang w:eastAsia="fr-BE"/>
    </w:rPr>
  </w:style>
  <w:style w:type="paragraph" w:customStyle="1" w:styleId="pj">
    <w:name w:val="p.j."/>
    <w:basedOn w:val="Normal"/>
    <w:next w:val="Normal"/>
    <w:pPr>
      <w:numPr>
        <w:numId w:val="18"/>
      </w:numPr>
      <w:tabs>
        <w:tab w:val="clear" w:pos="1560"/>
      </w:tabs>
      <w:spacing w:before="1200" w:line="360" w:lineRule="auto"/>
      <w:ind w:left="1440" w:hanging="1440"/>
      <w:jc w:val="left"/>
    </w:pPr>
    <w:rPr>
      <w:rFonts w:eastAsia="Times New Roman"/>
      <w:lang w:eastAsia="en-GB"/>
    </w:rPr>
  </w:style>
  <w:style w:type="paragraph" w:styleId="NoteHeading">
    <w:name w:val="Note Heading"/>
    <w:basedOn w:val="Normal"/>
    <w:next w:val="Normal"/>
    <w:link w:val="NoteHeadingChar"/>
    <w:pPr>
      <w:spacing w:line="360" w:lineRule="auto"/>
      <w:jc w:val="left"/>
    </w:pPr>
    <w:rPr>
      <w:rFonts w:eastAsia="Times New Roman"/>
      <w:lang w:eastAsia="fr-BE"/>
    </w:rPr>
  </w:style>
  <w:style w:type="character" w:customStyle="1" w:styleId="NoteHeadingChar">
    <w:name w:val="Note Heading Char"/>
    <w:basedOn w:val="DefaultParagraphFont"/>
    <w:link w:val="NoteHeading"/>
    <w:rPr>
      <w:rFonts w:ascii="Times New Roman" w:eastAsia="Times New Roman" w:hAnsi="Times New Roman" w:cs="Times New Roman"/>
      <w:sz w:val="24"/>
      <w:lang w:val="en-GB" w:eastAsia="fr-BE"/>
    </w:rPr>
  </w:style>
  <w:style w:type="paragraph" w:styleId="Salutation">
    <w:name w:val="Salutation"/>
    <w:basedOn w:val="Normal"/>
    <w:next w:val="Normal"/>
    <w:link w:val="SalutationChar"/>
    <w:pPr>
      <w:spacing w:line="360" w:lineRule="auto"/>
      <w:jc w:val="left"/>
    </w:pPr>
    <w:rPr>
      <w:rFonts w:eastAsia="Times New Roman"/>
      <w:lang w:eastAsia="fr-BE"/>
    </w:rPr>
  </w:style>
  <w:style w:type="character" w:customStyle="1" w:styleId="SalutationChar">
    <w:name w:val="Salutation Char"/>
    <w:basedOn w:val="DefaultParagraphFont"/>
    <w:link w:val="Salutation"/>
    <w:rPr>
      <w:rFonts w:ascii="Times New Roman" w:eastAsia="Times New Roman" w:hAnsi="Times New Roman" w:cs="Times New Roman"/>
      <w:sz w:val="24"/>
      <w:lang w:val="en-GB" w:eastAsia="fr-BE"/>
    </w:rPr>
  </w:style>
  <w:style w:type="paragraph" w:styleId="TableofAuthorities">
    <w:name w:val="table of authorities"/>
    <w:basedOn w:val="Normal"/>
    <w:next w:val="Normal"/>
    <w:pPr>
      <w:spacing w:line="360" w:lineRule="auto"/>
      <w:ind w:left="240" w:hanging="240"/>
      <w:jc w:val="left"/>
    </w:pPr>
    <w:rPr>
      <w:rFonts w:eastAsia="Times New Roman"/>
      <w:lang w:eastAsia="fr-BE"/>
    </w:rPr>
  </w:style>
  <w:style w:type="character" w:customStyle="1" w:styleId="CRTextDeleted">
    <w:name w:val="CR TextDeleted"/>
    <w:rPr>
      <w:rFonts w:cs="Times New Roman"/>
    </w:rPr>
  </w:style>
  <w:style w:type="paragraph" w:customStyle="1" w:styleId="CRParaDeleted">
    <w:name w:val="CR ParaDeleted"/>
    <w:basedOn w:val="Normal"/>
    <w:next w:val="Normal"/>
    <w:pPr>
      <w:spacing w:line="360" w:lineRule="auto"/>
      <w:jc w:val="left"/>
    </w:pPr>
    <w:rPr>
      <w:rFonts w:eastAsia="Times New Roman"/>
      <w:lang w:eastAsia="fr-BE"/>
    </w:rPr>
  </w:style>
  <w:style w:type="paragraph" w:customStyle="1" w:styleId="Style3">
    <w:name w:val="Style 3"/>
    <w:basedOn w:val="Normal"/>
    <w:pPr>
      <w:spacing w:before="0" w:after="0" w:line="264" w:lineRule="atLeast"/>
    </w:pPr>
    <w:rPr>
      <w:rFonts w:eastAsia="Times New Roman"/>
      <w:lang w:val="en-US" w:eastAsia="en-GB"/>
    </w:rPr>
  </w:style>
  <w:style w:type="paragraph" w:customStyle="1" w:styleId="ManualNumpar1">
    <w:name w:val="Manual Numpar 1"/>
    <w:basedOn w:val="Normal"/>
    <w:pPr>
      <w:spacing w:before="0" w:after="0"/>
    </w:pPr>
    <w:rPr>
      <w:rFonts w:eastAsia="Times New Roman"/>
      <w:lang w:eastAsia="en-GB"/>
    </w:rPr>
  </w:style>
  <w:style w:type="paragraph" w:customStyle="1" w:styleId="text10">
    <w:name w:val="text 1"/>
    <w:basedOn w:val="Normal"/>
    <w:next w:val="Text1"/>
    <w:pPr>
      <w:spacing w:before="0" w:after="0"/>
      <w:ind w:left="720" w:hanging="720"/>
    </w:pPr>
    <w:rPr>
      <w:rFonts w:eastAsia="Times New Roman"/>
      <w:lang w:eastAsia="en-GB"/>
    </w:rPr>
  </w:style>
  <w:style w:type="paragraph" w:customStyle="1" w:styleId="Am">
    <w:name w:val="Am"/>
    <w:basedOn w:val="Titrearticle"/>
    <w:pPr>
      <w:spacing w:before="0" w:after="240"/>
    </w:pPr>
    <w:rPr>
      <w:rFonts w:eastAsia="Times New Roman"/>
      <w:i w:val="0"/>
      <w:lang w:eastAsia="en-GB"/>
    </w:rPr>
  </w:style>
  <w:style w:type="paragraph" w:customStyle="1" w:styleId="pointdouble0">
    <w:name w:val="point double 0"/>
    <w:basedOn w:val="pointdouble1"/>
  </w:style>
  <w:style w:type="paragraph" w:customStyle="1" w:styleId="ManualPar1">
    <w:name w:val="Manual Par1."/>
    <w:basedOn w:val="Normal"/>
    <w:rPr>
      <w:rFonts w:eastAsia="Times New Roman"/>
      <w:lang w:eastAsia="de-DE"/>
    </w:rPr>
  </w:style>
  <w:style w:type="paragraph" w:customStyle="1" w:styleId="Noprmal">
    <w:name w:val="Noprmal"/>
    <w:basedOn w:val="Normal"/>
    <w:pPr>
      <w:jc w:val="center"/>
    </w:pPr>
    <w:rPr>
      <w:rFonts w:eastAsia="Times New Roman"/>
      <w:b/>
      <w:u w:val="single"/>
      <w:lang w:eastAsia="de-DE"/>
    </w:rPr>
  </w:style>
  <w:style w:type="character" w:customStyle="1" w:styleId="cataloguedetail-doctitle1">
    <w:name w:val="cataloguedetail-doctitle1"/>
    <w:rPr>
      <w:rFonts w:ascii="Verdana" w:hAnsi="Verdana" w:cs="Times New Roman"/>
      <w:b/>
      <w:bCs/>
      <w:color w:val="002597"/>
      <w:sz w:val="18"/>
      <w:szCs w:val="18"/>
    </w:rPr>
  </w:style>
  <w:style w:type="character" w:customStyle="1" w:styleId="hps">
    <w:name w:val="hps"/>
    <w:rPr>
      <w:shd w:val="clear" w:color="auto" w:fill="auto"/>
    </w:rPr>
  </w:style>
  <w:style w:type="character" w:customStyle="1" w:styleId="hpsatn">
    <w:name w:val="hps atn"/>
    <w:rPr>
      <w:shd w:val="clear" w:color="auto" w:fill="auto"/>
    </w:rPr>
  </w:style>
  <w:style w:type="paragraph" w:customStyle="1" w:styleId="PointO">
    <w:name w:val="Point O"/>
    <w:basedOn w:val="Normal"/>
    <w:pPr>
      <w:widowControl w:val="0"/>
      <w:tabs>
        <w:tab w:val="left" w:pos="1240"/>
      </w:tabs>
      <w:autoSpaceDE w:val="0"/>
      <w:autoSpaceDN w:val="0"/>
      <w:adjustRightInd w:val="0"/>
      <w:spacing w:after="0"/>
      <w:ind w:left="118"/>
    </w:pPr>
    <w:rPr>
      <w:rFonts w:ascii="Arial" w:eastAsia="Times New Roman" w:hAnsi="Arial" w:cs="Arial"/>
      <w:spacing w:val="8"/>
      <w:sz w:val="18"/>
      <w:szCs w:val="18"/>
      <w:lang w:eastAsia="de-DE"/>
    </w:rPr>
  </w:style>
  <w:style w:type="paragraph" w:customStyle="1" w:styleId="text20">
    <w:name w:val="text2"/>
    <w:basedOn w:val="Normal"/>
    <w:rPr>
      <w:rFonts w:eastAsia="Times New Roman"/>
      <w:lang w:eastAsia="de-DE"/>
    </w:rPr>
  </w:style>
  <w:style w:type="paragraph" w:customStyle="1" w:styleId="text0">
    <w:name w:val="text 0"/>
    <w:basedOn w:val="Normal"/>
    <w:rPr>
      <w:rFonts w:eastAsia="Times New Roman"/>
      <w:lang w:eastAsia="de-DE"/>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lang w:eastAsia="en-GB"/>
    </w:rPr>
  </w:style>
  <w:style w:type="character" w:customStyle="1" w:styleId="small">
    <w:name w:val="small"/>
    <w:basedOn w:val="DefaultParagraphFont"/>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Titreobjet">
    <w:name w:val="Titre objet"/>
    <w:basedOn w:val="Normal"/>
    <w:next w:val="Sous-titreobjet"/>
    <w:pPr>
      <w:spacing w:before="180" w:after="18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DeltaViewInsertion">
    <w:name w:val="DeltaView Insertion"/>
    <w:uiPriority w:val="99"/>
    <w:rPr>
      <w:b/>
      <w:i/>
      <w:color w:val="000000"/>
    </w:rPr>
  </w:style>
  <w:style w:type="paragraph" w:customStyle="1" w:styleId="PointDouble00">
    <w:name w:val="PointDouble 0"/>
    <w:basedOn w:val="Normal"/>
    <w:pPr>
      <w:tabs>
        <w:tab w:val="left" w:pos="850"/>
      </w:tabs>
      <w:ind w:left="1417" w:hanging="1417"/>
    </w:pPr>
  </w:style>
  <w:style w:type="paragraph" w:customStyle="1" w:styleId="PointDouble10">
    <w:name w:val="PointDouble 1"/>
    <w:basedOn w:val="Normal"/>
    <w:pPr>
      <w:tabs>
        <w:tab w:val="left" w:pos="1417"/>
      </w:tabs>
      <w:ind w:left="1984" w:hanging="1134"/>
    </w:pPr>
  </w:style>
  <w:style w:type="paragraph" w:customStyle="1" w:styleId="ManualNumPar10">
    <w:name w:val="Manual NumPar 1"/>
    <w:basedOn w:val="Normal"/>
    <w:next w:val="Text1"/>
    <w:pPr>
      <w:ind w:left="850" w:hanging="850"/>
    </w:pPr>
  </w:style>
  <w:style w:type="paragraph" w:customStyle="1" w:styleId="PointDouble01">
    <w:name w:val="PointDouble 0"/>
    <w:basedOn w:val="Normal"/>
    <w:pPr>
      <w:tabs>
        <w:tab w:val="left" w:pos="850"/>
      </w:tabs>
      <w:ind w:left="1417" w:hanging="1417"/>
    </w:pPr>
  </w:style>
  <w:style w:type="paragraph" w:customStyle="1" w:styleId="PointDouble11">
    <w:name w:val="PointDouble 1"/>
    <w:basedOn w:val="Normal"/>
    <w:pPr>
      <w:tabs>
        <w:tab w:val="left" w:pos="1417"/>
      </w:tabs>
      <w:ind w:left="1984" w:hanging="1134"/>
    </w:pPr>
  </w:style>
  <w:style w:type="paragraph" w:customStyle="1" w:styleId="ManualNumPar11">
    <w:name w:val="Manual NumPar 1"/>
    <w:basedOn w:val="Normal"/>
    <w:next w:val="Text1"/>
    <w:pPr>
      <w:ind w:left="850" w:hanging="850"/>
    </w:pPr>
  </w:style>
  <w:style w:type="paragraph" w:customStyle="1" w:styleId="PointDouble02">
    <w:name w:val="PointDouble 0"/>
    <w:basedOn w:val="Normal"/>
    <w:pPr>
      <w:tabs>
        <w:tab w:val="left" w:pos="850"/>
      </w:tabs>
      <w:ind w:left="1417" w:hanging="1417"/>
    </w:pPr>
  </w:style>
  <w:style w:type="paragraph" w:customStyle="1" w:styleId="PointDouble12">
    <w:name w:val="PointDouble 1"/>
    <w:basedOn w:val="Normal"/>
    <w:pPr>
      <w:tabs>
        <w:tab w:val="left" w:pos="1417"/>
      </w:tabs>
      <w:ind w:left="1984" w:hanging="1134"/>
    </w:pPr>
  </w:style>
  <w:style w:type="paragraph" w:customStyle="1" w:styleId="ManualNumPar12">
    <w:name w:val="Manual NumPar 1"/>
    <w:basedOn w:val="Normal"/>
    <w:next w:val="Text1"/>
    <w:pPr>
      <w:ind w:left="850" w:hanging="850"/>
    </w:pPr>
  </w:style>
  <w:style w:type="paragraph" w:customStyle="1" w:styleId="PointDouble03">
    <w:name w:val="PointDouble 0"/>
    <w:basedOn w:val="Normal"/>
    <w:pPr>
      <w:tabs>
        <w:tab w:val="left" w:pos="850"/>
      </w:tabs>
      <w:ind w:left="1417" w:hanging="1417"/>
    </w:pPr>
  </w:style>
  <w:style w:type="paragraph" w:customStyle="1" w:styleId="PointDouble13">
    <w:name w:val="PointDouble 1"/>
    <w:basedOn w:val="Normal"/>
    <w:pPr>
      <w:tabs>
        <w:tab w:val="left" w:pos="1417"/>
      </w:tabs>
      <w:ind w:left="1984" w:hanging="1134"/>
    </w:pPr>
  </w:style>
  <w:style w:type="paragraph" w:customStyle="1" w:styleId="ManualNumPar13">
    <w:name w:val="Manual NumPar 1"/>
    <w:basedOn w:val="Normal"/>
    <w:next w:val="Text1"/>
    <w:pPr>
      <w:ind w:left="850" w:hanging="850"/>
    </w:pPr>
  </w:style>
  <w:style w:type="paragraph" w:customStyle="1" w:styleId="PointDouble04">
    <w:name w:val="PointDouble 0"/>
    <w:basedOn w:val="Normal"/>
    <w:pPr>
      <w:tabs>
        <w:tab w:val="left" w:pos="850"/>
      </w:tabs>
      <w:ind w:left="1417" w:hanging="1417"/>
    </w:pPr>
  </w:style>
  <w:style w:type="paragraph" w:customStyle="1" w:styleId="PointDouble14">
    <w:name w:val="PointDouble 1"/>
    <w:basedOn w:val="Normal"/>
    <w:pPr>
      <w:tabs>
        <w:tab w:val="left" w:pos="1417"/>
      </w:tabs>
      <w:ind w:left="1984" w:hanging="1134"/>
    </w:pPr>
  </w:style>
  <w:style w:type="paragraph" w:customStyle="1" w:styleId="ManualNumPar14">
    <w:name w:val="Manual NumPar 1"/>
    <w:basedOn w:val="Normal"/>
    <w:next w:val="Text1"/>
    <w:pPr>
      <w:ind w:left="850" w:hanging="850"/>
    </w:pPr>
  </w:style>
  <w:style w:type="paragraph" w:customStyle="1" w:styleId="PointDouble05">
    <w:name w:val="PointDouble 0"/>
    <w:basedOn w:val="Normal"/>
    <w:pPr>
      <w:tabs>
        <w:tab w:val="left" w:pos="850"/>
      </w:tabs>
      <w:ind w:left="1417" w:hanging="1417"/>
    </w:pPr>
  </w:style>
  <w:style w:type="paragraph" w:customStyle="1" w:styleId="PointDouble15">
    <w:name w:val="PointDouble 1"/>
    <w:basedOn w:val="Normal"/>
    <w:pPr>
      <w:tabs>
        <w:tab w:val="left" w:pos="1417"/>
      </w:tabs>
      <w:ind w:left="1984" w:hanging="1134"/>
    </w:pPr>
  </w:style>
  <w:style w:type="paragraph" w:customStyle="1" w:styleId="ManualNumPar15">
    <w:name w:val="Manual NumPar 1"/>
    <w:basedOn w:val="Normal"/>
    <w:next w:val="Text1"/>
    <w:pPr>
      <w:ind w:left="850" w:hanging="850"/>
    </w:pPr>
  </w:style>
  <w:style w:type="paragraph" w:customStyle="1" w:styleId="PointDouble06">
    <w:name w:val="PointDouble 0"/>
    <w:basedOn w:val="Normal"/>
    <w:pPr>
      <w:tabs>
        <w:tab w:val="left" w:pos="850"/>
      </w:tabs>
      <w:ind w:left="1417" w:hanging="1417"/>
    </w:pPr>
  </w:style>
  <w:style w:type="paragraph" w:customStyle="1" w:styleId="PointDouble16">
    <w:name w:val="PointDouble 1"/>
    <w:basedOn w:val="Normal"/>
    <w:pPr>
      <w:tabs>
        <w:tab w:val="left" w:pos="1417"/>
      </w:tabs>
      <w:ind w:left="1984" w:hanging="1134"/>
    </w:pPr>
  </w:style>
  <w:style w:type="paragraph" w:customStyle="1" w:styleId="ManualNumPar16">
    <w:name w:val="Manual NumPar 1"/>
    <w:basedOn w:val="Normal"/>
    <w:next w:val="Text1"/>
    <w:pPr>
      <w:ind w:left="850" w:hanging="850"/>
    </w:pPr>
  </w:style>
  <w:style w:type="paragraph" w:customStyle="1" w:styleId="PointDouble07">
    <w:name w:val="PointDouble 0"/>
    <w:basedOn w:val="Normal"/>
    <w:pPr>
      <w:tabs>
        <w:tab w:val="left" w:pos="850"/>
      </w:tabs>
      <w:ind w:left="1417" w:hanging="1417"/>
    </w:pPr>
  </w:style>
  <w:style w:type="paragraph" w:customStyle="1" w:styleId="PointDouble17">
    <w:name w:val="PointDouble 1"/>
    <w:basedOn w:val="Normal"/>
    <w:pPr>
      <w:tabs>
        <w:tab w:val="left" w:pos="1417"/>
      </w:tabs>
      <w:ind w:left="1984" w:hanging="1134"/>
    </w:pPr>
  </w:style>
  <w:style w:type="paragraph" w:customStyle="1" w:styleId="ManualNumPar17">
    <w:name w:val="Manual NumPar 1"/>
    <w:basedOn w:val="Normal"/>
    <w:next w:val="Text1"/>
    <w:pPr>
      <w:ind w:left="850" w:hanging="850"/>
    </w:pPr>
  </w:style>
  <w:style w:type="paragraph" w:customStyle="1" w:styleId="PointDouble08">
    <w:name w:val="PointDouble 0"/>
    <w:basedOn w:val="Normal"/>
    <w:pPr>
      <w:tabs>
        <w:tab w:val="left" w:pos="850"/>
      </w:tabs>
      <w:ind w:left="1417" w:hanging="1417"/>
    </w:pPr>
  </w:style>
  <w:style w:type="paragraph" w:customStyle="1" w:styleId="PointDouble18">
    <w:name w:val="PointDouble 1"/>
    <w:basedOn w:val="Normal"/>
    <w:pPr>
      <w:tabs>
        <w:tab w:val="left" w:pos="1417"/>
      </w:tabs>
      <w:ind w:left="1984" w:hanging="1134"/>
    </w:pPr>
  </w:style>
  <w:style w:type="paragraph" w:customStyle="1" w:styleId="ManualNumPar18">
    <w:name w:val="Manual NumPar 1"/>
    <w:basedOn w:val="Normal"/>
    <w:next w:val="Text1"/>
    <w:pPr>
      <w:ind w:left="850" w:hanging="850"/>
    </w:pPr>
  </w:style>
  <w:style w:type="paragraph" w:customStyle="1" w:styleId="PointDouble09">
    <w:name w:val="PointDouble 0"/>
    <w:basedOn w:val="Normal"/>
    <w:pPr>
      <w:tabs>
        <w:tab w:val="left" w:pos="850"/>
      </w:tabs>
      <w:ind w:left="1417" w:hanging="1417"/>
    </w:pPr>
  </w:style>
  <w:style w:type="paragraph" w:customStyle="1" w:styleId="PointDouble19">
    <w:name w:val="PointDouble 1"/>
    <w:basedOn w:val="Normal"/>
    <w:pPr>
      <w:tabs>
        <w:tab w:val="left" w:pos="1417"/>
      </w:tabs>
      <w:ind w:left="1984" w:hanging="1134"/>
    </w:pPr>
  </w:style>
  <w:style w:type="paragraph" w:customStyle="1" w:styleId="ManualNumPar19">
    <w:name w:val="Manual NumPar 1"/>
    <w:basedOn w:val="Normal"/>
    <w:next w:val="Text1"/>
    <w:pPr>
      <w:ind w:left="850" w:hanging="850"/>
    </w:pPr>
  </w:style>
  <w:style w:type="paragraph" w:customStyle="1" w:styleId="PointDouble0a">
    <w:name w:val="PointDouble 0"/>
    <w:basedOn w:val="Normal"/>
    <w:pPr>
      <w:tabs>
        <w:tab w:val="left" w:pos="850"/>
      </w:tabs>
      <w:ind w:left="1417" w:hanging="1417"/>
    </w:pPr>
  </w:style>
  <w:style w:type="paragraph" w:customStyle="1" w:styleId="PointDouble1a">
    <w:name w:val="PointDouble 1"/>
    <w:basedOn w:val="Normal"/>
    <w:pPr>
      <w:tabs>
        <w:tab w:val="left" w:pos="1417"/>
      </w:tabs>
      <w:ind w:left="1984" w:hanging="1134"/>
    </w:pPr>
  </w:style>
  <w:style w:type="paragraph" w:customStyle="1" w:styleId="ManualNumPar1a">
    <w:name w:val="Manual NumPar 1"/>
    <w:basedOn w:val="Normal"/>
    <w:next w:val="Text1"/>
    <w:pPr>
      <w:ind w:left="850" w:hanging="850"/>
    </w:pPr>
  </w:style>
  <w:style w:type="paragraph" w:customStyle="1" w:styleId="PointDouble0b">
    <w:name w:val="PointDouble 0"/>
    <w:basedOn w:val="Normal"/>
    <w:pPr>
      <w:tabs>
        <w:tab w:val="left" w:pos="850"/>
      </w:tabs>
      <w:ind w:left="1417" w:hanging="1417"/>
    </w:pPr>
  </w:style>
  <w:style w:type="paragraph" w:customStyle="1" w:styleId="PointDouble1b">
    <w:name w:val="PointDouble 1"/>
    <w:basedOn w:val="Normal"/>
    <w:pPr>
      <w:tabs>
        <w:tab w:val="left" w:pos="1417"/>
      </w:tabs>
      <w:ind w:left="1984" w:hanging="1134"/>
    </w:pPr>
  </w:style>
  <w:style w:type="paragraph" w:customStyle="1" w:styleId="ManualNumPar1b">
    <w:name w:val="Manual NumPar 1"/>
    <w:basedOn w:val="Normal"/>
    <w:next w:val="Text1"/>
    <w:pPr>
      <w:ind w:left="850" w:hanging="850"/>
    </w:pPr>
  </w:style>
  <w:style w:type="paragraph" w:styleId="Revision">
    <w:name w:val="Revision"/>
    <w:hidden/>
    <w:semiHidden/>
    <w:pPr>
      <w:spacing w:after="0" w:line="240" w:lineRule="auto"/>
    </w:pPr>
    <w:rPr>
      <w:rFonts w:ascii="Times New Roman" w:hAnsi="Times New Roman" w:cs="Times New Roman"/>
      <w:sz w:val="24"/>
      <w:lang w:val="en-GB"/>
    </w:rPr>
  </w:style>
  <w:style w:type="paragraph" w:customStyle="1" w:styleId="PointDouble0c">
    <w:name w:val="PointDouble 0"/>
    <w:basedOn w:val="Normal"/>
    <w:pPr>
      <w:tabs>
        <w:tab w:val="left" w:pos="850"/>
      </w:tabs>
      <w:ind w:left="1417" w:hanging="1417"/>
    </w:pPr>
  </w:style>
  <w:style w:type="paragraph" w:customStyle="1" w:styleId="PointDouble1c">
    <w:name w:val="PointDouble 1"/>
    <w:basedOn w:val="Normal"/>
    <w:pPr>
      <w:tabs>
        <w:tab w:val="left" w:pos="1417"/>
      </w:tabs>
      <w:ind w:left="1984" w:hanging="1134"/>
    </w:pPr>
  </w:style>
  <w:style w:type="paragraph" w:customStyle="1" w:styleId="ManualNumPar1c">
    <w:name w:val="Manual NumPar 1"/>
    <w:basedOn w:val="Normal"/>
    <w:next w:val="Text1"/>
    <w:pPr>
      <w:ind w:left="850" w:hanging="850"/>
    </w:pPr>
  </w:style>
  <w:style w:type="paragraph" w:customStyle="1" w:styleId="PointDouble0d">
    <w:name w:val="PointDouble 0"/>
    <w:basedOn w:val="Normal"/>
    <w:pPr>
      <w:tabs>
        <w:tab w:val="left" w:pos="850"/>
      </w:tabs>
      <w:ind w:left="1417" w:hanging="1417"/>
    </w:pPr>
  </w:style>
  <w:style w:type="paragraph" w:customStyle="1" w:styleId="PointDouble1d">
    <w:name w:val="PointDouble 1"/>
    <w:basedOn w:val="Normal"/>
    <w:pPr>
      <w:tabs>
        <w:tab w:val="left" w:pos="1417"/>
      </w:tabs>
      <w:ind w:left="1984" w:hanging="1134"/>
    </w:pPr>
  </w:style>
  <w:style w:type="paragraph" w:customStyle="1" w:styleId="ManualNumPar1d">
    <w:name w:val="Manual NumPar 1"/>
    <w:basedOn w:val="Normal"/>
    <w:next w:val="Text1"/>
    <w:pPr>
      <w:ind w:left="850" w:hanging="850"/>
    </w:pPr>
  </w:style>
  <w:style w:type="paragraph" w:customStyle="1" w:styleId="PointDouble0e">
    <w:name w:val="PointDouble 0"/>
    <w:basedOn w:val="Normal"/>
    <w:pPr>
      <w:tabs>
        <w:tab w:val="left" w:pos="850"/>
      </w:tabs>
      <w:ind w:left="1417" w:hanging="1417"/>
    </w:pPr>
  </w:style>
  <w:style w:type="paragraph" w:customStyle="1" w:styleId="PointDouble1e">
    <w:name w:val="PointDouble 1"/>
    <w:basedOn w:val="Normal"/>
    <w:pPr>
      <w:tabs>
        <w:tab w:val="left" w:pos="1417"/>
      </w:tabs>
      <w:ind w:left="1984" w:hanging="1134"/>
    </w:pPr>
  </w:style>
  <w:style w:type="paragraph" w:customStyle="1" w:styleId="ManualNumPar1e">
    <w:name w:val="Manual NumPar 1"/>
    <w:basedOn w:val="Normal"/>
    <w:next w:val="Text1"/>
    <w:pPr>
      <w:ind w:left="850" w:hanging="850"/>
    </w:pPr>
  </w:style>
  <w:style w:type="paragraph" w:customStyle="1" w:styleId="PointDouble0f">
    <w:name w:val="PointDouble 0"/>
    <w:basedOn w:val="Normal"/>
    <w:pPr>
      <w:tabs>
        <w:tab w:val="left" w:pos="850"/>
      </w:tabs>
      <w:ind w:left="1417" w:hanging="1417"/>
    </w:pPr>
  </w:style>
  <w:style w:type="paragraph" w:customStyle="1" w:styleId="PointDouble1f">
    <w:name w:val="PointDouble 1"/>
    <w:basedOn w:val="Normal"/>
    <w:pPr>
      <w:tabs>
        <w:tab w:val="left" w:pos="1417"/>
      </w:tabs>
      <w:ind w:left="1984" w:hanging="1134"/>
    </w:pPr>
  </w:style>
  <w:style w:type="paragraph" w:customStyle="1" w:styleId="ManualNumPar1f">
    <w:name w:val="Manual NumPar 1"/>
    <w:basedOn w:val="Normal"/>
    <w:next w:val="Text1"/>
    <w:pPr>
      <w:ind w:left="850" w:hanging="850"/>
    </w:pPr>
  </w:style>
  <w:style w:type="paragraph" w:customStyle="1" w:styleId="PointDouble0f0">
    <w:name w:val="PointDouble 0"/>
    <w:basedOn w:val="Normal"/>
    <w:pPr>
      <w:tabs>
        <w:tab w:val="left" w:pos="850"/>
      </w:tabs>
      <w:ind w:left="1417" w:hanging="1417"/>
    </w:pPr>
  </w:style>
  <w:style w:type="paragraph" w:customStyle="1" w:styleId="PointDouble1f0">
    <w:name w:val="PointDouble 1"/>
    <w:basedOn w:val="Normal"/>
    <w:pPr>
      <w:tabs>
        <w:tab w:val="left" w:pos="1417"/>
      </w:tabs>
      <w:ind w:left="1984" w:hanging="1134"/>
    </w:pPr>
  </w:style>
  <w:style w:type="paragraph" w:customStyle="1" w:styleId="ManualNumPar1f0">
    <w:name w:val="Manual NumPar 1"/>
    <w:basedOn w:val="Normal"/>
    <w:next w:val="Text1"/>
    <w:pPr>
      <w:ind w:left="850" w:hanging="850"/>
    </w:pPr>
  </w:style>
  <w:style w:type="paragraph" w:customStyle="1" w:styleId="PointDouble0f1">
    <w:name w:val="PointDouble 0"/>
    <w:basedOn w:val="Normal"/>
    <w:pPr>
      <w:tabs>
        <w:tab w:val="left" w:pos="850"/>
      </w:tabs>
      <w:ind w:left="1417" w:hanging="1417"/>
    </w:pPr>
  </w:style>
  <w:style w:type="paragraph" w:customStyle="1" w:styleId="PointDouble1f1">
    <w:name w:val="PointDouble 1"/>
    <w:basedOn w:val="Normal"/>
    <w:pPr>
      <w:tabs>
        <w:tab w:val="left" w:pos="1417"/>
      </w:tabs>
      <w:ind w:left="1984" w:hanging="1134"/>
    </w:pPr>
  </w:style>
  <w:style w:type="paragraph" w:customStyle="1" w:styleId="ManualNumPar1f1">
    <w:name w:val="Manual NumPar 1"/>
    <w:basedOn w:val="Normal"/>
    <w:next w:val="Text1"/>
    <w:pPr>
      <w:ind w:left="850" w:hanging="850"/>
    </w:pPr>
  </w:style>
  <w:style w:type="paragraph" w:customStyle="1" w:styleId="PointDouble0f2">
    <w:name w:val="PointDouble 0"/>
    <w:basedOn w:val="Normal"/>
    <w:pPr>
      <w:tabs>
        <w:tab w:val="left" w:pos="850"/>
      </w:tabs>
      <w:ind w:left="1417" w:hanging="1417"/>
    </w:pPr>
  </w:style>
  <w:style w:type="paragraph" w:customStyle="1" w:styleId="PointDouble1f2">
    <w:name w:val="PointDouble 1"/>
    <w:basedOn w:val="Normal"/>
    <w:pPr>
      <w:tabs>
        <w:tab w:val="left" w:pos="1417"/>
      </w:tabs>
      <w:ind w:left="1984" w:hanging="1134"/>
    </w:pPr>
  </w:style>
  <w:style w:type="paragraph" w:customStyle="1" w:styleId="ManualNumPar1f2">
    <w:name w:val="Manual NumPar 1"/>
    <w:basedOn w:val="Normal"/>
    <w:next w:val="Text1"/>
    <w:pPr>
      <w:ind w:left="850" w:hanging="850"/>
    </w:pPr>
  </w:style>
  <w:style w:type="paragraph" w:customStyle="1" w:styleId="PointDouble0f3">
    <w:name w:val="PointDouble 0"/>
    <w:basedOn w:val="Normal"/>
    <w:pPr>
      <w:tabs>
        <w:tab w:val="left" w:pos="850"/>
      </w:tabs>
      <w:ind w:left="1417" w:hanging="1417"/>
    </w:pPr>
  </w:style>
  <w:style w:type="paragraph" w:customStyle="1" w:styleId="PointDouble1f3">
    <w:name w:val="PointDouble 1"/>
    <w:basedOn w:val="Normal"/>
    <w:pPr>
      <w:tabs>
        <w:tab w:val="left" w:pos="1417"/>
      </w:tabs>
      <w:ind w:left="1984" w:hanging="1134"/>
    </w:pPr>
  </w:style>
  <w:style w:type="paragraph" w:customStyle="1" w:styleId="ManualNumPar1f3">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f4">
    <w:name w:val="PointDouble 0"/>
    <w:basedOn w:val="Normal"/>
    <w:pPr>
      <w:tabs>
        <w:tab w:val="left" w:pos="850"/>
      </w:tabs>
      <w:ind w:left="1417" w:hanging="1417"/>
    </w:pPr>
  </w:style>
  <w:style w:type="paragraph" w:customStyle="1" w:styleId="PointDouble1f4">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f4">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360" w:lineRule="auto"/>
      <w:jc w:val="left"/>
      <w:outlineLvl w:val="4"/>
    </w:pPr>
    <w:rPr>
      <w:rFonts w:eastAsia="Times New Roman"/>
      <w:b/>
      <w:bCs/>
      <w:i/>
      <w:iCs/>
      <w:sz w:val="26"/>
      <w:szCs w:val="26"/>
      <w:lang w:eastAsia="en-GB"/>
    </w:rPr>
  </w:style>
  <w:style w:type="paragraph" w:styleId="Heading6">
    <w:name w:val="heading 6"/>
    <w:basedOn w:val="Normal"/>
    <w:next w:val="Normal"/>
    <w:link w:val="Heading6Char"/>
    <w:qFormat/>
    <w:pPr>
      <w:spacing w:before="240" w:after="60" w:line="360" w:lineRule="auto"/>
      <w:jc w:val="left"/>
      <w:outlineLvl w:val="5"/>
    </w:pPr>
    <w:rPr>
      <w:rFonts w:eastAsia="Times New Roman"/>
      <w:b/>
      <w:bCs/>
      <w:sz w:val="22"/>
      <w:lang w:eastAsia="en-GB"/>
    </w:rPr>
  </w:style>
  <w:style w:type="paragraph" w:styleId="Heading7">
    <w:name w:val="heading 7"/>
    <w:basedOn w:val="Normal"/>
    <w:next w:val="Normal"/>
    <w:link w:val="Heading7Char"/>
    <w:qFormat/>
    <w:pPr>
      <w:spacing w:before="240" w:after="60" w:line="360" w:lineRule="auto"/>
      <w:jc w:val="left"/>
      <w:outlineLvl w:val="6"/>
    </w:pPr>
    <w:rPr>
      <w:rFonts w:eastAsia="Times New Roman"/>
      <w:lang w:eastAsia="en-GB"/>
    </w:rPr>
  </w:style>
  <w:style w:type="paragraph" w:styleId="Heading8">
    <w:name w:val="heading 8"/>
    <w:basedOn w:val="Normal"/>
    <w:next w:val="Normal"/>
    <w:link w:val="Heading8Char"/>
    <w:qFormat/>
    <w:pPr>
      <w:spacing w:before="240" w:after="60" w:line="360" w:lineRule="auto"/>
      <w:jc w:val="left"/>
      <w:outlineLvl w:val="7"/>
    </w:pPr>
    <w:rPr>
      <w:rFonts w:eastAsia="Times New Roman"/>
      <w:i/>
      <w:iCs/>
      <w:lang w:eastAsia="en-GB"/>
    </w:rPr>
  </w:style>
  <w:style w:type="paragraph" w:styleId="Heading9">
    <w:name w:val="heading 9"/>
    <w:basedOn w:val="Normal"/>
    <w:next w:val="Normal"/>
    <w:link w:val="Heading9Char"/>
    <w:qFormat/>
    <w:pPr>
      <w:spacing w:before="240" w:after="60" w:line="360" w:lineRule="auto"/>
      <w:jc w:val="left"/>
      <w:outlineLvl w:val="8"/>
    </w:pPr>
    <w:rPr>
      <w:rFonts w:ascii="Arial" w:eastAsia="Times New Roman" w:hAnsi="Arial" w:cs="Arial"/>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rPr>
      <w:rFonts w:ascii="Arial" w:eastAsia="Times New Roman" w:hAnsi="Arial" w:cs="Arial"/>
      <w:lang w:val="en-GB" w:eastAsia="en-GB"/>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Annexetitreacte">
    <w:name w:val="Annexe titre (acte)"/>
    <w:basedOn w:val="Normal"/>
    <w:next w:val="Normal"/>
    <w:pPr>
      <w:autoSpaceDE w:val="0"/>
      <w:autoSpaceDN w:val="0"/>
      <w:jc w:val="center"/>
    </w:pPr>
    <w:rPr>
      <w:rFonts w:eastAsia="Times New Roman"/>
      <w:b/>
      <w:bCs/>
      <w:szCs w:val="20"/>
      <w:u w:val="single"/>
      <w:lang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8"/>
      </w:numPr>
    </w:pPr>
    <w:rPr>
      <w:rFonts w:eastAsia="Times New Roman"/>
      <w:szCs w:val="24"/>
    </w:rPr>
  </w:style>
  <w:style w:type="paragraph" w:customStyle="1" w:styleId="ListNumberLevel2">
    <w:name w:val="List Number (Level 2)"/>
    <w:basedOn w:val="Normal"/>
    <w:pPr>
      <w:numPr>
        <w:ilvl w:val="1"/>
        <w:numId w:val="8"/>
      </w:numPr>
    </w:pPr>
    <w:rPr>
      <w:rFonts w:eastAsia="Times New Roman"/>
      <w:szCs w:val="24"/>
    </w:rPr>
  </w:style>
  <w:style w:type="paragraph" w:customStyle="1" w:styleId="ListNumberLevel3">
    <w:name w:val="List Number (Level 3)"/>
    <w:basedOn w:val="Normal"/>
    <w:pPr>
      <w:numPr>
        <w:ilvl w:val="2"/>
        <w:numId w:val="8"/>
      </w:numPr>
    </w:pPr>
    <w:rPr>
      <w:rFonts w:eastAsia="Times New Roman"/>
      <w:szCs w:val="24"/>
    </w:rPr>
  </w:style>
  <w:style w:type="paragraph" w:customStyle="1" w:styleId="ListNumberLevel4">
    <w:name w:val="List Number (Level 4)"/>
    <w:basedOn w:val="Normal"/>
    <w:pPr>
      <w:numPr>
        <w:ilvl w:val="3"/>
        <w:numId w:val="8"/>
      </w:numPr>
    </w:pPr>
    <w:rPr>
      <w:rFonts w:eastAsia="Times New Roman"/>
      <w:szCs w:val="24"/>
    </w:rPr>
  </w:style>
  <w:style w:type="paragraph" w:styleId="ListNumber2">
    <w:name w:val="List Number 2"/>
    <w:basedOn w:val="Normal"/>
    <w:pPr>
      <w:numPr>
        <w:numId w:val="26"/>
      </w:numPr>
    </w:pPr>
    <w:rPr>
      <w:rFonts w:eastAsia="Times New Roman"/>
      <w:lang w:eastAsia="de-DE"/>
    </w:rPr>
  </w:style>
  <w:style w:type="paragraph" w:styleId="ListNumber3">
    <w:name w:val="List Number 3"/>
    <w:basedOn w:val="Normal"/>
    <w:pPr>
      <w:numPr>
        <w:numId w:val="27"/>
      </w:numPr>
    </w:pPr>
    <w:rPr>
      <w:rFonts w:eastAsia="Times New Roman"/>
      <w:lang w:eastAsia="de-DE"/>
    </w:rPr>
  </w:style>
  <w:style w:type="paragraph" w:styleId="ListNumber4">
    <w:name w:val="List Number 4"/>
    <w:basedOn w:val="Normal"/>
    <w:pPr>
      <w:numPr>
        <w:numId w:val="28"/>
      </w:numPr>
    </w:pPr>
    <w:rPr>
      <w:rFonts w:eastAsia="Times New Roman"/>
      <w:lang w:eastAsia="de-DE"/>
    </w:rPr>
  </w:style>
  <w:style w:type="paragraph" w:customStyle="1" w:styleId="ListBullet1">
    <w:name w:val="List Bullet 1"/>
    <w:basedOn w:val="Normal"/>
    <w:pPr>
      <w:numPr>
        <w:numId w:val="19"/>
      </w:numPr>
    </w:pPr>
    <w:rPr>
      <w:rFonts w:eastAsia="Times New Roman"/>
      <w:lang w:eastAsia="de-DE"/>
    </w:rPr>
  </w:style>
  <w:style w:type="paragraph" w:customStyle="1" w:styleId="ListDash">
    <w:name w:val="List Dash"/>
    <w:basedOn w:val="Normal"/>
    <w:pPr>
      <w:numPr>
        <w:numId w:val="20"/>
      </w:numPr>
    </w:pPr>
    <w:rPr>
      <w:rFonts w:eastAsia="Times New Roman"/>
      <w:lang w:eastAsia="de-DE"/>
    </w:rPr>
  </w:style>
  <w:style w:type="paragraph" w:customStyle="1" w:styleId="ListDash1">
    <w:name w:val="List Dash 1"/>
    <w:basedOn w:val="Normal"/>
    <w:pPr>
      <w:numPr>
        <w:numId w:val="21"/>
      </w:numPr>
    </w:pPr>
    <w:rPr>
      <w:rFonts w:eastAsia="Times New Roman"/>
      <w:lang w:eastAsia="de-DE"/>
    </w:rPr>
  </w:style>
  <w:style w:type="paragraph" w:customStyle="1" w:styleId="ListDash2">
    <w:name w:val="List Dash 2"/>
    <w:basedOn w:val="Normal"/>
    <w:pPr>
      <w:numPr>
        <w:numId w:val="22"/>
      </w:numPr>
    </w:pPr>
    <w:rPr>
      <w:rFonts w:eastAsia="Times New Roman"/>
      <w:lang w:eastAsia="de-DE"/>
    </w:rPr>
  </w:style>
  <w:style w:type="paragraph" w:customStyle="1" w:styleId="ListDash3">
    <w:name w:val="List Dash 3"/>
    <w:basedOn w:val="Normal"/>
    <w:pPr>
      <w:numPr>
        <w:numId w:val="23"/>
      </w:numPr>
    </w:pPr>
    <w:rPr>
      <w:rFonts w:eastAsia="Times New Roman"/>
      <w:lang w:eastAsia="de-DE"/>
    </w:rPr>
  </w:style>
  <w:style w:type="paragraph" w:customStyle="1" w:styleId="ListDash4">
    <w:name w:val="List Dash 4"/>
    <w:basedOn w:val="Normal"/>
    <w:pPr>
      <w:numPr>
        <w:numId w:val="24"/>
      </w:numPr>
    </w:pPr>
    <w:rPr>
      <w:rFonts w:eastAsia="Times New Roman"/>
      <w:lang w:eastAsia="de-DE"/>
    </w:rPr>
  </w:style>
  <w:style w:type="paragraph" w:customStyle="1" w:styleId="ListNumber1">
    <w:name w:val="List Number 1"/>
    <w:basedOn w:val="Text1"/>
    <w:pPr>
      <w:numPr>
        <w:numId w:val="25"/>
      </w:numPr>
    </w:pPr>
    <w:rPr>
      <w:rFonts w:eastAsia="Times New Roman"/>
      <w:lang w:eastAsia="de-DE"/>
    </w:rPr>
  </w:style>
  <w:style w:type="paragraph" w:customStyle="1" w:styleId="ListNumber1Level2">
    <w:name w:val="List Number 1 (Level 2)"/>
    <w:basedOn w:val="Text1"/>
    <w:pPr>
      <w:numPr>
        <w:ilvl w:val="1"/>
        <w:numId w:val="25"/>
      </w:numPr>
    </w:pPr>
    <w:rPr>
      <w:rFonts w:eastAsia="Times New Roman"/>
      <w:lang w:eastAsia="de-DE"/>
    </w:rPr>
  </w:style>
  <w:style w:type="paragraph" w:customStyle="1" w:styleId="ListNumber2Level2">
    <w:name w:val="List Number 2 (Level 2)"/>
    <w:basedOn w:val="Text2"/>
    <w:pPr>
      <w:numPr>
        <w:ilvl w:val="1"/>
        <w:numId w:val="26"/>
      </w:numPr>
    </w:pPr>
    <w:rPr>
      <w:rFonts w:eastAsia="Times New Roman"/>
      <w:lang w:eastAsia="de-DE"/>
    </w:rPr>
  </w:style>
  <w:style w:type="paragraph" w:customStyle="1" w:styleId="ListNumber3Level2">
    <w:name w:val="List Number 3 (Level 2)"/>
    <w:basedOn w:val="Text3"/>
    <w:pPr>
      <w:numPr>
        <w:ilvl w:val="1"/>
        <w:numId w:val="27"/>
      </w:numPr>
    </w:pPr>
    <w:rPr>
      <w:rFonts w:eastAsia="Times New Roman"/>
      <w:lang w:eastAsia="de-DE"/>
    </w:rPr>
  </w:style>
  <w:style w:type="paragraph" w:customStyle="1" w:styleId="ListNumber4Level2">
    <w:name w:val="List Number 4 (Level 2)"/>
    <w:basedOn w:val="Text4"/>
    <w:pPr>
      <w:numPr>
        <w:ilvl w:val="1"/>
        <w:numId w:val="28"/>
      </w:numPr>
    </w:pPr>
    <w:rPr>
      <w:rFonts w:eastAsia="Times New Roman"/>
      <w:lang w:eastAsia="de-DE"/>
    </w:rPr>
  </w:style>
  <w:style w:type="paragraph" w:customStyle="1" w:styleId="ListNumber1Level3">
    <w:name w:val="List Number 1 (Level 3)"/>
    <w:basedOn w:val="Text1"/>
    <w:pPr>
      <w:numPr>
        <w:ilvl w:val="2"/>
        <w:numId w:val="25"/>
      </w:numPr>
    </w:pPr>
    <w:rPr>
      <w:rFonts w:eastAsia="Times New Roman"/>
      <w:lang w:eastAsia="de-DE"/>
    </w:rPr>
  </w:style>
  <w:style w:type="paragraph" w:customStyle="1" w:styleId="ListNumber2Level3">
    <w:name w:val="List Number 2 (Level 3)"/>
    <w:basedOn w:val="Text2"/>
    <w:pPr>
      <w:numPr>
        <w:ilvl w:val="2"/>
        <w:numId w:val="26"/>
      </w:numPr>
    </w:pPr>
    <w:rPr>
      <w:rFonts w:eastAsia="Times New Roman"/>
      <w:lang w:eastAsia="de-DE"/>
    </w:rPr>
  </w:style>
  <w:style w:type="paragraph" w:customStyle="1" w:styleId="ListNumber3Level3">
    <w:name w:val="List Number 3 (Level 3)"/>
    <w:basedOn w:val="Text3"/>
    <w:pPr>
      <w:numPr>
        <w:ilvl w:val="2"/>
        <w:numId w:val="27"/>
      </w:numPr>
    </w:pPr>
    <w:rPr>
      <w:rFonts w:eastAsia="Times New Roman"/>
      <w:lang w:eastAsia="de-DE"/>
    </w:rPr>
  </w:style>
  <w:style w:type="paragraph" w:customStyle="1" w:styleId="ListNumber4Level3">
    <w:name w:val="List Number 4 (Level 3)"/>
    <w:basedOn w:val="Text4"/>
    <w:pPr>
      <w:numPr>
        <w:ilvl w:val="2"/>
        <w:numId w:val="28"/>
      </w:numPr>
    </w:pPr>
    <w:rPr>
      <w:rFonts w:eastAsia="Times New Roman"/>
      <w:lang w:eastAsia="de-DE"/>
    </w:rPr>
  </w:style>
  <w:style w:type="paragraph" w:customStyle="1" w:styleId="ListNumber1Level4">
    <w:name w:val="List Number 1 (Level 4)"/>
    <w:basedOn w:val="Text1"/>
    <w:pPr>
      <w:numPr>
        <w:ilvl w:val="3"/>
        <w:numId w:val="25"/>
      </w:numPr>
    </w:pPr>
    <w:rPr>
      <w:rFonts w:eastAsia="Times New Roman"/>
      <w:lang w:eastAsia="de-DE"/>
    </w:rPr>
  </w:style>
  <w:style w:type="paragraph" w:customStyle="1" w:styleId="ListNumber2Level4">
    <w:name w:val="List Number 2 (Level 4)"/>
    <w:basedOn w:val="Text2"/>
    <w:pPr>
      <w:numPr>
        <w:ilvl w:val="3"/>
        <w:numId w:val="26"/>
      </w:numPr>
    </w:pPr>
    <w:rPr>
      <w:rFonts w:eastAsia="Times New Roman"/>
      <w:lang w:eastAsia="de-DE"/>
    </w:rPr>
  </w:style>
  <w:style w:type="paragraph" w:customStyle="1" w:styleId="ListNumber3Level4">
    <w:name w:val="List Number 3 (Level 4)"/>
    <w:basedOn w:val="Text3"/>
    <w:pPr>
      <w:numPr>
        <w:ilvl w:val="3"/>
        <w:numId w:val="27"/>
      </w:numPr>
    </w:pPr>
    <w:rPr>
      <w:rFonts w:eastAsia="Times New Roman"/>
      <w:lang w:eastAsia="de-DE"/>
    </w:rPr>
  </w:style>
  <w:style w:type="paragraph" w:customStyle="1" w:styleId="ListNumber4Level4">
    <w:name w:val="List Number 4 (Level 4)"/>
    <w:basedOn w:val="Text4"/>
    <w:pPr>
      <w:numPr>
        <w:ilvl w:val="3"/>
        <w:numId w:val="28"/>
      </w:numPr>
    </w:pPr>
    <w:rPr>
      <w:rFonts w:eastAsia="Times New Roman"/>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de-DE"/>
    </w:rPr>
  </w:style>
  <w:style w:type="paragraph" w:customStyle="1" w:styleId="Sous-titreobjetprliminaire">
    <w:name w:val="Sous-titre objet (préliminaire)"/>
    <w:basedOn w:val="Normal"/>
    <w:pPr>
      <w:spacing w:before="0" w:after="0"/>
      <w:jc w:val="center"/>
    </w:pPr>
    <w:rPr>
      <w:rFonts w:eastAsia="Times New Roman"/>
      <w:b/>
      <w:lang w:eastAsia="de-DE"/>
    </w:rPr>
  </w:style>
  <w:style w:type="paragraph" w:customStyle="1" w:styleId="Statutprliminaire">
    <w:name w:val="Statut (préliminaire)"/>
    <w:basedOn w:val="Normal"/>
    <w:next w:val="Normal"/>
    <w:pPr>
      <w:spacing w:before="360" w:after="0"/>
      <w:jc w:val="center"/>
    </w:pPr>
    <w:rPr>
      <w:rFonts w:eastAsia="Times New Roman"/>
      <w:lang w:eastAsia="de-DE"/>
    </w:rPr>
  </w:style>
  <w:style w:type="paragraph" w:customStyle="1" w:styleId="Titreobjetprliminaire">
    <w:name w:val="Titre objet (préliminaire)"/>
    <w:basedOn w:val="Normal"/>
    <w:next w:val="Normal"/>
    <w:pPr>
      <w:spacing w:before="360" w:after="360"/>
      <w:jc w:val="center"/>
    </w:pPr>
    <w:rPr>
      <w:rFonts w:eastAsia="Times New Roman"/>
      <w:b/>
      <w:lang w:eastAsia="de-DE"/>
    </w:rPr>
  </w:style>
  <w:style w:type="paragraph" w:customStyle="1" w:styleId="Typedudocumentprliminaire">
    <w:name w:val="Type du document (préliminaire)"/>
    <w:basedOn w:val="Normal"/>
    <w:next w:val="Normal"/>
    <w:pPr>
      <w:spacing w:before="360" w:after="0"/>
      <w:jc w:val="center"/>
    </w:pPr>
    <w:rPr>
      <w:rFonts w:eastAsia="Times New Roman"/>
      <w:b/>
      <w:lang w:eastAsia="de-DE"/>
    </w:rPr>
  </w:style>
  <w:style w:type="paragraph" w:customStyle="1" w:styleId="Lignefinal">
    <w:name w:val="Ligne final"/>
    <w:basedOn w:val="Normal"/>
    <w:next w:val="Normal"/>
    <w:pPr>
      <w:numPr>
        <w:numId w:val="29"/>
      </w:numPr>
      <w:pBdr>
        <w:bottom w:val="single" w:sz="4" w:space="0" w:color="000000"/>
      </w:pBdr>
      <w:tabs>
        <w:tab w:val="clear" w:pos="1560"/>
      </w:tabs>
      <w:spacing w:before="720" w:after="360" w:line="360" w:lineRule="auto"/>
      <w:ind w:left="3400" w:right="3400" w:firstLine="0"/>
      <w:jc w:val="center"/>
    </w:pPr>
    <w:rPr>
      <w:rFonts w:eastAsia="Times New Roman"/>
      <w:b/>
      <w:lang w:eastAsia="en-GB"/>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lang w:eastAsia="en-GB"/>
    </w:rPr>
  </w:style>
  <w:style w:type="paragraph" w:customStyle="1" w:styleId="EntLogo">
    <w:name w:val="EntLogo"/>
    <w:basedOn w:val="Normal"/>
    <w:pPr>
      <w:numPr>
        <w:ilvl w:val="1"/>
        <w:numId w:val="29"/>
      </w:numPr>
      <w:tabs>
        <w:tab w:val="clear" w:pos="2268"/>
        <w:tab w:val="right" w:pos="9639"/>
      </w:tabs>
      <w:spacing w:before="0" w:after="0" w:line="360" w:lineRule="auto"/>
      <w:ind w:left="0" w:firstLine="0"/>
      <w:jc w:val="left"/>
    </w:pPr>
    <w:rPr>
      <w:rFonts w:eastAsia="Times New Roman"/>
      <w:b/>
      <w:lang w:eastAsia="en-GB"/>
    </w:rPr>
  </w:style>
  <w:style w:type="paragraph" w:customStyle="1" w:styleId="EntInstit">
    <w:name w:val="EntInstit"/>
    <w:basedOn w:val="Normal"/>
    <w:pPr>
      <w:spacing w:before="0" w:after="0"/>
      <w:jc w:val="right"/>
    </w:pPr>
    <w:rPr>
      <w:rFonts w:eastAsia="Times New Roman"/>
      <w:b/>
      <w:lang w:eastAsia="en-GB"/>
    </w:rPr>
  </w:style>
  <w:style w:type="paragraph" w:customStyle="1" w:styleId="EntRefer">
    <w:name w:val="EntRefer"/>
    <w:basedOn w:val="Normal"/>
    <w:pPr>
      <w:spacing w:before="0" w:after="0"/>
      <w:jc w:val="left"/>
    </w:pPr>
    <w:rPr>
      <w:rFonts w:eastAsia="Times New Roman"/>
      <w:b/>
      <w:lang w:eastAsia="en-GB"/>
    </w:rPr>
  </w:style>
  <w:style w:type="paragraph" w:customStyle="1" w:styleId="EntEmet">
    <w:name w:val="EntEmet"/>
    <w:basedOn w:val="Normal"/>
    <w:pPr>
      <w:spacing w:before="40" w:after="0"/>
      <w:jc w:val="left"/>
    </w:pPr>
    <w:rPr>
      <w:rFonts w:eastAsia="Times New Roman"/>
      <w:lang w:eastAsia="en-GB"/>
    </w:rPr>
  </w:style>
  <w:style w:type="paragraph" w:customStyle="1" w:styleId="EntText">
    <w:name w:val="EntText"/>
    <w:basedOn w:val="Normal"/>
    <w:pPr>
      <w:spacing w:line="360" w:lineRule="auto"/>
      <w:jc w:val="left"/>
    </w:pPr>
    <w:rPr>
      <w:rFonts w:eastAsia="Times New Roman"/>
      <w:lang w:eastAsia="en-GB"/>
    </w:rPr>
  </w:style>
  <w:style w:type="paragraph" w:customStyle="1" w:styleId="EntEU">
    <w:name w:val="EntEU"/>
    <w:basedOn w:val="Normal"/>
    <w:pPr>
      <w:numPr>
        <w:ilvl w:val="2"/>
        <w:numId w:val="29"/>
      </w:numPr>
      <w:tabs>
        <w:tab w:val="clear" w:pos="2977"/>
      </w:tabs>
      <w:spacing w:before="240" w:after="240"/>
      <w:ind w:left="0" w:firstLine="0"/>
      <w:jc w:val="center"/>
    </w:pPr>
    <w:rPr>
      <w:rFonts w:eastAsia="Times New Roman"/>
      <w:b/>
      <w:sz w:val="36"/>
      <w:lang w:eastAsia="en-GB"/>
    </w:rPr>
  </w:style>
  <w:style w:type="paragraph" w:customStyle="1" w:styleId="EntASSOC">
    <w:name w:val="EntASSOC"/>
    <w:basedOn w:val="Normal"/>
    <w:pPr>
      <w:spacing w:before="0" w:after="0"/>
      <w:jc w:val="center"/>
    </w:pPr>
    <w:rPr>
      <w:rFonts w:eastAsia="Times New Roman"/>
      <w:b/>
      <w:lang w:eastAsia="en-GB"/>
    </w:rPr>
  </w:style>
  <w:style w:type="paragraph" w:customStyle="1" w:styleId="EntACP">
    <w:name w:val="EntACP"/>
    <w:basedOn w:val="Normal"/>
    <w:pPr>
      <w:spacing w:before="0"/>
      <w:jc w:val="center"/>
    </w:pPr>
    <w:rPr>
      <w:rFonts w:eastAsia="Times New Roman"/>
      <w:b/>
      <w:spacing w:val="40"/>
      <w:sz w:val="28"/>
      <w:lang w:eastAsia="en-GB"/>
    </w:rPr>
  </w:style>
  <w:style w:type="paragraph" w:customStyle="1" w:styleId="EntInstitACP">
    <w:name w:val="EntInstitACP"/>
    <w:basedOn w:val="Normal"/>
    <w:pPr>
      <w:spacing w:before="0" w:after="0"/>
      <w:jc w:val="center"/>
    </w:pPr>
    <w:rPr>
      <w:rFonts w:eastAsia="Times New Roman"/>
      <w:b/>
      <w:lang w:eastAsia="en-G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numPr>
        <w:ilvl w:val="3"/>
        <w:numId w:val="29"/>
      </w:numPr>
      <w:tabs>
        <w:tab w:val="clear" w:pos="3686"/>
      </w:tabs>
      <w:spacing w:before="0" w:after="0" w:line="360" w:lineRule="auto"/>
      <w:ind w:left="0" w:firstLine="0"/>
      <w:jc w:val="center"/>
    </w:pPr>
    <w:rPr>
      <w:rFonts w:eastAsia="Times New Roman"/>
      <w:lang w:eastAsia="en-GB"/>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lang w:eastAsia="en-GB"/>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lang w:eastAsia="en-GB"/>
    </w:rPr>
  </w:style>
  <w:style w:type="paragraph" w:styleId="BlockText">
    <w:name w:val="Block Text"/>
    <w:basedOn w:val="Normal"/>
    <w:pPr>
      <w:spacing w:line="360" w:lineRule="auto"/>
      <w:ind w:left="1440" w:right="1440"/>
      <w:jc w:val="left"/>
    </w:pPr>
    <w:rPr>
      <w:rFonts w:eastAsia="Times New Roman"/>
      <w:lang w:eastAsia="en-GB"/>
    </w:rPr>
  </w:style>
  <w:style w:type="paragraph" w:styleId="BodyText">
    <w:name w:val="Body Text"/>
    <w:basedOn w:val="Normal"/>
    <w:link w:val="BodyTextChar"/>
    <w:pPr>
      <w:spacing w:line="360" w:lineRule="auto"/>
      <w:jc w:val="left"/>
    </w:pPr>
    <w:rPr>
      <w:rFonts w:eastAsia="Times New Roman"/>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lang w:val="en-GB" w:eastAsia="en-GB"/>
    </w:rPr>
  </w:style>
  <w:style w:type="paragraph" w:styleId="BodyText2">
    <w:name w:val="Body Text 2"/>
    <w:basedOn w:val="Normal"/>
    <w:link w:val="BodyText2Char"/>
    <w:pPr>
      <w:spacing w:line="480" w:lineRule="auto"/>
      <w:jc w:val="left"/>
    </w:pPr>
    <w:rPr>
      <w:rFonts w:eastAsia="Times New Roman"/>
      <w:lang w:eastAsia="en-GB"/>
    </w:rPr>
  </w:style>
  <w:style w:type="character" w:customStyle="1" w:styleId="BodyText2Char">
    <w:name w:val="Body Text 2 Char"/>
    <w:basedOn w:val="DefaultParagraphFont"/>
    <w:link w:val="BodyText2"/>
    <w:rPr>
      <w:rFonts w:ascii="Times New Roman" w:eastAsia="Times New Roman" w:hAnsi="Times New Roman" w:cs="Times New Roman"/>
      <w:sz w:val="24"/>
      <w:lang w:val="en-GB" w:eastAsia="en-GB"/>
    </w:rPr>
  </w:style>
  <w:style w:type="paragraph" w:styleId="BodyText3">
    <w:name w:val="Body Text 3"/>
    <w:basedOn w:val="Normal"/>
    <w:link w:val="BodyText3Char"/>
    <w:pPr>
      <w:spacing w:line="360" w:lineRule="auto"/>
      <w:jc w:val="left"/>
    </w:pPr>
    <w:rPr>
      <w:rFonts w:eastAsia="Times New Roman"/>
      <w:sz w:val="16"/>
      <w:szCs w:val="16"/>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val="en-GB" w:eastAsia="en-GB"/>
    </w:rPr>
  </w:style>
  <w:style w:type="paragraph" w:styleId="BodyTextIndent">
    <w:name w:val="Body Text Indent"/>
    <w:basedOn w:val="Normal"/>
    <w:link w:val="BodyTextIndentChar"/>
    <w:pPr>
      <w:spacing w:line="360" w:lineRule="auto"/>
      <w:ind w:left="283"/>
      <w:jc w:val="left"/>
    </w:pPr>
    <w:rPr>
      <w:rFonts w:eastAsia="Times New Roman"/>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pPr>
      <w:spacing w:line="480" w:lineRule="auto"/>
      <w:ind w:left="283"/>
      <w:jc w:val="left"/>
    </w:pPr>
    <w:rPr>
      <w:rFonts w:eastAsia="Times New Roman"/>
      <w:lang w:eastAsia="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val="en-GB" w:eastAsia="en-GB"/>
    </w:rPr>
  </w:style>
  <w:style w:type="paragraph" w:styleId="BodyTextIndent3">
    <w:name w:val="Body Text Indent 3"/>
    <w:basedOn w:val="Normal"/>
    <w:link w:val="BodyTextIndent3Char"/>
    <w:pPr>
      <w:spacing w:line="360" w:lineRule="auto"/>
      <w:ind w:left="283"/>
      <w:jc w:val="left"/>
    </w:pPr>
    <w:rPr>
      <w:rFonts w:eastAsia="Times New Roman"/>
      <w:sz w:val="16"/>
      <w:szCs w:val="16"/>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en-GB"/>
    </w:rPr>
  </w:style>
  <w:style w:type="paragraph" w:styleId="Closing">
    <w:name w:val="Closing"/>
    <w:basedOn w:val="Normal"/>
    <w:link w:val="ClosingChar"/>
    <w:pPr>
      <w:spacing w:line="360" w:lineRule="auto"/>
      <w:ind w:left="4252"/>
      <w:jc w:val="left"/>
    </w:pPr>
    <w:rPr>
      <w:rFonts w:eastAsia="Times New Roman"/>
      <w:lang w:eastAsia="en-GB"/>
    </w:rPr>
  </w:style>
  <w:style w:type="character" w:customStyle="1" w:styleId="ClosingChar">
    <w:name w:val="Closing Char"/>
    <w:basedOn w:val="DefaultParagraphFont"/>
    <w:link w:val="Closing"/>
    <w:rPr>
      <w:rFonts w:ascii="Times New Roman" w:eastAsia="Times New Roman" w:hAnsi="Times New Roman" w:cs="Times New Roman"/>
      <w:sz w:val="24"/>
      <w:lang w:val="en-GB"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360" w:lineRule="auto"/>
      <w:jc w:val="left"/>
    </w:pPr>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styleId="DocumentMap">
    <w:name w:val="Document Map"/>
    <w:basedOn w:val="Normal"/>
    <w:link w:val="DocumentMapChar"/>
    <w:pPr>
      <w:shd w:val="clear" w:color="auto" w:fill="000080"/>
      <w:spacing w:line="360" w:lineRule="auto"/>
      <w:jc w:val="left"/>
    </w:pPr>
    <w:rPr>
      <w:rFonts w:ascii="Tahoma" w:eastAsia="Times New Roman" w:hAnsi="Tahoma" w:cs="Tahoma"/>
      <w:lang w:eastAsia="en-GB"/>
    </w:rPr>
  </w:style>
  <w:style w:type="character" w:customStyle="1" w:styleId="DocumentMapChar">
    <w:name w:val="Document Map Char"/>
    <w:basedOn w:val="DefaultParagraphFont"/>
    <w:link w:val="DocumentMap"/>
    <w:rPr>
      <w:rFonts w:ascii="Tahoma" w:eastAsia="Times New Roman" w:hAnsi="Tahoma" w:cs="Tahoma"/>
      <w:sz w:val="24"/>
      <w:shd w:val="clear" w:color="auto" w:fill="000080"/>
      <w:lang w:val="en-GB" w:eastAsia="en-GB"/>
    </w:rPr>
  </w:style>
  <w:style w:type="paragraph" w:styleId="E-mailSignature">
    <w:name w:val="E-mail Signature"/>
    <w:basedOn w:val="Normal"/>
    <w:link w:val="E-mailSignatureChar"/>
    <w:pPr>
      <w:spacing w:line="360" w:lineRule="auto"/>
      <w:jc w:val="left"/>
    </w:pPr>
    <w:rPr>
      <w:rFonts w:eastAsia="Times New Roman"/>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lang w:val="en-GB" w:eastAsia="en-GB"/>
    </w:rPr>
  </w:style>
  <w:style w:type="character" w:styleId="Emphasis">
    <w:name w:val="Emphasis"/>
    <w:qFormat/>
    <w:rPr>
      <w:rFonts w:cs="Times New Roman"/>
      <w:i/>
      <w:iCs/>
    </w:rPr>
  </w:style>
  <w:style w:type="character" w:styleId="EndnoteReference">
    <w:name w:val="endnote reference"/>
    <w:rPr>
      <w:rFonts w:cs="Times New Roman"/>
      <w:vertAlign w:val="superscript"/>
    </w:rPr>
  </w:style>
  <w:style w:type="paragraph" w:styleId="EndnoteText">
    <w:name w:val="endnote text"/>
    <w:basedOn w:val="Normal"/>
    <w:link w:val="EndnoteTextChar"/>
    <w:pPr>
      <w:spacing w:line="360" w:lineRule="auto"/>
      <w:jc w:val="left"/>
    </w:pPr>
    <w:rPr>
      <w:rFonts w:eastAsia="Times New Roman"/>
      <w:sz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val="en-GB" w:eastAsia="en-GB"/>
    </w:rPr>
  </w:style>
  <w:style w:type="paragraph" w:styleId="EnvelopeAddress">
    <w:name w:val="envelope address"/>
    <w:basedOn w:val="Normal"/>
    <w:pPr>
      <w:framePr w:w="7920" w:h="1980" w:hRule="exact" w:hSpace="180" w:wrap="auto" w:hAnchor="page" w:xAlign="center" w:yAlign="bottom"/>
      <w:spacing w:line="360" w:lineRule="auto"/>
      <w:ind w:left="2880"/>
      <w:jc w:val="left"/>
    </w:pPr>
    <w:rPr>
      <w:rFonts w:ascii="Arial" w:eastAsia="Times New Roman" w:hAnsi="Arial" w:cs="Arial"/>
      <w:lang w:eastAsia="en-GB"/>
    </w:rPr>
  </w:style>
  <w:style w:type="paragraph" w:styleId="EnvelopeReturn">
    <w:name w:val="envelope return"/>
    <w:basedOn w:val="Normal"/>
    <w:pPr>
      <w:spacing w:line="360" w:lineRule="auto"/>
      <w:jc w:val="left"/>
    </w:pPr>
    <w:rPr>
      <w:rFonts w:ascii="Arial" w:eastAsia="Times New Roman" w:hAnsi="Arial" w:cs="Arial"/>
      <w:sz w:val="20"/>
      <w:lang w:eastAsia="en-GB"/>
    </w:rPr>
  </w:style>
  <w:style w:type="character" w:styleId="FollowedHyperlink">
    <w:name w:val="FollowedHyperlink"/>
    <w:rPr>
      <w:rFonts w:cs="Times New Roman"/>
      <w:color w:val="800080"/>
      <w:u w:val="single"/>
    </w:rPr>
  </w:style>
  <w:style w:type="character" w:styleId="HTMLAcronym">
    <w:name w:val="HTML Acronym"/>
    <w:rPr>
      <w:rFonts w:cs="Times New Roman"/>
    </w:rPr>
  </w:style>
  <w:style w:type="paragraph" w:styleId="HTMLAddress">
    <w:name w:val="HTML Address"/>
    <w:basedOn w:val="Normal"/>
    <w:link w:val="HTMLAddressChar"/>
    <w:pPr>
      <w:spacing w:line="360" w:lineRule="auto"/>
      <w:jc w:val="left"/>
    </w:pPr>
    <w:rPr>
      <w:rFonts w:eastAsia="Times New Roman"/>
      <w:i/>
      <w:iCs/>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lang w:val="en-GB" w:eastAsia="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jc w:val="left"/>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lang w:val="en-GB" w:eastAsia="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Hyperlink">
    <w:name w:val="Hyperlink"/>
    <w:rPr>
      <w:rFonts w:cs="Times New Roman"/>
      <w:color w:val="0000FF"/>
      <w:u w:val="single"/>
    </w:rPr>
  </w:style>
  <w:style w:type="character" w:styleId="LineNumber">
    <w:name w:val="line number"/>
    <w:rPr>
      <w:rFonts w:cs="Times New Roman"/>
    </w:rPr>
  </w:style>
  <w:style w:type="paragraph" w:styleId="List">
    <w:name w:val="List"/>
    <w:basedOn w:val="Normal"/>
    <w:pPr>
      <w:spacing w:line="360" w:lineRule="auto"/>
      <w:ind w:left="283" w:hanging="283"/>
      <w:jc w:val="left"/>
    </w:pPr>
    <w:rPr>
      <w:rFonts w:eastAsia="Times New Roman"/>
      <w:lang w:eastAsia="en-GB"/>
    </w:rPr>
  </w:style>
  <w:style w:type="paragraph" w:styleId="List2">
    <w:name w:val="List 2"/>
    <w:basedOn w:val="Normal"/>
    <w:pPr>
      <w:spacing w:line="360" w:lineRule="auto"/>
      <w:ind w:left="566" w:hanging="283"/>
      <w:jc w:val="left"/>
    </w:pPr>
    <w:rPr>
      <w:rFonts w:eastAsia="Times New Roman"/>
      <w:lang w:eastAsia="en-GB"/>
    </w:rPr>
  </w:style>
  <w:style w:type="paragraph" w:styleId="List3">
    <w:name w:val="List 3"/>
    <w:basedOn w:val="Normal"/>
    <w:pPr>
      <w:spacing w:line="360" w:lineRule="auto"/>
      <w:ind w:left="849" w:hanging="283"/>
      <w:jc w:val="left"/>
    </w:pPr>
    <w:rPr>
      <w:rFonts w:eastAsia="Times New Roman"/>
      <w:lang w:eastAsia="en-GB"/>
    </w:rPr>
  </w:style>
  <w:style w:type="paragraph" w:styleId="List4">
    <w:name w:val="List 4"/>
    <w:basedOn w:val="Normal"/>
    <w:pPr>
      <w:spacing w:line="360" w:lineRule="auto"/>
      <w:ind w:left="1132" w:hanging="283"/>
      <w:jc w:val="left"/>
    </w:pPr>
    <w:rPr>
      <w:rFonts w:eastAsia="Times New Roman"/>
      <w:lang w:eastAsia="en-GB"/>
    </w:rPr>
  </w:style>
  <w:style w:type="paragraph" w:styleId="List5">
    <w:name w:val="List 5"/>
    <w:basedOn w:val="Normal"/>
    <w:pPr>
      <w:spacing w:line="360" w:lineRule="auto"/>
      <w:ind w:left="1415" w:hanging="283"/>
      <w:jc w:val="left"/>
    </w:pPr>
    <w:rPr>
      <w:rFonts w:eastAsia="Times New Roman"/>
      <w:lang w:eastAsia="en-GB"/>
    </w:rPr>
  </w:style>
  <w:style w:type="paragraph" w:styleId="ListBullet5">
    <w:name w:val="List Bullet 5"/>
    <w:basedOn w:val="Normal"/>
    <w:autoRedefine/>
    <w:pPr>
      <w:numPr>
        <w:numId w:val="10"/>
      </w:numPr>
      <w:spacing w:line="360" w:lineRule="auto"/>
      <w:jc w:val="left"/>
    </w:pPr>
    <w:rPr>
      <w:rFonts w:eastAsia="Times New Roman"/>
      <w:lang w:eastAsia="en-GB"/>
    </w:rPr>
  </w:style>
  <w:style w:type="paragraph" w:styleId="ListContinue">
    <w:name w:val="List Continue"/>
    <w:basedOn w:val="Normal"/>
    <w:pPr>
      <w:spacing w:line="360" w:lineRule="auto"/>
      <w:ind w:left="283"/>
      <w:jc w:val="left"/>
    </w:pPr>
    <w:rPr>
      <w:rFonts w:eastAsia="Times New Roman"/>
      <w:lang w:eastAsia="en-GB"/>
    </w:rPr>
  </w:style>
  <w:style w:type="paragraph" w:styleId="ListContinue2">
    <w:name w:val="List Continue 2"/>
    <w:basedOn w:val="Normal"/>
    <w:pPr>
      <w:spacing w:line="360" w:lineRule="auto"/>
      <w:ind w:left="566"/>
      <w:jc w:val="left"/>
    </w:pPr>
    <w:rPr>
      <w:rFonts w:eastAsia="Times New Roman"/>
      <w:lang w:eastAsia="en-GB"/>
    </w:rPr>
  </w:style>
  <w:style w:type="paragraph" w:styleId="ListContinue3">
    <w:name w:val="List Continue 3"/>
    <w:basedOn w:val="Normal"/>
    <w:pPr>
      <w:spacing w:line="360" w:lineRule="auto"/>
      <w:ind w:left="849"/>
      <w:jc w:val="left"/>
    </w:pPr>
    <w:rPr>
      <w:rFonts w:eastAsia="Times New Roman"/>
      <w:lang w:eastAsia="en-GB"/>
    </w:rPr>
  </w:style>
  <w:style w:type="paragraph" w:styleId="ListContinue4">
    <w:name w:val="List Continue 4"/>
    <w:basedOn w:val="Normal"/>
    <w:pPr>
      <w:spacing w:line="360" w:lineRule="auto"/>
      <w:ind w:left="1132"/>
      <w:jc w:val="left"/>
    </w:pPr>
    <w:rPr>
      <w:rFonts w:eastAsia="Times New Roman"/>
      <w:lang w:eastAsia="en-GB"/>
    </w:rPr>
  </w:style>
  <w:style w:type="paragraph" w:styleId="ListContinue5">
    <w:name w:val="List Continue 5"/>
    <w:basedOn w:val="Normal"/>
    <w:pPr>
      <w:spacing w:line="360" w:lineRule="auto"/>
      <w:ind w:left="1415"/>
      <w:jc w:val="left"/>
    </w:pPr>
    <w:rPr>
      <w:rFonts w:eastAsia="Times New Roman"/>
      <w:lang w:eastAsia="en-GB"/>
    </w:rPr>
  </w:style>
  <w:style w:type="paragraph" w:styleId="ListNumber5">
    <w:name w:val="List Number 5"/>
    <w:basedOn w:val="Normal"/>
    <w:pPr>
      <w:numPr>
        <w:numId w:val="11"/>
      </w:numPr>
      <w:spacing w:line="360" w:lineRule="auto"/>
      <w:jc w:val="left"/>
    </w:pPr>
    <w:rPr>
      <w:rFonts w:eastAsia="Times New Roman"/>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eastAsia="Times New Roman" w:hAnsi="Courier New" w:cs="Courier New"/>
      <w:lang w:val="en-GB"/>
    </w:rPr>
  </w:style>
  <w:style w:type="character" w:customStyle="1" w:styleId="MacroTextChar">
    <w:name w:val="Macro Text Char"/>
    <w:basedOn w:val="DefaultParagraphFont"/>
    <w:link w:val="MacroText"/>
    <w:rPr>
      <w:rFonts w:ascii="Courier New" w:eastAsia="Times New Roman"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jc w:val="left"/>
    </w:pPr>
    <w:rPr>
      <w:rFonts w:ascii="Arial" w:eastAsia="Times New Roman" w:hAnsi="Arial" w:cs="Arial"/>
      <w:lang w:eastAsia="en-GB"/>
    </w:rPr>
  </w:style>
  <w:style w:type="character" w:customStyle="1" w:styleId="MessageHeaderChar">
    <w:name w:val="Message Header Char"/>
    <w:basedOn w:val="DefaultParagraphFont"/>
    <w:link w:val="MessageHeader"/>
    <w:rPr>
      <w:rFonts w:ascii="Arial" w:eastAsia="Times New Roman" w:hAnsi="Arial" w:cs="Arial"/>
      <w:sz w:val="24"/>
      <w:shd w:val="pct20" w:color="auto" w:fill="auto"/>
      <w:lang w:val="en-GB" w:eastAsia="en-GB"/>
    </w:rPr>
  </w:style>
  <w:style w:type="paragraph" w:styleId="NormalWeb">
    <w:name w:val="Normal (Web)"/>
    <w:basedOn w:val="Normal"/>
    <w:pPr>
      <w:spacing w:line="360" w:lineRule="auto"/>
      <w:jc w:val="left"/>
    </w:pPr>
    <w:rPr>
      <w:rFonts w:eastAsia="Times New Roman"/>
      <w:lang w:eastAsia="en-GB"/>
    </w:rPr>
  </w:style>
  <w:style w:type="paragraph" w:styleId="NormalIndent">
    <w:name w:val="Normal Indent"/>
    <w:basedOn w:val="Normal"/>
    <w:pPr>
      <w:spacing w:line="360" w:lineRule="auto"/>
      <w:ind w:left="720"/>
      <w:jc w:val="left"/>
    </w:pPr>
    <w:rPr>
      <w:rFonts w:eastAsia="Times New Roman"/>
      <w:lang w:eastAsia="en-GB"/>
    </w:rPr>
  </w:style>
  <w:style w:type="character" w:styleId="PageNumber">
    <w:name w:val="page number"/>
    <w:rPr>
      <w:rFonts w:cs="Times New Roman"/>
    </w:rPr>
  </w:style>
  <w:style w:type="paragraph" w:styleId="PlainText">
    <w:name w:val="Plain Text"/>
    <w:basedOn w:val="Normal"/>
    <w:link w:val="PlainTextChar"/>
    <w:pPr>
      <w:spacing w:line="360" w:lineRule="auto"/>
      <w:jc w:val="left"/>
    </w:pPr>
    <w:rPr>
      <w:rFonts w:ascii="Courier New" w:eastAsia="Times New Roman" w:hAnsi="Courier New" w:cs="Courier New"/>
      <w:sz w:val="20"/>
      <w:lang w:eastAsia="en-GB"/>
    </w:rPr>
  </w:style>
  <w:style w:type="character" w:customStyle="1" w:styleId="PlainTextChar">
    <w:name w:val="Plain Text Char"/>
    <w:basedOn w:val="DefaultParagraphFont"/>
    <w:link w:val="PlainText"/>
    <w:rPr>
      <w:rFonts w:ascii="Courier New" w:eastAsia="Times New Roman" w:hAnsi="Courier New" w:cs="Courier New"/>
      <w:sz w:val="20"/>
      <w:lang w:val="en-GB" w:eastAsia="en-GB"/>
    </w:rPr>
  </w:style>
  <w:style w:type="paragraph" w:styleId="Signature">
    <w:name w:val="Signature"/>
    <w:basedOn w:val="Normal"/>
    <w:link w:val="SignatureChar"/>
    <w:pPr>
      <w:spacing w:line="360" w:lineRule="auto"/>
      <w:ind w:left="4252"/>
      <w:jc w:val="left"/>
    </w:pPr>
    <w:rPr>
      <w:rFonts w:eastAsia="Times New Roman"/>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lang w:val="en-GB" w:eastAsia="en-GB"/>
    </w:rPr>
  </w:style>
  <w:style w:type="character" w:styleId="Strong">
    <w:name w:val="Strong"/>
    <w:qFormat/>
    <w:rPr>
      <w:rFonts w:cs="Times New Roman"/>
      <w:b/>
      <w:bCs/>
    </w:rPr>
  </w:style>
  <w:style w:type="paragraph" w:styleId="Subtitle">
    <w:name w:val="Subtitle"/>
    <w:basedOn w:val="Normal"/>
    <w:link w:val="SubtitleChar"/>
    <w:qFormat/>
    <w:pPr>
      <w:spacing w:after="60" w:line="360" w:lineRule="auto"/>
      <w:jc w:val="center"/>
      <w:outlineLvl w:val="1"/>
    </w:pPr>
    <w:rPr>
      <w:rFonts w:ascii="Arial" w:eastAsia="Times New Roman" w:hAnsi="Arial" w:cs="Arial"/>
      <w:lang w:eastAsia="en-GB"/>
    </w:rPr>
  </w:style>
  <w:style w:type="character" w:customStyle="1" w:styleId="SubtitleChar">
    <w:name w:val="Subtitle Char"/>
    <w:basedOn w:val="DefaultParagraphFont"/>
    <w:link w:val="Subtitle"/>
    <w:rPr>
      <w:rFonts w:ascii="Arial" w:eastAsia="Times New Roman" w:hAnsi="Arial" w:cs="Arial"/>
      <w:sz w:val="24"/>
      <w:lang w:val="en-GB" w:eastAsia="en-GB"/>
    </w:rPr>
  </w:style>
  <w:style w:type="paragraph" w:styleId="Title">
    <w:name w:val="Title"/>
    <w:basedOn w:val="Normal"/>
    <w:link w:val="TitleChar"/>
    <w:qFormat/>
    <w:pPr>
      <w:spacing w:before="240" w:after="60" w:line="36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Pr>
      <w:rFonts w:ascii="Arial" w:eastAsia="Times New Roman" w:hAnsi="Arial" w:cs="Arial"/>
      <w:b/>
      <w:bCs/>
      <w:kern w:val="28"/>
      <w:sz w:val="32"/>
      <w:szCs w:val="32"/>
      <w:lang w:val="en-GB" w:eastAsia="en-GB"/>
    </w:rPr>
  </w:style>
  <w:style w:type="paragraph" w:customStyle="1" w:styleId="Titre2">
    <w:name w:val="Titre2"/>
    <w:basedOn w:val="Normal"/>
    <w:pPr>
      <w:numPr>
        <w:numId w:val="1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eastAsia="Times New Roman" w:hAnsi="Arial"/>
      <w:b/>
      <w:sz w:val="48"/>
      <w:lang w:eastAsia="en-GB"/>
    </w:rPr>
  </w:style>
  <w:style w:type="character" w:customStyle="1" w:styleId="CRDeleted">
    <w:name w:val="CR Deleted"/>
    <w:rPr>
      <w:rFonts w:cs="Times New Roman"/>
      <w:dstrike/>
    </w:rPr>
  </w:style>
  <w:style w:type="paragraph" w:customStyle="1" w:styleId="Normal6">
    <w:name w:val="Normal6"/>
    <w:basedOn w:val="Normal"/>
    <w:pPr>
      <w:widowControl w:val="0"/>
      <w:spacing w:before="0"/>
      <w:jc w:val="left"/>
    </w:pPr>
    <w:rPr>
      <w:rFonts w:eastAsia="Times New Roman"/>
      <w:lang w:eastAsia="en-GB"/>
    </w:rPr>
  </w:style>
  <w:style w:type="paragraph" w:customStyle="1" w:styleId="Normal12Centre">
    <w:name w:val="Normal12Centre"/>
    <w:basedOn w:val="Normal"/>
    <w:pPr>
      <w:widowControl w:val="0"/>
      <w:spacing w:before="0" w:after="240"/>
      <w:jc w:val="center"/>
    </w:pPr>
    <w:rPr>
      <w:rFonts w:eastAsia="Times New Roman"/>
      <w:lang w:eastAsia="en-GB"/>
    </w:rPr>
  </w:style>
  <w:style w:type="paragraph" w:styleId="Index1">
    <w:name w:val="index 1"/>
    <w:basedOn w:val="Normal"/>
    <w:next w:val="Normal"/>
    <w:autoRedefine/>
    <w:pPr>
      <w:spacing w:before="0" w:after="0"/>
      <w:ind w:left="200" w:hanging="200"/>
      <w:jc w:val="left"/>
    </w:pPr>
    <w:rPr>
      <w:rFonts w:eastAsia="Times New Roman"/>
      <w:lang w:eastAsia="en-GB"/>
    </w:rPr>
  </w:style>
  <w:style w:type="paragraph" w:styleId="IndexHeading">
    <w:name w:val="index heading"/>
    <w:basedOn w:val="Normal"/>
    <w:next w:val="Index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rFonts w:eastAsia="Times New Roman"/>
      <w:lang w:eastAsia="en-GB"/>
    </w:rPr>
  </w:style>
  <w:style w:type="paragraph" w:customStyle="1" w:styleId="Titre1">
    <w:name w:val="Titre1"/>
    <w:basedOn w:val="Heading6"/>
    <w:pPr>
      <w:keepNext/>
      <w:numPr>
        <w:numId w:val="17"/>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ind w:left="0" w:firstLine="0"/>
      <w:jc w:val="center"/>
    </w:pPr>
    <w:rPr>
      <w:b w:val="0"/>
      <w:bCs w:val="0"/>
      <w:sz w:val="60"/>
      <w:szCs w:val="20"/>
    </w:rPr>
  </w:style>
  <w:style w:type="paragraph" w:customStyle="1" w:styleId="Par-number1">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bullet">
    <w:name w:val="Par-bullet"/>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lang w:eastAsia="en-GB"/>
    </w:rPr>
  </w:style>
  <w:style w:type="paragraph" w:customStyle="1" w:styleId="Par-numberI">
    <w:name w:val="Par-number I."/>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dash">
    <w:name w:val="Par-dash"/>
    <w:basedOn w:val="Normal"/>
    <w:next w:val="Normal"/>
    <w:pPr>
      <w:widowControl w:val="0"/>
      <w:numPr>
        <w:numId w:val="13"/>
      </w:numPr>
      <w:spacing w:before="0" w:after="0" w:line="360" w:lineRule="auto"/>
      <w:jc w:val="left"/>
    </w:pPr>
    <w:rPr>
      <w:rFonts w:eastAsia="Times New Roman"/>
      <w:lang w:eastAsia="en-GB"/>
    </w:rPr>
  </w:style>
  <w:style w:type="paragraph" w:customStyle="1" w:styleId="Par-numberA0">
    <w:name w:val="Par-number A."/>
    <w:basedOn w:val="Normal"/>
    <w:next w:val="Normal"/>
    <w:pPr>
      <w:widowControl w:val="0"/>
      <w:numPr>
        <w:numId w:val="14"/>
      </w:numPr>
      <w:spacing w:before="0" w:after="0" w:line="360" w:lineRule="auto"/>
      <w:jc w:val="left"/>
    </w:pPr>
    <w:rPr>
      <w:rFonts w:eastAsia="Times New Roman"/>
      <w:lang w:eastAsia="en-GB"/>
    </w:rPr>
  </w:style>
  <w:style w:type="paragraph" w:customStyle="1" w:styleId="Par-numberi0">
    <w:name w:val="Par-number (i)"/>
    <w:basedOn w:val="Normal"/>
    <w:next w:val="Normal"/>
    <w:pPr>
      <w:widowControl w:val="0"/>
      <w:tabs>
        <w:tab w:val="left" w:pos="567"/>
        <w:tab w:val="num" w:pos="1417"/>
      </w:tabs>
      <w:spacing w:before="0" w:after="0" w:line="360" w:lineRule="auto"/>
      <w:ind w:left="1417" w:hanging="567"/>
      <w:jc w:val="left"/>
    </w:pPr>
    <w:rPr>
      <w:rFonts w:eastAsia="Times New Roman"/>
      <w:lang w:eastAsia="en-GB"/>
    </w:rPr>
  </w:style>
  <w:style w:type="paragraph" w:customStyle="1" w:styleId="Par-numbera">
    <w:name w:val="Par-number (a)"/>
    <w:basedOn w:val="Normal"/>
    <w:next w:val="Normal"/>
    <w:pPr>
      <w:widowControl w:val="0"/>
      <w:numPr>
        <w:numId w:val="15"/>
      </w:numPr>
      <w:spacing w:before="0" w:after="0" w:line="360" w:lineRule="auto"/>
      <w:jc w:val="left"/>
    </w:pPr>
    <w:rPr>
      <w:rFonts w:eastAsia="Times New Roman"/>
      <w:lang w:eastAsia="en-GB"/>
    </w:rPr>
  </w:style>
  <w:style w:type="paragraph" w:styleId="Date">
    <w:name w:val="Date"/>
    <w:basedOn w:val="Normal"/>
    <w:next w:val="Normal"/>
    <w:link w:val="DateChar"/>
    <w:pPr>
      <w:spacing w:line="360" w:lineRule="auto"/>
      <w:jc w:val="left"/>
    </w:pPr>
    <w:rPr>
      <w:rFonts w:eastAsia="Times New Roman"/>
      <w:lang w:eastAsia="fr-BE"/>
    </w:rPr>
  </w:style>
  <w:style w:type="character" w:customStyle="1" w:styleId="DateChar">
    <w:name w:val="Date Char"/>
    <w:basedOn w:val="DefaultParagraphFont"/>
    <w:link w:val="Date"/>
    <w:rPr>
      <w:rFonts w:ascii="Times New Roman" w:eastAsia="Times New Roman" w:hAnsi="Times New Roman" w:cs="Times New Roman"/>
      <w:sz w:val="24"/>
      <w:lang w:val="en-GB" w:eastAsia="fr-BE"/>
    </w:rPr>
  </w:style>
  <w:style w:type="paragraph" w:customStyle="1" w:styleId="considerants">
    <w:name w:val="considerants"/>
    <w:basedOn w:val="Normal"/>
    <w:pPr>
      <w:tabs>
        <w:tab w:val="num" w:pos="360"/>
        <w:tab w:val="left" w:pos="1417"/>
        <w:tab w:val="left" w:pos="2126"/>
        <w:tab w:val="left" w:pos="2835"/>
      </w:tabs>
      <w:spacing w:line="360" w:lineRule="auto"/>
      <w:ind w:left="360" w:hanging="360"/>
      <w:jc w:val="left"/>
    </w:pPr>
    <w:rPr>
      <w:rFonts w:eastAsia="Times New Roman"/>
      <w:lang w:eastAsia="fr-BE"/>
    </w:rPr>
  </w:style>
  <w:style w:type="paragraph" w:customStyle="1" w:styleId="pointdouble1">
    <w:name w:val="point double 1"/>
    <w:basedOn w:val="Text1"/>
    <w:pPr>
      <w:spacing w:line="360" w:lineRule="auto"/>
      <w:jc w:val="left"/>
    </w:pPr>
    <w:rPr>
      <w:rFonts w:eastAsia="Times New Roman"/>
      <w:lang w:eastAsia="en-GB"/>
    </w:rPr>
  </w:style>
  <w:style w:type="character" w:customStyle="1" w:styleId="CRMarker">
    <w:name w:val="CR Marker"/>
    <w:uiPriority w:val="99"/>
    <w:rPr>
      <w:rFonts w:ascii="Wingdings" w:hAnsi="Wingdings" w:cs="Times New Roman"/>
    </w:rPr>
  </w:style>
  <w:style w:type="paragraph" w:customStyle="1" w:styleId="CRReference">
    <w:name w:val="CR Reference"/>
    <w:basedOn w:val="Normal"/>
    <w:pPr>
      <w:keepNext/>
      <w:pBdr>
        <w:top w:val="single" w:sz="4" w:space="1" w:color="auto"/>
        <w:left w:val="single" w:sz="4" w:space="2" w:color="auto"/>
        <w:bottom w:val="single" w:sz="4" w:space="1" w:color="auto"/>
        <w:right w:val="single" w:sz="4" w:space="0" w:color="auto"/>
      </w:pBdr>
      <w:spacing w:before="0" w:after="0" w:line="360" w:lineRule="auto"/>
      <w:ind w:left="5669" w:right="40"/>
      <w:jc w:val="left"/>
    </w:pPr>
    <w:rPr>
      <w:rFonts w:eastAsia="Times New Roman"/>
      <w:lang w:eastAsia="fr-BE"/>
    </w:rPr>
  </w:style>
  <w:style w:type="character" w:customStyle="1" w:styleId="CRRefNum">
    <w:name w:val="CR RefNum"/>
    <w:uiPriority w:val="99"/>
    <w:rPr>
      <w:rFonts w:cs="Times New Roman"/>
      <w:vertAlign w:val="subscript"/>
    </w:rPr>
  </w:style>
  <w:style w:type="paragraph" w:customStyle="1" w:styleId="CRSeparator">
    <w:name w:val="CR Separator"/>
    <w:basedOn w:val="Normal"/>
    <w:next w:val="CRReference"/>
    <w:pPr>
      <w:keepNext/>
      <w:pBdr>
        <w:top w:val="single" w:sz="4" w:space="1" w:color="auto"/>
      </w:pBdr>
      <w:spacing w:before="240" w:line="360" w:lineRule="auto"/>
      <w:ind w:right="40"/>
      <w:jc w:val="left"/>
    </w:pPr>
    <w:rPr>
      <w:rFonts w:eastAsia="Times New Roman"/>
      <w:lang w:eastAsia="fr-BE"/>
    </w:rPr>
  </w:style>
  <w:style w:type="paragraph" w:customStyle="1" w:styleId="pj">
    <w:name w:val="p.j."/>
    <w:basedOn w:val="Normal"/>
    <w:next w:val="Normal"/>
    <w:pPr>
      <w:numPr>
        <w:numId w:val="18"/>
      </w:numPr>
      <w:tabs>
        <w:tab w:val="clear" w:pos="1560"/>
      </w:tabs>
      <w:spacing w:before="1200" w:line="360" w:lineRule="auto"/>
      <w:ind w:left="1440" w:hanging="1440"/>
      <w:jc w:val="left"/>
    </w:pPr>
    <w:rPr>
      <w:rFonts w:eastAsia="Times New Roman"/>
      <w:lang w:eastAsia="en-GB"/>
    </w:rPr>
  </w:style>
  <w:style w:type="paragraph" w:styleId="NoteHeading">
    <w:name w:val="Note Heading"/>
    <w:basedOn w:val="Normal"/>
    <w:next w:val="Normal"/>
    <w:link w:val="NoteHeadingChar"/>
    <w:pPr>
      <w:spacing w:line="360" w:lineRule="auto"/>
      <w:jc w:val="left"/>
    </w:pPr>
    <w:rPr>
      <w:rFonts w:eastAsia="Times New Roman"/>
      <w:lang w:eastAsia="fr-BE"/>
    </w:rPr>
  </w:style>
  <w:style w:type="character" w:customStyle="1" w:styleId="NoteHeadingChar">
    <w:name w:val="Note Heading Char"/>
    <w:basedOn w:val="DefaultParagraphFont"/>
    <w:link w:val="NoteHeading"/>
    <w:rPr>
      <w:rFonts w:ascii="Times New Roman" w:eastAsia="Times New Roman" w:hAnsi="Times New Roman" w:cs="Times New Roman"/>
      <w:sz w:val="24"/>
      <w:lang w:val="en-GB" w:eastAsia="fr-BE"/>
    </w:rPr>
  </w:style>
  <w:style w:type="paragraph" w:styleId="Salutation">
    <w:name w:val="Salutation"/>
    <w:basedOn w:val="Normal"/>
    <w:next w:val="Normal"/>
    <w:link w:val="SalutationChar"/>
    <w:pPr>
      <w:spacing w:line="360" w:lineRule="auto"/>
      <w:jc w:val="left"/>
    </w:pPr>
    <w:rPr>
      <w:rFonts w:eastAsia="Times New Roman"/>
      <w:lang w:eastAsia="fr-BE"/>
    </w:rPr>
  </w:style>
  <w:style w:type="character" w:customStyle="1" w:styleId="SalutationChar">
    <w:name w:val="Salutation Char"/>
    <w:basedOn w:val="DefaultParagraphFont"/>
    <w:link w:val="Salutation"/>
    <w:rPr>
      <w:rFonts w:ascii="Times New Roman" w:eastAsia="Times New Roman" w:hAnsi="Times New Roman" w:cs="Times New Roman"/>
      <w:sz w:val="24"/>
      <w:lang w:val="en-GB" w:eastAsia="fr-BE"/>
    </w:rPr>
  </w:style>
  <w:style w:type="paragraph" w:styleId="TableofAuthorities">
    <w:name w:val="table of authorities"/>
    <w:basedOn w:val="Normal"/>
    <w:next w:val="Normal"/>
    <w:pPr>
      <w:spacing w:line="360" w:lineRule="auto"/>
      <w:ind w:left="240" w:hanging="240"/>
      <w:jc w:val="left"/>
    </w:pPr>
    <w:rPr>
      <w:rFonts w:eastAsia="Times New Roman"/>
      <w:lang w:eastAsia="fr-BE"/>
    </w:rPr>
  </w:style>
  <w:style w:type="character" w:customStyle="1" w:styleId="CRTextDeleted">
    <w:name w:val="CR TextDeleted"/>
    <w:rPr>
      <w:rFonts w:cs="Times New Roman"/>
    </w:rPr>
  </w:style>
  <w:style w:type="paragraph" w:customStyle="1" w:styleId="CRParaDeleted">
    <w:name w:val="CR ParaDeleted"/>
    <w:basedOn w:val="Normal"/>
    <w:next w:val="Normal"/>
    <w:pPr>
      <w:spacing w:line="360" w:lineRule="auto"/>
      <w:jc w:val="left"/>
    </w:pPr>
    <w:rPr>
      <w:rFonts w:eastAsia="Times New Roman"/>
      <w:lang w:eastAsia="fr-BE"/>
    </w:rPr>
  </w:style>
  <w:style w:type="paragraph" w:customStyle="1" w:styleId="Style3">
    <w:name w:val="Style 3"/>
    <w:basedOn w:val="Normal"/>
    <w:pPr>
      <w:spacing w:before="0" w:after="0" w:line="264" w:lineRule="atLeast"/>
    </w:pPr>
    <w:rPr>
      <w:rFonts w:eastAsia="Times New Roman"/>
      <w:lang w:val="en-US" w:eastAsia="en-GB"/>
    </w:rPr>
  </w:style>
  <w:style w:type="paragraph" w:customStyle="1" w:styleId="ManualNumpar1">
    <w:name w:val="Manual Numpar 1"/>
    <w:basedOn w:val="Normal"/>
    <w:pPr>
      <w:spacing w:before="0" w:after="0"/>
    </w:pPr>
    <w:rPr>
      <w:rFonts w:eastAsia="Times New Roman"/>
      <w:lang w:eastAsia="en-GB"/>
    </w:rPr>
  </w:style>
  <w:style w:type="paragraph" w:customStyle="1" w:styleId="text10">
    <w:name w:val="text 1"/>
    <w:basedOn w:val="Normal"/>
    <w:next w:val="Text1"/>
    <w:pPr>
      <w:spacing w:before="0" w:after="0"/>
      <w:ind w:left="720" w:hanging="720"/>
    </w:pPr>
    <w:rPr>
      <w:rFonts w:eastAsia="Times New Roman"/>
      <w:lang w:eastAsia="en-GB"/>
    </w:rPr>
  </w:style>
  <w:style w:type="paragraph" w:customStyle="1" w:styleId="Am">
    <w:name w:val="Am"/>
    <w:basedOn w:val="Titrearticle"/>
    <w:pPr>
      <w:spacing w:before="0" w:after="240"/>
    </w:pPr>
    <w:rPr>
      <w:rFonts w:eastAsia="Times New Roman"/>
      <w:i w:val="0"/>
      <w:lang w:eastAsia="en-GB"/>
    </w:rPr>
  </w:style>
  <w:style w:type="paragraph" w:customStyle="1" w:styleId="pointdouble0">
    <w:name w:val="point double 0"/>
    <w:basedOn w:val="pointdouble1"/>
  </w:style>
  <w:style w:type="paragraph" w:customStyle="1" w:styleId="ManualPar1">
    <w:name w:val="Manual Par1."/>
    <w:basedOn w:val="Normal"/>
    <w:rPr>
      <w:rFonts w:eastAsia="Times New Roman"/>
      <w:lang w:eastAsia="de-DE"/>
    </w:rPr>
  </w:style>
  <w:style w:type="paragraph" w:customStyle="1" w:styleId="Noprmal">
    <w:name w:val="Noprmal"/>
    <w:basedOn w:val="Normal"/>
    <w:pPr>
      <w:jc w:val="center"/>
    </w:pPr>
    <w:rPr>
      <w:rFonts w:eastAsia="Times New Roman"/>
      <w:b/>
      <w:u w:val="single"/>
      <w:lang w:eastAsia="de-DE"/>
    </w:rPr>
  </w:style>
  <w:style w:type="character" w:customStyle="1" w:styleId="cataloguedetail-doctitle1">
    <w:name w:val="cataloguedetail-doctitle1"/>
    <w:rPr>
      <w:rFonts w:ascii="Verdana" w:hAnsi="Verdana" w:cs="Times New Roman"/>
      <w:b/>
      <w:bCs/>
      <w:color w:val="002597"/>
      <w:sz w:val="18"/>
      <w:szCs w:val="18"/>
    </w:rPr>
  </w:style>
  <w:style w:type="character" w:customStyle="1" w:styleId="hps">
    <w:name w:val="hps"/>
    <w:rPr>
      <w:shd w:val="clear" w:color="auto" w:fill="auto"/>
    </w:rPr>
  </w:style>
  <w:style w:type="character" w:customStyle="1" w:styleId="hpsatn">
    <w:name w:val="hps atn"/>
    <w:rPr>
      <w:shd w:val="clear" w:color="auto" w:fill="auto"/>
    </w:rPr>
  </w:style>
  <w:style w:type="paragraph" w:customStyle="1" w:styleId="PointO">
    <w:name w:val="Point O"/>
    <w:basedOn w:val="Normal"/>
    <w:pPr>
      <w:widowControl w:val="0"/>
      <w:tabs>
        <w:tab w:val="left" w:pos="1240"/>
      </w:tabs>
      <w:autoSpaceDE w:val="0"/>
      <w:autoSpaceDN w:val="0"/>
      <w:adjustRightInd w:val="0"/>
      <w:spacing w:after="0"/>
      <w:ind w:left="118"/>
    </w:pPr>
    <w:rPr>
      <w:rFonts w:ascii="Arial" w:eastAsia="Times New Roman" w:hAnsi="Arial" w:cs="Arial"/>
      <w:spacing w:val="8"/>
      <w:sz w:val="18"/>
      <w:szCs w:val="18"/>
      <w:lang w:eastAsia="de-DE"/>
    </w:rPr>
  </w:style>
  <w:style w:type="paragraph" w:customStyle="1" w:styleId="text20">
    <w:name w:val="text2"/>
    <w:basedOn w:val="Normal"/>
    <w:rPr>
      <w:rFonts w:eastAsia="Times New Roman"/>
      <w:lang w:eastAsia="de-DE"/>
    </w:rPr>
  </w:style>
  <w:style w:type="paragraph" w:customStyle="1" w:styleId="text0">
    <w:name w:val="text 0"/>
    <w:basedOn w:val="Normal"/>
    <w:rPr>
      <w:rFonts w:eastAsia="Times New Roman"/>
      <w:lang w:eastAsia="de-DE"/>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lang w:eastAsia="en-GB"/>
    </w:rPr>
  </w:style>
  <w:style w:type="character" w:customStyle="1" w:styleId="small">
    <w:name w:val="small"/>
    <w:basedOn w:val="DefaultParagraphFont"/>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Titreobjet">
    <w:name w:val="Titre objet"/>
    <w:basedOn w:val="Normal"/>
    <w:next w:val="Sous-titreobjet"/>
    <w:pPr>
      <w:spacing w:before="180" w:after="18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DeltaViewInsertion">
    <w:name w:val="DeltaView Insertion"/>
    <w:uiPriority w:val="99"/>
    <w:rPr>
      <w:b/>
      <w:i/>
      <w:color w:val="000000"/>
    </w:rPr>
  </w:style>
  <w:style w:type="paragraph" w:customStyle="1" w:styleId="PointDouble00">
    <w:name w:val="PointDouble 0"/>
    <w:basedOn w:val="Normal"/>
    <w:pPr>
      <w:tabs>
        <w:tab w:val="left" w:pos="850"/>
      </w:tabs>
      <w:ind w:left="1417" w:hanging="1417"/>
    </w:pPr>
  </w:style>
  <w:style w:type="paragraph" w:customStyle="1" w:styleId="PointDouble10">
    <w:name w:val="PointDouble 1"/>
    <w:basedOn w:val="Normal"/>
    <w:pPr>
      <w:tabs>
        <w:tab w:val="left" w:pos="1417"/>
      </w:tabs>
      <w:ind w:left="1984" w:hanging="1134"/>
    </w:pPr>
  </w:style>
  <w:style w:type="paragraph" w:customStyle="1" w:styleId="ManualNumPar10">
    <w:name w:val="Manual NumPar 1"/>
    <w:basedOn w:val="Normal"/>
    <w:next w:val="Text1"/>
    <w:pPr>
      <w:ind w:left="850" w:hanging="850"/>
    </w:pPr>
  </w:style>
  <w:style w:type="paragraph" w:customStyle="1" w:styleId="PointDouble01">
    <w:name w:val="PointDouble 0"/>
    <w:basedOn w:val="Normal"/>
    <w:pPr>
      <w:tabs>
        <w:tab w:val="left" w:pos="850"/>
      </w:tabs>
      <w:ind w:left="1417" w:hanging="1417"/>
    </w:pPr>
  </w:style>
  <w:style w:type="paragraph" w:customStyle="1" w:styleId="PointDouble11">
    <w:name w:val="PointDouble 1"/>
    <w:basedOn w:val="Normal"/>
    <w:pPr>
      <w:tabs>
        <w:tab w:val="left" w:pos="1417"/>
      </w:tabs>
      <w:ind w:left="1984" w:hanging="1134"/>
    </w:pPr>
  </w:style>
  <w:style w:type="paragraph" w:customStyle="1" w:styleId="ManualNumPar11">
    <w:name w:val="Manual NumPar 1"/>
    <w:basedOn w:val="Normal"/>
    <w:next w:val="Text1"/>
    <w:pPr>
      <w:ind w:left="850" w:hanging="850"/>
    </w:pPr>
  </w:style>
  <w:style w:type="paragraph" w:customStyle="1" w:styleId="PointDouble02">
    <w:name w:val="PointDouble 0"/>
    <w:basedOn w:val="Normal"/>
    <w:pPr>
      <w:tabs>
        <w:tab w:val="left" w:pos="850"/>
      </w:tabs>
      <w:ind w:left="1417" w:hanging="1417"/>
    </w:pPr>
  </w:style>
  <w:style w:type="paragraph" w:customStyle="1" w:styleId="PointDouble12">
    <w:name w:val="PointDouble 1"/>
    <w:basedOn w:val="Normal"/>
    <w:pPr>
      <w:tabs>
        <w:tab w:val="left" w:pos="1417"/>
      </w:tabs>
      <w:ind w:left="1984" w:hanging="1134"/>
    </w:pPr>
  </w:style>
  <w:style w:type="paragraph" w:customStyle="1" w:styleId="ManualNumPar12">
    <w:name w:val="Manual NumPar 1"/>
    <w:basedOn w:val="Normal"/>
    <w:next w:val="Text1"/>
    <w:pPr>
      <w:ind w:left="850" w:hanging="850"/>
    </w:pPr>
  </w:style>
  <w:style w:type="paragraph" w:customStyle="1" w:styleId="PointDouble03">
    <w:name w:val="PointDouble 0"/>
    <w:basedOn w:val="Normal"/>
    <w:pPr>
      <w:tabs>
        <w:tab w:val="left" w:pos="850"/>
      </w:tabs>
      <w:ind w:left="1417" w:hanging="1417"/>
    </w:pPr>
  </w:style>
  <w:style w:type="paragraph" w:customStyle="1" w:styleId="PointDouble13">
    <w:name w:val="PointDouble 1"/>
    <w:basedOn w:val="Normal"/>
    <w:pPr>
      <w:tabs>
        <w:tab w:val="left" w:pos="1417"/>
      </w:tabs>
      <w:ind w:left="1984" w:hanging="1134"/>
    </w:pPr>
  </w:style>
  <w:style w:type="paragraph" w:customStyle="1" w:styleId="ManualNumPar13">
    <w:name w:val="Manual NumPar 1"/>
    <w:basedOn w:val="Normal"/>
    <w:next w:val="Text1"/>
    <w:pPr>
      <w:ind w:left="850" w:hanging="850"/>
    </w:pPr>
  </w:style>
  <w:style w:type="paragraph" w:customStyle="1" w:styleId="PointDouble04">
    <w:name w:val="PointDouble 0"/>
    <w:basedOn w:val="Normal"/>
    <w:pPr>
      <w:tabs>
        <w:tab w:val="left" w:pos="850"/>
      </w:tabs>
      <w:ind w:left="1417" w:hanging="1417"/>
    </w:pPr>
  </w:style>
  <w:style w:type="paragraph" w:customStyle="1" w:styleId="PointDouble14">
    <w:name w:val="PointDouble 1"/>
    <w:basedOn w:val="Normal"/>
    <w:pPr>
      <w:tabs>
        <w:tab w:val="left" w:pos="1417"/>
      </w:tabs>
      <w:ind w:left="1984" w:hanging="1134"/>
    </w:pPr>
  </w:style>
  <w:style w:type="paragraph" w:customStyle="1" w:styleId="ManualNumPar14">
    <w:name w:val="Manual NumPar 1"/>
    <w:basedOn w:val="Normal"/>
    <w:next w:val="Text1"/>
    <w:pPr>
      <w:ind w:left="850" w:hanging="850"/>
    </w:pPr>
  </w:style>
  <w:style w:type="paragraph" w:customStyle="1" w:styleId="PointDouble05">
    <w:name w:val="PointDouble 0"/>
    <w:basedOn w:val="Normal"/>
    <w:pPr>
      <w:tabs>
        <w:tab w:val="left" w:pos="850"/>
      </w:tabs>
      <w:ind w:left="1417" w:hanging="1417"/>
    </w:pPr>
  </w:style>
  <w:style w:type="paragraph" w:customStyle="1" w:styleId="PointDouble15">
    <w:name w:val="PointDouble 1"/>
    <w:basedOn w:val="Normal"/>
    <w:pPr>
      <w:tabs>
        <w:tab w:val="left" w:pos="1417"/>
      </w:tabs>
      <w:ind w:left="1984" w:hanging="1134"/>
    </w:pPr>
  </w:style>
  <w:style w:type="paragraph" w:customStyle="1" w:styleId="ManualNumPar15">
    <w:name w:val="Manual NumPar 1"/>
    <w:basedOn w:val="Normal"/>
    <w:next w:val="Text1"/>
    <w:pPr>
      <w:ind w:left="850" w:hanging="850"/>
    </w:pPr>
  </w:style>
  <w:style w:type="paragraph" w:customStyle="1" w:styleId="PointDouble06">
    <w:name w:val="PointDouble 0"/>
    <w:basedOn w:val="Normal"/>
    <w:pPr>
      <w:tabs>
        <w:tab w:val="left" w:pos="850"/>
      </w:tabs>
      <w:ind w:left="1417" w:hanging="1417"/>
    </w:pPr>
  </w:style>
  <w:style w:type="paragraph" w:customStyle="1" w:styleId="PointDouble16">
    <w:name w:val="PointDouble 1"/>
    <w:basedOn w:val="Normal"/>
    <w:pPr>
      <w:tabs>
        <w:tab w:val="left" w:pos="1417"/>
      </w:tabs>
      <w:ind w:left="1984" w:hanging="1134"/>
    </w:pPr>
  </w:style>
  <w:style w:type="paragraph" w:customStyle="1" w:styleId="ManualNumPar16">
    <w:name w:val="Manual NumPar 1"/>
    <w:basedOn w:val="Normal"/>
    <w:next w:val="Text1"/>
    <w:pPr>
      <w:ind w:left="850" w:hanging="850"/>
    </w:pPr>
  </w:style>
  <w:style w:type="paragraph" w:customStyle="1" w:styleId="PointDouble07">
    <w:name w:val="PointDouble 0"/>
    <w:basedOn w:val="Normal"/>
    <w:pPr>
      <w:tabs>
        <w:tab w:val="left" w:pos="850"/>
      </w:tabs>
      <w:ind w:left="1417" w:hanging="1417"/>
    </w:pPr>
  </w:style>
  <w:style w:type="paragraph" w:customStyle="1" w:styleId="PointDouble17">
    <w:name w:val="PointDouble 1"/>
    <w:basedOn w:val="Normal"/>
    <w:pPr>
      <w:tabs>
        <w:tab w:val="left" w:pos="1417"/>
      </w:tabs>
      <w:ind w:left="1984" w:hanging="1134"/>
    </w:pPr>
  </w:style>
  <w:style w:type="paragraph" w:customStyle="1" w:styleId="ManualNumPar17">
    <w:name w:val="Manual NumPar 1"/>
    <w:basedOn w:val="Normal"/>
    <w:next w:val="Text1"/>
    <w:pPr>
      <w:ind w:left="850" w:hanging="850"/>
    </w:pPr>
  </w:style>
  <w:style w:type="paragraph" w:customStyle="1" w:styleId="PointDouble08">
    <w:name w:val="PointDouble 0"/>
    <w:basedOn w:val="Normal"/>
    <w:pPr>
      <w:tabs>
        <w:tab w:val="left" w:pos="850"/>
      </w:tabs>
      <w:ind w:left="1417" w:hanging="1417"/>
    </w:pPr>
  </w:style>
  <w:style w:type="paragraph" w:customStyle="1" w:styleId="PointDouble18">
    <w:name w:val="PointDouble 1"/>
    <w:basedOn w:val="Normal"/>
    <w:pPr>
      <w:tabs>
        <w:tab w:val="left" w:pos="1417"/>
      </w:tabs>
      <w:ind w:left="1984" w:hanging="1134"/>
    </w:pPr>
  </w:style>
  <w:style w:type="paragraph" w:customStyle="1" w:styleId="ManualNumPar18">
    <w:name w:val="Manual NumPar 1"/>
    <w:basedOn w:val="Normal"/>
    <w:next w:val="Text1"/>
    <w:pPr>
      <w:ind w:left="850" w:hanging="850"/>
    </w:pPr>
  </w:style>
  <w:style w:type="paragraph" w:customStyle="1" w:styleId="PointDouble09">
    <w:name w:val="PointDouble 0"/>
    <w:basedOn w:val="Normal"/>
    <w:pPr>
      <w:tabs>
        <w:tab w:val="left" w:pos="850"/>
      </w:tabs>
      <w:ind w:left="1417" w:hanging="1417"/>
    </w:pPr>
  </w:style>
  <w:style w:type="paragraph" w:customStyle="1" w:styleId="PointDouble19">
    <w:name w:val="PointDouble 1"/>
    <w:basedOn w:val="Normal"/>
    <w:pPr>
      <w:tabs>
        <w:tab w:val="left" w:pos="1417"/>
      </w:tabs>
      <w:ind w:left="1984" w:hanging="1134"/>
    </w:pPr>
  </w:style>
  <w:style w:type="paragraph" w:customStyle="1" w:styleId="ManualNumPar19">
    <w:name w:val="Manual NumPar 1"/>
    <w:basedOn w:val="Normal"/>
    <w:next w:val="Text1"/>
    <w:pPr>
      <w:ind w:left="850" w:hanging="850"/>
    </w:pPr>
  </w:style>
  <w:style w:type="paragraph" w:customStyle="1" w:styleId="PointDouble0a">
    <w:name w:val="PointDouble 0"/>
    <w:basedOn w:val="Normal"/>
    <w:pPr>
      <w:tabs>
        <w:tab w:val="left" w:pos="850"/>
      </w:tabs>
      <w:ind w:left="1417" w:hanging="1417"/>
    </w:pPr>
  </w:style>
  <w:style w:type="paragraph" w:customStyle="1" w:styleId="PointDouble1a">
    <w:name w:val="PointDouble 1"/>
    <w:basedOn w:val="Normal"/>
    <w:pPr>
      <w:tabs>
        <w:tab w:val="left" w:pos="1417"/>
      </w:tabs>
      <w:ind w:left="1984" w:hanging="1134"/>
    </w:pPr>
  </w:style>
  <w:style w:type="paragraph" w:customStyle="1" w:styleId="ManualNumPar1a">
    <w:name w:val="Manual NumPar 1"/>
    <w:basedOn w:val="Normal"/>
    <w:next w:val="Text1"/>
    <w:pPr>
      <w:ind w:left="850" w:hanging="850"/>
    </w:pPr>
  </w:style>
  <w:style w:type="paragraph" w:customStyle="1" w:styleId="PointDouble0b">
    <w:name w:val="PointDouble 0"/>
    <w:basedOn w:val="Normal"/>
    <w:pPr>
      <w:tabs>
        <w:tab w:val="left" w:pos="850"/>
      </w:tabs>
      <w:ind w:left="1417" w:hanging="1417"/>
    </w:pPr>
  </w:style>
  <w:style w:type="paragraph" w:customStyle="1" w:styleId="PointDouble1b">
    <w:name w:val="PointDouble 1"/>
    <w:basedOn w:val="Normal"/>
    <w:pPr>
      <w:tabs>
        <w:tab w:val="left" w:pos="1417"/>
      </w:tabs>
      <w:ind w:left="1984" w:hanging="1134"/>
    </w:pPr>
  </w:style>
  <w:style w:type="paragraph" w:customStyle="1" w:styleId="ManualNumPar1b">
    <w:name w:val="Manual NumPar 1"/>
    <w:basedOn w:val="Normal"/>
    <w:next w:val="Text1"/>
    <w:pPr>
      <w:ind w:left="850" w:hanging="850"/>
    </w:pPr>
  </w:style>
  <w:style w:type="paragraph" w:styleId="Revision">
    <w:name w:val="Revision"/>
    <w:hidden/>
    <w:semiHidden/>
    <w:pPr>
      <w:spacing w:after="0" w:line="240" w:lineRule="auto"/>
    </w:pPr>
    <w:rPr>
      <w:rFonts w:ascii="Times New Roman" w:hAnsi="Times New Roman" w:cs="Times New Roman"/>
      <w:sz w:val="24"/>
      <w:lang w:val="en-GB"/>
    </w:rPr>
  </w:style>
  <w:style w:type="paragraph" w:customStyle="1" w:styleId="PointDouble0c">
    <w:name w:val="PointDouble 0"/>
    <w:basedOn w:val="Normal"/>
    <w:pPr>
      <w:tabs>
        <w:tab w:val="left" w:pos="850"/>
      </w:tabs>
      <w:ind w:left="1417" w:hanging="1417"/>
    </w:pPr>
  </w:style>
  <w:style w:type="paragraph" w:customStyle="1" w:styleId="PointDouble1c">
    <w:name w:val="PointDouble 1"/>
    <w:basedOn w:val="Normal"/>
    <w:pPr>
      <w:tabs>
        <w:tab w:val="left" w:pos="1417"/>
      </w:tabs>
      <w:ind w:left="1984" w:hanging="1134"/>
    </w:pPr>
  </w:style>
  <w:style w:type="paragraph" w:customStyle="1" w:styleId="ManualNumPar1c">
    <w:name w:val="Manual NumPar 1"/>
    <w:basedOn w:val="Normal"/>
    <w:next w:val="Text1"/>
    <w:pPr>
      <w:ind w:left="850" w:hanging="850"/>
    </w:pPr>
  </w:style>
  <w:style w:type="paragraph" w:customStyle="1" w:styleId="PointDouble0d">
    <w:name w:val="PointDouble 0"/>
    <w:basedOn w:val="Normal"/>
    <w:pPr>
      <w:tabs>
        <w:tab w:val="left" w:pos="850"/>
      </w:tabs>
      <w:ind w:left="1417" w:hanging="1417"/>
    </w:pPr>
  </w:style>
  <w:style w:type="paragraph" w:customStyle="1" w:styleId="PointDouble1d">
    <w:name w:val="PointDouble 1"/>
    <w:basedOn w:val="Normal"/>
    <w:pPr>
      <w:tabs>
        <w:tab w:val="left" w:pos="1417"/>
      </w:tabs>
      <w:ind w:left="1984" w:hanging="1134"/>
    </w:pPr>
  </w:style>
  <w:style w:type="paragraph" w:customStyle="1" w:styleId="ManualNumPar1d">
    <w:name w:val="Manual NumPar 1"/>
    <w:basedOn w:val="Normal"/>
    <w:next w:val="Text1"/>
    <w:pPr>
      <w:ind w:left="850" w:hanging="850"/>
    </w:pPr>
  </w:style>
  <w:style w:type="paragraph" w:customStyle="1" w:styleId="PointDouble0e">
    <w:name w:val="PointDouble 0"/>
    <w:basedOn w:val="Normal"/>
    <w:pPr>
      <w:tabs>
        <w:tab w:val="left" w:pos="850"/>
      </w:tabs>
      <w:ind w:left="1417" w:hanging="1417"/>
    </w:pPr>
  </w:style>
  <w:style w:type="paragraph" w:customStyle="1" w:styleId="PointDouble1e">
    <w:name w:val="PointDouble 1"/>
    <w:basedOn w:val="Normal"/>
    <w:pPr>
      <w:tabs>
        <w:tab w:val="left" w:pos="1417"/>
      </w:tabs>
      <w:ind w:left="1984" w:hanging="1134"/>
    </w:pPr>
  </w:style>
  <w:style w:type="paragraph" w:customStyle="1" w:styleId="ManualNumPar1e">
    <w:name w:val="Manual NumPar 1"/>
    <w:basedOn w:val="Normal"/>
    <w:next w:val="Text1"/>
    <w:pPr>
      <w:ind w:left="850" w:hanging="850"/>
    </w:pPr>
  </w:style>
  <w:style w:type="paragraph" w:customStyle="1" w:styleId="PointDouble0f">
    <w:name w:val="PointDouble 0"/>
    <w:basedOn w:val="Normal"/>
    <w:pPr>
      <w:tabs>
        <w:tab w:val="left" w:pos="850"/>
      </w:tabs>
      <w:ind w:left="1417" w:hanging="1417"/>
    </w:pPr>
  </w:style>
  <w:style w:type="paragraph" w:customStyle="1" w:styleId="PointDouble1f">
    <w:name w:val="PointDouble 1"/>
    <w:basedOn w:val="Normal"/>
    <w:pPr>
      <w:tabs>
        <w:tab w:val="left" w:pos="1417"/>
      </w:tabs>
      <w:ind w:left="1984" w:hanging="1134"/>
    </w:pPr>
  </w:style>
  <w:style w:type="paragraph" w:customStyle="1" w:styleId="ManualNumPar1f">
    <w:name w:val="Manual NumPar 1"/>
    <w:basedOn w:val="Normal"/>
    <w:next w:val="Text1"/>
    <w:pPr>
      <w:ind w:left="850" w:hanging="850"/>
    </w:pPr>
  </w:style>
  <w:style w:type="paragraph" w:customStyle="1" w:styleId="PointDouble0f0">
    <w:name w:val="PointDouble 0"/>
    <w:basedOn w:val="Normal"/>
    <w:pPr>
      <w:tabs>
        <w:tab w:val="left" w:pos="850"/>
      </w:tabs>
      <w:ind w:left="1417" w:hanging="1417"/>
    </w:pPr>
  </w:style>
  <w:style w:type="paragraph" w:customStyle="1" w:styleId="PointDouble1f0">
    <w:name w:val="PointDouble 1"/>
    <w:basedOn w:val="Normal"/>
    <w:pPr>
      <w:tabs>
        <w:tab w:val="left" w:pos="1417"/>
      </w:tabs>
      <w:ind w:left="1984" w:hanging="1134"/>
    </w:pPr>
  </w:style>
  <w:style w:type="paragraph" w:customStyle="1" w:styleId="ManualNumPar1f0">
    <w:name w:val="Manual NumPar 1"/>
    <w:basedOn w:val="Normal"/>
    <w:next w:val="Text1"/>
    <w:pPr>
      <w:ind w:left="850" w:hanging="850"/>
    </w:pPr>
  </w:style>
  <w:style w:type="paragraph" w:customStyle="1" w:styleId="PointDouble0f1">
    <w:name w:val="PointDouble 0"/>
    <w:basedOn w:val="Normal"/>
    <w:pPr>
      <w:tabs>
        <w:tab w:val="left" w:pos="850"/>
      </w:tabs>
      <w:ind w:left="1417" w:hanging="1417"/>
    </w:pPr>
  </w:style>
  <w:style w:type="paragraph" w:customStyle="1" w:styleId="PointDouble1f1">
    <w:name w:val="PointDouble 1"/>
    <w:basedOn w:val="Normal"/>
    <w:pPr>
      <w:tabs>
        <w:tab w:val="left" w:pos="1417"/>
      </w:tabs>
      <w:ind w:left="1984" w:hanging="1134"/>
    </w:pPr>
  </w:style>
  <w:style w:type="paragraph" w:customStyle="1" w:styleId="ManualNumPar1f1">
    <w:name w:val="Manual NumPar 1"/>
    <w:basedOn w:val="Normal"/>
    <w:next w:val="Text1"/>
    <w:pPr>
      <w:ind w:left="850" w:hanging="850"/>
    </w:pPr>
  </w:style>
  <w:style w:type="paragraph" w:customStyle="1" w:styleId="PointDouble0f2">
    <w:name w:val="PointDouble 0"/>
    <w:basedOn w:val="Normal"/>
    <w:pPr>
      <w:tabs>
        <w:tab w:val="left" w:pos="850"/>
      </w:tabs>
      <w:ind w:left="1417" w:hanging="1417"/>
    </w:pPr>
  </w:style>
  <w:style w:type="paragraph" w:customStyle="1" w:styleId="PointDouble1f2">
    <w:name w:val="PointDouble 1"/>
    <w:basedOn w:val="Normal"/>
    <w:pPr>
      <w:tabs>
        <w:tab w:val="left" w:pos="1417"/>
      </w:tabs>
      <w:ind w:left="1984" w:hanging="1134"/>
    </w:pPr>
  </w:style>
  <w:style w:type="paragraph" w:customStyle="1" w:styleId="ManualNumPar1f2">
    <w:name w:val="Manual NumPar 1"/>
    <w:basedOn w:val="Normal"/>
    <w:next w:val="Text1"/>
    <w:pPr>
      <w:ind w:left="850" w:hanging="850"/>
    </w:pPr>
  </w:style>
  <w:style w:type="paragraph" w:customStyle="1" w:styleId="PointDouble0f3">
    <w:name w:val="PointDouble 0"/>
    <w:basedOn w:val="Normal"/>
    <w:pPr>
      <w:tabs>
        <w:tab w:val="left" w:pos="850"/>
      </w:tabs>
      <w:ind w:left="1417" w:hanging="1417"/>
    </w:pPr>
  </w:style>
  <w:style w:type="paragraph" w:customStyle="1" w:styleId="PointDouble1f3">
    <w:name w:val="PointDouble 1"/>
    <w:basedOn w:val="Normal"/>
    <w:pPr>
      <w:tabs>
        <w:tab w:val="left" w:pos="1417"/>
      </w:tabs>
      <w:ind w:left="1984" w:hanging="1134"/>
    </w:pPr>
  </w:style>
  <w:style w:type="paragraph" w:customStyle="1" w:styleId="ManualNumPar1f3">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f4">
    <w:name w:val="PointDouble 0"/>
    <w:basedOn w:val="Normal"/>
    <w:pPr>
      <w:tabs>
        <w:tab w:val="left" w:pos="850"/>
      </w:tabs>
      <w:ind w:left="1417" w:hanging="1417"/>
    </w:pPr>
  </w:style>
  <w:style w:type="paragraph" w:customStyle="1" w:styleId="PointDouble1f4">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f4">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4276">
      <w:bodyDiv w:val="1"/>
      <w:marLeft w:val="0"/>
      <w:marRight w:val="0"/>
      <w:marTop w:val="0"/>
      <w:marBottom w:val="0"/>
      <w:divBdr>
        <w:top w:val="none" w:sz="0" w:space="0" w:color="auto"/>
        <w:left w:val="none" w:sz="0" w:space="0" w:color="auto"/>
        <w:bottom w:val="none" w:sz="0" w:space="0" w:color="auto"/>
        <w:right w:val="none" w:sz="0" w:space="0" w:color="auto"/>
      </w:divBdr>
    </w:div>
    <w:div w:id="342048426">
      <w:bodyDiv w:val="1"/>
      <w:marLeft w:val="0"/>
      <w:marRight w:val="0"/>
      <w:marTop w:val="0"/>
      <w:marBottom w:val="0"/>
      <w:divBdr>
        <w:top w:val="none" w:sz="0" w:space="0" w:color="auto"/>
        <w:left w:val="none" w:sz="0" w:space="0" w:color="auto"/>
        <w:bottom w:val="none" w:sz="0" w:space="0" w:color="auto"/>
        <w:right w:val="none" w:sz="0" w:space="0" w:color="auto"/>
      </w:divBdr>
    </w:div>
    <w:div w:id="522136746">
      <w:bodyDiv w:val="1"/>
      <w:marLeft w:val="0"/>
      <w:marRight w:val="0"/>
      <w:marTop w:val="0"/>
      <w:marBottom w:val="0"/>
      <w:divBdr>
        <w:top w:val="none" w:sz="0" w:space="0" w:color="auto"/>
        <w:left w:val="none" w:sz="0" w:space="0" w:color="auto"/>
        <w:bottom w:val="none" w:sz="0" w:space="0" w:color="auto"/>
        <w:right w:val="none" w:sz="0" w:space="0" w:color="auto"/>
      </w:divBdr>
    </w:div>
    <w:div w:id="673537918">
      <w:bodyDiv w:val="1"/>
      <w:marLeft w:val="0"/>
      <w:marRight w:val="0"/>
      <w:marTop w:val="0"/>
      <w:marBottom w:val="0"/>
      <w:divBdr>
        <w:top w:val="none" w:sz="0" w:space="0" w:color="auto"/>
        <w:left w:val="none" w:sz="0" w:space="0" w:color="auto"/>
        <w:bottom w:val="none" w:sz="0" w:space="0" w:color="auto"/>
        <w:right w:val="none" w:sz="0" w:space="0" w:color="auto"/>
      </w:divBdr>
    </w:div>
    <w:div w:id="1458723673">
      <w:bodyDiv w:val="1"/>
      <w:marLeft w:val="0"/>
      <w:marRight w:val="0"/>
      <w:marTop w:val="0"/>
      <w:marBottom w:val="0"/>
      <w:divBdr>
        <w:top w:val="none" w:sz="0" w:space="0" w:color="auto"/>
        <w:left w:val="none" w:sz="0" w:space="0" w:color="auto"/>
        <w:bottom w:val="none" w:sz="0" w:space="0" w:color="auto"/>
        <w:right w:val="none" w:sz="0" w:space="0" w:color="auto"/>
      </w:divBdr>
    </w:div>
    <w:div w:id="1460227723">
      <w:bodyDiv w:val="1"/>
      <w:marLeft w:val="0"/>
      <w:marRight w:val="0"/>
      <w:marTop w:val="0"/>
      <w:marBottom w:val="0"/>
      <w:divBdr>
        <w:top w:val="none" w:sz="0" w:space="0" w:color="auto"/>
        <w:left w:val="none" w:sz="0" w:space="0" w:color="auto"/>
        <w:bottom w:val="none" w:sz="0" w:space="0" w:color="auto"/>
        <w:right w:val="none" w:sz="0" w:space="0" w:color="auto"/>
      </w:divBdr>
    </w:div>
    <w:div w:id="1632050630">
      <w:bodyDiv w:val="1"/>
      <w:marLeft w:val="0"/>
      <w:marRight w:val="0"/>
      <w:marTop w:val="0"/>
      <w:marBottom w:val="0"/>
      <w:divBdr>
        <w:top w:val="none" w:sz="0" w:space="0" w:color="auto"/>
        <w:left w:val="none" w:sz="0" w:space="0" w:color="auto"/>
        <w:bottom w:val="none" w:sz="0" w:space="0" w:color="auto"/>
        <w:right w:val="none" w:sz="0" w:space="0" w:color="auto"/>
      </w:divBdr>
    </w:div>
    <w:div w:id="1687555239">
      <w:bodyDiv w:val="1"/>
      <w:marLeft w:val="0"/>
      <w:marRight w:val="0"/>
      <w:marTop w:val="0"/>
      <w:marBottom w:val="0"/>
      <w:divBdr>
        <w:top w:val="none" w:sz="0" w:space="0" w:color="auto"/>
        <w:left w:val="none" w:sz="0" w:space="0" w:color="auto"/>
        <w:bottom w:val="none" w:sz="0" w:space="0" w:color="auto"/>
        <w:right w:val="none" w:sz="0" w:space="0" w:color="auto"/>
      </w:divBdr>
    </w:div>
    <w:div w:id="1932201973">
      <w:bodyDiv w:val="1"/>
      <w:marLeft w:val="0"/>
      <w:marRight w:val="0"/>
      <w:marTop w:val="0"/>
      <w:marBottom w:val="0"/>
      <w:divBdr>
        <w:top w:val="none" w:sz="0" w:space="0" w:color="auto"/>
        <w:left w:val="none" w:sz="0" w:space="0" w:color="auto"/>
        <w:bottom w:val="none" w:sz="0" w:space="0" w:color="auto"/>
        <w:right w:val="none" w:sz="0" w:space="0" w:color="auto"/>
      </w:divBdr>
    </w:div>
    <w:div w:id="20519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376817A2-2075-482F-86BA-E5736A6CADF5">Not Started</EC_Collab_Status>
    <_Status xmlns="http://schemas.microsoft.com/sharepoint/v3/fields">Not Started</_Status>
    <EC_Collab_Reference xmlns="376817A2-2075-482F-86BA-E5736A6CADF5" xsi:nil="true"/>
    <EC_Collab_DocumentLanguage xmlns="376817A2-2075-482F-86BA-E5736A6CADF5">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4ACCA711B5B384B9A35DA48EBE090A1" ma:contentTypeVersion="0" ma:contentTypeDescription="Create a new document in this library." ma:contentTypeScope="" ma:versionID="9861202a31cd81962dc0d55110351bc5">
  <xsd:schema xmlns:xsd="http://www.w3.org/2001/XMLSchema" xmlns:xs="http://www.w3.org/2001/XMLSchema" xmlns:p="http://schemas.microsoft.com/office/2006/metadata/properties" xmlns:ns2="http://schemas.microsoft.com/sharepoint/v3/fields" xmlns:ns3="376817A2-2075-482F-86BA-E5736A6CADF5" targetNamespace="http://schemas.microsoft.com/office/2006/metadata/properties" ma:root="true" ma:fieldsID="b7934d644829af24dc6ed63a7661664d" ns2:_="" ns3:_="">
    <xsd:import namespace="http://schemas.microsoft.com/sharepoint/v3/fields"/>
    <xsd:import namespace="376817A2-2075-482F-86BA-E5736A6CADF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76817A2-2075-482F-86BA-E5736A6CAD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9E140A-3502-49D0-B608-EC798AAA6E0D}">
  <ds:schemaRefs>
    <ds:schemaRef ds:uri="http://schemas.microsoft.com/sharepoint/v3/contenttype/forms"/>
  </ds:schemaRefs>
</ds:datastoreItem>
</file>

<file path=customXml/itemProps2.xml><?xml version="1.0" encoding="utf-8"?>
<ds:datastoreItem xmlns:ds="http://schemas.openxmlformats.org/officeDocument/2006/customXml" ds:itemID="{63357677-B471-4A17-9D6C-4B027B77A845}">
  <ds:schemaRefs>
    <ds:schemaRef ds:uri="http://schemas.microsoft.com/office/2006/metadata/properties"/>
    <ds:schemaRef ds:uri="http://schemas.microsoft.com/office/infopath/2007/PartnerControls"/>
    <ds:schemaRef ds:uri="376817A2-2075-482F-86BA-E5736A6CADF5"/>
    <ds:schemaRef ds:uri="http://schemas.microsoft.com/sharepoint/v3/fields"/>
  </ds:schemaRefs>
</ds:datastoreItem>
</file>

<file path=customXml/itemProps3.xml><?xml version="1.0" encoding="utf-8"?>
<ds:datastoreItem xmlns:ds="http://schemas.openxmlformats.org/officeDocument/2006/customXml" ds:itemID="{39F1824D-C932-41DA-8CEE-D302F676F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76817A2-2075-482F-86BA-E5736A6C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4DF89-F2CD-4135-A0D2-B686F65A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15</Pages>
  <Words>10482</Words>
  <Characters>52412</Characters>
  <Application>Microsoft Office Word</Application>
  <DocSecurity>0</DocSecurity>
  <Lines>4367</Lines>
  <Paragraphs>2246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BROERTJES Peter (GROW)</dc:creator>
  <cp:lastModifiedBy>DIGIT/A3</cp:lastModifiedBy>
  <cp:revision>8</cp:revision>
  <cp:lastPrinted>2018-04-20T15:07:00Z</cp:lastPrinted>
  <dcterms:created xsi:type="dcterms:W3CDTF">2018-05-15T10:54:00Z</dcterms:created>
  <dcterms:modified xsi:type="dcterms:W3CDTF">2018-05-15T15:41:00Z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0x010100258AA79CEB83498886A3A086811232500074ACCA711B5B384B9A35DA48EBE090A1</vt:lpwstr>
  </property>
  <property fmtid="{D5CDD505-2E9C-101B-9397-08002B2CF9AE}" pid="14" name="DQCStatus">
    <vt:lpwstr>Green (DQC version 03)</vt:lpwstr>
  </property>
</Properties>
</file>