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13C63920-B4BE-499D-B42D-72E90FF51667" style="width:450.7pt;height:406.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noProof/>
        </w:rPr>
      </w:pPr>
      <w:bookmarkStart w:id="1" w:name="_GoBack"/>
      <w:bookmarkEnd w:id="1"/>
    </w:p>
    <w:sdt>
      <w:sdtPr>
        <w:rPr>
          <w:rFonts w:asciiTheme="minorHAnsi" w:eastAsiaTheme="minorHAnsi" w:hAnsiTheme="minorHAnsi" w:cstheme="minorBidi"/>
          <w:b w:val="0"/>
          <w:noProof/>
          <w:sz w:val="22"/>
          <w:szCs w:val="22"/>
        </w:rPr>
        <w:id w:val="-24800733"/>
        <w:docPartObj>
          <w:docPartGallery w:val="Table of Contents"/>
          <w:docPartUnique/>
        </w:docPartObj>
      </w:sdtPr>
      <w:sdtEndPr>
        <w:rPr>
          <w:bCs/>
        </w:rPr>
      </w:sdtEndPr>
      <w:sdtContent>
        <w:p>
          <w:pPr>
            <w:pStyle w:val="TOCHeading"/>
            <w:rPr>
              <w:noProof/>
            </w:rPr>
          </w:pPr>
          <w:r>
            <w:rPr>
              <w:noProof/>
            </w:rPr>
            <w:t>Table of Contents</w:t>
          </w:r>
        </w:p>
        <w:p>
          <w:pPr>
            <w:pStyle w:val="TOC1"/>
            <w:rPr>
              <w:rFonts w:asciiTheme="minorHAnsi" w:eastAsiaTheme="minorEastAsia" w:hAnsiTheme="minorHAnsi" w:cstheme="minorBidi"/>
              <w:caps w:val="0"/>
              <w:noProof/>
              <w:sz w:val="22"/>
              <w:szCs w:val="22"/>
              <w:lang w:eastAsia="en-GB"/>
            </w:rPr>
          </w:pPr>
          <w:r>
            <w:rPr>
              <w:noProof/>
              <w:sz w:val="22"/>
              <w:szCs w:val="22"/>
            </w:rPr>
            <w:fldChar w:fldCharType="begin"/>
          </w:r>
          <w:r>
            <w:rPr>
              <w:noProof/>
              <w:sz w:val="22"/>
              <w:szCs w:val="22"/>
            </w:rPr>
            <w:instrText xml:space="preserve"> TOC \o "1-3" \h \z \u </w:instrText>
          </w:r>
          <w:r>
            <w:rPr>
              <w:noProof/>
              <w:sz w:val="22"/>
              <w:szCs w:val="22"/>
            </w:rPr>
            <w:fldChar w:fldCharType="separate"/>
          </w:r>
          <w:hyperlink w:anchor="_Toc512854901"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Introduction: Political, legal and market context</w:t>
            </w:r>
            <w:r>
              <w:rPr>
                <w:noProof/>
                <w:webHidden/>
              </w:rPr>
              <w:tab/>
            </w:r>
            <w:r>
              <w:rPr>
                <w:noProof/>
                <w:webHidden/>
              </w:rPr>
              <w:fldChar w:fldCharType="begin"/>
            </w:r>
            <w:r>
              <w:rPr>
                <w:noProof/>
                <w:webHidden/>
              </w:rPr>
              <w:instrText xml:space="preserve"> PAGEREF _Toc512854901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54902"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Problem definition</w:t>
            </w:r>
            <w:r>
              <w:rPr>
                <w:noProof/>
                <w:webHidden/>
              </w:rPr>
              <w:tab/>
            </w:r>
            <w:r>
              <w:rPr>
                <w:noProof/>
                <w:webHidden/>
              </w:rPr>
              <w:fldChar w:fldCharType="begin"/>
            </w:r>
            <w:r>
              <w:rPr>
                <w:noProof/>
                <w:webHidden/>
              </w:rPr>
              <w:instrText xml:space="preserve"> PAGEREF _Toc512854902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2854903"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What is/are the problems?</w:t>
            </w:r>
            <w:r>
              <w:rPr>
                <w:noProof/>
                <w:webHidden/>
              </w:rPr>
              <w:tab/>
            </w:r>
            <w:r>
              <w:rPr>
                <w:noProof/>
                <w:webHidden/>
              </w:rPr>
              <w:fldChar w:fldCharType="begin"/>
            </w:r>
            <w:r>
              <w:rPr>
                <w:noProof/>
                <w:webHidden/>
              </w:rPr>
              <w:instrText xml:space="preserve"> PAGEREF _Toc512854903 \h </w:instrText>
            </w:r>
            <w:r>
              <w:rPr>
                <w:noProof/>
                <w:webHidden/>
              </w:rPr>
            </w:r>
            <w:r>
              <w:rPr>
                <w:noProof/>
                <w:webHidden/>
              </w:rPr>
              <w:fldChar w:fldCharType="separate"/>
            </w:r>
            <w:r>
              <w:rPr>
                <w:noProof/>
                <w:webHidden/>
              </w:rPr>
              <w:t>12</w:t>
            </w:r>
            <w:r>
              <w:rPr>
                <w:noProof/>
                <w:webHidden/>
              </w:rPr>
              <w:fldChar w:fldCharType="end"/>
            </w:r>
          </w:hyperlink>
        </w:p>
        <w:p>
          <w:pPr>
            <w:pStyle w:val="TOC3"/>
            <w:tabs>
              <w:tab w:val="left" w:pos="1320"/>
              <w:tab w:val="right" w:leader="dot" w:pos="9062"/>
            </w:tabs>
            <w:rPr>
              <w:rFonts w:eastAsiaTheme="minorEastAsia"/>
              <w:noProof/>
              <w:lang w:eastAsia="en-GB"/>
            </w:rPr>
          </w:pPr>
          <w:hyperlink w:anchor="_Toc512854904" w:history="1">
            <w:r>
              <w:rPr>
                <w:rStyle w:val="Hyperlink"/>
                <w:noProof/>
              </w:rPr>
              <w:t>2.1.1</w:t>
            </w:r>
            <w:r>
              <w:rPr>
                <w:rFonts w:eastAsiaTheme="minorEastAsia"/>
                <w:noProof/>
                <w:lang w:eastAsia="en-GB"/>
              </w:rPr>
              <w:tab/>
            </w:r>
            <w:r>
              <w:rPr>
                <w:rStyle w:val="Hyperlink"/>
                <w:noProof/>
              </w:rPr>
              <w:t>Low level of acceptance of electronic freight transport documents by the different market players</w:t>
            </w:r>
            <w:r>
              <w:rPr>
                <w:noProof/>
                <w:webHidden/>
              </w:rPr>
              <w:tab/>
            </w:r>
            <w:r>
              <w:rPr>
                <w:noProof/>
                <w:webHidden/>
              </w:rPr>
              <w:fldChar w:fldCharType="begin"/>
            </w:r>
            <w:r>
              <w:rPr>
                <w:noProof/>
                <w:webHidden/>
              </w:rPr>
              <w:instrText xml:space="preserve"> PAGEREF _Toc512854904 \h </w:instrText>
            </w:r>
            <w:r>
              <w:rPr>
                <w:noProof/>
                <w:webHidden/>
              </w:rPr>
            </w:r>
            <w:r>
              <w:rPr>
                <w:noProof/>
                <w:webHidden/>
              </w:rPr>
              <w:fldChar w:fldCharType="separate"/>
            </w:r>
            <w:r>
              <w:rPr>
                <w:noProof/>
                <w:webHidden/>
              </w:rPr>
              <w:t>12</w:t>
            </w:r>
            <w:r>
              <w:rPr>
                <w:noProof/>
                <w:webHidden/>
              </w:rPr>
              <w:fldChar w:fldCharType="end"/>
            </w:r>
          </w:hyperlink>
        </w:p>
        <w:p>
          <w:pPr>
            <w:pStyle w:val="TOC3"/>
            <w:tabs>
              <w:tab w:val="left" w:pos="1320"/>
              <w:tab w:val="right" w:leader="dot" w:pos="9062"/>
            </w:tabs>
            <w:rPr>
              <w:rFonts w:eastAsiaTheme="minorEastAsia"/>
              <w:noProof/>
              <w:lang w:eastAsia="en-GB"/>
            </w:rPr>
          </w:pPr>
          <w:hyperlink w:anchor="_Toc512854905" w:history="1">
            <w:r>
              <w:rPr>
                <w:rStyle w:val="Hyperlink"/>
                <w:noProof/>
              </w:rPr>
              <w:t>2.1.2</w:t>
            </w:r>
            <w:r>
              <w:rPr>
                <w:rFonts w:eastAsiaTheme="minorEastAsia"/>
                <w:noProof/>
                <w:lang w:eastAsia="en-GB"/>
              </w:rPr>
              <w:tab/>
            </w:r>
            <w:r>
              <w:rPr>
                <w:rStyle w:val="Hyperlink"/>
                <w:noProof/>
              </w:rPr>
              <w:t>Different administrative practices between and within Member States</w:t>
            </w:r>
            <w:r>
              <w:rPr>
                <w:noProof/>
                <w:webHidden/>
              </w:rPr>
              <w:tab/>
            </w:r>
            <w:r>
              <w:rPr>
                <w:noProof/>
                <w:webHidden/>
              </w:rPr>
              <w:fldChar w:fldCharType="begin"/>
            </w:r>
            <w:r>
              <w:rPr>
                <w:noProof/>
                <w:webHidden/>
              </w:rPr>
              <w:instrText xml:space="preserve"> PAGEREF _Toc512854905 \h </w:instrText>
            </w:r>
            <w:r>
              <w:rPr>
                <w:noProof/>
                <w:webHidden/>
              </w:rPr>
            </w:r>
            <w:r>
              <w:rPr>
                <w:noProof/>
                <w:webHidden/>
              </w:rPr>
              <w:fldChar w:fldCharType="separate"/>
            </w:r>
            <w:r>
              <w:rPr>
                <w:noProof/>
                <w:webHidden/>
              </w:rPr>
              <w:t>16</w:t>
            </w:r>
            <w:r>
              <w:rPr>
                <w:noProof/>
                <w:webHidden/>
              </w:rPr>
              <w:fldChar w:fldCharType="end"/>
            </w:r>
          </w:hyperlink>
        </w:p>
        <w:p>
          <w:pPr>
            <w:pStyle w:val="TOC3"/>
            <w:tabs>
              <w:tab w:val="left" w:pos="1320"/>
              <w:tab w:val="right" w:leader="dot" w:pos="9062"/>
            </w:tabs>
            <w:rPr>
              <w:rFonts w:eastAsiaTheme="minorEastAsia"/>
              <w:noProof/>
              <w:lang w:eastAsia="en-GB"/>
            </w:rPr>
          </w:pPr>
          <w:hyperlink w:anchor="_Toc512854906" w:history="1">
            <w:r>
              <w:rPr>
                <w:rStyle w:val="Hyperlink"/>
                <w:noProof/>
              </w:rPr>
              <w:t>2.1.3</w:t>
            </w:r>
            <w:r>
              <w:rPr>
                <w:rFonts w:eastAsiaTheme="minorEastAsia"/>
                <w:noProof/>
                <w:lang w:eastAsia="en-GB"/>
              </w:rPr>
              <w:tab/>
            </w:r>
            <w:r>
              <w:rPr>
                <w:rStyle w:val="Hyperlink"/>
                <w:noProof/>
              </w:rPr>
              <w:t>Why is it a problem?</w:t>
            </w:r>
            <w:r>
              <w:rPr>
                <w:noProof/>
                <w:webHidden/>
              </w:rPr>
              <w:tab/>
            </w:r>
            <w:r>
              <w:rPr>
                <w:noProof/>
                <w:webHidden/>
              </w:rPr>
              <w:fldChar w:fldCharType="begin"/>
            </w:r>
            <w:r>
              <w:rPr>
                <w:noProof/>
                <w:webHidden/>
              </w:rPr>
              <w:instrText xml:space="preserve"> PAGEREF _Toc512854906 \h </w:instrText>
            </w:r>
            <w:r>
              <w:rPr>
                <w:noProof/>
                <w:webHidden/>
              </w:rPr>
            </w:r>
            <w:r>
              <w:rPr>
                <w:noProof/>
                <w:webHidden/>
              </w:rPr>
              <w:fldChar w:fldCharType="separate"/>
            </w:r>
            <w:r>
              <w:rPr>
                <w:noProof/>
                <w:webHidden/>
              </w:rPr>
              <w:t>18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2854907" w:history="1">
            <w:r>
              <w:rPr>
                <w:rStyle w:val="Hyperlink"/>
                <w:rFonts w:eastAsia="Calibri"/>
                <w:noProof/>
              </w:rPr>
              <w:t>2.2</w:t>
            </w:r>
            <w:r>
              <w:rPr>
                <w:rFonts w:asciiTheme="minorHAnsi" w:eastAsiaTheme="minorEastAsia" w:hAnsiTheme="minorHAnsi" w:cstheme="minorBidi"/>
                <w:noProof/>
                <w:sz w:val="22"/>
                <w:szCs w:val="22"/>
                <w:lang w:eastAsia="en-GB"/>
              </w:rPr>
              <w:tab/>
            </w:r>
            <w:r>
              <w:rPr>
                <w:rStyle w:val="Hyperlink"/>
                <w:noProof/>
              </w:rPr>
              <w:t>What are the problem drivers?</w:t>
            </w:r>
            <w:r>
              <w:rPr>
                <w:noProof/>
                <w:webHidden/>
              </w:rPr>
              <w:tab/>
            </w:r>
            <w:r>
              <w:rPr>
                <w:noProof/>
                <w:webHidden/>
              </w:rPr>
              <w:fldChar w:fldCharType="begin"/>
            </w:r>
            <w:r>
              <w:rPr>
                <w:noProof/>
                <w:webHidden/>
              </w:rPr>
              <w:instrText xml:space="preserve"> PAGEREF _Toc512854907 \h </w:instrText>
            </w:r>
            <w:r>
              <w:rPr>
                <w:noProof/>
                <w:webHidden/>
              </w:rPr>
            </w:r>
            <w:r>
              <w:rPr>
                <w:noProof/>
                <w:webHidden/>
              </w:rPr>
              <w:fldChar w:fldCharType="separate"/>
            </w:r>
            <w:r>
              <w:rPr>
                <w:noProof/>
                <w:webHidden/>
              </w:rPr>
              <w:t>19</w:t>
            </w:r>
            <w:r>
              <w:rPr>
                <w:noProof/>
                <w:webHidden/>
              </w:rPr>
              <w:fldChar w:fldCharType="end"/>
            </w:r>
          </w:hyperlink>
        </w:p>
        <w:p>
          <w:pPr>
            <w:pStyle w:val="TOC3"/>
            <w:tabs>
              <w:tab w:val="left" w:pos="1320"/>
              <w:tab w:val="right" w:leader="dot" w:pos="9062"/>
            </w:tabs>
            <w:rPr>
              <w:rFonts w:eastAsiaTheme="minorEastAsia"/>
              <w:noProof/>
              <w:lang w:eastAsia="en-GB"/>
            </w:rPr>
          </w:pPr>
          <w:hyperlink w:anchor="_Toc512854908" w:history="1">
            <w:r>
              <w:rPr>
                <w:rStyle w:val="Hyperlink"/>
                <w:noProof/>
              </w:rPr>
              <w:t>2.2.1</w:t>
            </w:r>
            <w:r>
              <w:rPr>
                <w:rFonts w:eastAsiaTheme="minorEastAsia"/>
                <w:noProof/>
                <w:lang w:eastAsia="en-GB"/>
              </w:rPr>
              <w:tab/>
            </w:r>
            <w:r>
              <w:rPr>
                <w:rStyle w:val="Hyperlink"/>
                <w:noProof/>
              </w:rPr>
              <w:t>A fragmented legal framework concerning the acceptance of electronic freight transport documents/information</w:t>
            </w:r>
            <w:r>
              <w:rPr>
                <w:noProof/>
                <w:webHidden/>
              </w:rPr>
              <w:tab/>
            </w:r>
            <w:r>
              <w:rPr>
                <w:noProof/>
                <w:webHidden/>
              </w:rPr>
              <w:fldChar w:fldCharType="begin"/>
            </w:r>
            <w:r>
              <w:rPr>
                <w:noProof/>
                <w:webHidden/>
              </w:rPr>
              <w:instrText xml:space="preserve"> PAGEREF _Toc512854908 \h </w:instrText>
            </w:r>
            <w:r>
              <w:rPr>
                <w:noProof/>
                <w:webHidden/>
              </w:rPr>
            </w:r>
            <w:r>
              <w:rPr>
                <w:noProof/>
                <w:webHidden/>
              </w:rPr>
              <w:fldChar w:fldCharType="separate"/>
            </w:r>
            <w:r>
              <w:rPr>
                <w:noProof/>
                <w:webHidden/>
              </w:rPr>
              <w:t>19</w:t>
            </w:r>
            <w:r>
              <w:rPr>
                <w:noProof/>
                <w:webHidden/>
              </w:rPr>
              <w:fldChar w:fldCharType="end"/>
            </w:r>
          </w:hyperlink>
        </w:p>
        <w:p>
          <w:pPr>
            <w:pStyle w:val="TOC3"/>
            <w:tabs>
              <w:tab w:val="left" w:pos="1320"/>
              <w:tab w:val="right" w:leader="dot" w:pos="9062"/>
            </w:tabs>
            <w:rPr>
              <w:rFonts w:eastAsiaTheme="minorEastAsia"/>
              <w:noProof/>
              <w:lang w:eastAsia="en-GB"/>
            </w:rPr>
          </w:pPr>
          <w:hyperlink w:anchor="_Toc512854909" w:history="1">
            <w:r>
              <w:rPr>
                <w:rStyle w:val="Hyperlink"/>
                <w:noProof/>
              </w:rPr>
              <w:t>2.2.2</w:t>
            </w:r>
            <w:r>
              <w:rPr>
                <w:rFonts w:eastAsiaTheme="minorEastAsia"/>
                <w:noProof/>
                <w:lang w:eastAsia="en-GB"/>
              </w:rPr>
              <w:tab/>
            </w:r>
            <w:r>
              <w:rPr>
                <w:rStyle w:val="Hyperlink"/>
                <w:noProof/>
              </w:rPr>
              <w:t>Multiple and non-interoperable data exchange systems</w:t>
            </w:r>
            <w:r>
              <w:rPr>
                <w:noProof/>
                <w:webHidden/>
              </w:rPr>
              <w:tab/>
            </w:r>
            <w:r>
              <w:rPr>
                <w:noProof/>
                <w:webHidden/>
              </w:rPr>
              <w:fldChar w:fldCharType="begin"/>
            </w:r>
            <w:r>
              <w:rPr>
                <w:noProof/>
                <w:webHidden/>
              </w:rPr>
              <w:instrText xml:space="preserve"> PAGEREF _Toc512854909 \h </w:instrText>
            </w:r>
            <w:r>
              <w:rPr>
                <w:noProof/>
                <w:webHidden/>
              </w:rPr>
            </w:r>
            <w:r>
              <w:rPr>
                <w:noProof/>
                <w:webHidden/>
              </w:rPr>
              <w:fldChar w:fldCharType="separate"/>
            </w:r>
            <w:r>
              <w:rPr>
                <w:noProof/>
                <w:webHidden/>
              </w:rPr>
              <w:t>24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2854910" w:history="1">
            <w:r>
              <w:rPr>
                <w:rStyle w:val="Hyperlink"/>
                <w:noProof/>
              </w:rPr>
              <w:t>2.3</w:t>
            </w:r>
            <w:r>
              <w:rPr>
                <w:rFonts w:asciiTheme="minorHAnsi" w:eastAsiaTheme="minorEastAsia" w:hAnsiTheme="minorHAnsi" w:cstheme="minorBidi"/>
                <w:noProof/>
                <w:sz w:val="22"/>
                <w:szCs w:val="22"/>
                <w:lang w:eastAsia="en-GB"/>
              </w:rPr>
              <w:tab/>
            </w:r>
            <w:r>
              <w:rPr>
                <w:rStyle w:val="Hyperlink"/>
                <w:noProof/>
              </w:rPr>
              <w:t>How will the problem evolve?</w:t>
            </w:r>
            <w:r>
              <w:rPr>
                <w:noProof/>
                <w:webHidden/>
              </w:rPr>
              <w:tab/>
            </w:r>
            <w:r>
              <w:rPr>
                <w:noProof/>
                <w:webHidden/>
              </w:rPr>
              <w:fldChar w:fldCharType="begin"/>
            </w:r>
            <w:r>
              <w:rPr>
                <w:noProof/>
                <w:webHidden/>
              </w:rPr>
              <w:instrText xml:space="preserve"> PAGEREF _Toc512854910 \h </w:instrText>
            </w:r>
            <w:r>
              <w:rPr>
                <w:noProof/>
                <w:webHidden/>
              </w:rPr>
            </w:r>
            <w:r>
              <w:rPr>
                <w:noProof/>
                <w:webHidden/>
              </w:rPr>
              <w:fldChar w:fldCharType="separate"/>
            </w:r>
            <w:r>
              <w:rPr>
                <w:noProof/>
                <w:webHidden/>
              </w:rPr>
              <w:t>27</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54911"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Why should the EU act?</w:t>
            </w:r>
            <w:r>
              <w:rPr>
                <w:noProof/>
                <w:webHidden/>
              </w:rPr>
              <w:tab/>
            </w:r>
            <w:r>
              <w:rPr>
                <w:noProof/>
                <w:webHidden/>
              </w:rPr>
              <w:fldChar w:fldCharType="begin"/>
            </w:r>
            <w:r>
              <w:rPr>
                <w:noProof/>
                <w:webHidden/>
              </w:rPr>
              <w:instrText xml:space="preserve"> PAGEREF _Toc512854911 \h </w:instrText>
            </w:r>
            <w:r>
              <w:rPr>
                <w:noProof/>
                <w:webHidden/>
              </w:rPr>
            </w:r>
            <w:r>
              <w:rPr>
                <w:noProof/>
                <w:webHidden/>
              </w:rPr>
              <w:fldChar w:fldCharType="separate"/>
            </w:r>
            <w:r>
              <w:rPr>
                <w:noProof/>
                <w:webHidden/>
              </w:rPr>
              <w:t>29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2854912"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Legal basis</w:t>
            </w:r>
            <w:r>
              <w:rPr>
                <w:noProof/>
                <w:webHidden/>
              </w:rPr>
              <w:tab/>
            </w:r>
            <w:r>
              <w:rPr>
                <w:noProof/>
                <w:webHidden/>
              </w:rPr>
              <w:fldChar w:fldCharType="begin"/>
            </w:r>
            <w:r>
              <w:rPr>
                <w:noProof/>
                <w:webHidden/>
              </w:rPr>
              <w:instrText xml:space="preserve"> PAGEREF _Toc512854912 \h </w:instrText>
            </w:r>
            <w:r>
              <w:rPr>
                <w:noProof/>
                <w:webHidden/>
              </w:rPr>
            </w:r>
            <w:r>
              <w:rPr>
                <w:noProof/>
                <w:webHidden/>
              </w:rPr>
              <w:fldChar w:fldCharType="separate"/>
            </w:r>
            <w:r>
              <w:rPr>
                <w:noProof/>
                <w:webHidden/>
              </w:rPr>
              <w:t>29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2854913"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Subsidiarity: Necessity of EU action</w:t>
            </w:r>
            <w:r>
              <w:rPr>
                <w:noProof/>
                <w:webHidden/>
              </w:rPr>
              <w:tab/>
            </w:r>
            <w:r>
              <w:rPr>
                <w:noProof/>
                <w:webHidden/>
              </w:rPr>
              <w:fldChar w:fldCharType="begin"/>
            </w:r>
            <w:r>
              <w:rPr>
                <w:noProof/>
                <w:webHidden/>
              </w:rPr>
              <w:instrText xml:space="preserve"> PAGEREF _Toc512854913 \h </w:instrText>
            </w:r>
            <w:r>
              <w:rPr>
                <w:noProof/>
                <w:webHidden/>
              </w:rPr>
            </w:r>
            <w:r>
              <w:rPr>
                <w:noProof/>
                <w:webHidden/>
              </w:rPr>
              <w:fldChar w:fldCharType="separate"/>
            </w:r>
            <w:r>
              <w:rPr>
                <w:noProof/>
                <w:webHidden/>
              </w:rPr>
              <w:t>29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2854914" w:history="1">
            <w:r>
              <w:rPr>
                <w:rStyle w:val="Hyperlink"/>
                <w:noProof/>
              </w:rPr>
              <w:t>3.3</w:t>
            </w:r>
            <w:r>
              <w:rPr>
                <w:rFonts w:asciiTheme="minorHAnsi" w:eastAsiaTheme="minorEastAsia" w:hAnsiTheme="minorHAnsi" w:cstheme="minorBidi"/>
                <w:noProof/>
                <w:sz w:val="22"/>
                <w:szCs w:val="22"/>
                <w:lang w:eastAsia="en-GB"/>
              </w:rPr>
              <w:tab/>
            </w:r>
            <w:r>
              <w:rPr>
                <w:rStyle w:val="Hyperlink"/>
                <w:noProof/>
              </w:rPr>
              <w:t>Subsidiarity: Added value of EU action</w:t>
            </w:r>
            <w:r>
              <w:rPr>
                <w:noProof/>
                <w:webHidden/>
              </w:rPr>
              <w:tab/>
            </w:r>
            <w:r>
              <w:rPr>
                <w:noProof/>
                <w:webHidden/>
              </w:rPr>
              <w:fldChar w:fldCharType="begin"/>
            </w:r>
            <w:r>
              <w:rPr>
                <w:noProof/>
                <w:webHidden/>
              </w:rPr>
              <w:instrText xml:space="preserve"> PAGEREF _Toc512854914 \h </w:instrText>
            </w:r>
            <w:r>
              <w:rPr>
                <w:noProof/>
                <w:webHidden/>
              </w:rPr>
            </w:r>
            <w:r>
              <w:rPr>
                <w:noProof/>
                <w:webHidden/>
              </w:rPr>
              <w:fldChar w:fldCharType="separate"/>
            </w:r>
            <w:r>
              <w:rPr>
                <w:noProof/>
                <w:webHidden/>
              </w:rPr>
              <w:t>29</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54915"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Objectives: What is to be achieved?</w:t>
            </w:r>
            <w:r>
              <w:rPr>
                <w:noProof/>
                <w:webHidden/>
              </w:rPr>
              <w:tab/>
            </w:r>
            <w:r>
              <w:rPr>
                <w:noProof/>
                <w:webHidden/>
              </w:rPr>
              <w:fldChar w:fldCharType="begin"/>
            </w:r>
            <w:r>
              <w:rPr>
                <w:noProof/>
                <w:webHidden/>
              </w:rPr>
              <w:instrText xml:space="preserve"> PAGEREF _Toc512854915 \h </w:instrText>
            </w:r>
            <w:r>
              <w:rPr>
                <w:noProof/>
                <w:webHidden/>
              </w:rPr>
            </w:r>
            <w:r>
              <w:rPr>
                <w:noProof/>
                <w:webHidden/>
              </w:rPr>
              <w:fldChar w:fldCharType="separate"/>
            </w:r>
            <w:r>
              <w:rPr>
                <w:noProof/>
                <w:webHidden/>
              </w:rPr>
              <w:t>29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2854916" w:history="1">
            <w:r>
              <w:rPr>
                <w:rStyle w:val="Hyperlink"/>
                <w:noProof/>
              </w:rPr>
              <w:t>4.1</w:t>
            </w:r>
            <w:r>
              <w:rPr>
                <w:rFonts w:asciiTheme="minorHAnsi" w:eastAsiaTheme="minorEastAsia" w:hAnsiTheme="minorHAnsi" w:cstheme="minorBidi"/>
                <w:noProof/>
                <w:sz w:val="22"/>
                <w:szCs w:val="22"/>
                <w:lang w:eastAsia="en-GB"/>
              </w:rPr>
              <w:tab/>
            </w:r>
            <w:r>
              <w:rPr>
                <w:rStyle w:val="Hyperlink"/>
                <w:noProof/>
              </w:rPr>
              <w:t>General and specific objectives</w:t>
            </w:r>
            <w:r>
              <w:rPr>
                <w:noProof/>
                <w:webHidden/>
              </w:rPr>
              <w:tab/>
            </w:r>
            <w:r>
              <w:rPr>
                <w:noProof/>
                <w:webHidden/>
              </w:rPr>
              <w:fldChar w:fldCharType="begin"/>
            </w:r>
            <w:r>
              <w:rPr>
                <w:noProof/>
                <w:webHidden/>
              </w:rPr>
              <w:instrText xml:space="preserve"> PAGEREF _Toc512854916 \h </w:instrText>
            </w:r>
            <w:r>
              <w:rPr>
                <w:noProof/>
                <w:webHidden/>
              </w:rPr>
            </w:r>
            <w:r>
              <w:rPr>
                <w:noProof/>
                <w:webHidden/>
              </w:rPr>
              <w:fldChar w:fldCharType="separate"/>
            </w:r>
            <w:r>
              <w:rPr>
                <w:noProof/>
                <w:webHidden/>
              </w:rPr>
              <w:t>29</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54917" w:history="1">
            <w:r>
              <w:rPr>
                <w:rStyle w:val="Hyperlink"/>
                <w:noProof/>
              </w:rPr>
              <w:t>5</w:t>
            </w:r>
            <w:r>
              <w:rPr>
                <w:rFonts w:asciiTheme="minorHAnsi" w:eastAsiaTheme="minorEastAsia" w:hAnsiTheme="minorHAnsi" w:cstheme="minorBidi"/>
                <w:caps w:val="0"/>
                <w:noProof/>
                <w:sz w:val="22"/>
                <w:szCs w:val="22"/>
                <w:lang w:eastAsia="en-GB"/>
              </w:rPr>
              <w:tab/>
            </w:r>
            <w:r>
              <w:rPr>
                <w:rStyle w:val="Hyperlink"/>
                <w:noProof/>
              </w:rPr>
              <w:t>What are the available policy options?</w:t>
            </w:r>
            <w:r>
              <w:rPr>
                <w:noProof/>
                <w:webHidden/>
              </w:rPr>
              <w:tab/>
            </w:r>
            <w:r>
              <w:rPr>
                <w:noProof/>
                <w:webHidden/>
              </w:rPr>
              <w:fldChar w:fldCharType="begin"/>
            </w:r>
            <w:r>
              <w:rPr>
                <w:noProof/>
                <w:webHidden/>
              </w:rPr>
              <w:instrText xml:space="preserve"> PAGEREF _Toc512854917 \h </w:instrText>
            </w:r>
            <w:r>
              <w:rPr>
                <w:noProof/>
                <w:webHidden/>
              </w:rPr>
            </w:r>
            <w:r>
              <w:rPr>
                <w:noProof/>
                <w:webHidden/>
              </w:rPr>
              <w:fldChar w:fldCharType="separate"/>
            </w:r>
            <w:r>
              <w:rPr>
                <w:noProof/>
                <w:webHidden/>
              </w:rPr>
              <w:t>31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2854918" w:history="1">
            <w:r>
              <w:rPr>
                <w:rStyle w:val="Hyperlink"/>
                <w:noProof/>
              </w:rPr>
              <w:t>5.1</w:t>
            </w:r>
            <w:r>
              <w:rPr>
                <w:rFonts w:asciiTheme="minorHAnsi" w:eastAsiaTheme="minorEastAsia" w:hAnsiTheme="minorHAnsi" w:cstheme="minorBidi"/>
                <w:noProof/>
                <w:sz w:val="22"/>
                <w:szCs w:val="22"/>
                <w:lang w:eastAsia="en-GB"/>
              </w:rPr>
              <w:tab/>
            </w:r>
            <w:r>
              <w:rPr>
                <w:rStyle w:val="Hyperlink"/>
                <w:noProof/>
              </w:rPr>
              <w:t>What is the baseline from which options are assessed?</w:t>
            </w:r>
            <w:r>
              <w:rPr>
                <w:noProof/>
                <w:webHidden/>
              </w:rPr>
              <w:tab/>
            </w:r>
            <w:r>
              <w:rPr>
                <w:noProof/>
                <w:webHidden/>
              </w:rPr>
              <w:fldChar w:fldCharType="begin"/>
            </w:r>
            <w:r>
              <w:rPr>
                <w:noProof/>
                <w:webHidden/>
              </w:rPr>
              <w:instrText xml:space="preserve"> PAGEREF _Toc512854918 \h </w:instrText>
            </w:r>
            <w:r>
              <w:rPr>
                <w:noProof/>
                <w:webHidden/>
              </w:rPr>
            </w:r>
            <w:r>
              <w:rPr>
                <w:noProof/>
                <w:webHidden/>
              </w:rPr>
              <w:fldChar w:fldCharType="separate"/>
            </w:r>
            <w:r>
              <w:rPr>
                <w:noProof/>
                <w:webHidden/>
              </w:rPr>
              <w:t>31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2854919" w:history="1">
            <w:r>
              <w:rPr>
                <w:rStyle w:val="Hyperlink"/>
                <w:noProof/>
              </w:rPr>
              <w:t>5.2</w:t>
            </w:r>
            <w:r>
              <w:rPr>
                <w:rFonts w:asciiTheme="minorHAnsi" w:eastAsiaTheme="minorEastAsia" w:hAnsiTheme="minorHAnsi" w:cstheme="minorBidi"/>
                <w:noProof/>
                <w:sz w:val="22"/>
                <w:szCs w:val="22"/>
                <w:lang w:eastAsia="en-GB"/>
              </w:rPr>
              <w:tab/>
            </w:r>
            <w:r>
              <w:rPr>
                <w:rStyle w:val="Hyperlink"/>
                <w:noProof/>
              </w:rPr>
              <w:t>Policy measures and options</w:t>
            </w:r>
            <w:r>
              <w:rPr>
                <w:noProof/>
                <w:webHidden/>
              </w:rPr>
              <w:tab/>
            </w:r>
            <w:r>
              <w:rPr>
                <w:noProof/>
                <w:webHidden/>
              </w:rPr>
              <w:fldChar w:fldCharType="begin"/>
            </w:r>
            <w:r>
              <w:rPr>
                <w:noProof/>
                <w:webHidden/>
              </w:rPr>
              <w:instrText xml:space="preserve"> PAGEREF _Toc512854919 \h </w:instrText>
            </w:r>
            <w:r>
              <w:rPr>
                <w:noProof/>
                <w:webHidden/>
              </w:rPr>
            </w:r>
            <w:r>
              <w:rPr>
                <w:noProof/>
                <w:webHidden/>
              </w:rPr>
              <w:fldChar w:fldCharType="separate"/>
            </w:r>
            <w:r>
              <w:rPr>
                <w:noProof/>
                <w:webHidden/>
              </w:rPr>
              <w:t>31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2854920" w:history="1">
            <w:r>
              <w:rPr>
                <w:rStyle w:val="Hyperlink"/>
                <w:noProof/>
              </w:rPr>
              <w:t>5.3</w:t>
            </w:r>
            <w:r>
              <w:rPr>
                <w:rFonts w:asciiTheme="minorHAnsi" w:eastAsiaTheme="minorEastAsia" w:hAnsiTheme="minorHAnsi" w:cstheme="minorBidi"/>
                <w:noProof/>
                <w:sz w:val="22"/>
                <w:szCs w:val="22"/>
                <w:lang w:eastAsia="en-GB"/>
              </w:rPr>
              <w:tab/>
            </w:r>
            <w:r>
              <w:rPr>
                <w:rStyle w:val="Hyperlink"/>
                <w:noProof/>
              </w:rPr>
              <w:t>How do the policy options differ</w:t>
            </w:r>
            <w:r>
              <w:rPr>
                <w:noProof/>
                <w:webHidden/>
              </w:rPr>
              <w:tab/>
            </w:r>
            <w:r>
              <w:rPr>
                <w:noProof/>
                <w:webHidden/>
              </w:rPr>
              <w:fldChar w:fldCharType="begin"/>
            </w:r>
            <w:r>
              <w:rPr>
                <w:noProof/>
                <w:webHidden/>
              </w:rPr>
              <w:instrText xml:space="preserve"> PAGEREF _Toc512854920 \h </w:instrText>
            </w:r>
            <w:r>
              <w:rPr>
                <w:noProof/>
                <w:webHidden/>
              </w:rPr>
            </w:r>
            <w:r>
              <w:rPr>
                <w:noProof/>
                <w:webHidden/>
              </w:rPr>
              <w:fldChar w:fldCharType="separate"/>
            </w:r>
            <w:r>
              <w:rPr>
                <w:noProof/>
                <w:webHidden/>
              </w:rPr>
              <w:t>36</w:t>
            </w:r>
            <w:r>
              <w:rPr>
                <w:noProof/>
                <w:webHidden/>
              </w:rPr>
              <w:fldChar w:fldCharType="end"/>
            </w:r>
          </w:hyperlink>
        </w:p>
        <w:p>
          <w:pPr>
            <w:pStyle w:val="TOC3"/>
            <w:tabs>
              <w:tab w:val="left" w:pos="1320"/>
              <w:tab w:val="right" w:leader="dot" w:pos="9062"/>
            </w:tabs>
            <w:rPr>
              <w:rFonts w:eastAsiaTheme="minorEastAsia"/>
              <w:noProof/>
              <w:lang w:eastAsia="en-GB"/>
            </w:rPr>
          </w:pPr>
          <w:hyperlink w:anchor="_Toc512854921" w:history="1">
            <w:r>
              <w:rPr>
                <w:rStyle w:val="Hyperlink"/>
                <w:noProof/>
              </w:rPr>
              <w:t>5.3.1</w:t>
            </w:r>
            <w:r>
              <w:rPr>
                <w:rFonts w:eastAsiaTheme="minorEastAsia"/>
                <w:noProof/>
                <w:lang w:eastAsia="en-GB"/>
              </w:rPr>
              <w:tab/>
            </w:r>
            <w:r>
              <w:rPr>
                <w:rStyle w:val="Hyperlink"/>
                <w:noProof/>
              </w:rPr>
              <w:t>Material scope: transport contracts vs regulatory information evidence</w:t>
            </w:r>
            <w:r>
              <w:rPr>
                <w:noProof/>
                <w:webHidden/>
              </w:rPr>
              <w:tab/>
            </w:r>
            <w:r>
              <w:rPr>
                <w:noProof/>
                <w:webHidden/>
              </w:rPr>
              <w:fldChar w:fldCharType="begin"/>
            </w:r>
            <w:r>
              <w:rPr>
                <w:noProof/>
                <w:webHidden/>
              </w:rPr>
              <w:instrText xml:space="preserve"> PAGEREF _Toc512854921 \h </w:instrText>
            </w:r>
            <w:r>
              <w:rPr>
                <w:noProof/>
                <w:webHidden/>
              </w:rPr>
            </w:r>
            <w:r>
              <w:rPr>
                <w:noProof/>
                <w:webHidden/>
              </w:rPr>
              <w:fldChar w:fldCharType="separate"/>
            </w:r>
            <w:r>
              <w:rPr>
                <w:noProof/>
                <w:webHidden/>
              </w:rPr>
              <w:t>36</w:t>
            </w:r>
            <w:r>
              <w:rPr>
                <w:noProof/>
                <w:webHidden/>
              </w:rPr>
              <w:fldChar w:fldCharType="end"/>
            </w:r>
          </w:hyperlink>
        </w:p>
        <w:p>
          <w:pPr>
            <w:pStyle w:val="TOC3"/>
            <w:tabs>
              <w:tab w:val="left" w:pos="1320"/>
              <w:tab w:val="right" w:leader="dot" w:pos="9062"/>
            </w:tabs>
            <w:rPr>
              <w:rFonts w:eastAsiaTheme="minorEastAsia"/>
              <w:noProof/>
              <w:lang w:eastAsia="en-GB"/>
            </w:rPr>
          </w:pPr>
          <w:hyperlink w:anchor="_Toc512854922" w:history="1">
            <w:r>
              <w:rPr>
                <w:rStyle w:val="Hyperlink"/>
                <w:noProof/>
              </w:rPr>
              <w:t>5.3.2</w:t>
            </w:r>
            <w:r>
              <w:rPr>
                <w:rFonts w:eastAsiaTheme="minorEastAsia"/>
                <w:noProof/>
                <w:lang w:eastAsia="en-GB"/>
              </w:rPr>
              <w:tab/>
            </w:r>
            <w:r>
              <w:rPr>
                <w:rStyle w:val="Hyperlink"/>
                <w:noProof/>
              </w:rPr>
              <w:t>The legal equivalence of the electronic transport contracts and the admissibility as proof of regulatory compliance</w:t>
            </w:r>
            <w:r>
              <w:rPr>
                <w:noProof/>
                <w:webHidden/>
              </w:rPr>
              <w:tab/>
            </w:r>
            <w:r>
              <w:rPr>
                <w:noProof/>
                <w:webHidden/>
              </w:rPr>
              <w:fldChar w:fldCharType="begin"/>
            </w:r>
            <w:r>
              <w:rPr>
                <w:noProof/>
                <w:webHidden/>
              </w:rPr>
              <w:instrText xml:space="preserve"> PAGEREF _Toc512854922 \h </w:instrText>
            </w:r>
            <w:r>
              <w:rPr>
                <w:noProof/>
                <w:webHidden/>
              </w:rPr>
            </w:r>
            <w:r>
              <w:rPr>
                <w:noProof/>
                <w:webHidden/>
              </w:rPr>
              <w:fldChar w:fldCharType="separate"/>
            </w:r>
            <w:r>
              <w:rPr>
                <w:noProof/>
                <w:webHidden/>
              </w:rPr>
              <w:t>37</w:t>
            </w:r>
            <w:r>
              <w:rPr>
                <w:noProof/>
                <w:webHidden/>
              </w:rPr>
              <w:fldChar w:fldCharType="end"/>
            </w:r>
          </w:hyperlink>
        </w:p>
        <w:p>
          <w:pPr>
            <w:pStyle w:val="TOC3"/>
            <w:tabs>
              <w:tab w:val="left" w:pos="1320"/>
              <w:tab w:val="right" w:leader="dot" w:pos="9062"/>
            </w:tabs>
            <w:rPr>
              <w:rFonts w:eastAsiaTheme="minorEastAsia"/>
              <w:noProof/>
              <w:lang w:eastAsia="en-GB"/>
            </w:rPr>
          </w:pPr>
          <w:hyperlink w:anchor="_Toc512854923" w:history="1">
            <w:r>
              <w:rPr>
                <w:rStyle w:val="Hyperlink"/>
                <w:noProof/>
              </w:rPr>
              <w:t>5.3.3</w:t>
            </w:r>
            <w:r>
              <w:rPr>
                <w:rFonts w:eastAsiaTheme="minorEastAsia"/>
                <w:noProof/>
                <w:lang w:eastAsia="en-GB"/>
              </w:rPr>
              <w:tab/>
            </w:r>
            <w:r>
              <w:rPr>
                <w:rStyle w:val="Hyperlink"/>
                <w:noProof/>
              </w:rPr>
              <w:t>The role of international conventions and bilateral agreements with third parties as policy intervention instruments</w:t>
            </w:r>
            <w:r>
              <w:rPr>
                <w:noProof/>
                <w:webHidden/>
              </w:rPr>
              <w:tab/>
            </w:r>
            <w:r>
              <w:rPr>
                <w:noProof/>
                <w:webHidden/>
              </w:rPr>
              <w:fldChar w:fldCharType="begin"/>
            </w:r>
            <w:r>
              <w:rPr>
                <w:noProof/>
                <w:webHidden/>
              </w:rPr>
              <w:instrText xml:space="preserve"> PAGEREF _Toc512854923 \h </w:instrText>
            </w:r>
            <w:r>
              <w:rPr>
                <w:noProof/>
                <w:webHidden/>
              </w:rPr>
            </w:r>
            <w:r>
              <w:rPr>
                <w:noProof/>
                <w:webHidden/>
              </w:rPr>
              <w:fldChar w:fldCharType="separate"/>
            </w:r>
            <w:r>
              <w:rPr>
                <w:noProof/>
                <w:webHidden/>
              </w:rPr>
              <w:t>38</w:t>
            </w:r>
            <w:r>
              <w:rPr>
                <w:noProof/>
                <w:webHidden/>
              </w:rPr>
              <w:fldChar w:fldCharType="end"/>
            </w:r>
          </w:hyperlink>
        </w:p>
        <w:p>
          <w:pPr>
            <w:pStyle w:val="TOC3"/>
            <w:tabs>
              <w:tab w:val="left" w:pos="1320"/>
              <w:tab w:val="right" w:leader="dot" w:pos="9062"/>
            </w:tabs>
            <w:rPr>
              <w:rFonts w:eastAsiaTheme="minorEastAsia"/>
              <w:noProof/>
              <w:lang w:eastAsia="en-GB"/>
            </w:rPr>
          </w:pPr>
          <w:hyperlink w:anchor="_Toc512854924" w:history="1">
            <w:r>
              <w:rPr>
                <w:rStyle w:val="Hyperlink"/>
                <w:noProof/>
              </w:rPr>
              <w:t>5.3.4</w:t>
            </w:r>
            <w:r>
              <w:rPr>
                <w:rFonts w:eastAsiaTheme="minorEastAsia"/>
                <w:noProof/>
                <w:lang w:eastAsia="en-GB"/>
              </w:rPr>
              <w:tab/>
            </w:r>
            <w:r>
              <w:rPr>
                <w:rStyle w:val="Hyperlink"/>
                <w:noProof/>
              </w:rPr>
              <w:t>Technical specifications for implementation</w:t>
            </w:r>
            <w:r>
              <w:rPr>
                <w:noProof/>
                <w:webHidden/>
              </w:rPr>
              <w:tab/>
            </w:r>
            <w:r>
              <w:rPr>
                <w:noProof/>
                <w:webHidden/>
              </w:rPr>
              <w:fldChar w:fldCharType="begin"/>
            </w:r>
            <w:r>
              <w:rPr>
                <w:noProof/>
                <w:webHidden/>
              </w:rPr>
              <w:instrText xml:space="preserve"> PAGEREF _Toc512854924 \h </w:instrText>
            </w:r>
            <w:r>
              <w:rPr>
                <w:noProof/>
                <w:webHidden/>
              </w:rPr>
            </w:r>
            <w:r>
              <w:rPr>
                <w:noProof/>
                <w:webHidden/>
              </w:rPr>
              <w:fldChar w:fldCharType="separate"/>
            </w:r>
            <w:r>
              <w:rPr>
                <w:noProof/>
                <w:webHidden/>
              </w:rPr>
              <w:t>40</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54925" w:history="1">
            <w:r>
              <w:rPr>
                <w:rStyle w:val="Hyperlink"/>
                <w:noProof/>
              </w:rPr>
              <w:t>6</w:t>
            </w:r>
            <w:r>
              <w:rPr>
                <w:rFonts w:asciiTheme="minorHAnsi" w:eastAsiaTheme="minorEastAsia" w:hAnsiTheme="minorHAnsi" w:cstheme="minorBidi"/>
                <w:caps w:val="0"/>
                <w:noProof/>
                <w:sz w:val="22"/>
                <w:szCs w:val="22"/>
                <w:lang w:eastAsia="en-GB"/>
              </w:rPr>
              <w:tab/>
            </w:r>
            <w:r>
              <w:rPr>
                <w:rStyle w:val="Hyperlink"/>
                <w:noProof/>
              </w:rPr>
              <w:t>What are the impacts of the policy options?</w:t>
            </w:r>
            <w:r>
              <w:rPr>
                <w:noProof/>
                <w:webHidden/>
              </w:rPr>
              <w:tab/>
            </w:r>
            <w:r>
              <w:rPr>
                <w:noProof/>
                <w:webHidden/>
              </w:rPr>
              <w:fldChar w:fldCharType="begin"/>
            </w:r>
            <w:r>
              <w:rPr>
                <w:noProof/>
                <w:webHidden/>
              </w:rPr>
              <w:instrText xml:space="preserve"> PAGEREF _Toc512854925 \h </w:instrText>
            </w:r>
            <w:r>
              <w:rPr>
                <w:noProof/>
                <w:webHidden/>
              </w:rPr>
            </w:r>
            <w:r>
              <w:rPr>
                <w:noProof/>
                <w:webHidden/>
              </w:rPr>
              <w:fldChar w:fldCharType="separate"/>
            </w:r>
            <w:r>
              <w:rPr>
                <w:noProof/>
                <w:webHidden/>
              </w:rPr>
              <w:t>41</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12854926" w:history="1">
            <w:r>
              <w:rPr>
                <w:rStyle w:val="Hyperlink"/>
                <w:b/>
                <w:noProof/>
              </w:rPr>
              <w:t>6.1 Economic impacts</w:t>
            </w:r>
            <w:r>
              <w:rPr>
                <w:noProof/>
                <w:webHidden/>
              </w:rPr>
              <w:tab/>
            </w:r>
            <w:r>
              <w:rPr>
                <w:noProof/>
                <w:webHidden/>
              </w:rPr>
              <w:fldChar w:fldCharType="begin"/>
            </w:r>
            <w:r>
              <w:rPr>
                <w:noProof/>
                <w:webHidden/>
              </w:rPr>
              <w:instrText xml:space="preserve"> PAGEREF _Toc512854926 \h </w:instrText>
            </w:r>
            <w:r>
              <w:rPr>
                <w:noProof/>
                <w:webHidden/>
              </w:rPr>
            </w:r>
            <w:r>
              <w:rPr>
                <w:noProof/>
                <w:webHidden/>
              </w:rPr>
              <w:fldChar w:fldCharType="separate"/>
            </w:r>
            <w:r>
              <w:rPr>
                <w:noProof/>
                <w:webHidden/>
              </w:rPr>
              <w:t>41</w:t>
            </w:r>
            <w:r>
              <w:rPr>
                <w:noProof/>
                <w:webHidden/>
              </w:rPr>
              <w:fldChar w:fldCharType="end"/>
            </w:r>
          </w:hyperlink>
        </w:p>
        <w:p>
          <w:pPr>
            <w:pStyle w:val="TOC3"/>
            <w:tabs>
              <w:tab w:val="right" w:leader="dot" w:pos="9062"/>
            </w:tabs>
            <w:rPr>
              <w:rFonts w:eastAsiaTheme="minorEastAsia"/>
              <w:noProof/>
              <w:lang w:eastAsia="en-GB"/>
            </w:rPr>
          </w:pPr>
          <w:hyperlink w:anchor="_Toc512854927" w:history="1">
            <w:r>
              <w:rPr>
                <w:rStyle w:val="Hyperlink"/>
                <w:rFonts w:ascii="Times New Roman" w:eastAsia="Times New Roman" w:hAnsi="Times New Roman" w:cs="Times New Roman"/>
                <w:b/>
                <w:bCs/>
                <w:i/>
                <w:iCs/>
                <w:noProof/>
              </w:rPr>
              <w:t>Use of electronic means for transport information and documentation exchange</w:t>
            </w:r>
            <w:r>
              <w:rPr>
                <w:noProof/>
                <w:webHidden/>
              </w:rPr>
              <w:tab/>
            </w:r>
            <w:r>
              <w:rPr>
                <w:noProof/>
                <w:webHidden/>
              </w:rPr>
              <w:fldChar w:fldCharType="begin"/>
            </w:r>
            <w:r>
              <w:rPr>
                <w:noProof/>
                <w:webHidden/>
              </w:rPr>
              <w:instrText xml:space="preserve"> PAGEREF _Toc512854927 \h </w:instrText>
            </w:r>
            <w:r>
              <w:rPr>
                <w:noProof/>
                <w:webHidden/>
              </w:rPr>
            </w:r>
            <w:r>
              <w:rPr>
                <w:noProof/>
                <w:webHidden/>
              </w:rPr>
              <w:fldChar w:fldCharType="separate"/>
            </w:r>
            <w:r>
              <w:rPr>
                <w:noProof/>
                <w:webHidden/>
              </w:rPr>
              <w:t>42</w:t>
            </w:r>
            <w:r>
              <w:rPr>
                <w:noProof/>
                <w:webHidden/>
              </w:rPr>
              <w:fldChar w:fldCharType="end"/>
            </w:r>
          </w:hyperlink>
        </w:p>
        <w:p>
          <w:pPr>
            <w:pStyle w:val="TOC3"/>
            <w:tabs>
              <w:tab w:val="right" w:leader="dot" w:pos="9062"/>
            </w:tabs>
            <w:rPr>
              <w:rFonts w:eastAsiaTheme="minorEastAsia"/>
              <w:noProof/>
              <w:lang w:eastAsia="en-GB"/>
            </w:rPr>
          </w:pPr>
          <w:hyperlink w:anchor="_Toc512854928" w:history="1">
            <w:r>
              <w:rPr>
                <w:rStyle w:val="Hyperlink"/>
                <w:rFonts w:ascii="Times New Roman" w:eastAsia="Times New Roman" w:hAnsi="Times New Roman" w:cs="Times New Roman"/>
                <w:b/>
                <w:bCs/>
                <w:i/>
                <w:iCs/>
                <w:noProof/>
              </w:rPr>
              <w:t>Administrative costs for businesses</w:t>
            </w:r>
            <w:r>
              <w:rPr>
                <w:noProof/>
                <w:webHidden/>
              </w:rPr>
              <w:tab/>
            </w:r>
            <w:r>
              <w:rPr>
                <w:noProof/>
                <w:webHidden/>
              </w:rPr>
              <w:fldChar w:fldCharType="begin"/>
            </w:r>
            <w:r>
              <w:rPr>
                <w:noProof/>
                <w:webHidden/>
              </w:rPr>
              <w:instrText xml:space="preserve"> PAGEREF _Toc512854928 \h </w:instrText>
            </w:r>
            <w:r>
              <w:rPr>
                <w:noProof/>
                <w:webHidden/>
              </w:rPr>
            </w:r>
            <w:r>
              <w:rPr>
                <w:noProof/>
                <w:webHidden/>
              </w:rPr>
              <w:fldChar w:fldCharType="separate"/>
            </w:r>
            <w:r>
              <w:rPr>
                <w:noProof/>
                <w:webHidden/>
              </w:rPr>
              <w:t>43</w:t>
            </w:r>
            <w:r>
              <w:rPr>
                <w:noProof/>
                <w:webHidden/>
              </w:rPr>
              <w:fldChar w:fldCharType="end"/>
            </w:r>
          </w:hyperlink>
        </w:p>
        <w:p>
          <w:pPr>
            <w:pStyle w:val="TOC3"/>
            <w:tabs>
              <w:tab w:val="right" w:leader="dot" w:pos="9062"/>
            </w:tabs>
            <w:rPr>
              <w:rFonts w:eastAsiaTheme="minorEastAsia"/>
              <w:noProof/>
              <w:lang w:eastAsia="en-GB"/>
            </w:rPr>
          </w:pPr>
          <w:hyperlink w:anchor="_Toc512854929" w:history="1">
            <w:r>
              <w:rPr>
                <w:rStyle w:val="Hyperlink"/>
                <w:rFonts w:ascii="Times New Roman" w:eastAsia="Times New Roman" w:hAnsi="Times New Roman" w:cs="Times New Roman"/>
                <w:b/>
                <w:bCs/>
                <w:i/>
                <w:iCs/>
                <w:noProof/>
              </w:rPr>
              <w:t>Compliance costs for businesses</w:t>
            </w:r>
            <w:r>
              <w:rPr>
                <w:noProof/>
                <w:webHidden/>
              </w:rPr>
              <w:tab/>
            </w:r>
            <w:r>
              <w:rPr>
                <w:noProof/>
                <w:webHidden/>
              </w:rPr>
              <w:fldChar w:fldCharType="begin"/>
            </w:r>
            <w:r>
              <w:rPr>
                <w:noProof/>
                <w:webHidden/>
              </w:rPr>
              <w:instrText xml:space="preserve"> PAGEREF _Toc512854929 \h </w:instrText>
            </w:r>
            <w:r>
              <w:rPr>
                <w:noProof/>
                <w:webHidden/>
              </w:rPr>
            </w:r>
            <w:r>
              <w:rPr>
                <w:noProof/>
                <w:webHidden/>
              </w:rPr>
              <w:fldChar w:fldCharType="separate"/>
            </w:r>
            <w:r>
              <w:rPr>
                <w:noProof/>
                <w:webHidden/>
              </w:rPr>
              <w:t>45</w:t>
            </w:r>
            <w:r>
              <w:rPr>
                <w:noProof/>
                <w:webHidden/>
              </w:rPr>
              <w:fldChar w:fldCharType="end"/>
            </w:r>
          </w:hyperlink>
        </w:p>
        <w:p>
          <w:pPr>
            <w:pStyle w:val="TOC3"/>
            <w:tabs>
              <w:tab w:val="right" w:leader="dot" w:pos="9062"/>
            </w:tabs>
            <w:rPr>
              <w:rFonts w:eastAsiaTheme="minorEastAsia"/>
              <w:noProof/>
              <w:lang w:eastAsia="en-GB"/>
            </w:rPr>
          </w:pPr>
          <w:hyperlink w:anchor="_Toc512854930" w:history="1">
            <w:r>
              <w:rPr>
                <w:rStyle w:val="Hyperlink"/>
                <w:rFonts w:ascii="Times New Roman" w:eastAsia="Times New Roman" w:hAnsi="Times New Roman" w:cs="Times New Roman"/>
                <w:b/>
                <w:bCs/>
                <w:i/>
                <w:iCs/>
                <w:noProof/>
              </w:rPr>
              <w:t>Modal shift and congestion costs</w:t>
            </w:r>
            <w:r>
              <w:rPr>
                <w:noProof/>
                <w:webHidden/>
              </w:rPr>
              <w:tab/>
            </w:r>
            <w:r>
              <w:rPr>
                <w:noProof/>
                <w:webHidden/>
              </w:rPr>
              <w:fldChar w:fldCharType="begin"/>
            </w:r>
            <w:r>
              <w:rPr>
                <w:noProof/>
                <w:webHidden/>
              </w:rPr>
              <w:instrText xml:space="preserve"> PAGEREF _Toc512854930 \h </w:instrText>
            </w:r>
            <w:r>
              <w:rPr>
                <w:noProof/>
                <w:webHidden/>
              </w:rPr>
            </w:r>
            <w:r>
              <w:rPr>
                <w:noProof/>
                <w:webHidden/>
              </w:rPr>
              <w:fldChar w:fldCharType="separate"/>
            </w:r>
            <w:r>
              <w:rPr>
                <w:noProof/>
                <w:webHidden/>
              </w:rPr>
              <w:t>47</w:t>
            </w:r>
            <w:r>
              <w:rPr>
                <w:noProof/>
                <w:webHidden/>
              </w:rPr>
              <w:fldChar w:fldCharType="end"/>
            </w:r>
          </w:hyperlink>
        </w:p>
        <w:p>
          <w:pPr>
            <w:pStyle w:val="TOC3"/>
            <w:tabs>
              <w:tab w:val="right" w:leader="dot" w:pos="9062"/>
            </w:tabs>
            <w:rPr>
              <w:rFonts w:eastAsiaTheme="minorEastAsia"/>
              <w:noProof/>
              <w:lang w:eastAsia="en-GB"/>
            </w:rPr>
          </w:pPr>
          <w:hyperlink w:anchor="_Toc512854931" w:history="1">
            <w:r>
              <w:rPr>
                <w:rStyle w:val="Hyperlink"/>
                <w:rFonts w:ascii="Times New Roman" w:eastAsia="Times New Roman" w:hAnsi="Times New Roman" w:cs="Times New Roman"/>
                <w:b/>
                <w:bCs/>
                <w:i/>
                <w:iCs/>
                <w:noProof/>
              </w:rPr>
              <w:t>Compliance costs for authorities</w:t>
            </w:r>
            <w:r>
              <w:rPr>
                <w:noProof/>
                <w:webHidden/>
              </w:rPr>
              <w:tab/>
            </w:r>
            <w:r>
              <w:rPr>
                <w:noProof/>
                <w:webHidden/>
              </w:rPr>
              <w:fldChar w:fldCharType="begin"/>
            </w:r>
            <w:r>
              <w:rPr>
                <w:noProof/>
                <w:webHidden/>
              </w:rPr>
              <w:instrText xml:space="preserve"> PAGEREF _Toc512854931 \h </w:instrText>
            </w:r>
            <w:r>
              <w:rPr>
                <w:noProof/>
                <w:webHidden/>
              </w:rPr>
            </w:r>
            <w:r>
              <w:rPr>
                <w:noProof/>
                <w:webHidden/>
              </w:rPr>
              <w:fldChar w:fldCharType="separate"/>
            </w:r>
            <w:r>
              <w:rPr>
                <w:noProof/>
                <w:webHidden/>
              </w:rPr>
              <w:t>48</w:t>
            </w:r>
            <w:r>
              <w:rPr>
                <w:noProof/>
                <w:webHidden/>
              </w:rPr>
              <w:fldChar w:fldCharType="end"/>
            </w:r>
          </w:hyperlink>
        </w:p>
        <w:p>
          <w:pPr>
            <w:pStyle w:val="TOC3"/>
            <w:tabs>
              <w:tab w:val="right" w:leader="dot" w:pos="9062"/>
            </w:tabs>
            <w:rPr>
              <w:rFonts w:eastAsiaTheme="minorEastAsia"/>
              <w:noProof/>
              <w:lang w:eastAsia="en-GB"/>
            </w:rPr>
          </w:pPr>
          <w:hyperlink w:anchor="_Toc512854932" w:history="1">
            <w:r>
              <w:rPr>
                <w:rStyle w:val="Hyperlink"/>
                <w:rFonts w:ascii="Times New Roman" w:eastAsia="Times New Roman" w:hAnsi="Times New Roman" w:cs="Times New Roman"/>
                <w:b/>
                <w:bCs/>
                <w:i/>
                <w:iCs/>
                <w:noProof/>
              </w:rPr>
              <w:t>Enforcement costs for authorities</w:t>
            </w:r>
            <w:r>
              <w:rPr>
                <w:noProof/>
                <w:webHidden/>
              </w:rPr>
              <w:tab/>
            </w:r>
            <w:r>
              <w:rPr>
                <w:noProof/>
                <w:webHidden/>
              </w:rPr>
              <w:fldChar w:fldCharType="begin"/>
            </w:r>
            <w:r>
              <w:rPr>
                <w:noProof/>
                <w:webHidden/>
              </w:rPr>
              <w:instrText xml:space="preserve"> PAGEREF _Toc512854932 \h </w:instrText>
            </w:r>
            <w:r>
              <w:rPr>
                <w:noProof/>
                <w:webHidden/>
              </w:rPr>
            </w:r>
            <w:r>
              <w:rPr>
                <w:noProof/>
                <w:webHidden/>
              </w:rPr>
              <w:fldChar w:fldCharType="separate"/>
            </w:r>
            <w:r>
              <w:rPr>
                <w:noProof/>
                <w:webHidden/>
              </w:rPr>
              <w:t>49</w:t>
            </w:r>
            <w:r>
              <w:rPr>
                <w:noProof/>
                <w:webHidden/>
              </w:rPr>
              <w:fldChar w:fldCharType="end"/>
            </w:r>
          </w:hyperlink>
        </w:p>
        <w:p>
          <w:pPr>
            <w:pStyle w:val="TOC3"/>
            <w:tabs>
              <w:tab w:val="right" w:leader="dot" w:pos="9062"/>
            </w:tabs>
            <w:rPr>
              <w:rFonts w:eastAsiaTheme="minorEastAsia"/>
              <w:noProof/>
              <w:lang w:eastAsia="en-GB"/>
            </w:rPr>
          </w:pPr>
          <w:hyperlink w:anchor="_Toc512854933" w:history="1">
            <w:r>
              <w:rPr>
                <w:rStyle w:val="Hyperlink"/>
                <w:rFonts w:ascii="Times New Roman" w:eastAsia="Times New Roman" w:hAnsi="Times New Roman" w:cs="Times New Roman"/>
                <w:b/>
                <w:bCs/>
                <w:i/>
                <w:iCs/>
                <w:noProof/>
              </w:rPr>
              <w:t>Transport costs for transport operators</w:t>
            </w:r>
            <w:r>
              <w:rPr>
                <w:noProof/>
                <w:webHidden/>
              </w:rPr>
              <w:tab/>
            </w:r>
            <w:r>
              <w:rPr>
                <w:noProof/>
                <w:webHidden/>
              </w:rPr>
              <w:fldChar w:fldCharType="begin"/>
            </w:r>
            <w:r>
              <w:rPr>
                <w:noProof/>
                <w:webHidden/>
              </w:rPr>
              <w:instrText xml:space="preserve"> PAGEREF _Toc512854933 \h </w:instrText>
            </w:r>
            <w:r>
              <w:rPr>
                <w:noProof/>
                <w:webHidden/>
              </w:rPr>
            </w:r>
            <w:r>
              <w:rPr>
                <w:noProof/>
                <w:webHidden/>
              </w:rPr>
              <w:fldChar w:fldCharType="separate"/>
            </w:r>
            <w:r>
              <w:rPr>
                <w:noProof/>
                <w:webHidden/>
              </w:rPr>
              <w:t>50</w:t>
            </w:r>
            <w:r>
              <w:rPr>
                <w:noProof/>
                <w:webHidden/>
              </w:rPr>
              <w:fldChar w:fldCharType="end"/>
            </w:r>
          </w:hyperlink>
        </w:p>
        <w:p>
          <w:pPr>
            <w:pStyle w:val="TOC3"/>
            <w:tabs>
              <w:tab w:val="right" w:leader="dot" w:pos="9062"/>
            </w:tabs>
            <w:rPr>
              <w:rFonts w:eastAsiaTheme="minorEastAsia"/>
              <w:noProof/>
              <w:lang w:eastAsia="en-GB"/>
            </w:rPr>
          </w:pPr>
          <w:hyperlink w:anchor="_Toc512854934" w:history="1">
            <w:r>
              <w:rPr>
                <w:rStyle w:val="Hyperlink"/>
                <w:rFonts w:ascii="Times New Roman" w:eastAsia="Times New Roman" w:hAnsi="Times New Roman" w:cs="Times New Roman"/>
                <w:b/>
                <w:bCs/>
                <w:i/>
                <w:iCs/>
                <w:noProof/>
              </w:rPr>
              <w:t>Internal market impacts</w:t>
            </w:r>
            <w:r>
              <w:rPr>
                <w:noProof/>
                <w:webHidden/>
              </w:rPr>
              <w:tab/>
            </w:r>
            <w:r>
              <w:rPr>
                <w:noProof/>
                <w:webHidden/>
              </w:rPr>
              <w:fldChar w:fldCharType="begin"/>
            </w:r>
            <w:r>
              <w:rPr>
                <w:noProof/>
                <w:webHidden/>
              </w:rPr>
              <w:instrText xml:space="preserve"> PAGEREF _Toc512854934 \h </w:instrText>
            </w:r>
            <w:r>
              <w:rPr>
                <w:noProof/>
                <w:webHidden/>
              </w:rPr>
            </w:r>
            <w:r>
              <w:rPr>
                <w:noProof/>
                <w:webHidden/>
              </w:rPr>
              <w:fldChar w:fldCharType="separate"/>
            </w:r>
            <w:r>
              <w:rPr>
                <w:noProof/>
                <w:webHidden/>
              </w:rPr>
              <w:t>50</w:t>
            </w:r>
            <w:r>
              <w:rPr>
                <w:noProof/>
                <w:webHidden/>
              </w:rPr>
              <w:fldChar w:fldCharType="end"/>
            </w:r>
          </w:hyperlink>
        </w:p>
        <w:p>
          <w:pPr>
            <w:pStyle w:val="TOC3"/>
            <w:tabs>
              <w:tab w:val="right" w:leader="dot" w:pos="9062"/>
            </w:tabs>
            <w:rPr>
              <w:rFonts w:eastAsiaTheme="minorEastAsia"/>
              <w:noProof/>
              <w:lang w:eastAsia="en-GB"/>
            </w:rPr>
          </w:pPr>
          <w:hyperlink w:anchor="_Toc512854935" w:history="1">
            <w:r>
              <w:rPr>
                <w:rStyle w:val="Hyperlink"/>
                <w:rFonts w:ascii="Times New Roman" w:eastAsia="Times New Roman" w:hAnsi="Times New Roman" w:cs="Times New Roman"/>
                <w:b/>
                <w:bCs/>
                <w:i/>
                <w:iCs/>
                <w:noProof/>
              </w:rPr>
              <w:t>Innovation impacts</w:t>
            </w:r>
            <w:r>
              <w:rPr>
                <w:noProof/>
                <w:webHidden/>
              </w:rPr>
              <w:tab/>
            </w:r>
            <w:r>
              <w:rPr>
                <w:noProof/>
                <w:webHidden/>
              </w:rPr>
              <w:fldChar w:fldCharType="begin"/>
            </w:r>
            <w:r>
              <w:rPr>
                <w:noProof/>
                <w:webHidden/>
              </w:rPr>
              <w:instrText xml:space="preserve"> PAGEREF _Toc512854935 \h </w:instrText>
            </w:r>
            <w:r>
              <w:rPr>
                <w:noProof/>
                <w:webHidden/>
              </w:rPr>
            </w:r>
            <w:r>
              <w:rPr>
                <w:noProof/>
                <w:webHidden/>
              </w:rPr>
              <w:fldChar w:fldCharType="separate"/>
            </w:r>
            <w:r>
              <w:rPr>
                <w:noProof/>
                <w:webHidden/>
              </w:rPr>
              <w:t>50</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12854936" w:history="1">
            <w:r>
              <w:rPr>
                <w:rStyle w:val="Hyperlink"/>
                <w:b/>
                <w:noProof/>
              </w:rPr>
              <w:t>6.2 Social impacts – impacts on employment</w:t>
            </w:r>
            <w:r>
              <w:rPr>
                <w:noProof/>
                <w:webHidden/>
              </w:rPr>
              <w:tab/>
            </w:r>
            <w:r>
              <w:rPr>
                <w:noProof/>
                <w:webHidden/>
              </w:rPr>
              <w:fldChar w:fldCharType="begin"/>
            </w:r>
            <w:r>
              <w:rPr>
                <w:noProof/>
                <w:webHidden/>
              </w:rPr>
              <w:instrText xml:space="preserve"> PAGEREF _Toc512854936 \h </w:instrText>
            </w:r>
            <w:r>
              <w:rPr>
                <w:noProof/>
                <w:webHidden/>
              </w:rPr>
            </w:r>
            <w:r>
              <w:rPr>
                <w:noProof/>
                <w:webHidden/>
              </w:rPr>
              <w:fldChar w:fldCharType="separate"/>
            </w:r>
            <w:r>
              <w:rPr>
                <w:noProof/>
                <w:webHidden/>
              </w:rPr>
              <w:t>51</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12854937" w:history="1">
            <w:r>
              <w:rPr>
                <w:rStyle w:val="Hyperlink"/>
                <w:b/>
                <w:noProof/>
              </w:rPr>
              <w:t>6.3 Environmental impacts</w:t>
            </w:r>
            <w:r>
              <w:rPr>
                <w:noProof/>
                <w:webHidden/>
              </w:rPr>
              <w:tab/>
            </w:r>
            <w:r>
              <w:rPr>
                <w:noProof/>
                <w:webHidden/>
              </w:rPr>
              <w:fldChar w:fldCharType="begin"/>
            </w:r>
            <w:r>
              <w:rPr>
                <w:noProof/>
                <w:webHidden/>
              </w:rPr>
              <w:instrText xml:space="preserve"> PAGEREF _Toc512854937 \h </w:instrText>
            </w:r>
            <w:r>
              <w:rPr>
                <w:noProof/>
                <w:webHidden/>
              </w:rPr>
            </w:r>
            <w:r>
              <w:rPr>
                <w:noProof/>
                <w:webHidden/>
              </w:rPr>
              <w:fldChar w:fldCharType="separate"/>
            </w:r>
            <w:r>
              <w:rPr>
                <w:noProof/>
                <w:webHidden/>
              </w:rPr>
              <w:t>52</w:t>
            </w:r>
            <w:r>
              <w:rPr>
                <w:noProof/>
                <w:webHidden/>
              </w:rPr>
              <w:fldChar w:fldCharType="end"/>
            </w:r>
          </w:hyperlink>
        </w:p>
        <w:p>
          <w:pPr>
            <w:pStyle w:val="TOC3"/>
            <w:tabs>
              <w:tab w:val="right" w:leader="dot" w:pos="9062"/>
            </w:tabs>
            <w:rPr>
              <w:rFonts w:eastAsiaTheme="minorEastAsia"/>
              <w:noProof/>
              <w:lang w:eastAsia="en-GB"/>
            </w:rPr>
          </w:pPr>
          <w:hyperlink w:anchor="_Toc512854938" w:history="1">
            <w:r>
              <w:rPr>
                <w:rStyle w:val="Hyperlink"/>
                <w:rFonts w:ascii="Times New Roman" w:eastAsia="Times New Roman" w:hAnsi="Times New Roman" w:cs="Times New Roman"/>
                <w:b/>
                <w:bCs/>
                <w:i/>
                <w:iCs/>
                <w:noProof/>
              </w:rPr>
              <w:t>Emissions</w:t>
            </w:r>
            <w:r>
              <w:rPr>
                <w:noProof/>
                <w:webHidden/>
              </w:rPr>
              <w:tab/>
            </w:r>
            <w:r>
              <w:rPr>
                <w:noProof/>
                <w:webHidden/>
              </w:rPr>
              <w:fldChar w:fldCharType="begin"/>
            </w:r>
            <w:r>
              <w:rPr>
                <w:noProof/>
                <w:webHidden/>
              </w:rPr>
              <w:instrText xml:space="preserve"> PAGEREF _Toc512854938 \h </w:instrText>
            </w:r>
            <w:r>
              <w:rPr>
                <w:noProof/>
                <w:webHidden/>
              </w:rPr>
            </w:r>
            <w:r>
              <w:rPr>
                <w:noProof/>
                <w:webHidden/>
              </w:rPr>
              <w:fldChar w:fldCharType="separate"/>
            </w:r>
            <w:r>
              <w:rPr>
                <w:noProof/>
                <w:webHidden/>
              </w:rPr>
              <w:t>52</w:t>
            </w:r>
            <w:r>
              <w:rPr>
                <w:noProof/>
                <w:webHidden/>
              </w:rPr>
              <w:fldChar w:fldCharType="end"/>
            </w:r>
          </w:hyperlink>
        </w:p>
        <w:p>
          <w:pPr>
            <w:pStyle w:val="TOC3"/>
            <w:tabs>
              <w:tab w:val="right" w:leader="dot" w:pos="9062"/>
            </w:tabs>
            <w:rPr>
              <w:rFonts w:eastAsiaTheme="minorEastAsia"/>
              <w:noProof/>
              <w:lang w:eastAsia="en-GB"/>
            </w:rPr>
          </w:pPr>
          <w:hyperlink w:anchor="_Toc512854939" w:history="1">
            <w:r>
              <w:rPr>
                <w:rStyle w:val="Hyperlink"/>
                <w:rFonts w:ascii="Times New Roman" w:eastAsia="Times New Roman" w:hAnsi="Times New Roman" w:cs="Times New Roman"/>
                <w:b/>
                <w:bCs/>
                <w:i/>
                <w:iCs/>
                <w:noProof/>
              </w:rPr>
              <w:t>Use of natural resources and energy use efficiency</w:t>
            </w:r>
            <w:r>
              <w:rPr>
                <w:noProof/>
                <w:webHidden/>
              </w:rPr>
              <w:tab/>
            </w:r>
            <w:r>
              <w:rPr>
                <w:noProof/>
                <w:webHidden/>
              </w:rPr>
              <w:fldChar w:fldCharType="begin"/>
            </w:r>
            <w:r>
              <w:rPr>
                <w:noProof/>
                <w:webHidden/>
              </w:rPr>
              <w:instrText xml:space="preserve"> PAGEREF _Toc512854939 \h </w:instrText>
            </w:r>
            <w:r>
              <w:rPr>
                <w:noProof/>
                <w:webHidden/>
              </w:rPr>
            </w:r>
            <w:r>
              <w:rPr>
                <w:noProof/>
                <w:webHidden/>
              </w:rPr>
              <w:fldChar w:fldCharType="separate"/>
            </w:r>
            <w:r>
              <w:rPr>
                <w:noProof/>
                <w:webHidden/>
              </w:rPr>
              <w:t>52</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54940" w:history="1">
            <w:r>
              <w:rPr>
                <w:rStyle w:val="Hyperlink"/>
                <w:noProof/>
              </w:rPr>
              <w:t>7</w:t>
            </w:r>
            <w:r>
              <w:rPr>
                <w:rFonts w:asciiTheme="minorHAnsi" w:eastAsiaTheme="minorEastAsia" w:hAnsiTheme="minorHAnsi" w:cstheme="minorBidi"/>
                <w:caps w:val="0"/>
                <w:noProof/>
                <w:sz w:val="22"/>
                <w:szCs w:val="22"/>
                <w:lang w:eastAsia="en-GB"/>
              </w:rPr>
              <w:tab/>
            </w:r>
            <w:r>
              <w:rPr>
                <w:rStyle w:val="Hyperlink"/>
                <w:noProof/>
              </w:rPr>
              <w:t>How do the options compare?</w:t>
            </w:r>
            <w:r>
              <w:rPr>
                <w:noProof/>
                <w:webHidden/>
              </w:rPr>
              <w:tab/>
            </w:r>
            <w:r>
              <w:rPr>
                <w:noProof/>
                <w:webHidden/>
              </w:rPr>
              <w:fldChar w:fldCharType="begin"/>
            </w:r>
            <w:r>
              <w:rPr>
                <w:noProof/>
                <w:webHidden/>
              </w:rPr>
              <w:instrText xml:space="preserve"> PAGEREF _Toc512854940 \h </w:instrText>
            </w:r>
            <w:r>
              <w:rPr>
                <w:noProof/>
                <w:webHidden/>
              </w:rPr>
            </w:r>
            <w:r>
              <w:rPr>
                <w:noProof/>
                <w:webHidden/>
              </w:rPr>
              <w:fldChar w:fldCharType="separate"/>
            </w:r>
            <w:r>
              <w:rPr>
                <w:noProof/>
                <w:webHidden/>
              </w:rPr>
              <w:t>53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54941" w:history="1">
            <w:r>
              <w:rPr>
                <w:rStyle w:val="Hyperlink"/>
                <w:noProof/>
              </w:rPr>
              <w:t>8</w:t>
            </w:r>
            <w:r>
              <w:rPr>
                <w:rFonts w:asciiTheme="minorHAnsi" w:eastAsiaTheme="minorEastAsia" w:hAnsiTheme="minorHAnsi" w:cstheme="minorBidi"/>
                <w:caps w:val="0"/>
                <w:noProof/>
                <w:sz w:val="22"/>
                <w:szCs w:val="22"/>
                <w:lang w:eastAsia="en-GB"/>
              </w:rPr>
              <w:tab/>
            </w:r>
            <w:r>
              <w:rPr>
                <w:rStyle w:val="Hyperlink"/>
                <w:noProof/>
              </w:rPr>
              <w:t>Preferred option</w:t>
            </w:r>
            <w:r>
              <w:rPr>
                <w:noProof/>
                <w:webHidden/>
              </w:rPr>
              <w:tab/>
            </w:r>
            <w:r>
              <w:rPr>
                <w:noProof/>
                <w:webHidden/>
              </w:rPr>
              <w:fldChar w:fldCharType="begin"/>
            </w:r>
            <w:r>
              <w:rPr>
                <w:noProof/>
                <w:webHidden/>
              </w:rPr>
              <w:instrText xml:space="preserve"> PAGEREF _Toc512854941 \h </w:instrText>
            </w:r>
            <w:r>
              <w:rPr>
                <w:noProof/>
                <w:webHidden/>
              </w:rPr>
            </w:r>
            <w:r>
              <w:rPr>
                <w:noProof/>
                <w:webHidden/>
              </w:rPr>
              <w:fldChar w:fldCharType="separate"/>
            </w:r>
            <w:r>
              <w:rPr>
                <w:noProof/>
                <w:webHidden/>
              </w:rPr>
              <w:t>59</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54942" w:history="1">
            <w:r>
              <w:rPr>
                <w:rStyle w:val="Hyperlink"/>
                <w:noProof/>
              </w:rPr>
              <w:t>9</w:t>
            </w:r>
            <w:r>
              <w:rPr>
                <w:rFonts w:asciiTheme="minorHAnsi" w:eastAsiaTheme="minorEastAsia" w:hAnsiTheme="minorHAnsi" w:cstheme="minorBidi"/>
                <w:caps w:val="0"/>
                <w:noProof/>
                <w:sz w:val="22"/>
                <w:szCs w:val="22"/>
                <w:lang w:eastAsia="en-GB"/>
              </w:rPr>
              <w:tab/>
            </w:r>
            <w:r>
              <w:rPr>
                <w:rStyle w:val="Hyperlink"/>
                <w:noProof/>
              </w:rPr>
              <w:t>How will actual impacts be monitored and evaluated?</w:t>
            </w:r>
            <w:r>
              <w:rPr>
                <w:noProof/>
                <w:webHidden/>
              </w:rPr>
              <w:tab/>
            </w:r>
            <w:r>
              <w:rPr>
                <w:noProof/>
                <w:webHidden/>
              </w:rPr>
              <w:fldChar w:fldCharType="begin"/>
            </w:r>
            <w:r>
              <w:rPr>
                <w:noProof/>
                <w:webHidden/>
              </w:rPr>
              <w:instrText xml:space="preserve"> PAGEREF _Toc512854942 \h </w:instrText>
            </w:r>
            <w:r>
              <w:rPr>
                <w:noProof/>
                <w:webHidden/>
              </w:rPr>
            </w:r>
            <w:r>
              <w:rPr>
                <w:noProof/>
                <w:webHidden/>
              </w:rPr>
              <w:fldChar w:fldCharType="separate"/>
            </w:r>
            <w:r>
              <w:rPr>
                <w:noProof/>
                <w:webHidden/>
              </w:rPr>
              <w:t>60</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54943" w:history="1">
            <w:r>
              <w:rPr>
                <w:rStyle w:val="Hyperlink"/>
                <w:noProof/>
              </w:rPr>
              <w:t>Annex 1: Procedural information</w:t>
            </w:r>
            <w:r>
              <w:rPr>
                <w:noProof/>
                <w:webHidden/>
              </w:rPr>
              <w:tab/>
            </w:r>
            <w:r>
              <w:rPr>
                <w:noProof/>
                <w:webHidden/>
              </w:rPr>
              <w:fldChar w:fldCharType="begin"/>
            </w:r>
            <w:r>
              <w:rPr>
                <w:noProof/>
                <w:webHidden/>
              </w:rPr>
              <w:instrText xml:space="preserve"> PAGEREF _Toc512854943 \h </w:instrText>
            </w:r>
            <w:r>
              <w:rPr>
                <w:noProof/>
                <w:webHidden/>
              </w:rPr>
            </w:r>
            <w:r>
              <w:rPr>
                <w:noProof/>
                <w:webHidden/>
              </w:rPr>
              <w:fldChar w:fldCharType="separate"/>
            </w:r>
            <w:r>
              <w:rPr>
                <w:noProof/>
                <w:webHidden/>
              </w:rPr>
              <w:t>61</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54944" w:history="1">
            <w:r>
              <w:rPr>
                <w:rStyle w:val="Hyperlink"/>
                <w:b/>
                <w:smallCaps/>
                <w:noProof/>
              </w:rPr>
              <w:t>1.</w:t>
            </w:r>
            <w:r>
              <w:rPr>
                <w:rFonts w:asciiTheme="minorHAnsi" w:eastAsiaTheme="minorEastAsia" w:hAnsiTheme="minorHAnsi" w:cstheme="minorBidi"/>
                <w:caps w:val="0"/>
                <w:noProof/>
                <w:sz w:val="22"/>
                <w:szCs w:val="22"/>
                <w:lang w:eastAsia="en-GB"/>
              </w:rPr>
              <w:tab/>
            </w:r>
            <w:r>
              <w:rPr>
                <w:rStyle w:val="Hyperlink"/>
                <w:b/>
                <w:smallCaps/>
                <w:noProof/>
              </w:rPr>
              <w:t>Lead DG, D</w:t>
            </w:r>
            <w:r>
              <w:rPr>
                <w:rStyle w:val="Hyperlink"/>
                <w:b/>
                <w:i/>
                <w:smallCaps/>
                <w:noProof/>
              </w:rPr>
              <w:t>e</w:t>
            </w:r>
            <w:r>
              <w:rPr>
                <w:rStyle w:val="Hyperlink"/>
                <w:b/>
                <w:smallCaps/>
                <w:noProof/>
              </w:rPr>
              <w:t>cide Planning/CWP references</w:t>
            </w:r>
            <w:r>
              <w:rPr>
                <w:noProof/>
                <w:webHidden/>
              </w:rPr>
              <w:tab/>
            </w:r>
            <w:r>
              <w:rPr>
                <w:noProof/>
                <w:webHidden/>
              </w:rPr>
              <w:fldChar w:fldCharType="begin"/>
            </w:r>
            <w:r>
              <w:rPr>
                <w:noProof/>
                <w:webHidden/>
              </w:rPr>
              <w:instrText xml:space="preserve"> PAGEREF _Toc512854944 \h </w:instrText>
            </w:r>
            <w:r>
              <w:rPr>
                <w:noProof/>
                <w:webHidden/>
              </w:rPr>
            </w:r>
            <w:r>
              <w:rPr>
                <w:noProof/>
                <w:webHidden/>
              </w:rPr>
              <w:fldChar w:fldCharType="separate"/>
            </w:r>
            <w:r>
              <w:rPr>
                <w:noProof/>
                <w:webHidden/>
              </w:rPr>
              <w:t>61</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54945" w:history="1">
            <w:r>
              <w:rPr>
                <w:rStyle w:val="Hyperlink"/>
                <w:b/>
                <w:smallCaps/>
                <w:noProof/>
              </w:rPr>
              <w:t>2.</w:t>
            </w:r>
            <w:r>
              <w:rPr>
                <w:rFonts w:asciiTheme="minorHAnsi" w:eastAsiaTheme="minorEastAsia" w:hAnsiTheme="minorHAnsi" w:cstheme="minorBidi"/>
                <w:caps w:val="0"/>
                <w:noProof/>
                <w:sz w:val="22"/>
                <w:szCs w:val="22"/>
                <w:lang w:eastAsia="en-GB"/>
              </w:rPr>
              <w:tab/>
            </w:r>
            <w:r>
              <w:rPr>
                <w:rStyle w:val="Hyperlink"/>
                <w:b/>
                <w:smallCaps/>
                <w:noProof/>
              </w:rPr>
              <w:t>Organisation and timing</w:t>
            </w:r>
            <w:r>
              <w:rPr>
                <w:noProof/>
                <w:webHidden/>
              </w:rPr>
              <w:tab/>
            </w:r>
            <w:r>
              <w:rPr>
                <w:noProof/>
                <w:webHidden/>
              </w:rPr>
              <w:fldChar w:fldCharType="begin"/>
            </w:r>
            <w:r>
              <w:rPr>
                <w:noProof/>
                <w:webHidden/>
              </w:rPr>
              <w:instrText xml:space="preserve"> PAGEREF _Toc512854945 \h </w:instrText>
            </w:r>
            <w:r>
              <w:rPr>
                <w:noProof/>
                <w:webHidden/>
              </w:rPr>
            </w:r>
            <w:r>
              <w:rPr>
                <w:noProof/>
                <w:webHidden/>
              </w:rPr>
              <w:fldChar w:fldCharType="separate"/>
            </w:r>
            <w:r>
              <w:rPr>
                <w:noProof/>
                <w:webHidden/>
              </w:rPr>
              <w:t>61</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54946" w:history="1">
            <w:r>
              <w:rPr>
                <w:rStyle w:val="Hyperlink"/>
                <w:b/>
                <w:smallCaps/>
                <w:noProof/>
              </w:rPr>
              <w:t>3.</w:t>
            </w:r>
            <w:r>
              <w:rPr>
                <w:rFonts w:asciiTheme="minorHAnsi" w:eastAsiaTheme="minorEastAsia" w:hAnsiTheme="minorHAnsi" w:cstheme="minorBidi"/>
                <w:caps w:val="0"/>
                <w:noProof/>
                <w:sz w:val="22"/>
                <w:szCs w:val="22"/>
                <w:lang w:eastAsia="en-GB"/>
              </w:rPr>
              <w:tab/>
            </w:r>
            <w:r>
              <w:rPr>
                <w:rStyle w:val="Hyperlink"/>
                <w:b/>
                <w:smallCaps/>
                <w:noProof/>
              </w:rPr>
              <w:t>Consultation of the RSB</w:t>
            </w:r>
            <w:r>
              <w:rPr>
                <w:noProof/>
                <w:webHidden/>
              </w:rPr>
              <w:tab/>
            </w:r>
            <w:r>
              <w:rPr>
                <w:noProof/>
                <w:webHidden/>
              </w:rPr>
              <w:fldChar w:fldCharType="begin"/>
            </w:r>
            <w:r>
              <w:rPr>
                <w:noProof/>
                <w:webHidden/>
              </w:rPr>
              <w:instrText xml:space="preserve"> PAGEREF _Toc512854946 \h </w:instrText>
            </w:r>
            <w:r>
              <w:rPr>
                <w:noProof/>
                <w:webHidden/>
              </w:rPr>
            </w:r>
            <w:r>
              <w:rPr>
                <w:noProof/>
                <w:webHidden/>
              </w:rPr>
              <w:fldChar w:fldCharType="separate"/>
            </w:r>
            <w:r>
              <w:rPr>
                <w:noProof/>
                <w:webHidden/>
              </w:rPr>
              <w:t>61</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54947" w:history="1">
            <w:r>
              <w:rPr>
                <w:rStyle w:val="Hyperlink"/>
                <w:b/>
                <w:smallCaps/>
                <w:noProof/>
              </w:rPr>
              <w:t>4.</w:t>
            </w:r>
            <w:r>
              <w:rPr>
                <w:rFonts w:asciiTheme="minorHAnsi" w:eastAsiaTheme="minorEastAsia" w:hAnsiTheme="minorHAnsi" w:cstheme="minorBidi"/>
                <w:caps w:val="0"/>
                <w:noProof/>
                <w:sz w:val="22"/>
                <w:szCs w:val="22"/>
                <w:lang w:eastAsia="en-GB"/>
              </w:rPr>
              <w:tab/>
            </w:r>
            <w:r>
              <w:rPr>
                <w:rStyle w:val="Hyperlink"/>
                <w:b/>
                <w:smallCaps/>
                <w:noProof/>
              </w:rPr>
              <w:t>Evidence, sources and quality</w:t>
            </w:r>
            <w:r>
              <w:rPr>
                <w:noProof/>
                <w:webHidden/>
              </w:rPr>
              <w:tab/>
            </w:r>
            <w:r>
              <w:rPr>
                <w:noProof/>
                <w:webHidden/>
              </w:rPr>
              <w:fldChar w:fldCharType="begin"/>
            </w:r>
            <w:r>
              <w:rPr>
                <w:noProof/>
                <w:webHidden/>
              </w:rPr>
              <w:instrText xml:space="preserve"> PAGEREF _Toc512854947 \h </w:instrText>
            </w:r>
            <w:r>
              <w:rPr>
                <w:noProof/>
                <w:webHidden/>
              </w:rPr>
            </w:r>
            <w:r>
              <w:rPr>
                <w:noProof/>
                <w:webHidden/>
              </w:rPr>
              <w:fldChar w:fldCharType="separate"/>
            </w:r>
            <w:r>
              <w:rPr>
                <w:noProof/>
                <w:webHidden/>
              </w:rPr>
              <w:t>63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54948" w:history="1">
            <w:r>
              <w:rPr>
                <w:rStyle w:val="Hyperlink"/>
                <w:noProof/>
              </w:rPr>
              <w:t>Annex 2: Stakeholder consultation</w:t>
            </w:r>
            <w:r>
              <w:rPr>
                <w:noProof/>
                <w:webHidden/>
              </w:rPr>
              <w:tab/>
            </w:r>
            <w:r>
              <w:rPr>
                <w:noProof/>
                <w:webHidden/>
              </w:rPr>
              <w:fldChar w:fldCharType="begin"/>
            </w:r>
            <w:r>
              <w:rPr>
                <w:noProof/>
                <w:webHidden/>
              </w:rPr>
              <w:instrText xml:space="preserve"> PAGEREF _Toc512854948 \h </w:instrText>
            </w:r>
            <w:r>
              <w:rPr>
                <w:noProof/>
                <w:webHidden/>
              </w:rPr>
            </w:r>
            <w:r>
              <w:rPr>
                <w:noProof/>
                <w:webHidden/>
              </w:rPr>
              <w:fldChar w:fldCharType="separate"/>
            </w:r>
            <w:r>
              <w:rPr>
                <w:noProof/>
                <w:webHidden/>
              </w:rPr>
              <w:t>65</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54949" w:history="1">
            <w:r>
              <w:rPr>
                <w:rStyle w:val="Hyperlink"/>
                <w:b/>
                <w:smallCaps/>
                <w:noProof/>
              </w:rPr>
              <w:t>1.</w:t>
            </w:r>
            <w:r>
              <w:rPr>
                <w:rFonts w:asciiTheme="minorHAnsi" w:eastAsiaTheme="minorEastAsia" w:hAnsiTheme="minorHAnsi" w:cstheme="minorBidi"/>
                <w:caps w:val="0"/>
                <w:noProof/>
                <w:sz w:val="22"/>
                <w:szCs w:val="22"/>
                <w:lang w:eastAsia="en-GB"/>
              </w:rPr>
              <w:tab/>
            </w:r>
            <w:r>
              <w:rPr>
                <w:rStyle w:val="Hyperlink"/>
                <w:b/>
                <w:smallCaps/>
                <w:noProof/>
              </w:rPr>
              <w:t>Introduction</w:t>
            </w:r>
            <w:r>
              <w:rPr>
                <w:noProof/>
                <w:webHidden/>
              </w:rPr>
              <w:tab/>
            </w:r>
            <w:r>
              <w:rPr>
                <w:noProof/>
                <w:webHidden/>
              </w:rPr>
              <w:fldChar w:fldCharType="begin"/>
            </w:r>
            <w:r>
              <w:rPr>
                <w:noProof/>
                <w:webHidden/>
              </w:rPr>
              <w:instrText xml:space="preserve"> PAGEREF _Toc512854949 \h </w:instrText>
            </w:r>
            <w:r>
              <w:rPr>
                <w:noProof/>
                <w:webHidden/>
              </w:rPr>
            </w:r>
            <w:r>
              <w:rPr>
                <w:noProof/>
                <w:webHidden/>
              </w:rPr>
              <w:fldChar w:fldCharType="separate"/>
            </w:r>
            <w:r>
              <w:rPr>
                <w:noProof/>
                <w:webHidden/>
              </w:rPr>
              <w:t>65</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54950" w:history="1">
            <w:r>
              <w:rPr>
                <w:rStyle w:val="Hyperlink"/>
                <w:b/>
                <w:smallCaps/>
                <w:noProof/>
              </w:rPr>
              <w:t>2.</w:t>
            </w:r>
            <w:r>
              <w:rPr>
                <w:rFonts w:asciiTheme="minorHAnsi" w:eastAsiaTheme="minorEastAsia" w:hAnsiTheme="minorHAnsi" w:cstheme="minorBidi"/>
                <w:caps w:val="0"/>
                <w:noProof/>
                <w:sz w:val="22"/>
                <w:szCs w:val="22"/>
                <w:lang w:eastAsia="en-GB"/>
              </w:rPr>
              <w:tab/>
            </w:r>
            <w:r>
              <w:rPr>
                <w:rStyle w:val="Hyperlink"/>
                <w:b/>
                <w:smallCaps/>
                <w:noProof/>
              </w:rPr>
              <w:t>Feedback</w:t>
            </w:r>
            <w:r>
              <w:rPr>
                <w:noProof/>
                <w:webHidden/>
              </w:rPr>
              <w:tab/>
            </w:r>
            <w:r>
              <w:rPr>
                <w:noProof/>
                <w:webHidden/>
              </w:rPr>
              <w:fldChar w:fldCharType="begin"/>
            </w:r>
            <w:r>
              <w:rPr>
                <w:noProof/>
                <w:webHidden/>
              </w:rPr>
              <w:instrText xml:space="preserve"> PAGEREF _Toc512854950 \h </w:instrText>
            </w:r>
            <w:r>
              <w:rPr>
                <w:noProof/>
                <w:webHidden/>
              </w:rPr>
            </w:r>
            <w:r>
              <w:rPr>
                <w:noProof/>
                <w:webHidden/>
              </w:rPr>
              <w:fldChar w:fldCharType="separate"/>
            </w:r>
            <w:r>
              <w:rPr>
                <w:noProof/>
                <w:webHidden/>
              </w:rPr>
              <w:t>66</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12854951" w:history="1">
            <w:r>
              <w:rPr>
                <w:rStyle w:val="Hyperlink"/>
                <w:noProof/>
              </w:rPr>
              <w:t>2.1. Feedback received on the Inception Impact Assessment</w:t>
            </w:r>
            <w:r>
              <w:rPr>
                <w:noProof/>
                <w:webHidden/>
              </w:rPr>
              <w:tab/>
            </w:r>
            <w:r>
              <w:rPr>
                <w:noProof/>
                <w:webHidden/>
              </w:rPr>
              <w:fldChar w:fldCharType="begin"/>
            </w:r>
            <w:r>
              <w:rPr>
                <w:noProof/>
                <w:webHidden/>
              </w:rPr>
              <w:instrText xml:space="preserve"> PAGEREF _Toc512854951 \h </w:instrText>
            </w:r>
            <w:r>
              <w:rPr>
                <w:noProof/>
                <w:webHidden/>
              </w:rPr>
            </w:r>
            <w:r>
              <w:rPr>
                <w:noProof/>
                <w:webHidden/>
              </w:rPr>
              <w:fldChar w:fldCharType="separate"/>
            </w:r>
            <w:r>
              <w:rPr>
                <w:noProof/>
                <w:webHidden/>
              </w:rPr>
              <w:t>66</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12854952" w:history="1">
            <w:r>
              <w:rPr>
                <w:rStyle w:val="Hyperlink"/>
                <w:noProof/>
              </w:rPr>
              <w:t>2.2. Feedback received during the consultation process</w:t>
            </w:r>
            <w:r>
              <w:rPr>
                <w:noProof/>
                <w:webHidden/>
              </w:rPr>
              <w:tab/>
            </w:r>
            <w:r>
              <w:rPr>
                <w:noProof/>
                <w:webHidden/>
              </w:rPr>
              <w:fldChar w:fldCharType="begin"/>
            </w:r>
            <w:r>
              <w:rPr>
                <w:noProof/>
                <w:webHidden/>
              </w:rPr>
              <w:instrText xml:space="preserve"> PAGEREF _Toc512854952 \h </w:instrText>
            </w:r>
            <w:r>
              <w:rPr>
                <w:noProof/>
                <w:webHidden/>
              </w:rPr>
            </w:r>
            <w:r>
              <w:rPr>
                <w:noProof/>
                <w:webHidden/>
              </w:rPr>
              <w:fldChar w:fldCharType="separate"/>
            </w:r>
            <w:r>
              <w:rPr>
                <w:noProof/>
                <w:webHidden/>
              </w:rPr>
              <w:t>67</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54953" w:history="1">
            <w:r>
              <w:rPr>
                <w:rStyle w:val="Hyperlink"/>
                <w:b/>
                <w:smallCaps/>
                <w:noProof/>
              </w:rPr>
              <w:t>3.</w:t>
            </w:r>
            <w:r>
              <w:rPr>
                <w:rFonts w:asciiTheme="minorHAnsi" w:eastAsiaTheme="minorEastAsia" w:hAnsiTheme="minorHAnsi" w:cstheme="minorBidi"/>
                <w:caps w:val="0"/>
                <w:noProof/>
                <w:sz w:val="22"/>
                <w:szCs w:val="22"/>
                <w:lang w:eastAsia="en-GB"/>
              </w:rPr>
              <w:tab/>
            </w:r>
            <w:r>
              <w:rPr>
                <w:rStyle w:val="Hyperlink"/>
                <w:b/>
                <w:smallCaps/>
                <w:noProof/>
              </w:rPr>
              <w:t>Methodology</w:t>
            </w:r>
            <w:r>
              <w:rPr>
                <w:noProof/>
                <w:webHidden/>
              </w:rPr>
              <w:tab/>
            </w:r>
            <w:r>
              <w:rPr>
                <w:noProof/>
                <w:webHidden/>
              </w:rPr>
              <w:fldChar w:fldCharType="begin"/>
            </w:r>
            <w:r>
              <w:rPr>
                <w:noProof/>
                <w:webHidden/>
              </w:rPr>
              <w:instrText xml:space="preserve"> PAGEREF _Toc512854953 \h </w:instrText>
            </w:r>
            <w:r>
              <w:rPr>
                <w:noProof/>
                <w:webHidden/>
              </w:rPr>
            </w:r>
            <w:r>
              <w:rPr>
                <w:noProof/>
                <w:webHidden/>
              </w:rPr>
              <w:fldChar w:fldCharType="separate"/>
            </w:r>
            <w:r>
              <w:rPr>
                <w:noProof/>
                <w:webHidden/>
              </w:rPr>
              <w:t>67</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54954" w:history="1">
            <w:r>
              <w:rPr>
                <w:rStyle w:val="Hyperlink"/>
                <w:b/>
                <w:smallCaps/>
                <w:noProof/>
              </w:rPr>
              <w:t>4.</w:t>
            </w:r>
            <w:r>
              <w:rPr>
                <w:rFonts w:asciiTheme="minorHAnsi" w:eastAsiaTheme="minorEastAsia" w:hAnsiTheme="minorHAnsi" w:cstheme="minorBidi"/>
                <w:caps w:val="0"/>
                <w:noProof/>
                <w:sz w:val="22"/>
                <w:szCs w:val="22"/>
                <w:lang w:eastAsia="en-GB"/>
              </w:rPr>
              <w:tab/>
            </w:r>
            <w:r>
              <w:rPr>
                <w:rStyle w:val="Hyperlink"/>
                <w:b/>
                <w:smallCaps/>
                <w:noProof/>
              </w:rPr>
              <w:t>Summary of input</w:t>
            </w:r>
            <w:r>
              <w:rPr>
                <w:noProof/>
                <w:webHidden/>
              </w:rPr>
              <w:tab/>
            </w:r>
            <w:r>
              <w:rPr>
                <w:noProof/>
                <w:webHidden/>
              </w:rPr>
              <w:fldChar w:fldCharType="begin"/>
            </w:r>
            <w:r>
              <w:rPr>
                <w:noProof/>
                <w:webHidden/>
              </w:rPr>
              <w:instrText xml:space="preserve"> PAGEREF _Toc512854954 \h </w:instrText>
            </w:r>
            <w:r>
              <w:rPr>
                <w:noProof/>
                <w:webHidden/>
              </w:rPr>
            </w:r>
            <w:r>
              <w:rPr>
                <w:noProof/>
                <w:webHidden/>
              </w:rPr>
              <w:fldChar w:fldCharType="separate"/>
            </w:r>
            <w:r>
              <w:rPr>
                <w:noProof/>
                <w:webHidden/>
              </w:rPr>
              <w:t>70</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54955" w:history="1">
            <w:r>
              <w:rPr>
                <w:rStyle w:val="Hyperlink"/>
                <w:noProof/>
              </w:rPr>
              <w:t>Annex 3: Who is affected and how?</w:t>
            </w:r>
            <w:r>
              <w:rPr>
                <w:noProof/>
                <w:webHidden/>
              </w:rPr>
              <w:tab/>
            </w:r>
            <w:r>
              <w:rPr>
                <w:noProof/>
                <w:webHidden/>
              </w:rPr>
              <w:fldChar w:fldCharType="begin"/>
            </w:r>
            <w:r>
              <w:rPr>
                <w:noProof/>
                <w:webHidden/>
              </w:rPr>
              <w:instrText xml:space="preserve"> PAGEREF _Toc512854955 \h </w:instrText>
            </w:r>
            <w:r>
              <w:rPr>
                <w:noProof/>
                <w:webHidden/>
              </w:rPr>
            </w:r>
            <w:r>
              <w:rPr>
                <w:noProof/>
                <w:webHidden/>
              </w:rPr>
              <w:fldChar w:fldCharType="separate"/>
            </w:r>
            <w:r>
              <w:rPr>
                <w:noProof/>
                <w:webHidden/>
              </w:rPr>
              <w:t>73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54956"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An outlook of the preferred option implementation</w:t>
            </w:r>
            <w:r>
              <w:rPr>
                <w:noProof/>
                <w:webHidden/>
              </w:rPr>
              <w:tab/>
            </w:r>
            <w:r>
              <w:rPr>
                <w:noProof/>
                <w:webHidden/>
              </w:rPr>
              <w:fldChar w:fldCharType="begin"/>
            </w:r>
            <w:r>
              <w:rPr>
                <w:noProof/>
                <w:webHidden/>
              </w:rPr>
              <w:instrText xml:space="preserve"> PAGEREF _Toc512854956 \h </w:instrText>
            </w:r>
            <w:r>
              <w:rPr>
                <w:noProof/>
                <w:webHidden/>
              </w:rPr>
            </w:r>
            <w:r>
              <w:rPr>
                <w:noProof/>
                <w:webHidden/>
              </w:rPr>
              <w:fldChar w:fldCharType="separate"/>
            </w:r>
            <w:r>
              <w:rPr>
                <w:noProof/>
                <w:webHidden/>
              </w:rPr>
              <w:t>73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54957"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Practical implications of the initiative</w:t>
            </w:r>
            <w:r>
              <w:rPr>
                <w:noProof/>
                <w:webHidden/>
              </w:rPr>
              <w:tab/>
            </w:r>
            <w:r>
              <w:rPr>
                <w:noProof/>
                <w:webHidden/>
              </w:rPr>
              <w:fldChar w:fldCharType="begin"/>
            </w:r>
            <w:r>
              <w:rPr>
                <w:noProof/>
                <w:webHidden/>
              </w:rPr>
              <w:instrText xml:space="preserve"> PAGEREF _Toc512854957 \h </w:instrText>
            </w:r>
            <w:r>
              <w:rPr>
                <w:noProof/>
                <w:webHidden/>
              </w:rPr>
            </w:r>
            <w:r>
              <w:rPr>
                <w:noProof/>
                <w:webHidden/>
              </w:rPr>
              <w:fldChar w:fldCharType="separate"/>
            </w:r>
            <w:r>
              <w:rPr>
                <w:noProof/>
                <w:webHidden/>
              </w:rPr>
              <w:t>74</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54958"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Summary of costs and benefits</w:t>
            </w:r>
            <w:r>
              <w:rPr>
                <w:noProof/>
                <w:webHidden/>
              </w:rPr>
              <w:tab/>
            </w:r>
            <w:r>
              <w:rPr>
                <w:noProof/>
                <w:webHidden/>
              </w:rPr>
              <w:fldChar w:fldCharType="begin"/>
            </w:r>
            <w:r>
              <w:rPr>
                <w:noProof/>
                <w:webHidden/>
              </w:rPr>
              <w:instrText xml:space="preserve"> PAGEREF _Toc512854958 \h </w:instrText>
            </w:r>
            <w:r>
              <w:rPr>
                <w:noProof/>
                <w:webHidden/>
              </w:rPr>
            </w:r>
            <w:r>
              <w:rPr>
                <w:noProof/>
                <w:webHidden/>
              </w:rPr>
              <w:fldChar w:fldCharType="separate"/>
            </w:r>
            <w:r>
              <w:rPr>
                <w:noProof/>
                <w:webHidden/>
              </w:rPr>
              <w:t>75</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54959"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Stakeholders table</w:t>
            </w:r>
            <w:r>
              <w:rPr>
                <w:noProof/>
                <w:webHidden/>
              </w:rPr>
              <w:tab/>
            </w:r>
            <w:r>
              <w:rPr>
                <w:noProof/>
                <w:webHidden/>
              </w:rPr>
              <w:fldChar w:fldCharType="begin"/>
            </w:r>
            <w:r>
              <w:rPr>
                <w:noProof/>
                <w:webHidden/>
              </w:rPr>
              <w:instrText xml:space="preserve"> PAGEREF _Toc512854959 \h </w:instrText>
            </w:r>
            <w:r>
              <w:rPr>
                <w:noProof/>
                <w:webHidden/>
              </w:rPr>
            </w:r>
            <w:r>
              <w:rPr>
                <w:noProof/>
                <w:webHidden/>
              </w:rPr>
              <w:fldChar w:fldCharType="separate"/>
            </w:r>
            <w:r>
              <w:rPr>
                <w:noProof/>
                <w:webHidden/>
              </w:rPr>
              <w:t>77</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54960" w:history="1">
            <w:r>
              <w:rPr>
                <w:rStyle w:val="Hyperlink"/>
                <w:noProof/>
              </w:rPr>
              <w:t>Annex 4: Analytical methods</w:t>
            </w:r>
            <w:r>
              <w:rPr>
                <w:noProof/>
                <w:webHidden/>
              </w:rPr>
              <w:tab/>
            </w:r>
            <w:r>
              <w:rPr>
                <w:noProof/>
                <w:webHidden/>
              </w:rPr>
              <w:fldChar w:fldCharType="begin"/>
            </w:r>
            <w:r>
              <w:rPr>
                <w:noProof/>
                <w:webHidden/>
              </w:rPr>
              <w:instrText xml:space="preserve"> PAGEREF _Toc512854960 \h </w:instrText>
            </w:r>
            <w:r>
              <w:rPr>
                <w:noProof/>
                <w:webHidden/>
              </w:rPr>
            </w:r>
            <w:r>
              <w:rPr>
                <w:noProof/>
                <w:webHidden/>
              </w:rPr>
              <w:fldChar w:fldCharType="separate"/>
            </w:r>
            <w:r>
              <w:rPr>
                <w:noProof/>
                <w:webHidden/>
              </w:rPr>
              <w:t>79</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54961"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Description of analytical models used: primes-tremove model</w:t>
            </w:r>
            <w:r>
              <w:rPr>
                <w:noProof/>
                <w:webHidden/>
              </w:rPr>
              <w:tab/>
            </w:r>
            <w:r>
              <w:rPr>
                <w:noProof/>
                <w:webHidden/>
              </w:rPr>
              <w:fldChar w:fldCharType="begin"/>
            </w:r>
            <w:r>
              <w:rPr>
                <w:noProof/>
                <w:webHidden/>
              </w:rPr>
              <w:instrText xml:space="preserve"> PAGEREF _Toc512854961 \h </w:instrText>
            </w:r>
            <w:r>
              <w:rPr>
                <w:noProof/>
                <w:webHidden/>
              </w:rPr>
            </w:r>
            <w:r>
              <w:rPr>
                <w:noProof/>
                <w:webHidden/>
              </w:rPr>
              <w:fldChar w:fldCharType="separate"/>
            </w:r>
            <w:r>
              <w:rPr>
                <w:noProof/>
                <w:webHidden/>
              </w:rPr>
              <w:t>79</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54962" w:history="1">
            <w:r>
              <w:rPr>
                <w:rStyle w:val="Hyperlink"/>
                <w:noProof/>
              </w:rPr>
              <w:t>Baseline scenario</w:t>
            </w:r>
            <w:r>
              <w:rPr>
                <w:noProof/>
                <w:webHidden/>
              </w:rPr>
              <w:tab/>
            </w:r>
            <w:r>
              <w:rPr>
                <w:noProof/>
                <w:webHidden/>
              </w:rPr>
              <w:fldChar w:fldCharType="begin"/>
            </w:r>
            <w:r>
              <w:rPr>
                <w:noProof/>
                <w:webHidden/>
              </w:rPr>
              <w:instrText xml:space="preserve"> PAGEREF _Toc512854962 \h </w:instrText>
            </w:r>
            <w:r>
              <w:rPr>
                <w:noProof/>
                <w:webHidden/>
              </w:rPr>
            </w:r>
            <w:r>
              <w:rPr>
                <w:noProof/>
                <w:webHidden/>
              </w:rPr>
              <w:fldChar w:fldCharType="separate"/>
            </w:r>
            <w:r>
              <w:rPr>
                <w:noProof/>
                <w:webHidden/>
              </w:rPr>
              <w:t>80</w:t>
            </w:r>
            <w:r>
              <w:rPr>
                <w:noProof/>
                <w:webHidden/>
              </w:rPr>
              <w:fldChar w:fldCharType="end"/>
            </w:r>
          </w:hyperlink>
        </w:p>
        <w:p>
          <w:pPr>
            <w:pStyle w:val="TOC3"/>
            <w:tabs>
              <w:tab w:val="right" w:leader="dot" w:pos="9062"/>
            </w:tabs>
            <w:rPr>
              <w:rFonts w:eastAsiaTheme="minorEastAsia"/>
              <w:noProof/>
              <w:lang w:eastAsia="en-GB"/>
            </w:rPr>
          </w:pPr>
          <w:hyperlink w:anchor="_Toc512854963" w:history="1">
            <w:r>
              <w:rPr>
                <w:rStyle w:val="Hyperlink"/>
                <w:rFonts w:ascii="Times New Roman" w:hAnsi="Times New Roman" w:cs="Times New Roman"/>
                <w:b/>
                <w:i/>
                <w:noProof/>
              </w:rPr>
              <w:t>Main assumptions of the Baseline scenario</w:t>
            </w:r>
            <w:r>
              <w:rPr>
                <w:noProof/>
                <w:webHidden/>
              </w:rPr>
              <w:tab/>
            </w:r>
            <w:r>
              <w:rPr>
                <w:noProof/>
                <w:webHidden/>
              </w:rPr>
              <w:fldChar w:fldCharType="begin"/>
            </w:r>
            <w:r>
              <w:rPr>
                <w:noProof/>
                <w:webHidden/>
              </w:rPr>
              <w:instrText xml:space="preserve"> PAGEREF _Toc512854963 \h </w:instrText>
            </w:r>
            <w:r>
              <w:rPr>
                <w:noProof/>
                <w:webHidden/>
              </w:rPr>
            </w:r>
            <w:r>
              <w:rPr>
                <w:noProof/>
                <w:webHidden/>
              </w:rPr>
              <w:fldChar w:fldCharType="separate"/>
            </w:r>
            <w:r>
              <w:rPr>
                <w:noProof/>
                <w:webHidden/>
              </w:rPr>
              <w:t>81</w:t>
            </w:r>
            <w:r>
              <w:rPr>
                <w:noProof/>
                <w:webHidden/>
              </w:rPr>
              <w:fldChar w:fldCharType="end"/>
            </w:r>
          </w:hyperlink>
        </w:p>
        <w:p>
          <w:pPr>
            <w:pStyle w:val="TOC3"/>
            <w:tabs>
              <w:tab w:val="right" w:leader="dot" w:pos="9062"/>
            </w:tabs>
            <w:rPr>
              <w:rFonts w:eastAsiaTheme="minorEastAsia"/>
              <w:noProof/>
              <w:lang w:eastAsia="en-GB"/>
            </w:rPr>
          </w:pPr>
          <w:hyperlink w:anchor="_Toc512854964" w:history="1">
            <w:r>
              <w:rPr>
                <w:rStyle w:val="Hyperlink"/>
                <w:rFonts w:ascii="Times New Roman" w:hAnsi="Times New Roman" w:cs="Times New Roman"/>
                <w:b/>
                <w:i/>
                <w:noProof/>
              </w:rPr>
              <w:t>Summary of main results of the Baseline scenario</w:t>
            </w:r>
            <w:r>
              <w:rPr>
                <w:noProof/>
                <w:webHidden/>
              </w:rPr>
              <w:tab/>
            </w:r>
            <w:r>
              <w:rPr>
                <w:noProof/>
                <w:webHidden/>
              </w:rPr>
              <w:fldChar w:fldCharType="begin"/>
            </w:r>
            <w:r>
              <w:rPr>
                <w:noProof/>
                <w:webHidden/>
              </w:rPr>
              <w:instrText xml:space="preserve"> PAGEREF _Toc512854964 \h </w:instrText>
            </w:r>
            <w:r>
              <w:rPr>
                <w:noProof/>
                <w:webHidden/>
              </w:rPr>
            </w:r>
            <w:r>
              <w:rPr>
                <w:noProof/>
                <w:webHidden/>
              </w:rPr>
              <w:fldChar w:fldCharType="separate"/>
            </w:r>
            <w:r>
              <w:rPr>
                <w:noProof/>
                <w:webHidden/>
              </w:rPr>
              <w:t>84</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54965"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Description of analytical models used: Ecorys model for the regulatory costs for businesses and public administrations</w:t>
            </w:r>
            <w:r>
              <w:rPr>
                <w:noProof/>
                <w:webHidden/>
              </w:rPr>
              <w:tab/>
            </w:r>
            <w:r>
              <w:rPr>
                <w:noProof/>
                <w:webHidden/>
              </w:rPr>
              <w:fldChar w:fldCharType="begin"/>
            </w:r>
            <w:r>
              <w:rPr>
                <w:noProof/>
                <w:webHidden/>
              </w:rPr>
              <w:instrText xml:space="preserve"> PAGEREF _Toc512854965 \h </w:instrText>
            </w:r>
            <w:r>
              <w:rPr>
                <w:noProof/>
                <w:webHidden/>
              </w:rPr>
            </w:r>
            <w:r>
              <w:rPr>
                <w:noProof/>
                <w:webHidden/>
              </w:rPr>
              <w:fldChar w:fldCharType="separate"/>
            </w:r>
            <w:r>
              <w:rPr>
                <w:noProof/>
                <w:webHidden/>
              </w:rPr>
              <w:t>86</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54966"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Assumptions used for assessing impacts on modal shift</w:t>
            </w:r>
            <w:r>
              <w:rPr>
                <w:noProof/>
                <w:webHidden/>
              </w:rPr>
              <w:tab/>
            </w:r>
            <w:r>
              <w:rPr>
                <w:noProof/>
                <w:webHidden/>
              </w:rPr>
              <w:fldChar w:fldCharType="begin"/>
            </w:r>
            <w:r>
              <w:rPr>
                <w:noProof/>
                <w:webHidden/>
              </w:rPr>
              <w:instrText xml:space="preserve"> PAGEREF _Toc512854966 \h </w:instrText>
            </w:r>
            <w:r>
              <w:rPr>
                <w:noProof/>
                <w:webHidden/>
              </w:rPr>
            </w:r>
            <w:r>
              <w:rPr>
                <w:noProof/>
                <w:webHidden/>
              </w:rPr>
              <w:fldChar w:fldCharType="separate"/>
            </w:r>
            <w:r>
              <w:rPr>
                <w:noProof/>
                <w:webHidden/>
              </w:rPr>
              <w:t>89</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54967"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Assumptions used for the uptake of electronic documents</w:t>
            </w:r>
            <w:r>
              <w:rPr>
                <w:noProof/>
                <w:webHidden/>
              </w:rPr>
              <w:tab/>
            </w:r>
            <w:r>
              <w:rPr>
                <w:noProof/>
                <w:webHidden/>
              </w:rPr>
              <w:fldChar w:fldCharType="begin"/>
            </w:r>
            <w:r>
              <w:rPr>
                <w:noProof/>
                <w:webHidden/>
              </w:rPr>
              <w:instrText xml:space="preserve"> PAGEREF _Toc512854967 \h </w:instrText>
            </w:r>
            <w:r>
              <w:rPr>
                <w:noProof/>
                <w:webHidden/>
              </w:rPr>
            </w:r>
            <w:r>
              <w:rPr>
                <w:noProof/>
                <w:webHidden/>
              </w:rPr>
              <w:fldChar w:fldCharType="separate"/>
            </w:r>
            <w:r>
              <w:rPr>
                <w:noProof/>
                <w:webHidden/>
              </w:rPr>
              <w:t>95</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54968" w:history="1">
            <w:r>
              <w:rPr>
                <w:rStyle w:val="Hyperlink"/>
                <w:noProof/>
              </w:rPr>
              <w:t>Annex 5: Monitoring arrangements</w:t>
            </w:r>
            <w:r>
              <w:rPr>
                <w:noProof/>
                <w:webHidden/>
              </w:rPr>
              <w:tab/>
            </w:r>
            <w:r>
              <w:rPr>
                <w:noProof/>
                <w:webHidden/>
              </w:rPr>
              <w:fldChar w:fldCharType="begin"/>
            </w:r>
            <w:r>
              <w:rPr>
                <w:noProof/>
                <w:webHidden/>
              </w:rPr>
              <w:instrText xml:space="preserve"> PAGEREF _Toc512854968 \h </w:instrText>
            </w:r>
            <w:r>
              <w:rPr>
                <w:noProof/>
                <w:webHidden/>
              </w:rPr>
            </w:r>
            <w:r>
              <w:rPr>
                <w:noProof/>
                <w:webHidden/>
              </w:rPr>
              <w:fldChar w:fldCharType="separate"/>
            </w:r>
            <w:r>
              <w:rPr>
                <w:noProof/>
                <w:webHidden/>
              </w:rPr>
              <w:t>97</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12854969" w:history="1">
            <w:r>
              <w:rPr>
                <w:rStyle w:val="Hyperlink"/>
                <w:b/>
                <w:noProof/>
              </w:rPr>
              <w:t>Operational objectives of the preferred policy option</w:t>
            </w:r>
            <w:r>
              <w:rPr>
                <w:noProof/>
                <w:webHidden/>
              </w:rPr>
              <w:tab/>
            </w:r>
            <w:r>
              <w:rPr>
                <w:noProof/>
                <w:webHidden/>
              </w:rPr>
              <w:fldChar w:fldCharType="begin"/>
            </w:r>
            <w:r>
              <w:rPr>
                <w:noProof/>
                <w:webHidden/>
              </w:rPr>
              <w:instrText xml:space="preserve"> PAGEREF _Toc512854969 \h </w:instrText>
            </w:r>
            <w:r>
              <w:rPr>
                <w:noProof/>
                <w:webHidden/>
              </w:rPr>
            </w:r>
            <w:r>
              <w:rPr>
                <w:noProof/>
                <w:webHidden/>
              </w:rPr>
              <w:fldChar w:fldCharType="separate"/>
            </w:r>
            <w:r>
              <w:rPr>
                <w:noProof/>
                <w:webHidden/>
              </w:rPr>
              <w:t>97</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12854970" w:history="1">
            <w:r>
              <w:rPr>
                <w:rStyle w:val="Hyperlink"/>
                <w:b/>
                <w:noProof/>
              </w:rPr>
              <w:t>Monitoring and evaluation framework – Relevant indicators and data sources</w:t>
            </w:r>
            <w:r>
              <w:rPr>
                <w:noProof/>
                <w:webHidden/>
              </w:rPr>
              <w:tab/>
            </w:r>
            <w:r>
              <w:rPr>
                <w:noProof/>
                <w:webHidden/>
              </w:rPr>
              <w:fldChar w:fldCharType="begin"/>
            </w:r>
            <w:r>
              <w:rPr>
                <w:noProof/>
                <w:webHidden/>
              </w:rPr>
              <w:instrText xml:space="preserve"> PAGEREF _Toc512854970 \h </w:instrText>
            </w:r>
            <w:r>
              <w:rPr>
                <w:noProof/>
                <w:webHidden/>
              </w:rPr>
            </w:r>
            <w:r>
              <w:rPr>
                <w:noProof/>
                <w:webHidden/>
              </w:rPr>
              <w:fldChar w:fldCharType="separate"/>
            </w:r>
            <w:r>
              <w:rPr>
                <w:noProof/>
                <w:webHidden/>
              </w:rPr>
              <w:t>97</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54971" w:history="1">
            <w:r>
              <w:rPr>
                <w:rStyle w:val="Hyperlink"/>
                <w:noProof/>
              </w:rPr>
              <w:t>Annex 6: Political context of the initiative and coherence with key EU policy objectives</w:t>
            </w:r>
            <w:r>
              <w:rPr>
                <w:noProof/>
                <w:webHidden/>
              </w:rPr>
              <w:tab/>
            </w:r>
            <w:r>
              <w:rPr>
                <w:noProof/>
                <w:webHidden/>
              </w:rPr>
              <w:fldChar w:fldCharType="begin"/>
            </w:r>
            <w:r>
              <w:rPr>
                <w:noProof/>
                <w:webHidden/>
              </w:rPr>
              <w:instrText xml:space="preserve"> PAGEREF _Toc512854971 \h </w:instrText>
            </w:r>
            <w:r>
              <w:rPr>
                <w:noProof/>
                <w:webHidden/>
              </w:rPr>
            </w:r>
            <w:r>
              <w:rPr>
                <w:noProof/>
                <w:webHidden/>
              </w:rPr>
              <w:fldChar w:fldCharType="separate"/>
            </w:r>
            <w:r>
              <w:rPr>
                <w:noProof/>
                <w:webHidden/>
              </w:rPr>
              <w:t>101</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12854972" w:history="1">
            <w:r>
              <w:rPr>
                <w:rStyle w:val="Hyperlink"/>
                <w:noProof/>
              </w:rPr>
              <w:t>The White Paper on Transport</w:t>
            </w:r>
            <w:r>
              <w:rPr>
                <w:noProof/>
                <w:webHidden/>
              </w:rPr>
              <w:tab/>
            </w:r>
            <w:r>
              <w:rPr>
                <w:noProof/>
                <w:webHidden/>
              </w:rPr>
              <w:fldChar w:fldCharType="begin"/>
            </w:r>
            <w:r>
              <w:rPr>
                <w:noProof/>
                <w:webHidden/>
              </w:rPr>
              <w:instrText xml:space="preserve"> PAGEREF _Toc512854972 \h </w:instrText>
            </w:r>
            <w:r>
              <w:rPr>
                <w:noProof/>
                <w:webHidden/>
              </w:rPr>
            </w:r>
            <w:r>
              <w:rPr>
                <w:noProof/>
                <w:webHidden/>
              </w:rPr>
              <w:fldChar w:fldCharType="separate"/>
            </w:r>
            <w:r>
              <w:rPr>
                <w:noProof/>
                <w:webHidden/>
              </w:rPr>
              <w:t>101</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54973" w:history="1">
            <w:r>
              <w:rPr>
                <w:rStyle w:val="Hyperlink"/>
                <w:noProof/>
              </w:rPr>
              <w:t>Annex 7: Legal context and coherence with other relevant EU legislation and initiatives</w:t>
            </w:r>
            <w:r>
              <w:rPr>
                <w:noProof/>
                <w:webHidden/>
              </w:rPr>
              <w:tab/>
            </w:r>
            <w:r>
              <w:rPr>
                <w:noProof/>
                <w:webHidden/>
              </w:rPr>
              <w:fldChar w:fldCharType="begin"/>
            </w:r>
            <w:r>
              <w:rPr>
                <w:noProof/>
                <w:webHidden/>
              </w:rPr>
              <w:instrText xml:space="preserve"> PAGEREF _Toc512854973 \h </w:instrText>
            </w:r>
            <w:r>
              <w:rPr>
                <w:noProof/>
                <w:webHidden/>
              </w:rPr>
            </w:r>
            <w:r>
              <w:rPr>
                <w:noProof/>
                <w:webHidden/>
              </w:rPr>
              <w:fldChar w:fldCharType="separate"/>
            </w:r>
            <w:r>
              <w:rPr>
                <w:noProof/>
                <w:webHidden/>
              </w:rPr>
              <w:t>105</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54974"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Coherence with other on-going proposals/ initiatives including digitalisation provisions</w:t>
            </w:r>
            <w:r>
              <w:rPr>
                <w:noProof/>
                <w:webHidden/>
              </w:rPr>
              <w:tab/>
            </w:r>
            <w:r>
              <w:rPr>
                <w:noProof/>
                <w:webHidden/>
              </w:rPr>
              <w:fldChar w:fldCharType="begin"/>
            </w:r>
            <w:r>
              <w:rPr>
                <w:noProof/>
                <w:webHidden/>
              </w:rPr>
              <w:instrText xml:space="preserve"> PAGEREF _Toc512854974 \h </w:instrText>
            </w:r>
            <w:r>
              <w:rPr>
                <w:noProof/>
                <w:webHidden/>
              </w:rPr>
            </w:r>
            <w:r>
              <w:rPr>
                <w:noProof/>
                <w:webHidden/>
              </w:rPr>
              <w:fldChar w:fldCharType="separate"/>
            </w:r>
            <w:r>
              <w:rPr>
                <w:noProof/>
                <w:webHidden/>
              </w:rPr>
              <w:t>105</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54975"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Coherence with other EU legislation currently in force</w:t>
            </w:r>
            <w:r>
              <w:rPr>
                <w:noProof/>
                <w:webHidden/>
              </w:rPr>
              <w:tab/>
            </w:r>
            <w:r>
              <w:rPr>
                <w:noProof/>
                <w:webHidden/>
              </w:rPr>
              <w:fldChar w:fldCharType="begin"/>
            </w:r>
            <w:r>
              <w:rPr>
                <w:noProof/>
                <w:webHidden/>
              </w:rPr>
              <w:instrText xml:space="preserve"> PAGEREF _Toc512854975 \h </w:instrText>
            </w:r>
            <w:r>
              <w:rPr>
                <w:noProof/>
                <w:webHidden/>
              </w:rPr>
            </w:r>
            <w:r>
              <w:rPr>
                <w:noProof/>
                <w:webHidden/>
              </w:rPr>
              <w:fldChar w:fldCharType="separate"/>
            </w:r>
            <w:r>
              <w:rPr>
                <w:noProof/>
                <w:webHidden/>
              </w:rPr>
              <w:t>106</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12854976" w:history="1">
            <w:r>
              <w:rPr>
                <w:rStyle w:val="Hyperlink"/>
                <w:rFonts w:eastAsiaTheme="minorHAnsi"/>
                <w:noProof/>
              </w:rPr>
              <w:t>EU transport legislation</w:t>
            </w:r>
            <w:r>
              <w:rPr>
                <w:noProof/>
                <w:webHidden/>
              </w:rPr>
              <w:tab/>
            </w:r>
            <w:r>
              <w:rPr>
                <w:noProof/>
                <w:webHidden/>
              </w:rPr>
              <w:fldChar w:fldCharType="begin"/>
            </w:r>
            <w:r>
              <w:rPr>
                <w:noProof/>
                <w:webHidden/>
              </w:rPr>
              <w:instrText xml:space="preserve"> PAGEREF _Toc512854976 \h </w:instrText>
            </w:r>
            <w:r>
              <w:rPr>
                <w:noProof/>
                <w:webHidden/>
              </w:rPr>
            </w:r>
            <w:r>
              <w:rPr>
                <w:noProof/>
                <w:webHidden/>
              </w:rPr>
              <w:fldChar w:fldCharType="separate"/>
            </w:r>
            <w:r>
              <w:rPr>
                <w:noProof/>
                <w:webHidden/>
              </w:rPr>
              <w:t>106</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12854977" w:history="1">
            <w:r>
              <w:rPr>
                <w:rStyle w:val="Hyperlink"/>
                <w:noProof/>
              </w:rPr>
              <w:t>EU customs and fiscal legislation</w:t>
            </w:r>
            <w:r>
              <w:rPr>
                <w:noProof/>
                <w:webHidden/>
              </w:rPr>
              <w:tab/>
            </w:r>
            <w:r>
              <w:rPr>
                <w:noProof/>
                <w:webHidden/>
              </w:rPr>
              <w:fldChar w:fldCharType="begin"/>
            </w:r>
            <w:r>
              <w:rPr>
                <w:noProof/>
                <w:webHidden/>
              </w:rPr>
              <w:instrText xml:space="preserve"> PAGEREF _Toc512854977 \h </w:instrText>
            </w:r>
            <w:r>
              <w:rPr>
                <w:noProof/>
                <w:webHidden/>
              </w:rPr>
            </w:r>
            <w:r>
              <w:rPr>
                <w:noProof/>
                <w:webHidden/>
              </w:rPr>
              <w:fldChar w:fldCharType="separate"/>
            </w:r>
            <w:r>
              <w:rPr>
                <w:noProof/>
                <w:webHidden/>
              </w:rPr>
              <w:t>108</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12854978" w:history="1">
            <w:r>
              <w:rPr>
                <w:rStyle w:val="Hyperlink"/>
                <w:noProof/>
              </w:rPr>
              <w:t>EU legislation on official controls on agri-food chain</w:t>
            </w:r>
            <w:r>
              <w:rPr>
                <w:noProof/>
                <w:webHidden/>
              </w:rPr>
              <w:tab/>
            </w:r>
            <w:r>
              <w:rPr>
                <w:noProof/>
                <w:webHidden/>
              </w:rPr>
              <w:fldChar w:fldCharType="begin"/>
            </w:r>
            <w:r>
              <w:rPr>
                <w:noProof/>
                <w:webHidden/>
              </w:rPr>
              <w:instrText xml:space="preserve"> PAGEREF _Toc512854978 \h </w:instrText>
            </w:r>
            <w:r>
              <w:rPr>
                <w:noProof/>
                <w:webHidden/>
              </w:rPr>
            </w:r>
            <w:r>
              <w:rPr>
                <w:noProof/>
                <w:webHidden/>
              </w:rPr>
              <w:fldChar w:fldCharType="separate"/>
            </w:r>
            <w:r>
              <w:rPr>
                <w:noProof/>
                <w:webHidden/>
              </w:rPr>
              <w:t>108</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12854979" w:history="1">
            <w:r>
              <w:rPr>
                <w:rStyle w:val="Hyperlink"/>
                <w:noProof/>
              </w:rPr>
              <w:t>EU electronic identification and trust services for electronic transactions legislation</w:t>
            </w:r>
            <w:r>
              <w:rPr>
                <w:noProof/>
                <w:webHidden/>
              </w:rPr>
              <w:tab/>
            </w:r>
            <w:r>
              <w:rPr>
                <w:noProof/>
                <w:webHidden/>
              </w:rPr>
              <w:fldChar w:fldCharType="begin"/>
            </w:r>
            <w:r>
              <w:rPr>
                <w:noProof/>
                <w:webHidden/>
              </w:rPr>
              <w:instrText xml:space="preserve"> PAGEREF _Toc512854979 \h </w:instrText>
            </w:r>
            <w:r>
              <w:rPr>
                <w:noProof/>
                <w:webHidden/>
              </w:rPr>
            </w:r>
            <w:r>
              <w:rPr>
                <w:noProof/>
                <w:webHidden/>
              </w:rPr>
              <w:fldChar w:fldCharType="separate"/>
            </w:r>
            <w:r>
              <w:rPr>
                <w:noProof/>
                <w:webHidden/>
              </w:rPr>
              <w:t>109</w:t>
            </w:r>
            <w:r>
              <w:rPr>
                <w:noProof/>
                <w:webHidden/>
              </w:rPr>
              <w:fldChar w:fldCharType="end"/>
            </w:r>
          </w:hyperlink>
        </w:p>
        <w:p>
          <w:pPr>
            <w:rPr>
              <w:rFonts w:ascii="Times New Roman" w:hAnsi="Times New Roman" w:cs="Times New Roman"/>
              <w:noProof/>
            </w:rPr>
          </w:pPr>
          <w:r>
            <w:rPr>
              <w:rFonts w:ascii="Times New Roman" w:hAnsi="Times New Roman" w:cs="Times New Roman"/>
              <w:bCs/>
              <w:noProof/>
            </w:rPr>
            <w:fldChar w:fldCharType="end"/>
          </w:r>
        </w:p>
      </w:sdtContent>
    </w:sdt>
    <w:p>
      <w:pPr>
        <w:rPr>
          <w:b/>
          <w:noProof/>
          <w:sz w:val="28"/>
          <w:szCs w:val="28"/>
        </w:rPr>
      </w:pPr>
    </w:p>
    <w:p>
      <w:pPr>
        <w:jc w:val="center"/>
        <w:rPr>
          <w:b/>
          <w:noProof/>
          <w:sz w:val="28"/>
          <w:szCs w:val="28"/>
        </w:rPr>
      </w:pPr>
      <w:r>
        <w:rPr>
          <w:b/>
          <w:noProof/>
          <w:sz w:val="28"/>
          <w:szCs w:val="28"/>
        </w:rPr>
        <w:br w:type="page"/>
      </w:r>
    </w:p>
    <w:p>
      <w:pPr>
        <w:jc w:val="center"/>
        <w:rPr>
          <w:b/>
          <w:noProof/>
          <w:sz w:val="28"/>
          <w:szCs w:val="28"/>
        </w:rPr>
      </w:pPr>
      <w:r>
        <w:rPr>
          <w:b/>
          <w:noProof/>
          <w:sz w:val="28"/>
          <w:szCs w:val="28"/>
        </w:rPr>
        <w:lastRenderedPageBreak/>
        <w:t>Glossary</w:t>
      </w:r>
    </w:p>
    <w:tbl>
      <w:tblPr>
        <w:tblStyle w:val="TableGrid"/>
        <w:tblW w:w="0" w:type="auto"/>
        <w:tblLook w:val="04A0" w:firstRow="1" w:lastRow="0" w:firstColumn="1" w:lastColumn="0" w:noHBand="0" w:noVBand="1"/>
      </w:tblPr>
      <w:tblGrid>
        <w:gridCol w:w="3227"/>
        <w:gridCol w:w="5607"/>
      </w:tblGrid>
      <w:tr>
        <w:tc>
          <w:tcPr>
            <w:tcW w:w="3227" w:type="dxa"/>
            <w:tcBorders>
              <w:bottom w:val="double" w:sz="4" w:space="0" w:color="auto"/>
            </w:tcBorders>
            <w:shd w:val="clear" w:color="auto" w:fill="F2F2F2" w:themeFill="background1" w:themeFillShade="F2"/>
          </w:tcPr>
          <w:p>
            <w:pPr>
              <w:spacing w:before="120" w:after="120"/>
              <w:jc w:val="center"/>
              <w:rPr>
                <w:b/>
                <w:i/>
                <w:noProof/>
              </w:rPr>
            </w:pPr>
            <w:r>
              <w:rPr>
                <w:b/>
                <w:i/>
                <w:noProof/>
              </w:rPr>
              <w:t>Term or acronym</w:t>
            </w:r>
          </w:p>
        </w:tc>
        <w:tc>
          <w:tcPr>
            <w:tcW w:w="5607" w:type="dxa"/>
            <w:tcBorders>
              <w:bottom w:val="double" w:sz="4" w:space="0" w:color="auto"/>
            </w:tcBorders>
            <w:shd w:val="clear" w:color="auto" w:fill="F2F2F2" w:themeFill="background1" w:themeFillShade="F2"/>
          </w:tcPr>
          <w:p>
            <w:pPr>
              <w:spacing w:before="120" w:after="120"/>
              <w:jc w:val="center"/>
              <w:rPr>
                <w:b/>
                <w:i/>
                <w:noProof/>
              </w:rPr>
            </w:pPr>
            <w:r>
              <w:rPr>
                <w:b/>
                <w:i/>
                <w:noProof/>
              </w:rPr>
              <w:t>Meaning or definition</w:t>
            </w:r>
          </w:p>
        </w:tc>
      </w:tr>
      <w:tr>
        <w:tc>
          <w:tcPr>
            <w:tcW w:w="3227" w:type="dxa"/>
            <w:tcBorders>
              <w:top w:val="double" w:sz="4" w:space="0" w:color="auto"/>
            </w:tcBorders>
            <w:tcMar>
              <w:top w:w="85" w:type="dxa"/>
              <w:left w:w="57" w:type="dxa"/>
              <w:bottom w:w="85" w:type="dxa"/>
              <w:right w:w="57" w:type="dxa"/>
            </w:tcMar>
          </w:tcPr>
          <w:p>
            <w:pPr>
              <w:rPr>
                <w:noProof/>
              </w:rPr>
            </w:pPr>
            <w:r>
              <w:rPr>
                <w:noProof/>
              </w:rPr>
              <w:t>Business register</w:t>
            </w:r>
          </w:p>
        </w:tc>
        <w:tc>
          <w:tcPr>
            <w:tcW w:w="5607" w:type="dxa"/>
            <w:tcBorders>
              <w:top w:val="double" w:sz="4" w:space="0" w:color="auto"/>
            </w:tcBorders>
            <w:tcMar>
              <w:top w:w="85" w:type="dxa"/>
              <w:left w:w="57" w:type="dxa"/>
              <w:bottom w:w="85" w:type="dxa"/>
              <w:right w:w="57" w:type="dxa"/>
            </w:tcMar>
          </w:tcPr>
          <w:p>
            <w:pPr>
              <w:rPr>
                <w:noProof/>
              </w:rPr>
            </w:pPr>
            <w:r>
              <w:rPr>
                <w:noProof/>
              </w:rPr>
              <w:t>The database maintained by each Member State to keep record of registration of companies in the given Member State and subsequent changes in the information on companies.</w:t>
            </w:r>
          </w:p>
        </w:tc>
      </w:tr>
      <w:tr>
        <w:tc>
          <w:tcPr>
            <w:tcW w:w="3227" w:type="dxa"/>
            <w:tcMar>
              <w:top w:w="85" w:type="dxa"/>
              <w:left w:w="57" w:type="dxa"/>
              <w:bottom w:w="85" w:type="dxa"/>
              <w:right w:w="57" w:type="dxa"/>
            </w:tcMar>
          </w:tcPr>
          <w:p>
            <w:pPr>
              <w:rPr>
                <w:noProof/>
              </w:rPr>
            </w:pPr>
            <w:r>
              <w:rPr>
                <w:noProof/>
              </w:rPr>
              <w:t xml:space="preserve">Electronic data vs digital </w:t>
            </w:r>
          </w:p>
        </w:tc>
        <w:tc>
          <w:tcPr>
            <w:tcW w:w="5607" w:type="dxa"/>
            <w:tcMar>
              <w:top w:w="85" w:type="dxa"/>
              <w:left w:w="57" w:type="dxa"/>
              <w:bottom w:w="85" w:type="dxa"/>
              <w:right w:w="57" w:type="dxa"/>
            </w:tcMar>
          </w:tcPr>
          <w:p>
            <w:pPr>
              <w:rPr>
                <w:noProof/>
              </w:rPr>
            </w:pPr>
            <w:r>
              <w:rPr>
                <w:noProof/>
              </w:rPr>
              <w:t xml:space="preserve">See https://www.linkedin.com/pulse/electronic-vs-digital-data-bernadette-bosse/ </w:t>
            </w:r>
          </w:p>
        </w:tc>
      </w:tr>
      <w:tr>
        <w:tc>
          <w:tcPr>
            <w:tcW w:w="3227" w:type="dxa"/>
            <w:tcMar>
              <w:top w:w="85" w:type="dxa"/>
              <w:left w:w="57" w:type="dxa"/>
              <w:bottom w:w="85" w:type="dxa"/>
              <w:right w:w="57" w:type="dxa"/>
            </w:tcMar>
          </w:tcPr>
          <w:p>
            <w:pPr>
              <w:rPr>
                <w:noProof/>
              </w:rPr>
            </w:pPr>
            <w:r>
              <w:rPr>
                <w:noProof/>
              </w:rPr>
              <w:t xml:space="preserve">International transport </w:t>
            </w:r>
          </w:p>
        </w:tc>
        <w:tc>
          <w:tcPr>
            <w:tcW w:w="5607" w:type="dxa"/>
            <w:tcMar>
              <w:top w:w="85" w:type="dxa"/>
              <w:left w:w="57" w:type="dxa"/>
              <w:bottom w:w="85" w:type="dxa"/>
              <w:right w:w="57" w:type="dxa"/>
            </w:tcMar>
          </w:tcPr>
          <w:p>
            <w:pPr>
              <w:rPr>
                <w:noProof/>
              </w:rPr>
            </w:pPr>
            <w:r>
              <w:rPr>
                <w:noProof/>
              </w:rPr>
              <w:t xml:space="preserve">Pursuant to articles 90 and 91 TFEU, by international transport it is understood in this study the transport of goods from the territory of a Member State or passing across the territory of one or more Member States </w:t>
            </w:r>
          </w:p>
        </w:tc>
      </w:tr>
      <w:tr>
        <w:tc>
          <w:tcPr>
            <w:tcW w:w="3227" w:type="dxa"/>
            <w:tcMar>
              <w:top w:w="85" w:type="dxa"/>
              <w:left w:w="57" w:type="dxa"/>
              <w:bottom w:w="85" w:type="dxa"/>
              <w:right w:w="57" w:type="dxa"/>
            </w:tcMar>
          </w:tcPr>
          <w:p>
            <w:pPr>
              <w:rPr>
                <w:noProof/>
              </w:rPr>
            </w:pPr>
            <w:r>
              <w:rPr>
                <w:noProof/>
              </w:rPr>
              <w:t xml:space="preserve">Shipment  </w:t>
            </w:r>
          </w:p>
        </w:tc>
        <w:tc>
          <w:tcPr>
            <w:tcW w:w="5607" w:type="dxa"/>
            <w:tcMar>
              <w:top w:w="85" w:type="dxa"/>
              <w:left w:w="57" w:type="dxa"/>
              <w:bottom w:w="85" w:type="dxa"/>
              <w:right w:w="57" w:type="dxa"/>
            </w:tcMar>
          </w:tcPr>
          <w:p>
            <w:pPr>
              <w:rPr>
                <w:noProof/>
              </w:rPr>
            </w:pPr>
            <w:r>
              <w:rPr>
                <w:noProof/>
              </w:rPr>
              <w:t>Determined set of goods that exchanges ownership and needs to be transported from seller shipping point to a final buyer's/consignee reception point</w:t>
            </w:r>
          </w:p>
        </w:tc>
      </w:tr>
      <w:tr>
        <w:tc>
          <w:tcPr>
            <w:tcW w:w="3227" w:type="dxa"/>
            <w:tcMar>
              <w:top w:w="85" w:type="dxa"/>
              <w:left w:w="57" w:type="dxa"/>
              <w:bottom w:w="85" w:type="dxa"/>
              <w:right w:w="57" w:type="dxa"/>
            </w:tcMar>
          </w:tcPr>
          <w:p>
            <w:pPr>
              <w:rPr>
                <w:noProof/>
              </w:rPr>
            </w:pPr>
            <w:r>
              <w:rPr>
                <w:noProof/>
              </w:rPr>
              <w:t xml:space="preserve">Member States/public authorities </w:t>
            </w:r>
          </w:p>
        </w:tc>
        <w:tc>
          <w:tcPr>
            <w:tcW w:w="5607" w:type="dxa"/>
            <w:tcMar>
              <w:top w:w="85" w:type="dxa"/>
              <w:left w:w="57" w:type="dxa"/>
              <w:bottom w:w="85" w:type="dxa"/>
              <w:right w:w="57" w:type="dxa"/>
            </w:tcMar>
          </w:tcPr>
          <w:p>
            <w:pPr>
              <w:rPr>
                <w:noProof/>
              </w:rPr>
            </w:pPr>
            <w:r>
              <w:rPr>
                <w:noProof/>
              </w:rPr>
              <w:t>All relevant authorities.  For the purposes of the analysis in this study, a distinction has been made between enforcement authorities and judicial authorities.</w:t>
            </w:r>
          </w:p>
        </w:tc>
      </w:tr>
      <w:tr>
        <w:tc>
          <w:tcPr>
            <w:tcW w:w="3227" w:type="dxa"/>
            <w:tcMar>
              <w:top w:w="85" w:type="dxa"/>
              <w:left w:w="57" w:type="dxa"/>
              <w:bottom w:w="85" w:type="dxa"/>
              <w:right w:w="57" w:type="dxa"/>
            </w:tcMar>
          </w:tcPr>
          <w:p>
            <w:pPr>
              <w:rPr>
                <w:noProof/>
              </w:rPr>
            </w:pPr>
            <w:r>
              <w:rPr>
                <w:noProof/>
              </w:rPr>
              <w:t>Enforcement authorities</w:t>
            </w:r>
          </w:p>
        </w:tc>
        <w:tc>
          <w:tcPr>
            <w:tcW w:w="5607" w:type="dxa"/>
            <w:tcMar>
              <w:top w:w="85" w:type="dxa"/>
              <w:left w:w="57" w:type="dxa"/>
              <w:bottom w:w="85" w:type="dxa"/>
              <w:right w:w="57" w:type="dxa"/>
            </w:tcMar>
          </w:tcPr>
          <w:p>
            <w:pPr>
              <w:rPr>
                <w:noProof/>
              </w:rPr>
            </w:pPr>
            <w:r>
              <w:rPr>
                <w:noProof/>
              </w:rPr>
              <w:t>Relevant public authorities having tasks related to controlling, monitoring and ensuring enforcement of applicable legal provisions concerning the international transport of goods on the territory of the EU, such as police, fiscal police, ministries and their agencies.</w:t>
            </w:r>
          </w:p>
        </w:tc>
      </w:tr>
      <w:tr>
        <w:tc>
          <w:tcPr>
            <w:tcW w:w="3227" w:type="dxa"/>
            <w:tcMar>
              <w:top w:w="85" w:type="dxa"/>
              <w:left w:w="57" w:type="dxa"/>
              <w:bottom w:w="85" w:type="dxa"/>
              <w:right w:w="57" w:type="dxa"/>
            </w:tcMar>
          </w:tcPr>
          <w:p>
            <w:pPr>
              <w:rPr>
                <w:noProof/>
              </w:rPr>
            </w:pPr>
            <w:r>
              <w:rPr>
                <w:noProof/>
              </w:rPr>
              <w:t>Judicial authorities</w:t>
            </w:r>
          </w:p>
        </w:tc>
        <w:tc>
          <w:tcPr>
            <w:tcW w:w="5607" w:type="dxa"/>
            <w:tcMar>
              <w:top w:w="85" w:type="dxa"/>
              <w:left w:w="57" w:type="dxa"/>
              <w:bottom w:w="85" w:type="dxa"/>
              <w:right w:w="57" w:type="dxa"/>
            </w:tcMar>
          </w:tcPr>
          <w:p>
            <w:pPr>
              <w:rPr>
                <w:noProof/>
              </w:rPr>
            </w:pPr>
            <w:r>
              <w:rPr>
                <w:noProof/>
              </w:rPr>
              <w:t>Administrative, criminal or civil courts.</w:t>
            </w:r>
          </w:p>
        </w:tc>
      </w:tr>
      <w:tr>
        <w:tc>
          <w:tcPr>
            <w:tcW w:w="3227" w:type="dxa"/>
            <w:tcMar>
              <w:top w:w="85" w:type="dxa"/>
              <w:left w:w="57" w:type="dxa"/>
              <w:bottom w:w="85" w:type="dxa"/>
              <w:right w:w="57" w:type="dxa"/>
            </w:tcMar>
          </w:tcPr>
          <w:p>
            <w:pPr>
              <w:rPr>
                <w:noProof/>
              </w:rPr>
            </w:pPr>
            <w:r>
              <w:rPr>
                <w:noProof/>
              </w:rPr>
              <w:t>Member State(s) (MS)</w:t>
            </w:r>
          </w:p>
        </w:tc>
        <w:tc>
          <w:tcPr>
            <w:tcW w:w="5607" w:type="dxa"/>
            <w:tcMar>
              <w:top w:w="85" w:type="dxa"/>
              <w:left w:w="57" w:type="dxa"/>
              <w:bottom w:w="85" w:type="dxa"/>
              <w:right w:w="57" w:type="dxa"/>
            </w:tcMar>
          </w:tcPr>
          <w:p>
            <w:pPr>
              <w:rPr>
                <w:noProof/>
              </w:rPr>
            </w:pPr>
            <w:r>
              <w:rPr>
                <w:noProof/>
              </w:rPr>
              <w:t>In the context of this Impact assessment, this covers Member States of the EU and of the EEA (i.e. Iceland, Liechtenstein and Norway in addition to the EU).</w:t>
            </w:r>
          </w:p>
        </w:tc>
      </w:tr>
      <w:tr>
        <w:tc>
          <w:tcPr>
            <w:tcW w:w="3227" w:type="dxa"/>
            <w:tcMar>
              <w:top w:w="85" w:type="dxa"/>
              <w:left w:w="57" w:type="dxa"/>
              <w:bottom w:w="85" w:type="dxa"/>
              <w:right w:w="57" w:type="dxa"/>
            </w:tcMar>
          </w:tcPr>
          <w:p>
            <w:pPr>
              <w:rPr>
                <w:noProof/>
              </w:rPr>
            </w:pPr>
            <w:r>
              <w:rPr>
                <w:noProof/>
              </w:rPr>
              <w:t xml:space="preserve">Data </w:t>
            </w:r>
          </w:p>
        </w:tc>
        <w:tc>
          <w:tcPr>
            <w:tcW w:w="5607" w:type="dxa"/>
            <w:tcMar>
              <w:top w:w="85" w:type="dxa"/>
              <w:left w:w="57" w:type="dxa"/>
              <w:bottom w:w="85" w:type="dxa"/>
              <w:right w:w="57" w:type="dxa"/>
            </w:tcMar>
          </w:tcPr>
          <w:p>
            <w:pPr>
              <w:rPr>
                <w:noProof/>
              </w:rPr>
            </w:pPr>
            <w:r>
              <w:rPr>
                <w:noProof/>
              </w:rPr>
              <w:t>Information that has been encoded digitally, using a revisable structured format which can be used directly for storage and processing by computers.</w:t>
            </w:r>
          </w:p>
        </w:tc>
      </w:tr>
      <w:tr>
        <w:tc>
          <w:tcPr>
            <w:tcW w:w="3227" w:type="dxa"/>
            <w:tcMar>
              <w:top w:w="85" w:type="dxa"/>
              <w:left w:w="57" w:type="dxa"/>
              <w:bottom w:w="85" w:type="dxa"/>
              <w:right w:w="57" w:type="dxa"/>
            </w:tcMar>
          </w:tcPr>
          <w:p>
            <w:pPr>
              <w:rPr>
                <w:noProof/>
              </w:rPr>
            </w:pPr>
            <w:r>
              <w:rPr>
                <w:noProof/>
              </w:rPr>
              <w:t>Data elements</w:t>
            </w:r>
          </w:p>
        </w:tc>
        <w:tc>
          <w:tcPr>
            <w:tcW w:w="5607" w:type="dxa"/>
            <w:tcMar>
              <w:top w:w="85" w:type="dxa"/>
              <w:left w:w="57" w:type="dxa"/>
              <w:bottom w:w="85" w:type="dxa"/>
              <w:right w:w="57" w:type="dxa"/>
            </w:tcMar>
          </w:tcPr>
          <w:p>
            <w:pPr>
              <w:rPr>
                <w:noProof/>
              </w:rPr>
            </w:pPr>
            <w:r>
              <w:rPr>
                <w:noProof/>
              </w:rPr>
              <w:t>A unit of data which, in a certain context, is considered indivisible and for which the identification, description and value representation has been specified.</w:t>
            </w:r>
          </w:p>
        </w:tc>
      </w:tr>
      <w:tr>
        <w:tc>
          <w:tcPr>
            <w:tcW w:w="3227" w:type="dxa"/>
            <w:tcMar>
              <w:top w:w="85" w:type="dxa"/>
              <w:left w:w="57" w:type="dxa"/>
              <w:bottom w:w="85" w:type="dxa"/>
              <w:right w:w="57" w:type="dxa"/>
            </w:tcMar>
          </w:tcPr>
          <w:p>
            <w:pPr>
              <w:rPr>
                <w:noProof/>
              </w:rPr>
            </w:pPr>
            <w:r>
              <w:rPr>
                <w:noProof/>
              </w:rPr>
              <w:t>Information</w:t>
            </w:r>
          </w:p>
        </w:tc>
        <w:tc>
          <w:tcPr>
            <w:tcW w:w="5607" w:type="dxa"/>
            <w:tcMar>
              <w:top w:w="85" w:type="dxa"/>
              <w:left w:w="57" w:type="dxa"/>
              <w:bottom w:w="85" w:type="dxa"/>
              <w:right w:w="57" w:type="dxa"/>
            </w:tcMar>
          </w:tcPr>
          <w:p>
            <w:pPr>
              <w:rPr>
                <w:noProof/>
              </w:rPr>
            </w:pPr>
            <w:r>
              <w:rPr>
                <w:noProof/>
              </w:rPr>
              <w:t>In the context of this Impact assessment, it covers the transport related information included in the transport documents and are necessary for the controls by authorities.</w:t>
            </w:r>
          </w:p>
        </w:tc>
      </w:tr>
      <w:tr>
        <w:tc>
          <w:tcPr>
            <w:tcW w:w="3227" w:type="dxa"/>
            <w:tcMar>
              <w:top w:w="85" w:type="dxa"/>
              <w:left w:w="57" w:type="dxa"/>
              <w:bottom w:w="85" w:type="dxa"/>
              <w:right w:w="57" w:type="dxa"/>
            </w:tcMar>
          </w:tcPr>
          <w:p>
            <w:pPr>
              <w:rPr>
                <w:noProof/>
              </w:rPr>
            </w:pPr>
            <w:r>
              <w:rPr>
                <w:noProof/>
              </w:rPr>
              <w:t>Registered office</w:t>
            </w:r>
          </w:p>
        </w:tc>
        <w:tc>
          <w:tcPr>
            <w:tcW w:w="5607" w:type="dxa"/>
            <w:tcMar>
              <w:top w:w="85" w:type="dxa"/>
              <w:left w:w="57" w:type="dxa"/>
              <w:bottom w:w="85" w:type="dxa"/>
              <w:right w:w="57" w:type="dxa"/>
            </w:tcMar>
          </w:tcPr>
          <w:p>
            <w:pPr>
              <w:rPr>
                <w:noProof/>
              </w:rPr>
            </w:pPr>
            <w:r>
              <w:rPr>
                <w:noProof/>
              </w:rPr>
              <w:t>The office and the address under which the company is registered in the business register.</w:t>
            </w:r>
          </w:p>
        </w:tc>
      </w:tr>
      <w:tr>
        <w:tc>
          <w:tcPr>
            <w:tcW w:w="3227" w:type="dxa"/>
            <w:tcMar>
              <w:top w:w="85" w:type="dxa"/>
              <w:left w:w="57" w:type="dxa"/>
              <w:bottom w:w="85" w:type="dxa"/>
              <w:right w:w="57" w:type="dxa"/>
            </w:tcMar>
          </w:tcPr>
          <w:p>
            <w:pPr>
              <w:rPr>
                <w:noProof/>
              </w:rPr>
            </w:pPr>
            <w:r>
              <w:rPr>
                <w:noProof/>
              </w:rPr>
              <w:t>SME</w:t>
            </w:r>
          </w:p>
        </w:tc>
        <w:tc>
          <w:tcPr>
            <w:tcW w:w="5607" w:type="dxa"/>
            <w:tcMar>
              <w:top w:w="85" w:type="dxa"/>
              <w:left w:w="57" w:type="dxa"/>
              <w:bottom w:w="85" w:type="dxa"/>
              <w:right w:w="57" w:type="dxa"/>
            </w:tcMar>
          </w:tcPr>
          <w:p>
            <w:pPr>
              <w:rPr>
                <w:noProof/>
              </w:rPr>
            </w:pPr>
            <w:r>
              <w:rPr>
                <w:noProof/>
              </w:rPr>
              <w:t>Small and Medium Enterprises</w:t>
            </w:r>
          </w:p>
        </w:tc>
      </w:tr>
      <w:tr>
        <w:tc>
          <w:tcPr>
            <w:tcW w:w="3227" w:type="dxa"/>
            <w:tcMar>
              <w:top w:w="85" w:type="dxa"/>
              <w:left w:w="57" w:type="dxa"/>
              <w:bottom w:w="85" w:type="dxa"/>
              <w:right w:w="57" w:type="dxa"/>
            </w:tcMar>
          </w:tcPr>
          <w:p>
            <w:pPr>
              <w:rPr>
                <w:noProof/>
              </w:rPr>
            </w:pPr>
            <w:r>
              <w:rPr>
                <w:noProof/>
              </w:rPr>
              <w:t>DTLF</w:t>
            </w:r>
          </w:p>
        </w:tc>
        <w:tc>
          <w:tcPr>
            <w:tcW w:w="5607" w:type="dxa"/>
            <w:tcMar>
              <w:top w:w="85" w:type="dxa"/>
              <w:left w:w="57" w:type="dxa"/>
              <w:bottom w:w="85" w:type="dxa"/>
              <w:right w:w="57" w:type="dxa"/>
            </w:tcMar>
          </w:tcPr>
          <w:p>
            <w:pPr>
              <w:rPr>
                <w:noProof/>
              </w:rPr>
            </w:pPr>
            <w:r>
              <w:rPr>
                <w:noProof/>
              </w:rPr>
              <w:t>Digital Transport and Logistics Forum</w:t>
            </w:r>
          </w:p>
        </w:tc>
      </w:tr>
      <w:tr>
        <w:tc>
          <w:tcPr>
            <w:tcW w:w="3227" w:type="dxa"/>
            <w:tcMar>
              <w:top w:w="85" w:type="dxa"/>
              <w:left w:w="57" w:type="dxa"/>
              <w:bottom w:w="85" w:type="dxa"/>
              <w:right w:w="57" w:type="dxa"/>
            </w:tcMar>
          </w:tcPr>
          <w:p>
            <w:pPr>
              <w:rPr>
                <w:noProof/>
              </w:rPr>
            </w:pPr>
            <w:r>
              <w:rPr>
                <w:noProof/>
              </w:rPr>
              <w:t>TFEU</w:t>
            </w:r>
          </w:p>
        </w:tc>
        <w:tc>
          <w:tcPr>
            <w:tcW w:w="5607" w:type="dxa"/>
            <w:tcMar>
              <w:top w:w="85" w:type="dxa"/>
              <w:left w:w="57" w:type="dxa"/>
              <w:bottom w:w="85" w:type="dxa"/>
              <w:right w:w="57" w:type="dxa"/>
            </w:tcMar>
          </w:tcPr>
          <w:p>
            <w:pPr>
              <w:rPr>
                <w:noProof/>
              </w:rPr>
            </w:pPr>
            <w:r>
              <w:rPr>
                <w:noProof/>
              </w:rPr>
              <w:t>Treaty on the Functioning of the European Union, OJ 2012/C 326/01</w:t>
            </w:r>
          </w:p>
        </w:tc>
      </w:tr>
      <w:tr>
        <w:tc>
          <w:tcPr>
            <w:tcW w:w="3227" w:type="dxa"/>
            <w:tcMar>
              <w:top w:w="85" w:type="dxa"/>
              <w:left w:w="57" w:type="dxa"/>
              <w:bottom w:w="85" w:type="dxa"/>
              <w:right w:w="57" w:type="dxa"/>
            </w:tcMar>
          </w:tcPr>
          <w:p>
            <w:pPr>
              <w:rPr>
                <w:noProof/>
              </w:rPr>
            </w:pPr>
            <w:r>
              <w:rPr>
                <w:noProof/>
              </w:rPr>
              <w:t>RFD</w:t>
            </w:r>
          </w:p>
        </w:tc>
        <w:tc>
          <w:tcPr>
            <w:tcW w:w="5607" w:type="dxa"/>
            <w:tcMar>
              <w:top w:w="85" w:type="dxa"/>
              <w:left w:w="57" w:type="dxa"/>
              <w:bottom w:w="85" w:type="dxa"/>
              <w:right w:w="57" w:type="dxa"/>
            </w:tcMar>
          </w:tcPr>
          <w:p>
            <w:pPr>
              <w:rPr>
                <w:noProof/>
              </w:rPr>
            </w:pPr>
            <w:r>
              <w:rPr>
                <w:noProof/>
              </w:rPr>
              <w:t>Reporting Formalities Directive – No 2010/65/EU on reporting formalities for ships arriving in and/or departing from ports of the Member States and repealing Directive 2002/6/EC</w:t>
            </w:r>
          </w:p>
        </w:tc>
      </w:tr>
      <w:tr>
        <w:tc>
          <w:tcPr>
            <w:tcW w:w="3227" w:type="dxa"/>
            <w:tcMar>
              <w:top w:w="85" w:type="dxa"/>
              <w:left w:w="57" w:type="dxa"/>
              <w:bottom w:w="85" w:type="dxa"/>
              <w:right w:w="57" w:type="dxa"/>
            </w:tcMar>
          </w:tcPr>
          <w:p>
            <w:pPr>
              <w:rPr>
                <w:noProof/>
              </w:rPr>
            </w:pPr>
            <w:r>
              <w:rPr>
                <w:noProof/>
              </w:rPr>
              <w:t>eIDAS Regulation</w:t>
            </w:r>
          </w:p>
        </w:tc>
        <w:tc>
          <w:tcPr>
            <w:tcW w:w="5607" w:type="dxa"/>
            <w:tcMar>
              <w:top w:w="85" w:type="dxa"/>
              <w:left w:w="57" w:type="dxa"/>
              <w:bottom w:w="85" w:type="dxa"/>
              <w:right w:w="57" w:type="dxa"/>
            </w:tcMar>
          </w:tcPr>
          <w:p>
            <w:pPr>
              <w:rPr>
                <w:noProof/>
              </w:rPr>
            </w:pPr>
            <w:r>
              <w:rPr>
                <w:noProof/>
              </w:rPr>
              <w:t>Regulation (EU) No 910/2014 on electronic identification and trust services for electronic transactions in the internal market and repealing Directive 1999/93/EC</w:t>
            </w:r>
          </w:p>
        </w:tc>
      </w:tr>
      <w:tr>
        <w:tc>
          <w:tcPr>
            <w:tcW w:w="3227" w:type="dxa"/>
            <w:tcMar>
              <w:top w:w="85" w:type="dxa"/>
              <w:left w:w="57" w:type="dxa"/>
              <w:bottom w:w="85" w:type="dxa"/>
              <w:right w:w="57" w:type="dxa"/>
            </w:tcMar>
          </w:tcPr>
          <w:p>
            <w:pPr>
              <w:rPr>
                <w:noProof/>
              </w:rPr>
            </w:pPr>
            <w:r>
              <w:rPr>
                <w:noProof/>
              </w:rPr>
              <w:t>UCC</w:t>
            </w:r>
          </w:p>
        </w:tc>
        <w:tc>
          <w:tcPr>
            <w:tcW w:w="5607" w:type="dxa"/>
            <w:tcMar>
              <w:top w:w="85" w:type="dxa"/>
              <w:left w:w="57" w:type="dxa"/>
              <w:bottom w:w="85" w:type="dxa"/>
              <w:right w:w="57" w:type="dxa"/>
            </w:tcMar>
          </w:tcPr>
          <w:p>
            <w:pPr>
              <w:rPr>
                <w:noProof/>
              </w:rPr>
            </w:pPr>
            <w:r>
              <w:rPr>
                <w:noProof/>
              </w:rPr>
              <w:t>Union Customs Code as laid down in the Regulation (EU) No 952/2013</w:t>
            </w:r>
          </w:p>
        </w:tc>
      </w:tr>
      <w:tr>
        <w:tc>
          <w:tcPr>
            <w:tcW w:w="3227" w:type="dxa"/>
            <w:tcMar>
              <w:top w:w="85" w:type="dxa"/>
              <w:left w:w="57" w:type="dxa"/>
              <w:bottom w:w="85" w:type="dxa"/>
              <w:right w:w="57" w:type="dxa"/>
            </w:tcMar>
          </w:tcPr>
          <w:p>
            <w:pPr>
              <w:rPr>
                <w:noProof/>
              </w:rPr>
            </w:pPr>
            <w:r>
              <w:rPr>
                <w:noProof/>
              </w:rPr>
              <w:t>RIS Directive</w:t>
            </w:r>
          </w:p>
        </w:tc>
        <w:tc>
          <w:tcPr>
            <w:tcW w:w="5607" w:type="dxa"/>
            <w:tcMar>
              <w:top w:w="85" w:type="dxa"/>
              <w:left w:w="57" w:type="dxa"/>
              <w:bottom w:w="85" w:type="dxa"/>
              <w:right w:w="57" w:type="dxa"/>
            </w:tcMar>
          </w:tcPr>
          <w:p>
            <w:pPr>
              <w:rPr>
                <w:noProof/>
              </w:rPr>
            </w:pPr>
            <w:r>
              <w:rPr>
                <w:noProof/>
              </w:rPr>
              <w:t>Directive 2005/44/EC on harmonised river information services (RIS) on inland waterways in the Community</w:t>
            </w:r>
          </w:p>
        </w:tc>
      </w:tr>
      <w:tr>
        <w:tc>
          <w:tcPr>
            <w:tcW w:w="3227" w:type="dxa"/>
            <w:tcMar>
              <w:top w:w="85" w:type="dxa"/>
              <w:left w:w="57" w:type="dxa"/>
              <w:bottom w:w="85" w:type="dxa"/>
              <w:right w:w="57" w:type="dxa"/>
            </w:tcMar>
          </w:tcPr>
          <w:p>
            <w:pPr>
              <w:rPr>
                <w:noProof/>
              </w:rPr>
            </w:pPr>
            <w:r>
              <w:rPr>
                <w:noProof/>
              </w:rPr>
              <w:t>IWT</w:t>
            </w:r>
          </w:p>
        </w:tc>
        <w:tc>
          <w:tcPr>
            <w:tcW w:w="5607" w:type="dxa"/>
            <w:tcMar>
              <w:top w:w="85" w:type="dxa"/>
              <w:left w:w="57" w:type="dxa"/>
              <w:bottom w:w="85" w:type="dxa"/>
              <w:right w:w="57" w:type="dxa"/>
            </w:tcMar>
          </w:tcPr>
          <w:p>
            <w:pPr>
              <w:rPr>
                <w:noProof/>
              </w:rPr>
            </w:pPr>
            <w:r>
              <w:rPr>
                <w:noProof/>
              </w:rPr>
              <w:t>Inland waterways transport</w:t>
            </w:r>
          </w:p>
        </w:tc>
      </w:tr>
      <w:tr>
        <w:tc>
          <w:tcPr>
            <w:tcW w:w="3227" w:type="dxa"/>
            <w:tcMar>
              <w:top w:w="85" w:type="dxa"/>
              <w:left w:w="57" w:type="dxa"/>
              <w:bottom w:w="85" w:type="dxa"/>
              <w:right w:w="57" w:type="dxa"/>
            </w:tcMar>
          </w:tcPr>
          <w:p>
            <w:pPr>
              <w:rPr>
                <w:noProof/>
              </w:rPr>
            </w:pPr>
            <w:r>
              <w:rPr>
                <w:noProof/>
              </w:rPr>
              <w:t>CMR Convention</w:t>
            </w:r>
          </w:p>
        </w:tc>
        <w:tc>
          <w:tcPr>
            <w:tcW w:w="5607" w:type="dxa"/>
            <w:tcMar>
              <w:top w:w="85" w:type="dxa"/>
              <w:left w:w="57" w:type="dxa"/>
              <w:bottom w:w="85" w:type="dxa"/>
              <w:right w:w="57" w:type="dxa"/>
            </w:tcMar>
          </w:tcPr>
          <w:p>
            <w:pPr>
              <w:rPr>
                <w:noProof/>
              </w:rPr>
            </w:pPr>
            <w:r>
              <w:rPr>
                <w:noProof/>
              </w:rPr>
              <w:t>Convention on the Contract for the International Carriage of Goods by Road (CMR), Geneva 19 May 1956</w:t>
            </w:r>
          </w:p>
        </w:tc>
      </w:tr>
      <w:tr>
        <w:tc>
          <w:tcPr>
            <w:tcW w:w="3227" w:type="dxa"/>
            <w:tcMar>
              <w:top w:w="85" w:type="dxa"/>
              <w:left w:w="57" w:type="dxa"/>
              <w:bottom w:w="85" w:type="dxa"/>
              <w:right w:w="57" w:type="dxa"/>
            </w:tcMar>
          </w:tcPr>
          <w:p>
            <w:pPr>
              <w:rPr>
                <w:noProof/>
              </w:rPr>
            </w:pPr>
            <w:r>
              <w:rPr>
                <w:noProof/>
              </w:rPr>
              <w:t>CMR</w:t>
            </w:r>
          </w:p>
        </w:tc>
        <w:tc>
          <w:tcPr>
            <w:tcW w:w="5607" w:type="dxa"/>
            <w:tcMar>
              <w:top w:w="85" w:type="dxa"/>
              <w:left w:w="57" w:type="dxa"/>
              <w:bottom w:w="85" w:type="dxa"/>
              <w:right w:w="57" w:type="dxa"/>
            </w:tcMar>
          </w:tcPr>
          <w:p>
            <w:pPr>
              <w:rPr>
                <w:noProof/>
              </w:rPr>
            </w:pPr>
            <w:r>
              <w:rPr>
                <w:noProof/>
              </w:rPr>
              <w:t>Consignment note as defined in the CMR Convention</w:t>
            </w:r>
          </w:p>
        </w:tc>
      </w:tr>
      <w:tr>
        <w:tc>
          <w:tcPr>
            <w:tcW w:w="3227" w:type="dxa"/>
            <w:tcMar>
              <w:top w:w="85" w:type="dxa"/>
              <w:left w:w="57" w:type="dxa"/>
              <w:bottom w:w="85" w:type="dxa"/>
              <w:right w:w="57" w:type="dxa"/>
            </w:tcMar>
          </w:tcPr>
          <w:p>
            <w:pPr>
              <w:rPr>
                <w:noProof/>
              </w:rPr>
            </w:pPr>
            <w:r>
              <w:rPr>
                <w:noProof/>
              </w:rPr>
              <w:t xml:space="preserve">eCMR Protocol </w:t>
            </w:r>
          </w:p>
        </w:tc>
        <w:tc>
          <w:tcPr>
            <w:tcW w:w="5607" w:type="dxa"/>
            <w:tcMar>
              <w:top w:w="85" w:type="dxa"/>
              <w:left w:w="57" w:type="dxa"/>
              <w:bottom w:w="85" w:type="dxa"/>
              <w:right w:w="57" w:type="dxa"/>
            </w:tcMar>
          </w:tcPr>
          <w:p>
            <w:pPr>
              <w:rPr>
                <w:noProof/>
              </w:rPr>
            </w:pPr>
            <w:r>
              <w:rPr>
                <w:noProof/>
              </w:rPr>
              <w:t>Additional Protocol to the Convention on the Contract for the International Carriage of Goods by Road (CMR) concerning the Electronic Consignment Note, Geneva 27 May 2008</w:t>
            </w:r>
          </w:p>
        </w:tc>
      </w:tr>
      <w:tr>
        <w:tc>
          <w:tcPr>
            <w:tcW w:w="3227" w:type="dxa"/>
            <w:tcMar>
              <w:top w:w="85" w:type="dxa"/>
              <w:left w:w="57" w:type="dxa"/>
              <w:bottom w:w="85" w:type="dxa"/>
              <w:right w:w="57" w:type="dxa"/>
            </w:tcMar>
          </w:tcPr>
          <w:p>
            <w:pPr>
              <w:rPr>
                <w:noProof/>
              </w:rPr>
            </w:pPr>
            <w:r>
              <w:rPr>
                <w:noProof/>
              </w:rPr>
              <w:t>eCMR</w:t>
            </w:r>
          </w:p>
        </w:tc>
        <w:tc>
          <w:tcPr>
            <w:tcW w:w="5607" w:type="dxa"/>
            <w:tcMar>
              <w:top w:w="85" w:type="dxa"/>
              <w:left w:w="57" w:type="dxa"/>
              <w:bottom w:w="85" w:type="dxa"/>
              <w:right w:w="57" w:type="dxa"/>
            </w:tcMar>
          </w:tcPr>
          <w:p>
            <w:pPr>
              <w:rPr>
                <w:noProof/>
              </w:rPr>
            </w:pPr>
            <w:r>
              <w:rPr>
                <w:noProof/>
              </w:rPr>
              <w:t>Electronic consignment note as defined in the eCMR Protocol</w:t>
            </w:r>
          </w:p>
        </w:tc>
      </w:tr>
      <w:tr>
        <w:tc>
          <w:tcPr>
            <w:tcW w:w="3227" w:type="dxa"/>
            <w:tcMar>
              <w:top w:w="85" w:type="dxa"/>
              <w:left w:w="57" w:type="dxa"/>
              <w:bottom w:w="85" w:type="dxa"/>
              <w:right w:w="57" w:type="dxa"/>
            </w:tcMar>
          </w:tcPr>
          <w:p>
            <w:pPr>
              <w:rPr>
                <w:noProof/>
              </w:rPr>
            </w:pPr>
            <w:r>
              <w:rPr>
                <w:noProof/>
              </w:rPr>
              <w:t xml:space="preserve">CIM </w:t>
            </w:r>
          </w:p>
        </w:tc>
        <w:tc>
          <w:tcPr>
            <w:tcW w:w="5607" w:type="dxa"/>
            <w:tcMar>
              <w:top w:w="85" w:type="dxa"/>
              <w:left w:w="57" w:type="dxa"/>
              <w:bottom w:w="85" w:type="dxa"/>
              <w:right w:w="57" w:type="dxa"/>
            </w:tcMar>
          </w:tcPr>
          <w:p>
            <w:pPr>
              <w:rPr>
                <w:noProof/>
              </w:rPr>
            </w:pPr>
            <w:r>
              <w:rPr>
                <w:noProof/>
              </w:rPr>
              <w:t>Uniform Rules Concerning the Contract of International Carriage of Goods by Rail (CIM) - Appendix B to the Convention concerning International Carriage by Rail (COTIF) 9 June 1999</w:t>
            </w:r>
          </w:p>
        </w:tc>
      </w:tr>
      <w:tr>
        <w:tc>
          <w:tcPr>
            <w:tcW w:w="3227" w:type="dxa"/>
            <w:tcMar>
              <w:top w:w="85" w:type="dxa"/>
              <w:left w:w="57" w:type="dxa"/>
              <w:bottom w:w="85" w:type="dxa"/>
              <w:right w:w="57" w:type="dxa"/>
            </w:tcMar>
          </w:tcPr>
          <w:p>
            <w:pPr>
              <w:rPr>
                <w:noProof/>
              </w:rPr>
            </w:pPr>
            <w:r>
              <w:rPr>
                <w:noProof/>
              </w:rPr>
              <w:t>COTIF</w:t>
            </w:r>
          </w:p>
        </w:tc>
        <w:tc>
          <w:tcPr>
            <w:tcW w:w="5607" w:type="dxa"/>
            <w:tcMar>
              <w:top w:w="85" w:type="dxa"/>
              <w:left w:w="57" w:type="dxa"/>
              <w:bottom w:w="85" w:type="dxa"/>
              <w:right w:w="57" w:type="dxa"/>
            </w:tcMar>
          </w:tcPr>
          <w:p>
            <w:pPr>
              <w:rPr>
                <w:noProof/>
              </w:rPr>
            </w:pPr>
            <w:r>
              <w:rPr>
                <w:noProof/>
              </w:rPr>
              <w:t>Convention concerning International Carriage by Rail (COTIF) 9 June 1999</w:t>
            </w:r>
          </w:p>
        </w:tc>
      </w:tr>
      <w:tr>
        <w:tc>
          <w:tcPr>
            <w:tcW w:w="3227" w:type="dxa"/>
            <w:tcMar>
              <w:top w:w="85" w:type="dxa"/>
              <w:left w:w="57" w:type="dxa"/>
              <w:bottom w:w="85" w:type="dxa"/>
              <w:right w:w="57" w:type="dxa"/>
            </w:tcMar>
          </w:tcPr>
          <w:p>
            <w:pPr>
              <w:rPr>
                <w:noProof/>
              </w:rPr>
            </w:pPr>
            <w:r>
              <w:rPr>
                <w:noProof/>
              </w:rPr>
              <w:t>CIT</w:t>
            </w:r>
          </w:p>
        </w:tc>
        <w:tc>
          <w:tcPr>
            <w:tcW w:w="5607" w:type="dxa"/>
            <w:tcMar>
              <w:top w:w="85" w:type="dxa"/>
              <w:left w:w="57" w:type="dxa"/>
              <w:bottom w:w="85" w:type="dxa"/>
              <w:right w:w="57" w:type="dxa"/>
            </w:tcMar>
          </w:tcPr>
          <w:p>
            <w:pPr>
              <w:rPr>
                <w:noProof/>
              </w:rPr>
            </w:pPr>
            <w:r>
              <w:rPr>
                <w:noProof/>
              </w:rPr>
              <w:t xml:space="preserve">International Rail Transport Committee </w:t>
            </w:r>
          </w:p>
        </w:tc>
      </w:tr>
      <w:tr>
        <w:tc>
          <w:tcPr>
            <w:tcW w:w="3227" w:type="dxa"/>
            <w:tcMar>
              <w:top w:w="85" w:type="dxa"/>
              <w:left w:w="57" w:type="dxa"/>
              <w:bottom w:w="85" w:type="dxa"/>
              <w:right w:w="57" w:type="dxa"/>
            </w:tcMar>
          </w:tcPr>
          <w:p>
            <w:pPr>
              <w:rPr>
                <w:noProof/>
              </w:rPr>
            </w:pPr>
            <w:r>
              <w:rPr>
                <w:noProof/>
              </w:rPr>
              <w:t>CIM consignment note</w:t>
            </w:r>
          </w:p>
        </w:tc>
        <w:tc>
          <w:tcPr>
            <w:tcW w:w="5607" w:type="dxa"/>
            <w:tcMar>
              <w:top w:w="85" w:type="dxa"/>
              <w:left w:w="57" w:type="dxa"/>
              <w:bottom w:w="85" w:type="dxa"/>
              <w:right w:w="57" w:type="dxa"/>
            </w:tcMar>
          </w:tcPr>
          <w:p>
            <w:pPr>
              <w:rPr>
                <w:noProof/>
              </w:rPr>
            </w:pPr>
            <w:r>
              <w:rPr>
                <w:noProof/>
              </w:rPr>
              <w:t>Rail consignment note</w:t>
            </w:r>
          </w:p>
        </w:tc>
      </w:tr>
      <w:tr>
        <w:tc>
          <w:tcPr>
            <w:tcW w:w="3227" w:type="dxa"/>
            <w:tcMar>
              <w:top w:w="85" w:type="dxa"/>
              <w:left w:w="57" w:type="dxa"/>
              <w:bottom w:w="85" w:type="dxa"/>
              <w:right w:w="57" w:type="dxa"/>
            </w:tcMar>
          </w:tcPr>
          <w:p>
            <w:pPr>
              <w:rPr>
                <w:noProof/>
              </w:rPr>
            </w:pPr>
            <w:r>
              <w:rPr>
                <w:noProof/>
              </w:rPr>
              <w:t>TAF TSI</w:t>
            </w:r>
          </w:p>
        </w:tc>
        <w:tc>
          <w:tcPr>
            <w:tcW w:w="5607" w:type="dxa"/>
            <w:tcMar>
              <w:top w:w="85" w:type="dxa"/>
              <w:left w:w="57" w:type="dxa"/>
              <w:bottom w:w="85" w:type="dxa"/>
              <w:right w:w="57" w:type="dxa"/>
            </w:tcMar>
          </w:tcPr>
          <w:p>
            <w:pPr>
              <w:rPr>
                <w:noProof/>
              </w:rPr>
            </w:pPr>
            <w:r>
              <w:rPr>
                <w:noProof/>
              </w:rPr>
              <w:t xml:space="preserve">Technical specifications for interoperability relating to Telematics application for freight </w:t>
            </w:r>
          </w:p>
        </w:tc>
      </w:tr>
      <w:tr>
        <w:tc>
          <w:tcPr>
            <w:tcW w:w="3227" w:type="dxa"/>
            <w:tcMar>
              <w:top w:w="85" w:type="dxa"/>
              <w:left w:w="57" w:type="dxa"/>
              <w:bottom w:w="85" w:type="dxa"/>
              <w:right w:w="57" w:type="dxa"/>
            </w:tcMar>
          </w:tcPr>
          <w:p>
            <w:pPr>
              <w:rPr>
                <w:noProof/>
              </w:rPr>
            </w:pPr>
            <w:r>
              <w:rPr>
                <w:noProof/>
              </w:rPr>
              <w:t xml:space="preserve">TAF TSI Regulation </w:t>
            </w:r>
          </w:p>
        </w:tc>
        <w:tc>
          <w:tcPr>
            <w:tcW w:w="5607" w:type="dxa"/>
            <w:tcMar>
              <w:top w:w="85" w:type="dxa"/>
              <w:left w:w="57" w:type="dxa"/>
              <w:bottom w:w="85" w:type="dxa"/>
              <w:right w:w="57" w:type="dxa"/>
            </w:tcMar>
          </w:tcPr>
          <w:p>
            <w:pPr>
              <w:rPr>
                <w:noProof/>
              </w:rPr>
            </w:pPr>
            <w:r>
              <w:rPr>
                <w:noProof/>
              </w:rPr>
              <w:t>Regulation (EU) No 1305/2014 on the technical specification for interoperability relating to the telematics applications for freight subsystem of the rail system in the European Union and repealing the Regulation (EC) No 62/2006</w:t>
            </w:r>
          </w:p>
        </w:tc>
      </w:tr>
      <w:tr>
        <w:tc>
          <w:tcPr>
            <w:tcW w:w="3227" w:type="dxa"/>
            <w:tcMar>
              <w:top w:w="85" w:type="dxa"/>
              <w:left w:w="57" w:type="dxa"/>
              <w:bottom w:w="85" w:type="dxa"/>
              <w:right w:w="57" w:type="dxa"/>
            </w:tcMar>
          </w:tcPr>
          <w:p>
            <w:pPr>
              <w:rPr>
                <w:noProof/>
              </w:rPr>
            </w:pPr>
            <w:r>
              <w:rPr>
                <w:noProof/>
              </w:rPr>
              <w:t>CMNI</w:t>
            </w:r>
          </w:p>
        </w:tc>
        <w:tc>
          <w:tcPr>
            <w:tcW w:w="5607" w:type="dxa"/>
            <w:tcMar>
              <w:top w:w="85" w:type="dxa"/>
              <w:left w:w="57" w:type="dxa"/>
              <w:bottom w:w="85" w:type="dxa"/>
              <w:right w:w="57" w:type="dxa"/>
            </w:tcMar>
          </w:tcPr>
          <w:p>
            <w:pPr>
              <w:rPr>
                <w:noProof/>
              </w:rPr>
            </w:pPr>
            <w:r>
              <w:rPr>
                <w:noProof/>
              </w:rPr>
              <w:t>Budapest Convention on the Contract for the Carriage of Goods by Inland Waterway (CMNI) Budapest 2000</w:t>
            </w:r>
          </w:p>
        </w:tc>
      </w:tr>
      <w:tr>
        <w:tc>
          <w:tcPr>
            <w:tcW w:w="3227" w:type="dxa"/>
            <w:tcMar>
              <w:top w:w="85" w:type="dxa"/>
              <w:left w:w="57" w:type="dxa"/>
              <w:bottom w:w="85" w:type="dxa"/>
              <w:right w:w="57" w:type="dxa"/>
            </w:tcMar>
          </w:tcPr>
          <w:p>
            <w:pPr>
              <w:rPr>
                <w:noProof/>
              </w:rPr>
            </w:pPr>
            <w:r>
              <w:rPr>
                <w:noProof/>
              </w:rPr>
              <w:t>Hamburg Rules</w:t>
            </w:r>
          </w:p>
        </w:tc>
        <w:tc>
          <w:tcPr>
            <w:tcW w:w="5607" w:type="dxa"/>
            <w:tcMar>
              <w:top w:w="85" w:type="dxa"/>
              <w:left w:w="57" w:type="dxa"/>
              <w:bottom w:w="85" w:type="dxa"/>
              <w:right w:w="57" w:type="dxa"/>
            </w:tcMar>
          </w:tcPr>
          <w:p>
            <w:pPr>
              <w:rPr>
                <w:noProof/>
              </w:rPr>
            </w:pPr>
            <w:r>
              <w:rPr>
                <w:noProof/>
              </w:rPr>
              <w:t>United Nations International Convention on the Carriage of Goods by Sea (Hamburg Rules) Hamburg 31 March 1978</w:t>
            </w:r>
          </w:p>
        </w:tc>
      </w:tr>
      <w:tr>
        <w:tc>
          <w:tcPr>
            <w:tcW w:w="3227" w:type="dxa"/>
            <w:tcMar>
              <w:top w:w="85" w:type="dxa"/>
              <w:left w:w="57" w:type="dxa"/>
              <w:bottom w:w="85" w:type="dxa"/>
              <w:right w:w="57" w:type="dxa"/>
            </w:tcMar>
          </w:tcPr>
          <w:p>
            <w:pPr>
              <w:rPr>
                <w:noProof/>
              </w:rPr>
            </w:pPr>
            <w:r>
              <w:rPr>
                <w:noProof/>
              </w:rPr>
              <w:t>Montreal Convention</w:t>
            </w:r>
          </w:p>
        </w:tc>
        <w:tc>
          <w:tcPr>
            <w:tcW w:w="5607" w:type="dxa"/>
            <w:tcMar>
              <w:top w:w="85" w:type="dxa"/>
              <w:left w:w="57" w:type="dxa"/>
              <w:bottom w:w="85" w:type="dxa"/>
              <w:right w:w="57" w:type="dxa"/>
            </w:tcMar>
          </w:tcPr>
          <w:p>
            <w:pPr>
              <w:rPr>
                <w:noProof/>
              </w:rPr>
            </w:pPr>
            <w:r>
              <w:rPr>
                <w:noProof/>
              </w:rPr>
              <w:t>Convention for the Unification of Certain Rules for International Carriage by Air, Montreal 28 May 1999</w:t>
            </w:r>
          </w:p>
        </w:tc>
      </w:tr>
      <w:tr>
        <w:tc>
          <w:tcPr>
            <w:tcW w:w="3227" w:type="dxa"/>
            <w:tcMar>
              <w:top w:w="85" w:type="dxa"/>
              <w:left w:w="57" w:type="dxa"/>
              <w:bottom w:w="85" w:type="dxa"/>
              <w:right w:w="57" w:type="dxa"/>
            </w:tcMar>
          </w:tcPr>
          <w:p>
            <w:pPr>
              <w:rPr>
                <w:noProof/>
              </w:rPr>
            </w:pPr>
            <w:r>
              <w:rPr>
                <w:noProof/>
              </w:rPr>
              <w:t>eAWB</w:t>
            </w:r>
          </w:p>
        </w:tc>
        <w:tc>
          <w:tcPr>
            <w:tcW w:w="5607" w:type="dxa"/>
            <w:tcMar>
              <w:top w:w="85" w:type="dxa"/>
              <w:left w:w="57" w:type="dxa"/>
              <w:bottom w:w="85" w:type="dxa"/>
              <w:right w:w="57" w:type="dxa"/>
            </w:tcMar>
          </w:tcPr>
          <w:p>
            <w:pPr>
              <w:rPr>
                <w:noProof/>
              </w:rPr>
            </w:pPr>
            <w:r>
              <w:rPr>
                <w:noProof/>
              </w:rPr>
              <w:t xml:space="preserve">e-air waybill </w:t>
            </w:r>
          </w:p>
        </w:tc>
      </w:tr>
      <w:tr>
        <w:tc>
          <w:tcPr>
            <w:tcW w:w="3227" w:type="dxa"/>
            <w:tcMar>
              <w:top w:w="85" w:type="dxa"/>
              <w:left w:w="57" w:type="dxa"/>
              <w:bottom w:w="85" w:type="dxa"/>
              <w:right w:w="57" w:type="dxa"/>
            </w:tcMar>
          </w:tcPr>
          <w:p>
            <w:pPr>
              <w:rPr>
                <w:noProof/>
              </w:rPr>
            </w:pPr>
            <w:r>
              <w:rPr>
                <w:noProof/>
              </w:rPr>
              <w:t>IATA</w:t>
            </w:r>
          </w:p>
        </w:tc>
        <w:tc>
          <w:tcPr>
            <w:tcW w:w="5607" w:type="dxa"/>
            <w:tcMar>
              <w:top w:w="85" w:type="dxa"/>
              <w:left w:w="57" w:type="dxa"/>
              <w:bottom w:w="85" w:type="dxa"/>
              <w:right w:w="57" w:type="dxa"/>
            </w:tcMar>
          </w:tcPr>
          <w:p>
            <w:pPr>
              <w:rPr>
                <w:noProof/>
              </w:rPr>
            </w:pPr>
            <w:r>
              <w:rPr>
                <w:noProof/>
              </w:rPr>
              <w:t xml:space="preserve">International Air Transport Association </w:t>
            </w:r>
          </w:p>
        </w:tc>
      </w:tr>
      <w:tr>
        <w:tc>
          <w:tcPr>
            <w:tcW w:w="3227" w:type="dxa"/>
            <w:tcMar>
              <w:top w:w="85" w:type="dxa"/>
              <w:left w:w="57" w:type="dxa"/>
              <w:bottom w:w="85" w:type="dxa"/>
              <w:right w:w="57" w:type="dxa"/>
            </w:tcMar>
          </w:tcPr>
          <w:p>
            <w:pPr>
              <w:rPr>
                <w:noProof/>
              </w:rPr>
            </w:pPr>
            <w:r>
              <w:rPr>
                <w:noProof/>
              </w:rPr>
              <w:t>Rotterdam Rules</w:t>
            </w:r>
          </w:p>
        </w:tc>
        <w:tc>
          <w:tcPr>
            <w:tcW w:w="5607" w:type="dxa"/>
            <w:tcMar>
              <w:top w:w="85" w:type="dxa"/>
              <w:left w:w="57" w:type="dxa"/>
              <w:bottom w:w="85" w:type="dxa"/>
              <w:right w:w="57" w:type="dxa"/>
            </w:tcMar>
          </w:tcPr>
          <w:p>
            <w:pPr>
              <w:rPr>
                <w:noProof/>
              </w:rPr>
            </w:pPr>
            <w:r>
              <w:rPr>
                <w:noProof/>
              </w:rPr>
              <w:t>United Nations Convention on Contracts for the International Carriage of Goods Wholly or Partly by Sea (Rotterdam Rules) 11 December 2008</w:t>
            </w:r>
          </w:p>
        </w:tc>
      </w:tr>
      <w:tr>
        <w:tc>
          <w:tcPr>
            <w:tcW w:w="3227" w:type="dxa"/>
            <w:tcMar>
              <w:top w:w="85" w:type="dxa"/>
              <w:left w:w="57" w:type="dxa"/>
              <w:bottom w:w="85" w:type="dxa"/>
              <w:right w:w="57" w:type="dxa"/>
            </w:tcMar>
          </w:tcPr>
          <w:p>
            <w:pPr>
              <w:rPr>
                <w:noProof/>
              </w:rPr>
            </w:pPr>
            <w:r>
              <w:rPr>
                <w:noProof/>
              </w:rPr>
              <w:t>B2A</w:t>
            </w:r>
          </w:p>
        </w:tc>
        <w:tc>
          <w:tcPr>
            <w:tcW w:w="5607" w:type="dxa"/>
            <w:tcMar>
              <w:top w:w="85" w:type="dxa"/>
              <w:left w:w="57" w:type="dxa"/>
              <w:bottom w:w="85" w:type="dxa"/>
              <w:right w:w="57" w:type="dxa"/>
            </w:tcMar>
          </w:tcPr>
          <w:p>
            <w:pPr>
              <w:rPr>
                <w:noProof/>
              </w:rPr>
            </w:pPr>
            <w:r>
              <w:rPr>
                <w:noProof/>
              </w:rPr>
              <w:t>Business to Administration communications</w:t>
            </w:r>
          </w:p>
        </w:tc>
      </w:tr>
      <w:tr>
        <w:tc>
          <w:tcPr>
            <w:tcW w:w="3227" w:type="dxa"/>
            <w:tcMar>
              <w:top w:w="85" w:type="dxa"/>
              <w:left w:w="57" w:type="dxa"/>
              <w:bottom w:w="85" w:type="dxa"/>
              <w:right w:w="57" w:type="dxa"/>
            </w:tcMar>
          </w:tcPr>
          <w:p>
            <w:pPr>
              <w:rPr>
                <w:noProof/>
              </w:rPr>
            </w:pPr>
            <w:r>
              <w:rPr>
                <w:noProof/>
              </w:rPr>
              <w:t>B2B</w:t>
            </w:r>
          </w:p>
        </w:tc>
        <w:tc>
          <w:tcPr>
            <w:tcW w:w="5607" w:type="dxa"/>
            <w:tcMar>
              <w:top w:w="85" w:type="dxa"/>
              <w:left w:w="57" w:type="dxa"/>
              <w:bottom w:w="85" w:type="dxa"/>
              <w:right w:w="57" w:type="dxa"/>
            </w:tcMar>
          </w:tcPr>
          <w:p>
            <w:pPr>
              <w:rPr>
                <w:noProof/>
              </w:rPr>
            </w:pPr>
            <w:r>
              <w:rPr>
                <w:noProof/>
              </w:rPr>
              <w:t>Business to Business communications</w:t>
            </w:r>
          </w:p>
        </w:tc>
      </w:tr>
      <w:tr>
        <w:tc>
          <w:tcPr>
            <w:tcW w:w="3227" w:type="dxa"/>
            <w:tcMar>
              <w:top w:w="85" w:type="dxa"/>
              <w:left w:w="57" w:type="dxa"/>
              <w:bottom w:w="85" w:type="dxa"/>
              <w:right w:w="57" w:type="dxa"/>
            </w:tcMar>
          </w:tcPr>
          <w:p>
            <w:pPr>
              <w:rPr>
                <w:noProof/>
              </w:rPr>
            </w:pPr>
            <w:r>
              <w:rPr>
                <w:noProof/>
              </w:rPr>
              <w:t>Directive on dangerous goods</w:t>
            </w:r>
          </w:p>
        </w:tc>
        <w:tc>
          <w:tcPr>
            <w:tcW w:w="5607" w:type="dxa"/>
            <w:tcMar>
              <w:top w:w="85" w:type="dxa"/>
              <w:left w:w="57" w:type="dxa"/>
              <w:bottom w:w="85" w:type="dxa"/>
              <w:right w:w="57" w:type="dxa"/>
            </w:tcMar>
          </w:tcPr>
          <w:p>
            <w:pPr>
              <w:rPr>
                <w:noProof/>
              </w:rPr>
            </w:pPr>
            <w:r>
              <w:rPr>
                <w:noProof/>
              </w:rPr>
              <w:t>Directive  2008/68/EC on the inland transport of dangerous goods</w:t>
            </w:r>
          </w:p>
        </w:tc>
      </w:tr>
      <w:tr>
        <w:tc>
          <w:tcPr>
            <w:tcW w:w="3227" w:type="dxa"/>
            <w:tcMar>
              <w:top w:w="85" w:type="dxa"/>
              <w:left w:w="57" w:type="dxa"/>
              <w:bottom w:w="85" w:type="dxa"/>
              <w:right w:w="57" w:type="dxa"/>
            </w:tcMar>
          </w:tcPr>
          <w:p>
            <w:pPr>
              <w:rPr>
                <w:noProof/>
              </w:rPr>
            </w:pPr>
            <w:r>
              <w:rPr>
                <w:noProof/>
              </w:rPr>
              <w:t>ADR</w:t>
            </w:r>
          </w:p>
        </w:tc>
        <w:tc>
          <w:tcPr>
            <w:tcW w:w="5607" w:type="dxa"/>
            <w:tcMar>
              <w:top w:w="85" w:type="dxa"/>
              <w:left w:w="57" w:type="dxa"/>
              <w:bottom w:w="85" w:type="dxa"/>
              <w:right w:w="57" w:type="dxa"/>
            </w:tcMar>
          </w:tcPr>
          <w:p>
            <w:pPr>
              <w:rPr>
                <w:noProof/>
              </w:rPr>
            </w:pPr>
            <w:r>
              <w:rPr>
                <w:noProof/>
              </w:rPr>
              <w:t>European Agreement concerning the International Carriage of Dangerous Goods by Road, 1 January 2017</w:t>
            </w:r>
          </w:p>
        </w:tc>
      </w:tr>
      <w:tr>
        <w:tc>
          <w:tcPr>
            <w:tcW w:w="3227" w:type="dxa"/>
            <w:tcMar>
              <w:top w:w="85" w:type="dxa"/>
              <w:left w:w="57" w:type="dxa"/>
              <w:bottom w:w="85" w:type="dxa"/>
              <w:right w:w="57" w:type="dxa"/>
            </w:tcMar>
          </w:tcPr>
          <w:p>
            <w:pPr>
              <w:rPr>
                <w:noProof/>
              </w:rPr>
            </w:pPr>
            <w:r>
              <w:rPr>
                <w:noProof/>
              </w:rPr>
              <w:t xml:space="preserve">RID </w:t>
            </w:r>
          </w:p>
        </w:tc>
        <w:tc>
          <w:tcPr>
            <w:tcW w:w="5607" w:type="dxa"/>
            <w:tcMar>
              <w:top w:w="85" w:type="dxa"/>
              <w:left w:w="57" w:type="dxa"/>
              <w:bottom w:w="85" w:type="dxa"/>
              <w:right w:w="57" w:type="dxa"/>
            </w:tcMar>
          </w:tcPr>
          <w:p>
            <w:pPr>
              <w:rPr>
                <w:noProof/>
              </w:rPr>
            </w:pPr>
            <w:r>
              <w:rPr>
                <w:noProof/>
              </w:rPr>
              <w:t>Convention concerning International Carriage by Rail (COTIF) – Appendix C - Regulations concerning the International Carriage of Dangerous Goods by Rail, 1 January 2017</w:t>
            </w:r>
          </w:p>
        </w:tc>
      </w:tr>
      <w:tr>
        <w:tc>
          <w:tcPr>
            <w:tcW w:w="3227" w:type="dxa"/>
            <w:tcMar>
              <w:top w:w="85" w:type="dxa"/>
              <w:left w:w="57" w:type="dxa"/>
              <w:bottom w:w="85" w:type="dxa"/>
              <w:right w:w="57" w:type="dxa"/>
            </w:tcMar>
          </w:tcPr>
          <w:p>
            <w:pPr>
              <w:rPr>
                <w:noProof/>
              </w:rPr>
            </w:pPr>
            <w:r>
              <w:rPr>
                <w:noProof/>
              </w:rPr>
              <w:t>ADN</w:t>
            </w:r>
          </w:p>
        </w:tc>
        <w:tc>
          <w:tcPr>
            <w:tcW w:w="5607" w:type="dxa"/>
            <w:tcMar>
              <w:top w:w="85" w:type="dxa"/>
              <w:left w:w="57" w:type="dxa"/>
              <w:bottom w:w="85" w:type="dxa"/>
              <w:right w:w="57" w:type="dxa"/>
            </w:tcMar>
          </w:tcPr>
          <w:p>
            <w:pPr>
              <w:rPr>
                <w:noProof/>
              </w:rPr>
            </w:pPr>
            <w:r>
              <w:rPr>
                <w:noProof/>
              </w:rPr>
              <w:t>European Agreement concerning the International Carriage of Dangerous Goods by Inland Waterways, 1 January 2017</w:t>
            </w:r>
          </w:p>
        </w:tc>
      </w:tr>
    </w:tbl>
    <w:p>
      <w:pPr>
        <w:rPr>
          <w:noProof/>
        </w:rPr>
      </w:pPr>
    </w:p>
    <w:p>
      <w:pPr>
        <w:rPr>
          <w:noProof/>
        </w:rPr>
      </w:pPr>
      <w:r>
        <w:rPr>
          <w:noProof/>
        </w:rPr>
        <w:br w:type="page"/>
      </w:r>
      <w:bookmarkStart w:id="2" w:name="_Toc506397011"/>
      <w:bookmarkStart w:id="3" w:name="_Toc506397574"/>
    </w:p>
    <w:p>
      <w:pPr>
        <w:pStyle w:val="Heading1"/>
        <w:rPr>
          <w:noProof/>
        </w:rPr>
      </w:pPr>
      <w:bookmarkStart w:id="4" w:name="_Toc512854901"/>
      <w:r>
        <w:rPr>
          <w:noProof/>
        </w:rPr>
        <w:t>Introduction: Political, legal and market context</w:t>
      </w:r>
      <w:bookmarkEnd w:id="2"/>
      <w:bookmarkEnd w:id="3"/>
      <w:bookmarkEnd w:id="4"/>
    </w:p>
    <w:p>
      <w:pPr>
        <w:numPr>
          <w:ilvl w:val="1"/>
          <w:numId w:val="3"/>
        </w:numPr>
        <w:tabs>
          <w:tab w:val="clear" w:pos="1200"/>
          <w:tab w:val="num" w:pos="720"/>
        </w:tabs>
        <w:rPr>
          <w:rFonts w:ascii="Times New Roman" w:hAnsi="Times New Roman" w:cs="Times New Roman"/>
          <w:b/>
          <w:noProof/>
          <w:sz w:val="24"/>
          <w:szCs w:val="24"/>
        </w:rPr>
      </w:pPr>
      <w:r>
        <w:rPr>
          <w:rFonts w:ascii="Times New Roman" w:hAnsi="Times New Roman" w:cs="Times New Roman"/>
          <w:b/>
          <w:noProof/>
          <w:sz w:val="24"/>
          <w:szCs w:val="24"/>
        </w:rPr>
        <w:t>Freight transport documents – background and scope limitation of this initiative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movement of goods from sellers to buyers</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is accompanied by a large amount of information being exchanged among a variety of parties, in both the private and the public domain. Today, this information is mostly printed on paper, in a variety of standard format documents. Most of these documents are issued by private parties and serve to convey important information related to their own contractual relation for the movement of the goods, and for business administration purposes. Some of these are also used by authorities as source of information to verify regulatory compliance.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These documents are physically exchanged and, in the case of some of them also signed, and at times also modified, by hand, in a number of copies. As a result, the information contained in these documents is recopied in and printed out of the electronic systems of the various parties several consecutive times, for each individual cargo shipment. This is because one or more of the commercial parties involved, or one public authority concerned or another, request to see or sign paper documents.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 context where virtually all companies, to a very large extent, record, exchange and store data related to their business in electronic format, these paper-based information exchange processes over the movement of the goods are the source of important cost-inefficiencies, mainly related to the physical management of the paper documents, but also to business operations management. Some stakeholders have described them as a “black box”, which prevents the “end-to-end” visibility over the movement of the goods in the supply chain that businesses need to fully reap the benefits of digitalisation.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impact assessment focuses on goods related documents. The other two main groups of documents used in freight transport, namely documents related to the means of transport and, respectively the personnel manning them, have not been include in the scope</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This focus limitation is linked to the distinct nature of the goods related documents and, in particular, their dynamic and commercial character.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These documents are unique to each distinct set of goods being shipped from a seller to a buyer or final user and, therefore need to be issued anew for each shipment. In the case of the main transport documents, the contracts of carriage, in particular, they may also undergo changes during the course of the transport operation itself. They are mostly issued by the businesses, and serve both business-to-business and business-to-authorities information communication purposes.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By contrast, the documents concerning the means of transport or the personnel manning them – such as certificates concerning the registration of a vehicle, its conformity with requirements for the transport of specific good or, in the case of personnel, if they have the qualifications to drive/conduct a certain type of vehicle – is issued either by a public authority or a private entity authorised by a public authority to do so. They are also static documents in the sense that, once issued, do not need to be renewed but only at very long and regular intervals. They are also used mainly in relation to the authorities, and do not need to be exchanged between the commercial partners. For this reason, even though the majority of these "other" documents involved in a transport operation are still being issued, kept and presented to the authorities on paper (and to some extent on plastic), the cost inefficiencies related to the issuing and management of these documents is, currently, less significant to the businesses than those related to goods documents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w:t>
      </w:r>
    </w:p>
    <w:p>
      <w:pPr>
        <w:numPr>
          <w:ilvl w:val="1"/>
          <w:numId w:val="3"/>
        </w:numPr>
        <w:tabs>
          <w:tab w:val="clear" w:pos="1200"/>
          <w:tab w:val="num" w:pos="720"/>
        </w:tabs>
        <w:rPr>
          <w:rFonts w:ascii="Times New Roman" w:hAnsi="Times New Roman" w:cs="Times New Roman"/>
          <w:b/>
          <w:noProof/>
          <w:sz w:val="24"/>
          <w:szCs w:val="24"/>
        </w:rPr>
      </w:pPr>
      <w:r>
        <w:rPr>
          <w:rFonts w:ascii="Times New Roman" w:hAnsi="Times New Roman" w:cs="Times New Roman"/>
          <w:b/>
          <w:noProof/>
          <w:sz w:val="24"/>
          <w:szCs w:val="24"/>
        </w:rPr>
        <w:t>Political context</w:t>
      </w:r>
    </w:p>
    <w:p>
      <w:pPr>
        <w:spacing w:after="120" w:line="240" w:lineRule="auto"/>
        <w:jc w:val="both"/>
        <w:rPr>
          <w:rFonts w:ascii="Times New Roman" w:hAnsi="Times New Roman" w:cs="Times New Roman"/>
          <w:noProof/>
          <w:sz w:val="24"/>
          <w:szCs w:val="24"/>
        </w:rPr>
      </w:pPr>
      <w:bookmarkStart w:id="5" w:name="_Hlk509135824"/>
      <w:r>
        <w:rPr>
          <w:rFonts w:ascii="Times New Roman" w:hAnsi="Times New Roman" w:cs="Times New Roman"/>
          <w:noProof/>
          <w:sz w:val="24"/>
          <w:szCs w:val="24"/>
        </w:rPr>
        <w:t>The Commission has acknowledged the need to foster acceptance and use of electronic transport documents in a number of policy initiatives: the White Paper on Transport, 2011</w:t>
      </w:r>
      <w:r>
        <w:rPr>
          <w:rFonts w:ascii="Times New Roman" w:hAnsi="Times New Roman" w:cs="Times New Roman"/>
          <w:noProof/>
          <w:sz w:val="24"/>
          <w:szCs w:val="24"/>
          <w:vertAlign w:val="superscript"/>
        </w:rPr>
        <w:footnoteReference w:id="4"/>
      </w:r>
      <w:r>
        <w:rPr>
          <w:rFonts w:ascii="Times New Roman" w:hAnsi="Times New Roman" w:cs="Times New Roman"/>
          <w:noProof/>
          <w:sz w:val="24"/>
          <w:szCs w:val="24"/>
        </w:rPr>
        <w:t>; the Digital Single Market Strategy, 2015</w:t>
      </w:r>
      <w:r>
        <w:rPr>
          <w:rFonts w:ascii="Times New Roman" w:hAnsi="Times New Roman" w:cs="Times New Roman"/>
          <w:noProof/>
          <w:sz w:val="24"/>
          <w:szCs w:val="24"/>
          <w:vertAlign w:val="superscript"/>
        </w:rPr>
        <w:footnoteReference w:id="5"/>
      </w:r>
      <w:r>
        <w:rPr>
          <w:rFonts w:ascii="Times New Roman" w:hAnsi="Times New Roman" w:cs="Times New Roman"/>
          <w:noProof/>
          <w:sz w:val="24"/>
          <w:szCs w:val="24"/>
        </w:rPr>
        <w:t>; the ICT Standardisation Priorities for the Digital Single Market, 2016</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the EU eGovernment Action Plan 2016-2020, 2016</w:t>
      </w:r>
      <w:r>
        <w:rPr>
          <w:rFonts w:ascii="Times New Roman" w:hAnsi="Times New Roman" w:cs="Times New Roman"/>
          <w:noProof/>
          <w:sz w:val="24"/>
          <w:szCs w:val="24"/>
          <w:vertAlign w:val="superscript"/>
        </w:rPr>
        <w:footnoteReference w:id="7"/>
      </w:r>
      <w:r>
        <w:rPr>
          <w:rFonts w:ascii="Times New Roman" w:hAnsi="Times New Roman" w:cs="Times New Roman"/>
          <w:noProof/>
          <w:sz w:val="24"/>
          <w:szCs w:val="24"/>
        </w:rPr>
        <w:t xml:space="preserve">. The case for intervention has been recognized also by a wide range of stakeholders.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Since 2015, participants in the Digital Transport and Logistics Forum (DTLF) – a Commission expert group formed by more than one hundred private and public stakeholders</w:t>
      </w:r>
      <w:r>
        <w:rPr>
          <w:rFonts w:ascii="Times New Roman" w:hAnsi="Times New Roman" w:cs="Times New Roman"/>
          <w:noProof/>
          <w:sz w:val="24"/>
          <w:szCs w:val="24"/>
          <w:vertAlign w:val="superscript"/>
        </w:rPr>
        <w:footnoteReference w:id="8"/>
      </w:r>
      <w:r>
        <w:rPr>
          <w:rFonts w:ascii="Times New Roman" w:hAnsi="Times New Roman" w:cs="Times New Roman"/>
          <w:noProof/>
          <w:sz w:val="24"/>
          <w:szCs w:val="24"/>
        </w:rPr>
        <w:t xml:space="preserve"> – have repeatedly emphasised the need for EU level intervention to support wider uptake of electronic transport documents. In October 2017, in the Tallinn Declaration on eGovernment, the Member States urged the Commission to step up efforts for provision of efficient, user-centric, electronic procedures in the EU, pointing out the significance of the eGovernment Action Plan 2016-2020</w:t>
      </w:r>
      <w:r>
        <w:rPr>
          <w:rFonts w:ascii="Times New Roman" w:hAnsi="Times New Roman" w:cs="Times New Roman"/>
          <w:noProof/>
          <w:sz w:val="24"/>
          <w:szCs w:val="24"/>
          <w:vertAlign w:val="superscript"/>
        </w:rPr>
        <w:footnoteReference w:id="9"/>
      </w:r>
      <w:r>
        <w:rPr>
          <w:rFonts w:ascii="Times New Roman" w:hAnsi="Times New Roman" w:cs="Times New Roman"/>
          <w:noProof/>
          <w:sz w:val="24"/>
          <w:szCs w:val="24"/>
        </w:rPr>
        <w:t xml:space="preserve"> and the vision of the European Interoperability Framework</w:t>
      </w:r>
      <w:r>
        <w:rPr>
          <w:rFonts w:ascii="Times New Roman" w:hAnsi="Times New Roman" w:cs="Times New Roman"/>
          <w:noProof/>
          <w:sz w:val="24"/>
          <w:szCs w:val="24"/>
          <w:vertAlign w:val="superscript"/>
        </w:rPr>
        <w:footnoteReference w:id="10"/>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November 2017, during the Tallinn Digital Transport Days, several public and private stakeholders from all transport sectors concluded that it is about time to reap the benefits of digitalisation, including paperless data sharing</w:t>
      </w:r>
      <w:r>
        <w:rPr>
          <w:rFonts w:ascii="Times New Roman" w:hAnsi="Times New Roman" w:cs="Times New Roman"/>
          <w:noProof/>
          <w:sz w:val="24"/>
          <w:szCs w:val="24"/>
          <w:vertAlign w:val="superscript"/>
        </w:rPr>
        <w:footnoteReference w:id="11"/>
      </w:r>
      <w:r>
        <w:rPr>
          <w:rFonts w:ascii="Times New Roman" w:hAnsi="Times New Roman" w:cs="Times New Roman"/>
          <w:noProof/>
          <w:sz w:val="24"/>
          <w:szCs w:val="24"/>
        </w:rPr>
        <w:t>. Following up, the Council called on the Commission, in its December 2017 Conclusions on the digitalisation of transport, to continue working with the DTLF to develop “</w:t>
      </w:r>
      <w:r>
        <w:rPr>
          <w:rFonts w:ascii="Times New Roman" w:hAnsi="Times New Roman" w:cs="Times New Roman"/>
          <w:i/>
          <w:noProof/>
          <w:sz w:val="24"/>
          <w:szCs w:val="24"/>
        </w:rPr>
        <w:t>measures to support</w:t>
      </w:r>
      <w:r>
        <w:rPr>
          <w:rFonts w:ascii="Times New Roman" w:hAnsi="Times New Roman" w:cs="Times New Roman"/>
          <w:i/>
          <w:noProof/>
          <w:sz w:val="24"/>
          <w:szCs w:val="24"/>
          <w:vertAlign w:val="superscript"/>
        </w:rPr>
        <w:footnoteReference w:id="12"/>
      </w:r>
      <w:r>
        <w:rPr>
          <w:rFonts w:ascii="Times New Roman" w:hAnsi="Times New Roman" w:cs="Times New Roman"/>
          <w:i/>
          <w:noProof/>
          <w:sz w:val="24"/>
          <w:szCs w:val="24"/>
        </w:rPr>
        <w:t xml:space="preserve"> more systematic use and acceptance of e-documents and the harmonised exchange of information and data in the logistic chain</w:t>
      </w:r>
      <w:r>
        <w:rPr>
          <w:rFonts w:ascii="Times New Roman" w:hAnsi="Times New Roman" w:cs="Times New Roman"/>
          <w:noProof/>
          <w:sz w:val="24"/>
          <w:szCs w:val="24"/>
        </w:rPr>
        <w:t>”</w:t>
      </w:r>
      <w:r>
        <w:rPr>
          <w:rFonts w:ascii="Times New Roman" w:hAnsi="Times New Roman" w:cs="Times New Roman"/>
          <w:noProof/>
          <w:sz w:val="24"/>
          <w:szCs w:val="24"/>
          <w:vertAlign w:val="superscript"/>
        </w:rPr>
        <w:footnoteReference w:id="13"/>
      </w:r>
      <w:r>
        <w:rPr>
          <w:rFonts w:ascii="Times New Roman" w:hAnsi="Times New Roman" w:cs="Times New Roman"/>
          <w:noProof/>
          <w:sz w:val="24"/>
          <w:szCs w:val="24"/>
        </w:rPr>
        <w:t>. In May 2017, the Parliament had also called on the Commission “to increase harmonisation in passenger transport and transport of goods”, and “to speed up the mandatory use … of electronic consignment notes (e-CMR)”, in particular</w:t>
      </w:r>
      <w:r>
        <w:rPr>
          <w:rFonts w:ascii="Times New Roman" w:hAnsi="Times New Roman" w:cs="Times New Roman"/>
          <w:noProof/>
          <w:sz w:val="24"/>
          <w:szCs w:val="24"/>
          <w:vertAlign w:val="superscript"/>
        </w:rPr>
        <w:footnoteReference w:id="14"/>
      </w:r>
      <w:r>
        <w:rPr>
          <w:rFonts w:ascii="Times New Roman" w:hAnsi="Times New Roman" w:cs="Times New Roman"/>
          <w:noProof/>
          <w:sz w:val="24"/>
          <w:szCs w:val="24"/>
        </w:rPr>
        <w:t>.</w:t>
      </w:r>
    </w:p>
    <w:p>
      <w:pPr>
        <w:numPr>
          <w:ilvl w:val="1"/>
          <w:numId w:val="3"/>
        </w:numPr>
        <w:tabs>
          <w:tab w:val="clear" w:pos="1200"/>
          <w:tab w:val="num" w:pos="720"/>
        </w:tabs>
        <w:rPr>
          <w:rFonts w:ascii="Times New Roman" w:hAnsi="Times New Roman" w:cs="Times New Roman"/>
          <w:b/>
          <w:noProof/>
          <w:sz w:val="24"/>
          <w:szCs w:val="24"/>
        </w:rPr>
      </w:pPr>
      <w:bookmarkStart w:id="6" w:name="_Toc491267258"/>
      <w:bookmarkStart w:id="7" w:name="_Toc491339275"/>
      <w:bookmarkStart w:id="8" w:name="_Toc491354587"/>
      <w:bookmarkStart w:id="9" w:name="_Toc491953932"/>
      <w:bookmarkStart w:id="10" w:name="_Toc491956162"/>
      <w:bookmarkStart w:id="11" w:name="_Toc491958091"/>
      <w:bookmarkStart w:id="12" w:name="_Toc491959126"/>
      <w:bookmarkStart w:id="13" w:name="_Toc491959894"/>
      <w:bookmarkStart w:id="14" w:name="_Toc492639746"/>
      <w:bookmarkStart w:id="15" w:name="_Toc492642291"/>
      <w:bookmarkStart w:id="16" w:name="_Toc492642873"/>
      <w:bookmarkStart w:id="17" w:name="_Toc492648382"/>
      <w:bookmarkStart w:id="18" w:name="_Toc492649037"/>
      <w:bookmarkStart w:id="19" w:name="_Toc492649109"/>
      <w:bookmarkStart w:id="20" w:name="_Toc492650533"/>
      <w:bookmarkStart w:id="21" w:name="_Toc492651404"/>
      <w:bookmarkStart w:id="22" w:name="_Toc492654973"/>
      <w:bookmarkStart w:id="23" w:name="_Toc492655268"/>
      <w:bookmarkEnd w:id="5"/>
      <w:r>
        <w:rPr>
          <w:rFonts w:ascii="Times New Roman" w:hAnsi="Times New Roman" w:cs="Times New Roman"/>
          <w:b/>
          <w:noProof/>
          <w:sz w:val="24"/>
          <w:szCs w:val="24"/>
        </w:rPr>
        <w:t>Legal context</w:t>
      </w:r>
    </w:p>
    <w:p>
      <w:pPr>
        <w:spacing w:after="120" w:line="240" w:lineRule="auto"/>
        <w:jc w:val="both"/>
        <w:rPr>
          <w:rFonts w:eastAsia="Calibri"/>
          <w:noProof/>
          <w:szCs w:val="24"/>
        </w:rPr>
      </w:pPr>
      <w:bookmarkStart w:id="24" w:name="_Hlk509140452"/>
      <w:r>
        <w:rPr>
          <w:rFonts w:ascii="Times New Roman" w:hAnsi="Times New Roman" w:cs="Times New Roman"/>
          <w:noProof/>
          <w:sz w:val="24"/>
          <w:szCs w:val="24"/>
        </w:rPr>
        <w:t>The eIDAS Regulation</w:t>
      </w:r>
      <w:r>
        <w:rPr>
          <w:rFonts w:ascii="Times New Roman" w:hAnsi="Times New Roman" w:cs="Times New Roman"/>
          <w:noProof/>
          <w:sz w:val="24"/>
          <w:szCs w:val="24"/>
          <w:vertAlign w:val="superscript"/>
        </w:rPr>
        <w:footnoteReference w:id="15"/>
      </w:r>
      <w:r>
        <w:rPr>
          <w:rFonts w:ascii="Times New Roman" w:hAnsi="Times New Roman" w:cs="Times New Roman"/>
          <w:noProof/>
          <w:sz w:val="24"/>
          <w:szCs w:val="24"/>
        </w:rPr>
        <w:t xml:space="preserve"> provides a horizontal EU legal framework for the acceptance of electronic documents by Member States’ authorities, but only as evidence in legal proceedings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It does not impose an obligation on Member States’ (enforcement) authorities to accept electronic documents as evidence for other regulatory purposes, such as compliance with various legislative provisions, including as concerns the conditions for the transport of goods. </w:t>
      </w:r>
    </w:p>
    <w:p>
      <w:pPr>
        <w:pStyle w:val="ListNumber"/>
        <w:numPr>
          <w:ilvl w:val="0"/>
          <w:numId w:val="0"/>
        </w:numPr>
        <w:spacing w:after="120"/>
        <w:rPr>
          <w:rFonts w:eastAsia="Calibri"/>
          <w:noProof/>
          <w:szCs w:val="24"/>
        </w:rPr>
      </w:pPr>
      <w:r>
        <w:rPr>
          <w:rFonts w:eastAsia="Calibri"/>
          <w:noProof/>
          <w:szCs w:val="24"/>
        </w:rPr>
        <w:t xml:space="preserve">The main information sets concerned also differ. This initiative focuses only on regulatory information concerning the goods and the transport operation itself </w:t>
      </w:r>
      <w:r>
        <w:rPr>
          <w:rFonts w:eastAsia="Calibri"/>
          <w:noProof/>
          <w:szCs w:val="24"/>
        </w:rPr>
        <w:softHyphen/>
      </w:r>
      <w:r>
        <w:rPr>
          <w:noProof/>
          <w:szCs w:val="24"/>
        </w:rPr>
        <w:t>– on the identity of the consignor, carrier and consignee, places of pick-up and delivery, route and several others</w:t>
      </w:r>
      <w:r>
        <w:rPr>
          <w:rFonts w:eastAsia="Calibri"/>
          <w:noProof/>
          <w:szCs w:val="24"/>
        </w:rPr>
        <w:t xml:space="preserve">. Both the UCC and the RFD concern also cargo information description, but alongside a large host of other information sets. In the case of UCC, this also includes certain information elements related to the transport operation itself; in the case of RFD, additional sets of information elements on the ship, its crew and passengers are concerned.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Both the UCC and the RFD already contain provisions allowing fulfilment of reporting formalities by means of electronic information communication, including as regards the cargo and, respectively, the transport operation</w:t>
      </w:r>
      <w:r>
        <w:rPr>
          <w:rFonts w:ascii="Times New Roman" w:hAnsi="Times New Roman" w:cs="Times New Roman"/>
          <w:noProof/>
          <w:sz w:val="24"/>
          <w:szCs w:val="24"/>
          <w:vertAlign w:val="superscript"/>
        </w:rPr>
        <w:footnoteReference w:id="17"/>
      </w:r>
      <w:r>
        <w:rPr>
          <w:rFonts w:ascii="Times New Roman" w:eastAsia="Calibri" w:hAnsi="Times New Roman" w:cs="Times New Roman"/>
          <w:noProof/>
          <w:sz w:val="24"/>
          <w:szCs w:val="24"/>
        </w:rPr>
        <w:t xml:space="preserve">. This initiative aims to allow electronic communication for fulfilling regulatory information requirements also beyond the points of entry, or before the point of exit, of the EU, on the entire territory of the Union. Geographically therefore, the scope of this initiative begins where that of the UCC and/or the RFD ends (or, conversely, ends there where that of the UCC and/or the RFD begins).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terms of the transport operations concerned by the information requirements, however, these scopes overlap: this initiative concerns both purely intra-EU international/ cross-border transport (not falling under UCC's or RFD's scope), as well as international transport having its origin, destination or transiting an EU Member State's territory</w:t>
      </w:r>
      <w:r>
        <w:rPr>
          <w:rStyle w:val="FootnoteReference"/>
          <w:rFonts w:ascii="Times New Roman" w:eastAsia="Calibri" w:hAnsi="Times New Roman" w:cs="Times New Roman"/>
          <w:noProof/>
          <w:sz w:val="24"/>
          <w:szCs w:val="24"/>
        </w:rPr>
        <w:footnoteReference w:id="18"/>
      </w:r>
      <w:r>
        <w:rPr>
          <w:rFonts w:ascii="Times New Roman" w:eastAsia="Calibri" w:hAnsi="Times New Roman" w:cs="Times New Roman"/>
          <w:noProof/>
          <w:sz w:val="24"/>
          <w:szCs w:val="24"/>
        </w:rPr>
        <w:t>. As a result, the combined application of this initiative and that of the UCC and the RFD will further facilitate international freight transport having its origin and destination outside the EU, as well as intra-EU maritime traffic</w:t>
      </w:r>
      <w:r>
        <w:rPr>
          <w:rStyle w:val="FootnoteReference"/>
          <w:rFonts w:ascii="Times New Roman" w:eastAsia="Calibri" w:hAnsi="Times New Roman" w:cs="Times New Roman"/>
          <w:noProof/>
          <w:sz w:val="24"/>
          <w:szCs w:val="24"/>
        </w:rPr>
        <w:footnoteReference w:id="19"/>
      </w:r>
      <w:r>
        <w:rPr>
          <w:rFonts w:ascii="Times New Roman" w:eastAsia="Calibri" w:hAnsi="Times New Roman" w:cs="Times New Roman"/>
          <w:noProof/>
          <w:sz w:val="24"/>
          <w:szCs w:val="24"/>
        </w:rPr>
        <w:t xml:space="preserve">, by enabling the use of electronic means for transmission of regulatory information on cargo transport to the authorities not just at the point of entry and exit of the EU, but also on the entire EU territory.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is currently considering further policy initiative in both policy areas covered by these two instruments, but neither is considering enlarging the information reporting requirements, nor the geographical scope of the application of the related regulatory conditions. Rather, these initiatives aim at insuring interoperability of the electronic data exchange related to their respective information reporting requirements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In this respect, this initiative will also aim to ensure the interoperability of the electronic data for the common information elements</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w:t>
      </w:r>
    </w:p>
    <w:bookmarkEnd w:id="24"/>
    <w:p>
      <w:pPr>
        <w:pStyle w:val="ListNumber"/>
        <w:numPr>
          <w:ilvl w:val="0"/>
          <w:numId w:val="0"/>
        </w:numPr>
        <w:spacing w:after="120"/>
        <w:rPr>
          <w:noProof/>
        </w:rPr>
      </w:pPr>
      <w:r>
        <w:rPr>
          <w:noProof/>
        </w:rPr>
        <w:t xml:space="preserve">In terms of technical solutions for enabling the electronic communication of the information/documents, this initiative also requires a different approach, due to the specificities of the information reporting under the UCC and the RFD. In the case of the latter, the information must be submitted at a specific point in time – before or at the time of arrival at EU entry/exit point – to all of a pre-defined set of authorities. By contrast, the information concerned by this initiative only needs to be available in case it is required for inspection, by one or another of the competent authorities, at any point in time during (and in certain cases also after) the completion of the transport operation.  </w:t>
      </w:r>
    </w:p>
    <w:p>
      <w:pPr>
        <w:spacing w:after="120" w:line="240" w:lineRule="auto"/>
        <w:jc w:val="both"/>
        <w:rPr>
          <w:rFonts w:ascii="Times New Roman" w:hAnsi="Times New Roman" w:cs="Times New Roman"/>
          <w:noProof/>
          <w:sz w:val="24"/>
          <w:szCs w:val="24"/>
        </w:rPr>
      </w:pPr>
      <w:bookmarkStart w:id="25" w:name="_Hlk509140464"/>
      <w:r>
        <w:rPr>
          <w:rFonts w:ascii="Times New Roman" w:hAnsi="Times New Roman" w:cs="Times New Roman"/>
          <w:noProof/>
          <w:sz w:val="24"/>
          <w:szCs w:val="24"/>
        </w:rPr>
        <w:t>Several other EU legal acts and ongoing Commission policy initiatives address digitalisation aspects and affect to some extent transport related issues. None is however addressing the problem as identified in the context of this impact assessment report</w:t>
      </w:r>
      <w:r>
        <w:rPr>
          <w:rFonts w:ascii="Times New Roman" w:hAnsi="Times New Roman" w:cs="Times New Roman"/>
          <w:noProof/>
          <w:sz w:val="24"/>
          <w:szCs w:val="24"/>
          <w:vertAlign w:val="superscript"/>
        </w:rPr>
        <w:footnoteReference w:id="22"/>
      </w:r>
      <w:r>
        <w:rPr>
          <w:rFonts w:ascii="Times New Roman" w:hAnsi="Times New Roman" w:cs="Times New Roman"/>
          <w:noProof/>
          <w:sz w:val="24"/>
          <w:szCs w:val="24"/>
        </w:rPr>
        <w:t>.</w:t>
      </w:r>
      <w:bookmarkEnd w:id="25"/>
    </w:p>
    <w:p>
      <w:pPr>
        <w:keepNext/>
        <w:numPr>
          <w:ilvl w:val="1"/>
          <w:numId w:val="3"/>
        </w:numPr>
        <w:tabs>
          <w:tab w:val="clear" w:pos="1200"/>
          <w:tab w:val="num" w:pos="720"/>
        </w:tabs>
        <w:rPr>
          <w:rFonts w:ascii="Times New Roman" w:hAnsi="Times New Roman" w:cs="Times New Roman"/>
          <w:b/>
          <w:noProof/>
          <w:sz w:val="24"/>
          <w:szCs w:val="24"/>
        </w:rPr>
      </w:pPr>
      <w:r>
        <w:rPr>
          <w:rFonts w:ascii="Times New Roman" w:hAnsi="Times New Roman" w:cs="Times New Roman"/>
          <w:b/>
          <w:noProof/>
          <w:sz w:val="24"/>
          <w:szCs w:val="24"/>
        </w:rPr>
        <w:t>Market context</w:t>
      </w:r>
    </w:p>
    <w:p>
      <w:pPr>
        <w:keepNext/>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Total freight transport in the EU has increased by almost 25% over the last 20 years</w:t>
      </w:r>
      <w:r>
        <w:rPr>
          <w:rFonts w:ascii="Times New Roman" w:hAnsi="Times New Roman" w:cs="Times New Roman"/>
          <w:noProof/>
          <w:sz w:val="24"/>
          <w:szCs w:val="24"/>
          <w:vertAlign w:val="superscript"/>
        </w:rPr>
        <w:footnoteReference w:id="23"/>
      </w:r>
      <w:r>
        <w:rPr>
          <w:rFonts w:ascii="Times New Roman" w:hAnsi="Times New Roman" w:cs="Times New Roman"/>
          <w:noProof/>
          <w:sz w:val="24"/>
          <w:szCs w:val="24"/>
        </w:rPr>
        <w:t>, and it is projected to further increase by 51% during 2015-2050 under current trends and adopted policies</w:t>
      </w:r>
      <w:r>
        <w:rPr>
          <w:rFonts w:ascii="Times New Roman" w:hAnsi="Times New Roman" w:cs="Times New Roman"/>
          <w:noProof/>
          <w:sz w:val="24"/>
          <w:szCs w:val="24"/>
          <w:vertAlign w:val="superscript"/>
        </w:rPr>
        <w:footnoteReference w:id="24"/>
      </w:r>
      <w:r>
        <w:rPr>
          <w:rFonts w:ascii="Times New Roman" w:hAnsi="Times New Roman" w:cs="Times New Roman"/>
          <w:noProof/>
          <w:sz w:val="24"/>
          <w:szCs w:val="24"/>
        </w:rPr>
        <w:t xml:space="preserve">. Today, this information is mostly printed on paper, in a variety of standard format documents. 99% of cross-border transport operations on the territory of the EU </w:t>
      </w:r>
      <w:bookmarkStart w:id="26" w:name="_Hlk509135282"/>
      <w:r>
        <w:rPr>
          <w:rFonts w:ascii="Times New Roman" w:hAnsi="Times New Roman" w:cs="Times New Roman"/>
          <w:noProof/>
          <w:sz w:val="24"/>
          <w:szCs w:val="24"/>
        </w:rPr>
        <w:t>still involve paper-based documents at one stage of the operation or another</w:t>
      </w:r>
      <w:bookmarkEnd w:id="26"/>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The digitalisation of information exchange has the potential to significantly improve the efficiency of transport and, therefore, to contribute to the smooth functioning of the Single Market.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past two decades, there have been a considerable number of private, public and mixed initiatives aiming at developing technical solutions for the digitalisation of transport and logistic processes</w:t>
      </w:r>
      <w:r>
        <w:rPr>
          <w:rFonts w:ascii="Times New Roman" w:hAnsi="Times New Roman" w:cs="Times New Roman"/>
          <w:noProof/>
          <w:sz w:val="24"/>
          <w:szCs w:val="24"/>
          <w:vertAlign w:val="superscript"/>
        </w:rPr>
        <w:footnoteReference w:id="26"/>
      </w:r>
      <w:r>
        <w:rPr>
          <w:rFonts w:ascii="Times New Roman" w:hAnsi="Times New Roman" w:cs="Times New Roman"/>
          <w:noProof/>
          <w:sz w:val="24"/>
          <w:szCs w:val="24"/>
        </w:rPr>
        <w:t xml:space="preserve">. While contributing to efficiency gains in specific transport sectors and Member States, these initiatives were often run independently from each other.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growing concern, raised by all stakeholders, is the limited interoperability of the various systems and technical solutions being developed</w:t>
      </w:r>
      <w:r>
        <w:rPr>
          <w:rFonts w:ascii="Times New Roman" w:hAnsi="Times New Roman" w:cs="Times New Roman"/>
          <w:noProof/>
          <w:sz w:val="24"/>
          <w:szCs w:val="24"/>
          <w:vertAlign w:val="superscript"/>
        </w:rPr>
        <w:footnoteReference w:id="27"/>
      </w:r>
      <w:r>
        <w:rPr>
          <w:rFonts w:ascii="Times New Roman" w:hAnsi="Times New Roman" w:cs="Times New Roman"/>
          <w:noProof/>
          <w:sz w:val="24"/>
          <w:szCs w:val="24"/>
        </w:rPr>
        <w:t>. In the absence of overall coordination and reliable indication as to which would be the dominant standard for data definition, representation, exchange and preservation</w:t>
      </w:r>
      <w:r>
        <w:rPr>
          <w:rFonts w:ascii="Times New Roman" w:hAnsi="Times New Roman" w:cs="Times New Roman"/>
          <w:noProof/>
          <w:sz w:val="24"/>
          <w:szCs w:val="24"/>
          <w:vertAlign w:val="superscript"/>
        </w:rPr>
        <w:footnoteReference w:id="28"/>
      </w:r>
      <w:r>
        <w:rPr>
          <w:rFonts w:ascii="Times New Roman" w:hAnsi="Times New Roman" w:cs="Times New Roman"/>
          <w:noProof/>
          <w:sz w:val="24"/>
          <w:szCs w:val="24"/>
        </w:rPr>
        <w:t>, individual businesses face the risk of making the wrong choice of investment. In addition, specificities of individual transport modes – including their (historically separate) regulation – mean that most digitalisation efforts remain mode-specific</w:t>
      </w:r>
      <w:r>
        <w:rPr>
          <w:rFonts w:ascii="Times New Roman" w:hAnsi="Times New Roman" w:cs="Times New Roman"/>
          <w:noProof/>
          <w:sz w:val="24"/>
          <w:szCs w:val="24"/>
          <w:vertAlign w:val="superscript"/>
        </w:rPr>
        <w:footnoteReference w:id="29"/>
      </w:r>
      <w:r>
        <w:rPr>
          <w:rFonts w:ascii="Times New Roman" w:hAnsi="Times New Roman" w:cs="Times New Roman"/>
          <w:noProof/>
          <w:sz w:val="24"/>
          <w:szCs w:val="24"/>
        </w:rPr>
        <w:t>. Yet, even in the rail and air transport sectors, where a de facto dominant international system for information and documentation exchanges has been established, concerns for the lack of interoperability and interconnectivity across mode-specific solutions and systems are high</w:t>
      </w:r>
      <w:r>
        <w:rPr>
          <w:rFonts w:ascii="Times New Roman" w:hAnsi="Times New Roman" w:cs="Times New Roman"/>
          <w:noProof/>
          <w:sz w:val="24"/>
          <w:szCs w:val="24"/>
          <w:vertAlign w:val="superscript"/>
        </w:rPr>
        <w:footnoteReference w:id="30"/>
      </w:r>
      <w:r>
        <w:rPr>
          <w:rFonts w:ascii="Times New Roman" w:hAnsi="Times New Roman" w:cs="Times New Roman"/>
          <w:noProof/>
          <w:sz w:val="24"/>
          <w:szCs w:val="24"/>
        </w:rPr>
        <w:t xml:space="preserve">. </w:t>
      </w:r>
    </w:p>
    <w:p>
      <w:pPr>
        <w:pStyle w:val="Heading1"/>
        <w:rPr>
          <w:noProof/>
        </w:rPr>
      </w:pPr>
      <w:bookmarkStart w:id="27" w:name="_Toc506397012"/>
      <w:bookmarkStart w:id="28" w:name="_Toc506397575"/>
      <w:bookmarkStart w:id="29" w:name="_Toc51285490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noProof/>
        </w:rPr>
        <w:t>Problem definition</w:t>
      </w:r>
      <w:bookmarkEnd w:id="27"/>
      <w:bookmarkEnd w:id="28"/>
      <w:bookmarkEnd w:id="29"/>
    </w:p>
    <w:p>
      <w:pPr>
        <w:pStyle w:val="Text1"/>
        <w:spacing w:after="120"/>
        <w:ind w:left="0"/>
        <w:rPr>
          <w:noProof/>
          <w:szCs w:val="24"/>
        </w:rPr>
      </w:pPr>
      <w:bookmarkStart w:id="30" w:name="_Hlk509135987"/>
      <w:r>
        <w:rPr>
          <w:noProof/>
          <w:szCs w:val="24"/>
        </w:rPr>
        <w:t xml:space="preserve">The main identified problem is the low and varying degree of acceptance by authorities of information or documents electronically communicated by the business as evidence of compliance with regulatory conditions for the transport of goods on the different EU Member States' territory. </w:t>
      </w:r>
    </w:p>
    <w:p>
      <w:pPr>
        <w:pStyle w:val="Text1"/>
        <w:spacing w:after="120"/>
        <w:ind w:left="0"/>
        <w:rPr>
          <w:noProof/>
          <w:szCs w:val="24"/>
        </w:rPr>
      </w:pPr>
      <w:bookmarkStart w:id="31" w:name="_Hlk509136238"/>
      <w:bookmarkEnd w:id="30"/>
      <w:r>
        <w:rPr>
          <w:noProof/>
          <w:szCs w:val="24"/>
        </w:rPr>
        <w:t>Two main drivers underpin this problem: a) a fragmented legal framework setting inconsistent obligations for authorities to accept electronic information or documents</w:t>
      </w:r>
      <w:r>
        <w:rPr>
          <w:rStyle w:val="FootnoteReference"/>
          <w:noProof/>
          <w:szCs w:val="24"/>
        </w:rPr>
        <w:footnoteReference w:id="31"/>
      </w:r>
      <w:r>
        <w:rPr>
          <w:noProof/>
          <w:szCs w:val="24"/>
        </w:rPr>
        <w:t xml:space="preserve">, and allowing for different administrative practices to implement them; and b) a fragmented IT environment characterised by a multitude of non-interoperable systems/solutions for electronic transport information and documentation exchange, both for business-to-administration and business-to-business communication. </w:t>
      </w:r>
    </w:p>
    <w:p>
      <w:pPr>
        <w:pStyle w:val="Text1"/>
        <w:spacing w:after="120"/>
        <w:ind w:left="0"/>
        <w:rPr>
          <w:noProof/>
          <w:szCs w:val="24"/>
        </w:rPr>
      </w:pPr>
      <w:bookmarkStart w:id="32" w:name="_Hlk509136258"/>
      <w:bookmarkEnd w:id="31"/>
      <w:r>
        <w:rPr>
          <w:noProof/>
          <w:szCs w:val="24"/>
        </w:rPr>
        <w:t xml:space="preserve">The two drivers are mutually reinforcing. The fragmented legislation and the ensuing lack of acceptance by authorities discourage investment in digital solutions for electronic documents. The fragmented IT environment, specifically the lack of well-established or interoperable solutions, discourages authorities from the use of electronic documents. </w:t>
      </w:r>
    </w:p>
    <w:bookmarkEnd w:id="32"/>
    <w:p>
      <w:pPr>
        <w:pStyle w:val="Text1"/>
        <w:spacing w:after="120"/>
        <w:ind w:left="0"/>
        <w:rPr>
          <w:noProof/>
          <w:szCs w:val="24"/>
        </w:rPr>
      </w:pPr>
      <w:r>
        <w:rPr>
          <w:noProof/>
          <w:szCs w:val="24"/>
        </w:rPr>
        <w:t>Furthermore, both drivers are shaped by the fragmented wider market context, which is however not specifically addressed by this initiative, characterised by, on the one hand, historically-evolved characteristics of the different transport sectors and, on the other hand, competing, non-interoperable and evolving industry standards and technical solutions for electronic data exchange.</w:t>
      </w:r>
    </w:p>
    <w:p>
      <w:pPr>
        <w:pStyle w:val="Text1"/>
        <w:spacing w:after="120"/>
        <w:ind w:left="0"/>
        <w:rPr>
          <w:noProof/>
          <w:szCs w:val="24"/>
        </w:rPr>
      </w:pPr>
      <w:r>
        <w:rPr>
          <w:noProof/>
          <w:szCs w:val="24"/>
        </w:rPr>
        <w:t>As a consequence, the large majority of freight transport operators and other transport business stakeholders in the EU continue to use paper documents. This prevents considerable gains in efficiency for the various market players, in particular in multimodal and cross-border transport, and hinders the better functioning of the EU single market.</w:t>
      </w:r>
    </w:p>
    <w:p>
      <w:pPr>
        <w:pStyle w:val="Text1"/>
        <w:spacing w:after="120"/>
        <w:ind w:left="0"/>
        <w:rPr>
          <w:noProof/>
          <w:szCs w:val="24"/>
        </w:rPr>
      </w:pPr>
      <w:r>
        <w:rPr>
          <w:noProof/>
          <w:szCs w:val="24"/>
        </w:rPr>
        <w:t xml:space="preserve">These issues are further discussed in the upcoming sections and are summarized under Figure 2.1 below. </w:t>
      </w:r>
    </w:p>
    <w:p>
      <w:pPr>
        <w:rPr>
          <w:rFonts w:ascii="Times New Roman" w:eastAsia="Times New Roman" w:hAnsi="Times New Roman" w:cs="Times New Roman"/>
          <w:b/>
          <w:noProof/>
          <w:sz w:val="20"/>
          <w:szCs w:val="20"/>
        </w:rPr>
      </w:pPr>
      <w:r>
        <w:rPr>
          <w:b/>
          <w:noProof/>
          <w:sz w:val="20"/>
        </w:rPr>
        <w:br w:type="page"/>
      </w:r>
    </w:p>
    <w:p>
      <w:pPr>
        <w:pStyle w:val="Text2"/>
        <w:spacing w:after="0"/>
        <w:ind w:left="0"/>
        <w:rPr>
          <w:b/>
          <w:noProof/>
          <w:sz w:val="20"/>
        </w:rPr>
      </w:pPr>
      <w:r>
        <w:rPr>
          <w:b/>
          <w:noProof/>
          <w:sz w:val="20"/>
        </w:rPr>
        <w:t xml:space="preserve">Figure 2.1: Problem tree </w:t>
      </w:r>
    </w:p>
    <w:p>
      <w:pPr>
        <w:pStyle w:val="Text1"/>
        <w:ind w:left="0"/>
        <w:jc w:val="left"/>
        <w:rPr>
          <w:noProof/>
        </w:rPr>
      </w:pPr>
      <w:r>
        <w:rPr>
          <w:noProof/>
          <w:lang w:val="en-US"/>
        </w:rPr>
        <w:drawing>
          <wp:inline distT="0" distB="0" distL="0" distR="0">
            <wp:extent cx="5472430" cy="2967156"/>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72430" cy="2967156"/>
                    </a:xfrm>
                    <a:prstGeom prst="rect">
                      <a:avLst/>
                    </a:prstGeom>
                  </pic:spPr>
                </pic:pic>
              </a:graphicData>
            </a:graphic>
          </wp:inline>
        </w:drawing>
      </w:r>
    </w:p>
    <w:p>
      <w:pPr>
        <w:pStyle w:val="ManualHeading2"/>
        <w:rPr>
          <w:noProof/>
        </w:rPr>
      </w:pPr>
      <w:bookmarkStart w:id="33" w:name="_Toc506397576"/>
      <w:bookmarkStart w:id="34" w:name="_Toc512854903"/>
      <w:r>
        <w:rPr>
          <w:noProof/>
        </w:rPr>
        <w:t>2.1</w:t>
      </w:r>
      <w:r>
        <w:rPr>
          <w:noProof/>
        </w:rPr>
        <w:tab/>
        <w:t>What is/are the problems?</w:t>
      </w:r>
      <w:bookmarkEnd w:id="33"/>
      <w:bookmarkEnd w:id="34"/>
    </w:p>
    <w:p>
      <w:pPr>
        <w:spacing w:after="120" w:line="240" w:lineRule="auto"/>
        <w:jc w:val="both"/>
        <w:rPr>
          <w:noProof/>
          <w:szCs w:val="24"/>
        </w:rPr>
      </w:pPr>
      <w:r>
        <w:rPr>
          <w:rFonts w:ascii="Times New Roman" w:hAnsi="Times New Roman" w:cs="Times New Roman"/>
          <w:noProof/>
          <w:sz w:val="24"/>
          <w:szCs w:val="24"/>
        </w:rPr>
        <w:t>The main conclusion of the stakeholder consultation activities is that there is general uncertainty among the stakeholders as to which authorities, in which Member States, are accepting electronic documents for which types of controls. In particular, stakeholders refer to the uncertainty related to acceptance by enforcement authorities. Acceptance by courts of the contract of carriage is also an issue, but it appears to be less of a concern for a majority of the respondents.</w:t>
      </w:r>
    </w:p>
    <w:p>
      <w:pPr>
        <w:pStyle w:val="Heading3"/>
        <w:rPr>
          <w:noProof/>
        </w:rPr>
      </w:pPr>
      <w:bookmarkStart w:id="35" w:name="_Toc506397578"/>
      <w:bookmarkStart w:id="36" w:name="_Toc512854904"/>
      <w:bookmarkStart w:id="37" w:name="_Toc491267259"/>
      <w:bookmarkStart w:id="38" w:name="_Toc491339276"/>
      <w:bookmarkStart w:id="39" w:name="_Toc491354588"/>
      <w:r>
        <w:rPr>
          <w:rFonts w:eastAsiaTheme="minorHAnsi"/>
          <w:noProof/>
        </w:rPr>
        <w:t xml:space="preserve">Low level of </w:t>
      </w:r>
      <w:r>
        <w:rPr>
          <w:noProof/>
        </w:rPr>
        <w:t>acceptance of electronic freight transport documents by the different market players</w:t>
      </w:r>
      <w:bookmarkEnd w:id="35"/>
      <w:bookmarkEnd w:id="36"/>
      <w:r>
        <w:rPr>
          <w:noProof/>
        </w:rPr>
        <w:t xml:space="preserve"> </w:t>
      </w:r>
    </w:p>
    <w:p>
      <w:pPr>
        <w:pStyle w:val="Text2"/>
        <w:spacing w:after="120"/>
        <w:ind w:left="0"/>
        <w:rPr>
          <w:noProof/>
          <w:szCs w:val="24"/>
        </w:rPr>
      </w:pPr>
      <w:r>
        <w:rPr>
          <w:noProof/>
          <w:szCs w:val="24"/>
        </w:rPr>
        <w:t xml:space="preserve">Lack of acceptance by Members States’ authorities of electronic documents has been indicated by all categories of industry stakeholders as the main obstacle preventing their wider use. </w:t>
      </w:r>
    </w:p>
    <w:p>
      <w:pPr>
        <w:keepNext/>
        <w:spacing w:after="120" w:line="240" w:lineRule="auto"/>
        <w:rPr>
          <w:rFonts w:ascii="Times New Roman" w:hAnsi="Times New Roman" w:cs="Times New Roman"/>
          <w:noProof/>
          <w:sz w:val="24"/>
          <w:szCs w:val="24"/>
        </w:rPr>
      </w:pPr>
      <w:r>
        <w:rPr>
          <w:rFonts w:ascii="Times New Roman" w:hAnsi="Times New Roman" w:cs="Times New Roman"/>
          <w:b/>
          <w:i/>
          <w:noProof/>
          <w:sz w:val="24"/>
          <w:szCs w:val="24"/>
        </w:rPr>
        <w:t xml:space="preserve">Member States authorities </w:t>
      </w:r>
    </w:p>
    <w:p>
      <w:pPr>
        <w:keepNext/>
        <w:tabs>
          <w:tab w:val="left" w:pos="2302"/>
        </w:tabs>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Enforcement authorities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Depending on the Member State and mode of transport concerned, authorities inspect cargo transport documents for some or all the following purposes: verification of legitimate possession; enforcement of rules related to safety, taxation, customs, environmental protection, security, working conditions and health, cabotage, and various transport conditions. Various authorities may be involved in inspections: police, fiscal police, tax authorities, customs; and control officers from the transport, health and veterinary departments. There are important differences in the extent to which those authorities currently accept electronic documents as valid (or admissible) evidence for inspection. </w:t>
      </w:r>
    </w:p>
    <w:p>
      <w:pPr>
        <w:tabs>
          <w:tab w:val="left" w:pos="2302"/>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aviation, inland waterways and rail, documents are more often accepted in electronic form. But only in few Member States, and mainly for aviation, acceptance of full documentation is reported. At the other end, road transport documents and, in some cases rail, are explicitly reported as being accepted in paper format only</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w:t>
      </w:r>
    </w:p>
    <w:p>
      <w:pPr>
        <w:pStyle w:val="Text2"/>
        <w:spacing w:after="0"/>
        <w:ind w:left="0"/>
        <w:rPr>
          <w:noProof/>
          <w:sz w:val="20"/>
        </w:rPr>
      </w:pPr>
      <w:r>
        <w:rPr>
          <w:b/>
          <w:noProof/>
          <w:sz w:val="20"/>
        </w:rPr>
        <w:t>Figure 2.2: Significance of the lack of acceptance by Member States enforcement authoritie</w:t>
      </w:r>
      <w:r>
        <w:rPr>
          <w:noProof/>
          <w:sz w:val="20"/>
        </w:rPr>
        <w:t>s</w:t>
      </w:r>
    </w:p>
    <w:p>
      <w:pPr>
        <w:pStyle w:val="Text2"/>
        <w:spacing w:before="120" w:after="120"/>
        <w:ind w:left="0"/>
        <w:rPr>
          <w:noProof/>
          <w:szCs w:val="24"/>
        </w:rPr>
      </w:pPr>
      <w:r>
        <w:rPr>
          <w:noProof/>
          <w:lang w:val="en-US"/>
        </w:rPr>
        <w:drawing>
          <wp:inline distT="0" distB="0" distL="0" distR="0">
            <wp:extent cx="4829175" cy="14879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882" t="5822" r="1174" b="3636"/>
                    <a:stretch/>
                  </pic:blipFill>
                  <pic:spPr bwMode="auto">
                    <a:xfrm>
                      <a:off x="0" y="0"/>
                      <a:ext cx="4837017" cy="1490324"/>
                    </a:xfrm>
                    <a:prstGeom prst="rect">
                      <a:avLst/>
                    </a:prstGeom>
                    <a:noFill/>
                    <a:ln>
                      <a:noFill/>
                    </a:ln>
                    <a:extLst>
                      <a:ext uri="{53640926-AAD7-44D8-BBD7-CCE9431645EC}">
                        <a14:shadowObscured xmlns:a14="http://schemas.microsoft.com/office/drawing/2010/main"/>
                      </a:ext>
                    </a:extLst>
                  </pic:spPr>
                </pic:pic>
              </a:graphicData>
            </a:graphic>
          </wp:inline>
        </w:drawing>
      </w:r>
    </w:p>
    <w:bookmarkEnd w:id="37"/>
    <w:bookmarkEnd w:id="38"/>
    <w:bookmarkEnd w:id="39"/>
    <w:p>
      <w:pPr>
        <w:pStyle w:val="Text2"/>
        <w:spacing w:after="120"/>
        <w:ind w:left="0"/>
        <w:rPr>
          <w:noProof/>
          <w:szCs w:val="24"/>
        </w:rPr>
      </w:pPr>
      <w:r>
        <w:rPr>
          <w:noProof/>
          <w:szCs w:val="24"/>
        </w:rPr>
        <w:t>Stakeholders also indicated significant differences in the inspection procedures, and the information/documents required as proof of compliance. The same transport document is often inspected in the same Member State by different authorities in different ways</w:t>
      </w:r>
      <w:r>
        <w:rPr>
          <w:rStyle w:val="FootnoteReference"/>
          <w:noProof/>
          <w:szCs w:val="24"/>
        </w:rPr>
        <w:footnoteReference w:id="33"/>
      </w:r>
      <w:r>
        <w:rPr>
          <w:noProof/>
          <w:szCs w:val="24"/>
        </w:rPr>
        <w:t>. Some authorities might accept the electronic transport document, while others only accept paper, although the paper document is often a print-out of the electronic one</w:t>
      </w:r>
      <w:r>
        <w:rPr>
          <w:rStyle w:val="FootnoteReference"/>
          <w:noProof/>
          <w:szCs w:val="24"/>
        </w:rPr>
        <w:footnoteReference w:id="34"/>
      </w:r>
      <w:r>
        <w:rPr>
          <w:noProof/>
          <w:szCs w:val="24"/>
        </w:rPr>
        <w:t xml:space="preserve">. Between Members States, differences in inspection practices are equally present, even when the same type of authority is performing a control for the same regulatory purposes in the same transport mode. </w:t>
      </w:r>
    </w:p>
    <w:p>
      <w:pPr>
        <w:keepNext/>
        <w:spacing w:before="120" w:after="120" w:line="240" w:lineRule="auto"/>
        <w:jc w:val="both"/>
        <w:rPr>
          <w:rFonts w:ascii="Times New Roman" w:hAnsi="Times New Roman"/>
          <w:b/>
          <w:noProof/>
          <w:sz w:val="20"/>
          <w:szCs w:val="20"/>
        </w:rPr>
      </w:pPr>
      <w:r>
        <w:rPr>
          <w:rFonts w:ascii="Times New Roman" w:hAnsi="Times New Roman"/>
          <w:b/>
          <w:noProof/>
          <w:sz w:val="20"/>
          <w:szCs w:val="20"/>
        </w:rPr>
        <w:t>Textbox 2.1: Examples of divergent acceptance</w:t>
      </w:r>
    </w:p>
    <w:p>
      <w:pPr>
        <w:pStyle w:val="Text2"/>
        <w:keepNext/>
        <w:pBdr>
          <w:top w:val="single" w:sz="4" w:space="1" w:color="auto"/>
          <w:left w:val="single" w:sz="4" w:space="4" w:color="auto"/>
          <w:bottom w:val="single" w:sz="4" w:space="1" w:color="auto"/>
          <w:right w:val="single" w:sz="4" w:space="4" w:color="auto"/>
        </w:pBdr>
        <w:shd w:val="clear" w:color="auto" w:fill="BFBFBF" w:themeFill="background1" w:themeFillShade="BF"/>
        <w:spacing w:after="120"/>
        <w:ind w:left="0"/>
        <w:rPr>
          <w:noProof/>
          <w:sz w:val="18"/>
          <w:szCs w:val="18"/>
        </w:rPr>
      </w:pPr>
      <w:r>
        <w:rPr>
          <w:noProof/>
          <w:sz w:val="18"/>
          <w:szCs w:val="18"/>
        </w:rPr>
        <w:t>An electronic transport document (the electronic air waybill/e-AWB) is accepted for the entry and exit processes of cargo by air in the Netherlands, but when the cargo is being transported by road to reach the final destination, the paper version of the same air waybill is often used, as Dutch road-side inspectors do not accept an e-AWB. In France, while custom authorities accept an e-AWB, a paper AWB still needs to be submitted to airport enforcement authorities</w:t>
      </w:r>
      <w:r>
        <w:rPr>
          <w:noProof/>
          <w:sz w:val="18"/>
          <w:szCs w:val="18"/>
          <w:vertAlign w:val="superscript"/>
        </w:rPr>
        <w:footnoteReference w:id="35"/>
      </w:r>
      <w:r>
        <w:rPr>
          <w:noProof/>
          <w:sz w:val="18"/>
          <w:szCs w:val="18"/>
        </w:rPr>
        <w:t>.</w:t>
      </w:r>
    </w:p>
    <w:p>
      <w:pPr>
        <w:pStyle w:val="Text2"/>
        <w:pBdr>
          <w:top w:val="single" w:sz="4" w:space="1" w:color="auto"/>
          <w:left w:val="single" w:sz="4" w:space="4" w:color="auto"/>
          <w:bottom w:val="single" w:sz="4" w:space="1" w:color="auto"/>
          <w:right w:val="single" w:sz="4" w:space="4" w:color="auto"/>
        </w:pBdr>
        <w:shd w:val="clear" w:color="auto" w:fill="BFBFBF"/>
        <w:spacing w:after="120"/>
        <w:ind w:left="0"/>
        <w:rPr>
          <w:noProof/>
          <w:sz w:val="18"/>
          <w:szCs w:val="18"/>
        </w:rPr>
      </w:pPr>
      <w:r>
        <w:rPr>
          <w:noProof/>
          <w:sz w:val="18"/>
          <w:szCs w:val="18"/>
        </w:rPr>
        <w:t>In inland transport, the Dutch police requires barge operators to have a paper transport document available at all times (and regularly inspects whether such a document is available on board), while the German police never performs cargo related inspections and therefore does not require a transport document at all</w:t>
      </w:r>
      <w:r>
        <w:rPr>
          <w:rStyle w:val="FootnoteReference"/>
          <w:noProof/>
          <w:sz w:val="18"/>
          <w:szCs w:val="18"/>
        </w:rPr>
        <w:footnoteReference w:id="36"/>
      </w:r>
      <w:r>
        <w:rPr>
          <w:noProof/>
          <w:sz w:val="18"/>
          <w:szCs w:val="18"/>
        </w:rPr>
        <w:t>.</w:t>
      </w:r>
    </w:p>
    <w:p>
      <w:pPr>
        <w:pStyle w:val="Text2"/>
        <w:pBdr>
          <w:top w:val="single" w:sz="4" w:space="1" w:color="auto"/>
          <w:left w:val="single" w:sz="4" w:space="4" w:color="auto"/>
          <w:bottom w:val="single" w:sz="4" w:space="1" w:color="auto"/>
          <w:right w:val="single" w:sz="4" w:space="4" w:color="auto"/>
        </w:pBdr>
        <w:shd w:val="clear" w:color="auto" w:fill="BFBFBF"/>
        <w:spacing w:after="120"/>
        <w:ind w:left="0"/>
        <w:rPr>
          <w:noProof/>
          <w:sz w:val="18"/>
          <w:szCs w:val="18"/>
        </w:rPr>
      </w:pPr>
      <w:r>
        <w:rPr>
          <w:noProof/>
          <w:sz w:val="18"/>
          <w:szCs w:val="18"/>
        </w:rPr>
        <w:t>In road transport, in the Netherlands or Germany for example, the e-CMR would be accepted, but the operators do not use it because authorities of other Member States, such as neighbouring Belgium, do not. Truck drivers do not wish to take risks and therefore are only willing to perform the transport when receive the transport document in a paper format</w:t>
      </w:r>
      <w:r>
        <w:rPr>
          <w:rStyle w:val="FootnoteReference"/>
          <w:noProof/>
          <w:sz w:val="18"/>
          <w:szCs w:val="18"/>
        </w:rPr>
        <w:footnoteReference w:id="37"/>
      </w:r>
      <w:r>
        <w:rPr>
          <w:noProof/>
          <w:sz w:val="18"/>
          <w:szCs w:val="18"/>
        </w:rPr>
        <w:t xml:space="preserve">. </w:t>
      </w:r>
    </w:p>
    <w:p>
      <w:pPr>
        <w:pStyle w:val="Text2"/>
        <w:pBdr>
          <w:top w:val="single" w:sz="4" w:space="1" w:color="auto"/>
          <w:left w:val="single" w:sz="4" w:space="4" w:color="auto"/>
          <w:bottom w:val="single" w:sz="4" w:space="1" w:color="auto"/>
          <w:right w:val="single" w:sz="4" w:space="4" w:color="auto"/>
        </w:pBdr>
        <w:shd w:val="clear" w:color="auto" w:fill="BFBFBF"/>
        <w:spacing w:after="120"/>
        <w:ind w:left="0"/>
        <w:rPr>
          <w:noProof/>
          <w:sz w:val="16"/>
          <w:szCs w:val="16"/>
        </w:rPr>
      </w:pPr>
      <w:r>
        <w:rPr>
          <w:noProof/>
          <w:sz w:val="18"/>
          <w:szCs w:val="18"/>
        </w:rPr>
        <w:t>In rail transport, an electronic document containing cargo information, which complies with the TAF TSI requirements</w:t>
      </w:r>
      <w:r>
        <w:rPr>
          <w:rStyle w:val="FootnoteReference"/>
          <w:noProof/>
          <w:sz w:val="18"/>
          <w:szCs w:val="18"/>
        </w:rPr>
        <w:footnoteReference w:id="38"/>
      </w:r>
      <w:r>
        <w:rPr>
          <w:noProof/>
          <w:sz w:val="18"/>
          <w:szCs w:val="18"/>
        </w:rPr>
        <w:t>, is accepted by the Belgian authorities for controls related to dangerous goods regulatory compliance</w:t>
      </w:r>
      <w:r>
        <w:rPr>
          <w:rStyle w:val="FootnoteReference"/>
          <w:noProof/>
          <w:sz w:val="18"/>
          <w:szCs w:val="18"/>
        </w:rPr>
        <w:footnoteReference w:id="39"/>
      </w:r>
      <w:r>
        <w:rPr>
          <w:noProof/>
          <w:sz w:val="18"/>
          <w:szCs w:val="18"/>
        </w:rPr>
        <w:t>.  In Germany, a paper document is always required for dangerous goods certificates</w:t>
      </w:r>
      <w:r>
        <w:rPr>
          <w:rStyle w:val="FootnoteReference"/>
          <w:noProof/>
          <w:sz w:val="18"/>
          <w:szCs w:val="18"/>
        </w:rPr>
        <w:footnoteReference w:id="40"/>
      </w:r>
      <w:r>
        <w:rPr>
          <w:noProof/>
          <w:sz w:val="18"/>
          <w:szCs w:val="18"/>
        </w:rPr>
        <w:t>.</w:t>
      </w:r>
      <w:r>
        <w:rPr>
          <w:noProof/>
          <w:sz w:val="16"/>
          <w:szCs w:val="16"/>
        </w:rPr>
        <w:t xml:space="preserve"> </w:t>
      </w:r>
    </w:p>
    <w:p>
      <w:pPr>
        <w:pStyle w:val="Text2"/>
        <w:spacing w:after="120"/>
        <w:ind w:left="0"/>
        <w:rPr>
          <w:noProof/>
          <w:szCs w:val="24"/>
        </w:rPr>
      </w:pPr>
      <w:r>
        <w:rPr>
          <w:noProof/>
          <w:szCs w:val="24"/>
        </w:rPr>
        <w:t>Overall, the industry stakeholders report general uncertainty as to which enforcement authorities, in which Member States, are accepting which electronic documents for which types of controls. Consequently, to avoid the risk of electronic documents being declared noncompliant by authorities or not accepted by their partners, the transport operators, as well as the other commercial parties involved, prefer to print, carry and exchange paper cargo documents, in spite of all the inconvenience and cost this implies. In the framework of the OPC, 90% of the private companies and associations indicated the non-acceptance of electronic transport documents/ information by Member States authorities as a significant driver. For the smaller companies, according to the SME panel survey, the main reason for not using electronic transport documents is that their clients and business partners do not use transport documents in electronic format, followed closely by non-acceptance by authorities.</w:t>
      </w:r>
      <w:r>
        <w:rPr>
          <w:rFonts w:eastAsia="Arial Unicode MS"/>
          <w:noProof/>
        </w:rPr>
        <w:t xml:space="preserve"> </w:t>
      </w:r>
    </w:p>
    <w:p>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Courts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Several stakeholders pointed out in the consultation process the lack or limited acceptance of the electronic transport documents by courts</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Private parties should be able to enforce their rights in civil law procedures on the basis of the electronic transport document that serves as a contract of carriage. Secondly, operators should be able to challenge a fine imposed by an authority which refused to accept an electronic transport document. </w:t>
      </w:r>
    </w:p>
    <w:p>
      <w:pPr>
        <w:pStyle w:val="Text2"/>
        <w:keepNext/>
        <w:spacing w:after="0"/>
        <w:ind w:left="0"/>
        <w:rPr>
          <w:b/>
          <w:noProof/>
          <w:sz w:val="20"/>
        </w:rPr>
      </w:pPr>
      <w:r>
        <w:rPr>
          <w:b/>
          <w:noProof/>
          <w:sz w:val="20"/>
        </w:rPr>
        <w:t>Figure 2.3: Significance of legal aspects (N=45)</w:t>
      </w:r>
    </w:p>
    <w:p>
      <w:pPr>
        <w:keepNext/>
        <w:spacing w:line="240" w:lineRule="auto"/>
        <w:jc w:val="both"/>
        <w:rPr>
          <w:rFonts w:ascii="Times New Roman" w:hAnsi="Times New Roman" w:cs="Times New Roman"/>
          <w:noProof/>
          <w:sz w:val="24"/>
          <w:szCs w:val="24"/>
        </w:rPr>
      </w:pPr>
      <w:r>
        <w:rPr>
          <w:noProof/>
          <w:lang w:val="en-US"/>
        </w:rPr>
        <w:drawing>
          <wp:inline distT="0" distB="0" distL="0" distR="0">
            <wp:extent cx="5200153" cy="1995778"/>
            <wp:effectExtent l="0" t="0" r="19685" b="2413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after="120" w:line="240" w:lineRule="auto"/>
        <w:jc w:val="both"/>
        <w:rPr>
          <w:rFonts w:ascii="Times New Roman" w:hAnsi="Times New Roman" w:cs="Times New Roman"/>
          <w:i/>
          <w:noProof/>
          <w:sz w:val="20"/>
          <w:szCs w:val="20"/>
        </w:rPr>
      </w:pPr>
      <w:r>
        <w:rPr>
          <w:rFonts w:ascii="Times New Roman" w:hAnsi="Times New Roman" w:cs="Times New Roman"/>
          <w:i/>
          <w:noProof/>
          <w:sz w:val="20"/>
          <w:szCs w:val="20"/>
        </w:rPr>
        <w:t>Source</w:t>
      </w:r>
      <w:r>
        <w:rPr>
          <w:rFonts w:ascii="Times New Roman" w:hAnsi="Times New Roman" w:cs="Times New Roman"/>
          <w:b/>
          <w:i/>
          <w:noProof/>
          <w:sz w:val="20"/>
          <w:szCs w:val="20"/>
        </w:rPr>
        <w:t xml:space="preserve">: </w:t>
      </w:r>
      <w:r>
        <w:rPr>
          <w:rFonts w:ascii="Times New Roman" w:hAnsi="Times New Roman" w:cs="Times New Roman"/>
          <w:i/>
          <w:noProof/>
          <w:sz w:val="20"/>
          <w:szCs w:val="20"/>
        </w:rPr>
        <w:t>Ecorys et al., 2018, results of targeted survey</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the targeted survey undertaken in the context of the IA support study, 38% of the respondents consider the lack of acceptance of electronic transport documents in courts as important (22% as very important, and additional 16% as moderately important). There is certain divergence of views among the stakeholders, as 29% of private companies consider this factor very important, against only 10% of the authorities.</w:t>
      </w:r>
    </w:p>
    <w:p>
      <w:pPr>
        <w:spacing w:after="120" w:line="240" w:lineRule="auto"/>
        <w:jc w:val="both"/>
        <w:rPr>
          <w:rFonts w:ascii="Times New Roman" w:hAnsi="Times New Roman"/>
          <w:noProof/>
          <w:sz w:val="24"/>
          <w:szCs w:val="24"/>
        </w:rPr>
      </w:pPr>
      <w:r>
        <w:rPr>
          <w:rFonts w:ascii="Times New Roman" w:hAnsi="Times New Roman" w:cs="Times New Roman"/>
          <w:noProof/>
          <w:sz w:val="24"/>
          <w:szCs w:val="24"/>
        </w:rPr>
        <w:t xml:space="preserve">The support study also found limited empirical evidence on the acceptance of electronic transport documents by courts and on the enforceability of the </w:t>
      </w:r>
      <w:r>
        <w:rPr>
          <w:rFonts w:ascii="Times New Roman" w:hAnsi="Times New Roman"/>
          <w:noProof/>
          <w:sz w:val="24"/>
          <w:szCs w:val="24"/>
        </w:rPr>
        <w:t>contracts of carriage concluded or evidenced in an electronic form. In France, for example, where acceptance of electronic documents for road transport has been established already by national law in 1999, there is no case law yet on the enforceability of electronic transport documents</w:t>
      </w:r>
      <w:r>
        <w:rPr>
          <w:rFonts w:ascii="Times New Roman" w:hAnsi="Times New Roman"/>
          <w:noProof/>
          <w:sz w:val="24"/>
          <w:szCs w:val="24"/>
          <w:vertAlign w:val="superscript"/>
        </w:rPr>
        <w:footnoteReference w:id="42"/>
      </w:r>
      <w:r>
        <w:rPr>
          <w:rFonts w:ascii="Times New Roman" w:hAnsi="Times New Roman"/>
          <w:noProof/>
          <w:sz w:val="24"/>
          <w:szCs w:val="24"/>
        </w:rPr>
        <w:t xml:space="preserve">. In the framework of the stakeholder consultation, none of the respondents was able to identify case law recognizing the enforceability of electronic transport contracts. The limited use so far of electronic transport documents may explain the lack of such case law, and the lower importance attributed to the ‘courts’ dimension of the ‘limited acceptance’ driver. </w:t>
      </w:r>
    </w:p>
    <w:p>
      <w:pPr>
        <w:spacing w:after="120" w:line="240" w:lineRule="auto"/>
        <w:rPr>
          <w:rFonts w:ascii="Times New Roman" w:hAnsi="Times New Roman" w:cs="Times New Roman"/>
          <w:noProof/>
          <w:sz w:val="24"/>
          <w:u w:val="single"/>
        </w:rPr>
      </w:pPr>
      <w:r>
        <w:rPr>
          <w:rFonts w:ascii="Times New Roman" w:hAnsi="Times New Roman" w:cs="Times New Roman"/>
          <w:noProof/>
          <w:sz w:val="24"/>
          <w:u w:val="single"/>
        </w:rPr>
        <w:t>Non-acceptance by third countries authorities</w:t>
      </w:r>
    </w:p>
    <w:p>
      <w:pPr>
        <w:spacing w:after="120" w:line="240" w:lineRule="auto"/>
        <w:jc w:val="both"/>
        <w:rPr>
          <w:rFonts w:ascii="Times New Roman" w:hAnsi="Times New Roman" w:cs="Times New Roman"/>
          <w:noProof/>
          <w:sz w:val="24"/>
        </w:rPr>
      </w:pPr>
      <w:r>
        <w:rPr>
          <w:rFonts w:ascii="Times New Roman" w:hAnsi="Times New Roman" w:cs="Times New Roman"/>
          <w:noProof/>
          <w:sz w:val="24"/>
        </w:rPr>
        <w:t xml:space="preserve">In the OPC and SME Panel several stakeholders added the non–acceptance by third country authorities as an additional barrier hampering the use of electronic documents only. In the OPC, several stakeholders indicated that the non-acceptance is also a bottleneck when trading with neighbouring countries that are not part of the EU. An example frequently mentioned was Russia, as paper documentation is required in all road transport between Russia and the EU. </w:t>
      </w:r>
    </w:p>
    <w:p>
      <w:pPr>
        <w:spacing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respondents to the targeted impact survey and targeted interviews undertaken in the framework of the IA support study confirmed this view. Out of the 45 respondents to the survey, 30 indicated that the non-acceptance of electronic transport documentation in third countries is, at least moderately, contributing to the problem. Authorities and private stakeholders interviewed also raised this issue. </w:t>
      </w:r>
    </w:p>
    <w:p>
      <w:pPr>
        <w:spacing w:before="120" w:after="120" w:line="240" w:lineRule="auto"/>
        <w:rPr>
          <w:noProof/>
          <w:szCs w:val="24"/>
        </w:rPr>
      </w:pPr>
      <w:r>
        <w:rPr>
          <w:rFonts w:ascii="Times New Roman" w:hAnsi="Times New Roman"/>
          <w:b/>
          <w:i/>
          <w:noProof/>
          <w:sz w:val="24"/>
        </w:rPr>
        <w:t>Acceptance by businesses</w:t>
      </w:r>
      <w:r>
        <w:rPr>
          <w:rFonts w:ascii="Times New Roman" w:hAnsi="Times New Roman"/>
          <w:noProof/>
          <w:sz w:val="24"/>
        </w:rPr>
        <w:t xml:space="preserve">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Another important aspect is linked to the low acceptance of e-documents by the commercial parties themselves. Among these, banks and insurance companies, which are often necessary parties to a transport operation – insuring the cargo or providing bank guarantee as to the payment of the goods shipped – are highly relevant stakeholders in this regard. </w:t>
      </w:r>
    </w:p>
    <w:p>
      <w:pPr>
        <w:pStyle w:val="Text2"/>
        <w:spacing w:after="0"/>
        <w:ind w:left="0"/>
        <w:rPr>
          <w:b/>
          <w:noProof/>
          <w:sz w:val="20"/>
        </w:rPr>
      </w:pPr>
      <w:r>
        <w:rPr>
          <w:b/>
          <w:noProof/>
          <w:sz w:val="20"/>
        </w:rPr>
        <w:t>Figure 2.4: Significance of problem driver to the overall problem – lack of acceptance by banks</w:t>
      </w:r>
    </w:p>
    <w:p>
      <w:pPr>
        <w:keepLines/>
        <w:rPr>
          <w:noProof/>
        </w:rPr>
      </w:pPr>
      <w:r>
        <w:rPr>
          <w:noProof/>
          <w:lang w:val="en-US"/>
        </w:rPr>
        <w:drawing>
          <wp:inline distT="0" distB="0" distL="0" distR="0">
            <wp:extent cx="5400000" cy="15109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a:extLst>
                        <a:ext uri="{28A0092B-C50C-407E-A947-70E740481C1C}">
                          <a14:useLocalDpi xmlns:a14="http://schemas.microsoft.com/office/drawing/2010/main" val="0"/>
                        </a:ext>
                      </a:extLst>
                    </a:blip>
                    <a:srcRect l="1128" t="3798" r="1589" b="4521"/>
                    <a:stretch/>
                  </pic:blipFill>
                  <pic:spPr bwMode="auto">
                    <a:xfrm>
                      <a:off x="0" y="0"/>
                      <a:ext cx="5400000" cy="1510927"/>
                    </a:xfrm>
                    <a:prstGeom prst="rect">
                      <a:avLst/>
                    </a:prstGeom>
                    <a:noFill/>
                    <a:ln>
                      <a:noFill/>
                    </a:ln>
                    <a:extLst>
                      <a:ext uri="{53640926-AAD7-44D8-BBD7-CCE9431645EC}">
                        <a14:shadowObscured xmlns:a14="http://schemas.microsoft.com/office/drawing/2010/main"/>
                      </a:ext>
                    </a:extLst>
                  </pic:spPr>
                </pic:pic>
              </a:graphicData>
            </a:graphic>
          </wp:inline>
        </w:drawing>
      </w:r>
    </w:p>
    <w:p>
      <w:pPr>
        <w:keepLines/>
        <w:rPr>
          <w:rFonts w:ascii="Times New Roman" w:hAnsi="Times New Roman" w:cs="Times New Roman"/>
          <w:i/>
          <w:noProof/>
          <w:sz w:val="18"/>
          <w:szCs w:val="18"/>
        </w:rPr>
      </w:pPr>
      <w:r>
        <w:rPr>
          <w:rFonts w:ascii="Times New Roman" w:hAnsi="Times New Roman" w:cs="Times New Roman"/>
          <w:i/>
          <w:noProof/>
          <w:sz w:val="18"/>
          <w:szCs w:val="18"/>
        </w:rPr>
        <w:t>Source: OPC and SME Panel</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In the industry’s view, the acceptance by banks and insurance companies of electronic transport documents, particularly those that evidence the contract of carriage, is strictly related to the acceptance and enforceability of the electronic contracts of carriage in courts. </w:t>
      </w:r>
    </w:p>
    <w:p>
      <w:pPr>
        <w:spacing w:after="120" w:line="240" w:lineRule="auto"/>
        <w:jc w:val="both"/>
        <w:rPr>
          <w:rFonts w:ascii="Times New Roman" w:hAnsi="Times New Roman" w:cs="Times New Roman"/>
          <w:noProof/>
          <w:sz w:val="24"/>
        </w:rPr>
      </w:pPr>
      <w:r>
        <w:rPr>
          <w:rFonts w:ascii="Times New Roman" w:hAnsi="Times New Roman" w:cs="Times New Roman"/>
          <w:noProof/>
          <w:sz w:val="24"/>
        </w:rPr>
        <w:t>More than half of the stakeholders in the OPC indicated that the limited acceptance by both banks and insurance companies contributes, at least moderately, to the overall problem. Private companies (ranging from transport operators and forwarders to different associations) were the main respondents to the OPC. A relatively large share of the respondents (almost 30%) indicated however that they do not have an opinion on the subject.</w:t>
      </w:r>
    </w:p>
    <w:p>
      <w:pPr>
        <w:pStyle w:val="Text2"/>
        <w:spacing w:after="0"/>
        <w:ind w:left="0"/>
        <w:rPr>
          <w:b/>
          <w:noProof/>
          <w:sz w:val="20"/>
        </w:rPr>
      </w:pPr>
      <w:r>
        <w:rPr>
          <w:b/>
          <w:noProof/>
          <w:sz w:val="20"/>
        </w:rPr>
        <w:t>Figure 2.5: Significance of problem driver to the overall problem – lack of acceptance by insurance companies</w:t>
      </w:r>
    </w:p>
    <w:p>
      <w:pPr>
        <w:rPr>
          <w:noProof/>
        </w:rPr>
      </w:pPr>
      <w:r>
        <w:rPr>
          <w:noProof/>
          <w:lang w:val="en-US"/>
        </w:rPr>
        <w:drawing>
          <wp:inline distT="0" distB="0" distL="0" distR="0">
            <wp:extent cx="5400000" cy="1365517"/>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a:extLst>
                        <a:ext uri="{28A0092B-C50C-407E-A947-70E740481C1C}">
                          <a14:useLocalDpi xmlns:a14="http://schemas.microsoft.com/office/drawing/2010/main" val="0"/>
                        </a:ext>
                      </a:extLst>
                    </a:blip>
                    <a:srcRect l="1279" t="3552" r="1332" b="5325"/>
                    <a:stretch/>
                  </pic:blipFill>
                  <pic:spPr bwMode="auto">
                    <a:xfrm>
                      <a:off x="0" y="0"/>
                      <a:ext cx="5400000" cy="1365517"/>
                    </a:xfrm>
                    <a:prstGeom prst="rect">
                      <a:avLst/>
                    </a:prstGeom>
                    <a:noFill/>
                    <a:ln>
                      <a:noFill/>
                    </a:ln>
                    <a:extLst>
                      <a:ext uri="{53640926-AAD7-44D8-BBD7-CCE9431645EC}">
                        <a14:shadowObscured xmlns:a14="http://schemas.microsoft.com/office/drawing/2010/main"/>
                      </a:ext>
                    </a:extLst>
                  </pic:spPr>
                </pic:pic>
              </a:graphicData>
            </a:graphic>
          </wp:inline>
        </w:drawing>
      </w:r>
    </w:p>
    <w:p>
      <w:pPr>
        <w:keepLines/>
        <w:rPr>
          <w:rFonts w:ascii="Times New Roman" w:hAnsi="Times New Roman" w:cs="Times New Roman"/>
          <w:i/>
          <w:noProof/>
          <w:sz w:val="18"/>
          <w:szCs w:val="18"/>
        </w:rPr>
      </w:pPr>
      <w:r>
        <w:rPr>
          <w:rFonts w:ascii="Times New Roman" w:hAnsi="Times New Roman" w:cs="Times New Roman"/>
          <w:i/>
          <w:noProof/>
          <w:sz w:val="18"/>
          <w:szCs w:val="18"/>
        </w:rPr>
        <w:t>Source: OPC and SME Panel</w:t>
      </w:r>
    </w:p>
    <w:p>
      <w:pPr>
        <w:spacing w:after="120" w:line="240" w:lineRule="auto"/>
        <w:jc w:val="both"/>
        <w:rPr>
          <w:rFonts w:ascii="Times New Roman" w:hAnsi="Times New Roman"/>
          <w:noProof/>
          <w:sz w:val="24"/>
          <w:szCs w:val="24"/>
        </w:rPr>
      </w:pPr>
      <w:r>
        <w:rPr>
          <w:rFonts w:ascii="Times New Roman" w:hAnsi="Times New Roman"/>
          <w:noProof/>
          <w:sz w:val="24"/>
          <w:szCs w:val="24"/>
        </w:rPr>
        <w:t>Lack of legal certainty in this regard impacts the decision of banks and insurance companies to accept electronic transport documents</w:t>
      </w:r>
      <w:r>
        <w:rPr>
          <w:rFonts w:ascii="Times New Roman" w:hAnsi="Times New Roman"/>
          <w:noProof/>
          <w:sz w:val="24"/>
          <w:szCs w:val="24"/>
          <w:vertAlign w:val="superscript"/>
        </w:rPr>
        <w:footnoteReference w:id="43"/>
      </w:r>
      <w:r>
        <w:rPr>
          <w:rFonts w:ascii="Times New Roman" w:hAnsi="Times New Roman"/>
          <w:noProof/>
          <w:sz w:val="24"/>
          <w:szCs w:val="24"/>
        </w:rPr>
        <w:t>. In case of litigation, banks and insurance companies want to be certain that the responsibilities and liabilities mentioned in a contract of carriage are enforceable by means of court order. It appears however, that insurance companies tend, more than banks, to accept electronic transport documents when requested to insure cargo.</w:t>
      </w:r>
    </w:p>
    <w:p>
      <w:pPr>
        <w:spacing w:after="120" w:line="240" w:lineRule="auto"/>
        <w:jc w:val="both"/>
        <w:rPr>
          <w:rFonts w:ascii="Times New Roman" w:hAnsi="Times New Roman" w:cs="Times New Roman"/>
          <w:noProof/>
          <w:sz w:val="24"/>
        </w:rPr>
      </w:pPr>
      <w:r>
        <w:rPr>
          <w:rFonts w:ascii="Times New Roman" w:hAnsi="Times New Roman" w:cs="Times New Roman"/>
          <w:noProof/>
          <w:sz w:val="24"/>
        </w:rPr>
        <w:t xml:space="preserve">Smaller companies experience higher lack of acceptance by banks and insurance companies than their relatively larger counterparts. As presented in the figure 2.5, more than 60% of the respondents to the SME Panel see the lack of acceptance as a significant contributor, while in the OPC only 20 to 24% of the respondents showed a similar view. The difference might be explained by the fact that for smaller companies it is more difficult to obtain finance or insurance (due to business risks), than it is for larger companies. </w:t>
      </w:r>
    </w:p>
    <w:p>
      <w:pPr>
        <w:pStyle w:val="Heading3"/>
        <w:spacing w:before="240"/>
        <w:rPr>
          <w:noProof/>
        </w:rPr>
      </w:pPr>
      <w:bookmarkStart w:id="40" w:name="_Toc512854905"/>
      <w:r>
        <w:rPr>
          <w:noProof/>
        </w:rPr>
        <w:t>Different administrative practices between and within Member States</w:t>
      </w:r>
      <w:bookmarkEnd w:id="40"/>
    </w:p>
    <w:p>
      <w:pPr>
        <w:spacing w:after="120" w:line="240" w:lineRule="auto"/>
        <w:jc w:val="both"/>
        <w:rPr>
          <w:rFonts w:ascii="Times New Roman" w:hAnsi="Times New Roman"/>
          <w:noProof/>
          <w:sz w:val="24"/>
          <w:szCs w:val="24"/>
        </w:rPr>
      </w:pPr>
      <w:r>
        <w:rPr>
          <w:rFonts w:ascii="Times New Roman" w:hAnsi="Times New Roman"/>
          <w:noProof/>
          <w:sz w:val="24"/>
          <w:szCs w:val="24"/>
        </w:rPr>
        <w:t>The analysis of the stakeholder consultation has revealed important differences in the way the different Member States authorities are conducting inspections aimed at establishing compliance with applicable regulatory requirements</w:t>
      </w:r>
      <w:r>
        <w:rPr>
          <w:rStyle w:val="FootnoteReference"/>
          <w:rFonts w:ascii="Times New Roman" w:hAnsi="Times New Roman"/>
          <w:noProof/>
          <w:sz w:val="24"/>
          <w:szCs w:val="24"/>
        </w:rPr>
        <w:footnoteReference w:id="44"/>
      </w:r>
      <w:r>
        <w:rPr>
          <w:rFonts w:ascii="Times New Roman" w:hAnsi="Times New Roman"/>
          <w:noProof/>
          <w:sz w:val="24"/>
          <w:szCs w:val="24"/>
        </w:rPr>
        <w:t>. Thus, when the same transport document is inspected in the same Member State by different authorities, for different purposes, they may do so in different ways. Across Members States, differences in inspection practices are equally present, even when the same type of authority is performing a control for the same regulatory purposes in the same transport mode</w:t>
      </w:r>
      <w:r>
        <w:rPr>
          <w:rStyle w:val="FootnoteReference"/>
          <w:rFonts w:ascii="Times New Roman" w:hAnsi="Times New Roman"/>
          <w:noProof/>
          <w:sz w:val="24"/>
          <w:szCs w:val="24"/>
        </w:rPr>
        <w:footnoteReference w:id="45"/>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Furthermore, the consultation revealed that the appreciation by the different individual public authorities, including at the level of the enforcement officers, of the extent to which they may trust or not a document presented electronically, also determines whether they may accept in one case such document as evidence, while in other they may require to see the paper documents</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xml:space="preserve">. Different authorities may impose different requirements for the acceptance of the same information/document inspected also pursuant to their long-established practices.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Several authorities in (at least) some Member States appear to follow different administrative processes, developed in the course of decades. When moving from paper to digitalised inspection processes, these practices tend to be reproduced, resulting in continuing differences in therefore, with consequences for compliance requirements for businesses.  This is for example the case in the maritime sector in Italy, where the harmonization of different administrative processes followed by the different maritime authorities has been the main challenge for the implementation of the maritime national single window, in the context of the RFD, at national level</w:t>
      </w:r>
      <w:r>
        <w:rPr>
          <w:rFonts w:ascii="Times New Roman" w:hAnsi="Times New Roman" w:cs="Times New Roman"/>
          <w:noProof/>
          <w:sz w:val="24"/>
          <w:szCs w:val="24"/>
          <w:vertAlign w:val="superscript"/>
        </w:rPr>
        <w:footnoteReference w:id="47"/>
      </w:r>
      <w:r>
        <w:rPr>
          <w:rFonts w:ascii="Times New Roman" w:hAnsi="Times New Roman" w:cs="Times New Roman"/>
          <w:noProof/>
          <w:sz w:val="24"/>
          <w:szCs w:val="24"/>
        </w:rPr>
        <w:t>.</w:t>
      </w:r>
      <w:r>
        <w:rPr>
          <w:noProof/>
        </w:rPr>
        <w:t xml:space="preserve"> </w:t>
      </w:r>
    </w:p>
    <w:p>
      <w:pPr>
        <w:pStyle w:val="Text2"/>
        <w:spacing w:after="0"/>
        <w:ind w:left="0"/>
        <w:rPr>
          <w:b/>
          <w:noProof/>
          <w:sz w:val="20"/>
        </w:rPr>
      </w:pPr>
      <w:r>
        <w:rPr>
          <w:b/>
          <w:noProof/>
          <w:sz w:val="20"/>
        </w:rPr>
        <w:t xml:space="preserve">Textbox 2.3: Other examples of different administrative practices </w:t>
      </w:r>
    </w:p>
    <w:p>
      <w:pPr>
        <w:pStyle w:val="Text2"/>
        <w:pBdr>
          <w:top w:val="single" w:sz="4" w:space="1" w:color="auto"/>
          <w:left w:val="single" w:sz="4" w:space="4" w:color="auto"/>
          <w:bottom w:val="single" w:sz="4" w:space="1" w:color="auto"/>
          <w:right w:val="single" w:sz="4" w:space="4" w:color="auto"/>
        </w:pBdr>
        <w:shd w:val="clear" w:color="auto" w:fill="BFBFBF" w:themeFill="background1" w:themeFillShade="BF"/>
        <w:spacing w:after="120"/>
        <w:ind w:left="0"/>
        <w:rPr>
          <w:noProof/>
          <w:sz w:val="18"/>
          <w:szCs w:val="18"/>
        </w:rPr>
      </w:pPr>
      <w:r>
        <w:rPr>
          <w:noProof/>
          <w:sz w:val="18"/>
          <w:szCs w:val="18"/>
        </w:rPr>
        <w:t xml:space="preserve">In the Netherlands, an electronic transport document (the e-AWB) is accepted for the entry and exit processes of cargo by air, but when the cargo is being transported by road in order to reach the final destination, the paper version of the same air waybill is often used, as road side inspectors do not accept an e-AWB. Although the e-AWB is recognised by Dutch law (and is a valid document) road side inspectors still require a paper version. They prefer paper over electronic documents as they fear that the latter might be fraudulent. </w:t>
      </w:r>
    </w:p>
    <w:p>
      <w:pPr>
        <w:pStyle w:val="Text2"/>
        <w:pBdr>
          <w:top w:val="single" w:sz="4" w:space="1" w:color="auto"/>
          <w:left w:val="single" w:sz="4" w:space="4" w:color="auto"/>
          <w:bottom w:val="single" w:sz="4" w:space="1" w:color="auto"/>
          <w:right w:val="single" w:sz="4" w:space="4" w:color="auto"/>
        </w:pBdr>
        <w:shd w:val="clear" w:color="auto" w:fill="BFBFBF" w:themeFill="background1" w:themeFillShade="BF"/>
        <w:spacing w:after="120"/>
        <w:ind w:left="0"/>
        <w:rPr>
          <w:noProof/>
          <w:sz w:val="18"/>
          <w:szCs w:val="18"/>
        </w:rPr>
      </w:pPr>
      <w:r>
        <w:rPr>
          <w:noProof/>
          <w:sz w:val="18"/>
          <w:szCs w:val="18"/>
        </w:rPr>
        <w:t>Reportedly, in France, while custom authorities accept an electronic air waybill, a paper air waybill still needs to be submitted to airport handlers or airlines</w:t>
      </w:r>
      <w:r>
        <w:rPr>
          <w:noProof/>
          <w:sz w:val="18"/>
          <w:szCs w:val="18"/>
          <w:vertAlign w:val="superscript"/>
        </w:rPr>
        <w:footnoteReference w:id="48"/>
      </w:r>
      <w:r>
        <w:rPr>
          <w:noProof/>
          <w:sz w:val="18"/>
          <w:szCs w:val="18"/>
        </w:rPr>
        <w:t>.</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before="60" w:after="60"/>
        <w:jc w:val="both"/>
        <w:rPr>
          <w:rFonts w:ascii="Times New Roman" w:hAnsi="Times New Roman" w:cs="Times New Roman"/>
          <w:noProof/>
          <w:sz w:val="18"/>
          <w:szCs w:val="18"/>
        </w:rPr>
      </w:pPr>
      <w:r>
        <w:rPr>
          <w:rFonts w:ascii="Times New Roman" w:hAnsi="Times New Roman" w:cs="Times New Roman"/>
          <w:noProof/>
          <w:sz w:val="18"/>
          <w:szCs w:val="18"/>
        </w:rPr>
        <w:t>Another illustrative example for the argument made above is that of the Luxembourg police. Currently, officers may seize all paper documents presented by a driver during a road-side control, if they have reasons to suspect that the information or the documents provided are not genuine. Not surprisingly, during training in preparation of the launch of the Benelux e-CMR pilot, the main questions they raised were: how to trust that what they would be presented on a smart phone/tablet is genuine?; and, in case they had doubts, whether they would be allowed to confiscate the respective tablet/smartphone?</w:t>
      </w:r>
      <w:r>
        <w:rPr>
          <w:rFonts w:ascii="Times New Roman" w:hAnsi="Times New Roman" w:cs="Times New Roman"/>
          <w:noProof/>
          <w:sz w:val="18"/>
          <w:szCs w:val="18"/>
          <w:vertAlign w:val="superscript"/>
        </w:rPr>
        <w:footnoteReference w:id="49"/>
      </w:r>
      <w:r>
        <w:rPr>
          <w:rFonts w:ascii="Times New Roman" w:hAnsi="Times New Roman" w:cs="Times New Roman"/>
          <w:noProof/>
          <w:sz w:val="18"/>
          <w:szCs w:val="18"/>
        </w:rPr>
        <w:t xml:space="preserve">. </w:t>
      </w:r>
    </w:p>
    <w:p>
      <w:pPr>
        <w:pStyle w:val="Heading3"/>
        <w:spacing w:before="240"/>
        <w:rPr>
          <w:noProof/>
        </w:rPr>
      </w:pPr>
      <w:bookmarkStart w:id="41" w:name="_Toc512854906"/>
      <w:r>
        <w:rPr>
          <w:noProof/>
        </w:rPr>
        <w:t>Why is it a problem?</w:t>
      </w:r>
      <w:bookmarkEnd w:id="41"/>
    </w:p>
    <w:p>
      <w:pPr>
        <w:keepNext/>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Businesses are currently facing a complex and uncertain landscape regarding the acceptance of electronic documents, particularly by the public authorities, in the different Member States. Consequently, and to avoid the risk of electronic documents being declared noncompliant, the transport operators as well as the other involved commercial parties prefer to print, carry and exchange paper cargo documents, in spite of all the inconvenience and cost this may imply. Paper is often carried in parallel to electronic information and documents exchange</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w:t>
      </w:r>
    </w:p>
    <w:p>
      <w:pPr>
        <w:keepNext/>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Paper-based information and documentation exchange processes, both in business-to-business (B2B) and business-to-administration (B2A) communication, have been identified by numerous companies as an important source of foregone cost savings, untapped potential for administrative burden reduction and, more generally, efficiency losses. The large majority of the stakeholder consulted – i.e. more than 90% of the 265 SME respondents to the SME panel survey</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and 88 of the 100 respondents to the open public consultation (OPC) survey indicated significant or at least some expected benefits from adopting electronic information exchange.</w:t>
      </w:r>
    </w:p>
    <w:p>
      <w:pPr>
        <w:keepNext/>
        <w:shd w:val="clear" w:color="auto" w:fill="FFFFFF" w:themeFill="background1"/>
        <w:tabs>
          <w:tab w:val="right" w:pos="8618"/>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Businesses have identified different sources of costs related to the paper-based processes. A primary source is the management of the physical documents as means of transfer of information from one party to the other – primarily related time spent by the employees, but also the use of physical resources such as paper and printer toner. Another source of costs are the errors in the manipulation of these documents by the various individuals involved in a transport operation – such as errors in (re-)copying the data, damage, misplacement or loss of documents. </w:t>
      </w:r>
    </w:p>
    <w:p>
      <w:pPr>
        <w:keepNext/>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degree of digitalisation is different across transport modes, impacting differently the time (and equivalent costs) spent in processing freight transport information by the different transport modes. Due to reasons explained under the problem driver section, the highest level of uptake of e-documents/information exchange is in the aviation sector (c.a. 40 %) followed by the rail sector (c.a. 5%) and road (c.a. 1%). The overall levels of uptake in the maritime and inland waterway transport sectors are close to zero. Table 2.1 shows that in 2018 it is estimated that more than 380 million hours would be spent for processing freight transport information needed for national and international trips, equivalent to almost EUR 7.9 billion</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w:t>
      </w:r>
    </w:p>
    <w:p>
      <w:pPr>
        <w:keepNext/>
        <w:shd w:val="clear" w:color="auto" w:fill="FFFFFF" w:themeFill="background1"/>
        <w:tabs>
          <w:tab w:val="right" w:pos="8618"/>
        </w:tabs>
        <w:spacing w:before="120" w:after="120" w:line="240" w:lineRule="auto"/>
        <w:jc w:val="both"/>
        <w:rPr>
          <w:rFonts w:ascii="Times New Roman" w:hAnsi="Times New Roman" w:cs="Times New Roman"/>
          <w:b/>
          <w:noProof/>
          <w:sz w:val="20"/>
          <w:szCs w:val="20"/>
        </w:rPr>
      </w:pPr>
      <w:r>
        <w:rPr>
          <w:rFonts w:ascii="Times New Roman" w:hAnsi="Times New Roman" w:cs="Times New Roman"/>
          <w:b/>
          <w:noProof/>
          <w:sz w:val="20"/>
          <w:szCs w:val="20"/>
        </w:rPr>
        <w:t>Table 2.1: Estimated time and equivalent costs spent processing freight transport information by mode of transport in 2018</w:t>
      </w:r>
    </w:p>
    <w:tbl>
      <w:tblPr>
        <w:tblW w:w="5000" w:type="pct"/>
        <w:tblLook w:val="04A0" w:firstRow="1" w:lastRow="0" w:firstColumn="1" w:lastColumn="0" w:noHBand="0" w:noVBand="1"/>
      </w:tblPr>
      <w:tblGrid>
        <w:gridCol w:w="1234"/>
        <w:gridCol w:w="2014"/>
        <w:gridCol w:w="2014"/>
        <w:gridCol w:w="2014"/>
        <w:gridCol w:w="2012"/>
      </w:tblGrid>
      <w:tr>
        <w:trPr>
          <w:trHeight w:val="912"/>
        </w:trPr>
        <w:tc>
          <w:tcPr>
            <w:tcW w:w="665" w:type="pct"/>
            <w:tcBorders>
              <w:top w:val="single" w:sz="4" w:space="0" w:color="auto"/>
              <w:left w:val="single" w:sz="4" w:space="0" w:color="auto"/>
              <w:bottom w:val="single" w:sz="4" w:space="0" w:color="auto"/>
              <w:right w:val="nil"/>
            </w:tcBorders>
            <w:shd w:val="clear" w:color="000000" w:fill="0070C0"/>
            <w:vAlign w:val="center"/>
            <w:hideMark/>
          </w:tcPr>
          <w:p>
            <w:pPr>
              <w:spacing w:after="0" w:line="240" w:lineRule="auto"/>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 </w:t>
            </w:r>
          </w:p>
        </w:tc>
        <w:tc>
          <w:tcPr>
            <w:tcW w:w="1084" w:type="pct"/>
            <w:tcBorders>
              <w:top w:val="single" w:sz="4" w:space="0" w:color="auto"/>
              <w:left w:val="single" w:sz="4" w:space="0" w:color="auto"/>
              <w:bottom w:val="single" w:sz="4" w:space="0" w:color="auto"/>
              <w:right w:val="single" w:sz="4" w:space="0" w:color="auto"/>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Total time spent processing freight transport information (million hours)</w:t>
            </w:r>
          </w:p>
        </w:tc>
        <w:tc>
          <w:tcPr>
            <w:tcW w:w="1084" w:type="pct"/>
            <w:tcBorders>
              <w:top w:val="single" w:sz="4" w:space="0" w:color="auto"/>
              <w:left w:val="nil"/>
              <w:bottom w:val="single" w:sz="4" w:space="0" w:color="auto"/>
              <w:right w:val="single" w:sz="4" w:space="0" w:color="auto"/>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Administrative costs - intra-Member State  shipments (EUR million)</w:t>
            </w:r>
          </w:p>
        </w:tc>
        <w:tc>
          <w:tcPr>
            <w:tcW w:w="1084" w:type="pct"/>
            <w:tcBorders>
              <w:top w:val="single" w:sz="4" w:space="0" w:color="auto"/>
              <w:left w:val="nil"/>
              <w:bottom w:val="single" w:sz="4" w:space="0" w:color="auto"/>
              <w:right w:val="single" w:sz="4" w:space="0" w:color="auto"/>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Administrative costs -  shipments between EU Member State  (EUR million)</w:t>
            </w:r>
          </w:p>
        </w:tc>
        <w:tc>
          <w:tcPr>
            <w:tcW w:w="1084" w:type="pct"/>
            <w:tcBorders>
              <w:top w:val="single" w:sz="4" w:space="0" w:color="auto"/>
              <w:left w:val="nil"/>
              <w:bottom w:val="single" w:sz="4" w:space="0" w:color="auto"/>
              <w:right w:val="nil"/>
            </w:tcBorders>
            <w:shd w:val="clear" w:color="000000" w:fill="0070C0"/>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Total administrative costs (EUR million)</w:t>
            </w:r>
          </w:p>
        </w:tc>
      </w:tr>
      <w:tr>
        <w:trPr>
          <w:trHeight w:val="240"/>
        </w:trPr>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Road</w:t>
            </w:r>
          </w:p>
        </w:tc>
        <w:tc>
          <w:tcPr>
            <w:tcW w:w="1084" w:type="pc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297</w:t>
            </w:r>
          </w:p>
        </w:tc>
        <w:tc>
          <w:tcPr>
            <w:tcW w:w="1084"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5,663</w:t>
            </w:r>
          </w:p>
        </w:tc>
        <w:tc>
          <w:tcPr>
            <w:tcW w:w="1084" w:type="pc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299</w:t>
            </w:r>
          </w:p>
        </w:tc>
        <w:tc>
          <w:tcPr>
            <w:tcW w:w="1084"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5,962</w:t>
            </w:r>
          </w:p>
        </w:tc>
      </w:tr>
      <w:tr>
        <w:trPr>
          <w:trHeight w:val="240"/>
        </w:trPr>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Rail</w:t>
            </w:r>
          </w:p>
        </w:tc>
        <w:tc>
          <w:tcPr>
            <w:tcW w:w="1084" w:type="pc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29</w:t>
            </w:r>
          </w:p>
        </w:tc>
        <w:tc>
          <w:tcPr>
            <w:tcW w:w="1084"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299</w:t>
            </w:r>
          </w:p>
        </w:tc>
        <w:tc>
          <w:tcPr>
            <w:tcW w:w="1084" w:type="pct"/>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208</w:t>
            </w:r>
          </w:p>
        </w:tc>
        <w:tc>
          <w:tcPr>
            <w:tcW w:w="1084" w:type="pct"/>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507</w:t>
            </w:r>
          </w:p>
        </w:tc>
      </w:tr>
      <w:tr>
        <w:trPr>
          <w:trHeight w:val="240"/>
        </w:trPr>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IWT</w:t>
            </w:r>
          </w:p>
        </w:tc>
        <w:tc>
          <w:tcPr>
            <w:tcW w:w="1084" w:type="pc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24</w:t>
            </w:r>
          </w:p>
        </w:tc>
        <w:tc>
          <w:tcPr>
            <w:tcW w:w="1084"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178</w:t>
            </w:r>
          </w:p>
        </w:tc>
        <w:tc>
          <w:tcPr>
            <w:tcW w:w="1084" w:type="pct"/>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404</w:t>
            </w:r>
          </w:p>
        </w:tc>
        <w:tc>
          <w:tcPr>
            <w:tcW w:w="1084" w:type="pct"/>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582</w:t>
            </w:r>
          </w:p>
        </w:tc>
      </w:tr>
      <w:tr>
        <w:trPr>
          <w:trHeight w:val="240"/>
        </w:trPr>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Maritime</w:t>
            </w:r>
          </w:p>
        </w:tc>
        <w:tc>
          <w:tcPr>
            <w:tcW w:w="1084" w:type="pct"/>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36</w:t>
            </w:r>
          </w:p>
        </w:tc>
        <w:tc>
          <w:tcPr>
            <w:tcW w:w="1084" w:type="pc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147</w:t>
            </w:r>
          </w:p>
        </w:tc>
        <w:tc>
          <w:tcPr>
            <w:tcW w:w="1084"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667</w:t>
            </w:r>
          </w:p>
        </w:tc>
        <w:tc>
          <w:tcPr>
            <w:tcW w:w="1084" w:type="pct"/>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814</w:t>
            </w:r>
          </w:p>
        </w:tc>
      </w:tr>
      <w:tr>
        <w:trPr>
          <w:trHeight w:val="240"/>
        </w:trPr>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Aviation</w:t>
            </w:r>
          </w:p>
        </w:tc>
        <w:tc>
          <w:tcPr>
            <w:tcW w:w="1084" w:type="pct"/>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w:t>
            </w:r>
          </w:p>
        </w:tc>
        <w:tc>
          <w:tcPr>
            <w:tcW w:w="1084" w:type="pc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w:t>
            </w:r>
          </w:p>
        </w:tc>
        <w:tc>
          <w:tcPr>
            <w:tcW w:w="1084"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22</w:t>
            </w:r>
          </w:p>
        </w:tc>
        <w:tc>
          <w:tcPr>
            <w:tcW w:w="1084" w:type="pct"/>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25</w:t>
            </w:r>
          </w:p>
        </w:tc>
      </w:tr>
      <w:tr>
        <w:trPr>
          <w:trHeight w:val="240"/>
        </w:trPr>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Total</w:t>
            </w:r>
          </w:p>
        </w:tc>
        <w:tc>
          <w:tcPr>
            <w:tcW w:w="1084" w:type="pct"/>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387</w:t>
            </w:r>
          </w:p>
        </w:tc>
        <w:tc>
          <w:tcPr>
            <w:tcW w:w="1084" w:type="pc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6,290</w:t>
            </w:r>
          </w:p>
        </w:tc>
        <w:tc>
          <w:tcPr>
            <w:tcW w:w="1084"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1,600</w:t>
            </w:r>
          </w:p>
        </w:tc>
        <w:tc>
          <w:tcPr>
            <w:tcW w:w="1084" w:type="pct"/>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7,890</w:t>
            </w:r>
          </w:p>
        </w:tc>
      </w:tr>
    </w:tbl>
    <w:p>
      <w:pPr>
        <w:keepNext/>
        <w:shd w:val="clear" w:color="auto" w:fill="FFFFFF" w:themeFill="background1"/>
        <w:tabs>
          <w:tab w:val="right" w:pos="8618"/>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Yet other costs are related to inefficiencies in companies’ internal decision-making processes, due to lack of real-time information on their actual physical stock (what goods are sold, but still awaiting shipment, which are in transit, which delivered and awaiting payment or, conversely, which have been contracted, but not yet delivered, for what value etc.). In addition, overall supply chain organisation could also be significantly optimised, if real-time data on the goods being moved were available</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w:t>
      </w:r>
    </w:p>
    <w:p>
      <w:pPr>
        <w:keepNext/>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National public administrations believe that there is a potential for more effective use of larger volumes of data, in particular with regards to their capacity to effectively and efficiently enforce applicable regulations, and to devise better targeted and more effective policy measures. Moreover, some public administrations also indicate that there are some efficiency losses in processing non-digitised information. For example, for the Rhine-Danube corridor alone, authorities estimate about 5 million euros losses due to the time needed to process non-digital information for investigations</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xml:space="preserve">. </w:t>
      </w:r>
    </w:p>
    <w:p>
      <w:pPr>
        <w:keepNext/>
        <w:shd w:val="clear" w:color="auto" w:fill="FFFFFF" w:themeFill="background1"/>
        <w:tabs>
          <w:tab w:val="right" w:pos="8618"/>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short, paper-based processes of transport information and documentation exchange are an important source of unnecessary costs and inefficiencies for businesses. They also particularly affect the transport of goods changing transport mode or crossing borders, thus potentially hindering multimodality and putting obstacles to the Single Market. In multimodal transport operations involving several modal legs, stakeholders estimate potential savings from the digitalisation of current paper-based processes at about three times higher, per shipment, than in a unimodal operation. The two case studies conducted provide evidence of benefits of around EUR 9-37 and EUR 21-87 per trip due to time savings</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w:t>
      </w:r>
    </w:p>
    <w:p>
      <w:pPr>
        <w:keepNext/>
        <w:shd w:val="clear" w:color="auto" w:fill="FFFFFF" w:themeFill="background1"/>
        <w:tabs>
          <w:tab w:val="right" w:pos="8618"/>
        </w:tabs>
        <w:spacing w:before="120" w:after="120" w:line="240" w:lineRule="auto"/>
        <w:jc w:val="both"/>
        <w:rPr>
          <w:rFonts w:ascii="Times New Roman" w:hAnsi="Times New Roman" w:cs="Times New Roman"/>
          <w:b/>
          <w:noProof/>
          <w:sz w:val="20"/>
          <w:szCs w:val="20"/>
        </w:rPr>
      </w:pPr>
      <w:r>
        <w:rPr>
          <w:rFonts w:ascii="Times New Roman" w:hAnsi="Times New Roman" w:cs="Times New Roman"/>
          <w:b/>
          <w:noProof/>
          <w:sz w:val="20"/>
          <w:szCs w:val="20"/>
        </w:rPr>
        <w:t>Table 2.2: Samskip case studies on administrative cost reduction from transport e-document</w:t>
      </w:r>
    </w:p>
    <w:tbl>
      <w:tblPr>
        <w:tblStyle w:val="table-style-blauw-100-outline"/>
        <w:tblW w:w="5000" w:type="pct"/>
        <w:tblLook w:val="04A0" w:firstRow="1" w:lastRow="0" w:firstColumn="1" w:lastColumn="0" w:noHBand="0" w:noVBand="1"/>
      </w:tblPr>
      <w:tblGrid>
        <w:gridCol w:w="827"/>
        <w:gridCol w:w="1949"/>
        <w:gridCol w:w="3011"/>
        <w:gridCol w:w="1144"/>
        <w:gridCol w:w="41"/>
        <w:gridCol w:w="1022"/>
        <w:gridCol w:w="137"/>
        <w:gridCol w:w="1157"/>
      </w:tblGrid>
      <w:tr>
        <w:trPr>
          <w:cnfStyle w:val="100000000000" w:firstRow="1" w:lastRow="0" w:firstColumn="0" w:lastColumn="0" w:oddVBand="0" w:evenVBand="0" w:oddHBand="0" w:evenHBand="0" w:firstRowFirstColumn="0" w:firstRowLastColumn="0" w:lastRowFirstColumn="0" w:lastRowLastColumn="0"/>
          <w:tblHeader/>
        </w:trPr>
        <w:tc>
          <w:tcPr>
            <w:tcW w:w="445" w:type="pct"/>
          </w:tcPr>
          <w:p>
            <w:pPr>
              <w:pStyle w:val="table-text"/>
              <w:jc w:val="center"/>
              <w:rPr>
                <w:rFonts w:ascii="Times New Roman" w:hAnsi="Times New Roman"/>
                <w:noProof/>
                <w:sz w:val="18"/>
                <w:szCs w:val="18"/>
                <w:lang w:val="en-GB"/>
              </w:rPr>
            </w:pPr>
          </w:p>
        </w:tc>
        <w:tc>
          <w:tcPr>
            <w:tcW w:w="1049" w:type="pct"/>
          </w:tcPr>
          <w:p>
            <w:pPr>
              <w:pStyle w:val="table-text"/>
              <w:spacing w:before="60" w:after="60" w:line="240" w:lineRule="auto"/>
              <w:jc w:val="center"/>
              <w:rPr>
                <w:rFonts w:ascii="Times New Roman" w:hAnsi="Times New Roman"/>
                <w:noProof/>
                <w:sz w:val="18"/>
                <w:szCs w:val="18"/>
                <w:lang w:val="en-GB"/>
              </w:rPr>
            </w:pPr>
            <w:r>
              <w:rPr>
                <w:rFonts w:ascii="Times New Roman" w:hAnsi="Times New Roman"/>
                <w:noProof/>
                <w:sz w:val="18"/>
                <w:szCs w:val="18"/>
                <w:lang w:val="en-GB"/>
              </w:rPr>
              <w:t>Member States involved</w:t>
            </w:r>
          </w:p>
        </w:tc>
        <w:tc>
          <w:tcPr>
            <w:tcW w:w="1621" w:type="pct"/>
          </w:tcPr>
          <w:p>
            <w:pPr>
              <w:pStyle w:val="table-text"/>
              <w:spacing w:before="60" w:after="60" w:line="240" w:lineRule="auto"/>
              <w:jc w:val="center"/>
              <w:rPr>
                <w:rFonts w:ascii="Times New Roman" w:hAnsi="Times New Roman"/>
                <w:b w:val="0"/>
                <w:noProof/>
                <w:sz w:val="18"/>
                <w:szCs w:val="18"/>
                <w:lang w:val="en-GB"/>
              </w:rPr>
            </w:pPr>
            <w:r>
              <w:rPr>
                <w:rFonts w:ascii="Times New Roman" w:hAnsi="Times New Roman"/>
                <w:noProof/>
                <w:sz w:val="18"/>
                <w:szCs w:val="18"/>
                <w:lang w:val="en-GB"/>
              </w:rPr>
              <w:t>Modes of transport</w:t>
            </w:r>
          </w:p>
        </w:tc>
        <w:tc>
          <w:tcPr>
            <w:tcW w:w="638" w:type="pct"/>
            <w:gridSpan w:val="2"/>
          </w:tcPr>
          <w:p>
            <w:pPr>
              <w:pStyle w:val="table-text"/>
              <w:spacing w:before="60" w:after="60" w:line="240" w:lineRule="auto"/>
              <w:jc w:val="center"/>
              <w:rPr>
                <w:rFonts w:ascii="Times New Roman" w:hAnsi="Times New Roman"/>
                <w:b w:val="0"/>
                <w:noProof/>
                <w:sz w:val="18"/>
                <w:szCs w:val="18"/>
                <w:lang w:val="en-GB"/>
              </w:rPr>
            </w:pPr>
            <w:r>
              <w:rPr>
                <w:rFonts w:ascii="Times New Roman" w:hAnsi="Times New Roman"/>
                <w:noProof/>
                <w:sz w:val="18"/>
                <w:szCs w:val="18"/>
                <w:lang w:val="en-GB"/>
              </w:rPr>
              <w:t>Number of transfers</w:t>
            </w:r>
          </w:p>
        </w:tc>
        <w:tc>
          <w:tcPr>
            <w:tcW w:w="624" w:type="pct"/>
            <w:gridSpan w:val="2"/>
          </w:tcPr>
          <w:p>
            <w:pPr>
              <w:pStyle w:val="table-text"/>
              <w:spacing w:before="60" w:after="60" w:line="240" w:lineRule="auto"/>
              <w:jc w:val="center"/>
              <w:rPr>
                <w:rFonts w:ascii="Times New Roman" w:hAnsi="Times New Roman"/>
                <w:noProof/>
                <w:sz w:val="18"/>
                <w:szCs w:val="18"/>
                <w:lang w:val="en-GB"/>
              </w:rPr>
            </w:pPr>
            <w:r>
              <w:rPr>
                <w:rFonts w:ascii="Times New Roman" w:hAnsi="Times New Roman"/>
                <w:noProof/>
                <w:sz w:val="18"/>
                <w:szCs w:val="18"/>
                <w:lang w:val="en-GB"/>
              </w:rPr>
              <w:t>Lost time savings (min)</w:t>
            </w:r>
          </w:p>
        </w:tc>
        <w:tc>
          <w:tcPr>
            <w:tcW w:w="623" w:type="pct"/>
          </w:tcPr>
          <w:p>
            <w:pPr>
              <w:pStyle w:val="table-text"/>
              <w:spacing w:before="60" w:after="60" w:line="240" w:lineRule="auto"/>
              <w:jc w:val="center"/>
              <w:rPr>
                <w:rFonts w:ascii="Times New Roman" w:hAnsi="Times New Roman"/>
                <w:noProof/>
                <w:sz w:val="18"/>
                <w:szCs w:val="18"/>
                <w:lang w:val="en-GB"/>
              </w:rPr>
            </w:pPr>
            <w:r>
              <w:rPr>
                <w:rFonts w:ascii="Times New Roman" w:hAnsi="Times New Roman"/>
                <w:noProof/>
                <w:sz w:val="18"/>
                <w:szCs w:val="18"/>
                <w:lang w:val="en-GB"/>
              </w:rPr>
              <w:t>Lost cost savings (EUR)</w:t>
            </w:r>
          </w:p>
        </w:tc>
      </w:tr>
      <w:tr>
        <w:trPr>
          <w:cnfStyle w:val="000000100000" w:firstRow="0" w:lastRow="0" w:firstColumn="0" w:lastColumn="0" w:oddVBand="0" w:evenVBand="0" w:oddHBand="1" w:evenHBand="0" w:firstRowFirstColumn="0" w:firstRowLastColumn="0" w:lastRowFirstColumn="0" w:lastRowLastColumn="0"/>
        </w:trPr>
        <w:tc>
          <w:tcPr>
            <w:tcW w:w="445" w:type="pct"/>
          </w:tcPr>
          <w:p>
            <w:pPr>
              <w:pStyle w:val="table-text"/>
              <w:rPr>
                <w:rFonts w:ascii="Times New Roman" w:hAnsi="Times New Roman"/>
                <w:b/>
                <w:noProof/>
                <w:sz w:val="18"/>
                <w:szCs w:val="18"/>
                <w:lang w:val="en-GB"/>
              </w:rPr>
            </w:pPr>
            <w:r>
              <w:rPr>
                <w:rFonts w:ascii="Times New Roman" w:hAnsi="Times New Roman"/>
                <w:b/>
                <w:noProof/>
                <w:sz w:val="18"/>
                <w:szCs w:val="18"/>
                <w:lang w:val="en-GB"/>
              </w:rPr>
              <w:t>Case 1</w:t>
            </w:r>
          </w:p>
        </w:tc>
        <w:tc>
          <w:tcPr>
            <w:tcW w:w="1049" w:type="pct"/>
          </w:tcPr>
          <w:p>
            <w:pPr>
              <w:pStyle w:val="table-text"/>
              <w:spacing w:before="60" w:after="60" w:line="240" w:lineRule="auto"/>
              <w:jc w:val="center"/>
              <w:rPr>
                <w:rFonts w:ascii="Times New Roman" w:hAnsi="Times New Roman"/>
                <w:b/>
                <w:noProof/>
                <w:sz w:val="18"/>
                <w:szCs w:val="18"/>
                <w:lang w:val="en-GB"/>
              </w:rPr>
            </w:pPr>
            <w:r>
              <w:rPr>
                <w:rFonts w:ascii="Times New Roman" w:hAnsi="Times New Roman"/>
                <w:b/>
                <w:noProof/>
                <w:sz w:val="18"/>
                <w:szCs w:val="18"/>
                <w:lang w:val="en-GB"/>
              </w:rPr>
              <w:t>DE – NL – IE</w:t>
            </w:r>
          </w:p>
        </w:tc>
        <w:tc>
          <w:tcPr>
            <w:tcW w:w="1621" w:type="pct"/>
          </w:tcPr>
          <w:p>
            <w:pPr>
              <w:pStyle w:val="table-text"/>
              <w:tabs>
                <w:tab w:val="center" w:pos="1848"/>
                <w:tab w:val="right" w:pos="3696"/>
              </w:tabs>
              <w:spacing w:before="60" w:after="60" w:line="240" w:lineRule="auto"/>
              <w:jc w:val="center"/>
              <w:rPr>
                <w:rFonts w:ascii="Times New Roman" w:hAnsi="Times New Roman"/>
                <w:b/>
                <w:noProof/>
                <w:sz w:val="18"/>
                <w:szCs w:val="18"/>
                <w:lang w:val="en-GB"/>
              </w:rPr>
            </w:pPr>
            <w:r>
              <w:rPr>
                <w:rFonts w:ascii="Times New Roman" w:hAnsi="Times New Roman"/>
                <w:noProof/>
                <w:sz w:val="18"/>
                <w:szCs w:val="18"/>
                <w:lang w:val="en-GB"/>
              </w:rPr>
              <w:t>Road – Maritime - Road</w:t>
            </w:r>
          </w:p>
        </w:tc>
        <w:tc>
          <w:tcPr>
            <w:tcW w:w="616" w:type="pct"/>
          </w:tcPr>
          <w:p>
            <w:pPr>
              <w:pStyle w:val="table-text"/>
              <w:spacing w:before="60" w:after="60" w:line="240" w:lineRule="auto"/>
              <w:jc w:val="center"/>
              <w:rPr>
                <w:rFonts w:ascii="Times New Roman" w:hAnsi="Times New Roman"/>
                <w:noProof/>
                <w:sz w:val="18"/>
                <w:szCs w:val="18"/>
                <w:lang w:val="en-GB"/>
              </w:rPr>
            </w:pPr>
            <w:r>
              <w:rPr>
                <w:rFonts w:ascii="Times New Roman" w:hAnsi="Times New Roman"/>
                <w:noProof/>
                <w:sz w:val="18"/>
                <w:szCs w:val="18"/>
                <w:lang w:val="en-GB"/>
              </w:rPr>
              <w:t>2</w:t>
            </w:r>
          </w:p>
        </w:tc>
        <w:tc>
          <w:tcPr>
            <w:tcW w:w="572" w:type="pct"/>
            <w:gridSpan w:val="2"/>
          </w:tcPr>
          <w:p>
            <w:pPr>
              <w:pStyle w:val="table-text"/>
              <w:spacing w:before="60" w:after="60" w:line="240" w:lineRule="auto"/>
              <w:jc w:val="center"/>
              <w:rPr>
                <w:rFonts w:ascii="Times New Roman" w:hAnsi="Times New Roman"/>
                <w:noProof/>
                <w:sz w:val="18"/>
                <w:szCs w:val="18"/>
                <w:lang w:val="en-GB"/>
              </w:rPr>
            </w:pPr>
            <w:r>
              <w:rPr>
                <w:rFonts w:ascii="Times New Roman" w:hAnsi="Times New Roman"/>
                <w:noProof/>
                <w:sz w:val="18"/>
                <w:szCs w:val="18"/>
                <w:lang w:val="en-GB"/>
              </w:rPr>
              <w:t>29.6</w:t>
            </w:r>
          </w:p>
        </w:tc>
        <w:tc>
          <w:tcPr>
            <w:tcW w:w="698" w:type="pct"/>
            <w:gridSpan w:val="2"/>
          </w:tcPr>
          <w:p>
            <w:pPr>
              <w:pStyle w:val="table-text"/>
              <w:spacing w:before="60" w:after="60" w:line="240" w:lineRule="auto"/>
              <w:jc w:val="center"/>
              <w:rPr>
                <w:rFonts w:ascii="Times New Roman" w:hAnsi="Times New Roman"/>
                <w:noProof/>
                <w:sz w:val="18"/>
                <w:szCs w:val="18"/>
                <w:lang w:val="en-GB"/>
              </w:rPr>
            </w:pPr>
            <w:r>
              <w:rPr>
                <w:rFonts w:ascii="Times New Roman" w:hAnsi="Times New Roman"/>
                <w:noProof/>
                <w:sz w:val="18"/>
                <w:szCs w:val="18"/>
                <w:lang w:val="en-GB"/>
              </w:rPr>
              <w:t>9-37</w:t>
            </w:r>
          </w:p>
        </w:tc>
      </w:tr>
      <w:tr>
        <w:trPr>
          <w:cnfStyle w:val="000000010000" w:firstRow="0" w:lastRow="0" w:firstColumn="0" w:lastColumn="0" w:oddVBand="0" w:evenVBand="0" w:oddHBand="0" w:evenHBand="1" w:firstRowFirstColumn="0" w:firstRowLastColumn="0" w:lastRowFirstColumn="0" w:lastRowLastColumn="0"/>
        </w:trPr>
        <w:tc>
          <w:tcPr>
            <w:tcW w:w="445" w:type="pct"/>
          </w:tcPr>
          <w:p>
            <w:pPr>
              <w:pStyle w:val="table-text"/>
              <w:rPr>
                <w:rFonts w:ascii="Times New Roman" w:hAnsi="Times New Roman"/>
                <w:b/>
                <w:noProof/>
                <w:sz w:val="18"/>
                <w:szCs w:val="18"/>
                <w:lang w:val="en-GB"/>
              </w:rPr>
            </w:pPr>
            <w:r>
              <w:rPr>
                <w:rFonts w:ascii="Times New Roman" w:hAnsi="Times New Roman"/>
                <w:b/>
                <w:noProof/>
                <w:sz w:val="18"/>
                <w:szCs w:val="18"/>
                <w:lang w:val="en-GB"/>
              </w:rPr>
              <w:t>Case 2</w:t>
            </w:r>
          </w:p>
        </w:tc>
        <w:tc>
          <w:tcPr>
            <w:tcW w:w="1049" w:type="pct"/>
          </w:tcPr>
          <w:p>
            <w:pPr>
              <w:pStyle w:val="table-text"/>
              <w:spacing w:before="60" w:after="60" w:line="240" w:lineRule="auto"/>
              <w:jc w:val="center"/>
              <w:rPr>
                <w:rFonts w:ascii="Times New Roman" w:hAnsi="Times New Roman"/>
                <w:b/>
                <w:noProof/>
                <w:sz w:val="18"/>
                <w:szCs w:val="18"/>
                <w:lang w:val="en-GB"/>
              </w:rPr>
            </w:pPr>
            <w:r>
              <w:rPr>
                <w:rFonts w:ascii="Times New Roman" w:hAnsi="Times New Roman"/>
                <w:b/>
                <w:noProof/>
                <w:sz w:val="18"/>
                <w:szCs w:val="18"/>
                <w:lang w:val="en-GB"/>
              </w:rPr>
              <w:t>NO – NL – DE - IT</w:t>
            </w:r>
          </w:p>
        </w:tc>
        <w:tc>
          <w:tcPr>
            <w:tcW w:w="1621" w:type="pct"/>
          </w:tcPr>
          <w:p>
            <w:pPr>
              <w:pStyle w:val="table-text"/>
              <w:spacing w:before="60" w:after="60" w:line="240" w:lineRule="auto"/>
              <w:jc w:val="center"/>
              <w:rPr>
                <w:rFonts w:ascii="Times New Roman" w:hAnsi="Times New Roman"/>
                <w:noProof/>
                <w:sz w:val="18"/>
                <w:szCs w:val="18"/>
                <w:lang w:val="en-GB"/>
              </w:rPr>
            </w:pPr>
            <w:r>
              <w:rPr>
                <w:rFonts w:ascii="Times New Roman" w:hAnsi="Times New Roman"/>
                <w:noProof/>
                <w:sz w:val="18"/>
                <w:szCs w:val="18"/>
                <w:lang w:val="en-GB"/>
              </w:rPr>
              <w:t>Road – Maritime – IWT – Road – Rail - Road</w:t>
            </w:r>
          </w:p>
        </w:tc>
        <w:tc>
          <w:tcPr>
            <w:tcW w:w="616" w:type="pct"/>
          </w:tcPr>
          <w:p>
            <w:pPr>
              <w:pStyle w:val="table-text"/>
              <w:spacing w:before="60" w:after="60" w:line="240" w:lineRule="auto"/>
              <w:jc w:val="center"/>
              <w:rPr>
                <w:rFonts w:ascii="Times New Roman" w:hAnsi="Times New Roman"/>
                <w:noProof/>
                <w:sz w:val="18"/>
                <w:szCs w:val="18"/>
                <w:lang w:val="en-GB"/>
              </w:rPr>
            </w:pPr>
            <w:r>
              <w:rPr>
                <w:rFonts w:ascii="Times New Roman" w:hAnsi="Times New Roman"/>
                <w:noProof/>
                <w:sz w:val="18"/>
                <w:szCs w:val="18"/>
                <w:lang w:val="en-GB"/>
              </w:rPr>
              <w:t>5</w:t>
            </w:r>
          </w:p>
        </w:tc>
        <w:tc>
          <w:tcPr>
            <w:tcW w:w="572" w:type="pct"/>
            <w:gridSpan w:val="2"/>
          </w:tcPr>
          <w:p>
            <w:pPr>
              <w:pStyle w:val="table-text"/>
              <w:spacing w:before="60" w:after="60" w:line="240" w:lineRule="auto"/>
              <w:jc w:val="center"/>
              <w:rPr>
                <w:rFonts w:ascii="Times New Roman" w:hAnsi="Times New Roman"/>
                <w:noProof/>
                <w:sz w:val="18"/>
                <w:szCs w:val="18"/>
                <w:lang w:val="en-GB"/>
              </w:rPr>
            </w:pPr>
            <w:r>
              <w:rPr>
                <w:rFonts w:ascii="Times New Roman" w:hAnsi="Times New Roman"/>
                <w:noProof/>
                <w:sz w:val="18"/>
                <w:szCs w:val="18"/>
                <w:lang w:val="en-GB"/>
              </w:rPr>
              <w:t>89.6</w:t>
            </w:r>
          </w:p>
        </w:tc>
        <w:tc>
          <w:tcPr>
            <w:tcW w:w="698" w:type="pct"/>
            <w:gridSpan w:val="2"/>
          </w:tcPr>
          <w:p>
            <w:pPr>
              <w:pStyle w:val="table-text"/>
              <w:spacing w:before="60" w:after="60" w:line="240" w:lineRule="auto"/>
              <w:jc w:val="center"/>
              <w:rPr>
                <w:rFonts w:ascii="Times New Roman" w:hAnsi="Times New Roman"/>
                <w:noProof/>
                <w:sz w:val="18"/>
                <w:szCs w:val="18"/>
                <w:lang w:val="en-GB"/>
              </w:rPr>
            </w:pPr>
            <w:r>
              <w:rPr>
                <w:rFonts w:ascii="Times New Roman" w:hAnsi="Times New Roman"/>
                <w:noProof/>
                <w:sz w:val="18"/>
                <w:szCs w:val="18"/>
                <w:lang w:val="en-GB"/>
              </w:rPr>
              <w:t>21-87</w:t>
            </w:r>
          </w:p>
        </w:tc>
      </w:tr>
    </w:tbl>
    <w:p>
      <w:pPr>
        <w:pStyle w:val="ManualHeading2"/>
        <w:rPr>
          <w:rFonts w:eastAsia="Calibri"/>
          <w:noProof/>
        </w:rPr>
      </w:pPr>
      <w:bookmarkStart w:id="42" w:name="_Toc512854907"/>
      <w:r>
        <w:rPr>
          <w:noProof/>
        </w:rPr>
        <w:t>2.2</w:t>
      </w:r>
      <w:r>
        <w:rPr>
          <w:noProof/>
        </w:rPr>
        <w:tab/>
        <w:t>What are the problem drivers?</w:t>
      </w:r>
      <w:bookmarkEnd w:id="42"/>
    </w:p>
    <w:p>
      <w:pPr>
        <w:pStyle w:val="Heading3"/>
        <w:rPr>
          <w:noProof/>
        </w:rPr>
      </w:pPr>
      <w:bookmarkStart w:id="43" w:name="_Toc506397581"/>
      <w:bookmarkStart w:id="44" w:name="_Toc512854908"/>
      <w:r>
        <w:rPr>
          <w:noProof/>
        </w:rPr>
        <w:t>A fragmented legal framework concerning the acceptance of electronic freight transport documents/information</w:t>
      </w:r>
      <w:r>
        <w:rPr>
          <w:rStyle w:val="FootnoteReference"/>
          <w:noProof/>
          <w:szCs w:val="24"/>
        </w:rPr>
        <w:footnoteReference w:id="56"/>
      </w:r>
      <w:bookmarkEnd w:id="43"/>
      <w:bookmarkEnd w:id="44"/>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Today, no single or uniformly applicable legal framework regulates the use of (electronic) cargo and transport documents for international freight transport in the EU. The applicable rules are determined by the combined application of various legal acts, issued at international, European, and national level. The result is a highly fragmented legal regime, which varies depending on the Member State, the transport mode and, often, the type and use of the documents.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the context of the present assessment, it is important to pay attention to three aspects that affect the use of electronic transport documents, and information more generally: (a) the general acceptance of the electronic form; (b) the requirements for validity of the electronic form (i.e. the necessary and sufficient conditions for acceptance); and (c) the technical specifications for implementation of these requirements. </w:t>
      </w:r>
    </w:p>
    <w:p>
      <w:pPr>
        <w:pStyle w:val="ListParagraph"/>
        <w:numPr>
          <w:ilvl w:val="0"/>
          <w:numId w:val="50"/>
        </w:numPr>
        <w:rPr>
          <w:rFonts w:eastAsia="Calibri"/>
          <w:i/>
          <w:noProof/>
        </w:rPr>
      </w:pPr>
      <w:r>
        <w:rPr>
          <w:rFonts w:eastAsia="Calibri"/>
          <w:i/>
          <w:noProof/>
        </w:rPr>
        <w:t xml:space="preserve">The obligation of acceptance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w:t>
      </w:r>
      <w:r>
        <w:rPr>
          <w:rFonts w:ascii="Times New Roman" w:eastAsia="Calibri" w:hAnsi="Times New Roman" w:cs="Times New Roman"/>
          <w:b/>
          <w:noProof/>
          <w:sz w:val="24"/>
          <w:szCs w:val="24"/>
        </w:rPr>
        <w:t>international conventions</w:t>
      </w:r>
      <w:r>
        <w:rPr>
          <w:rFonts w:ascii="Times New Roman" w:eastAsia="Calibri" w:hAnsi="Times New Roman" w:cs="Times New Roman"/>
          <w:noProof/>
          <w:sz w:val="24"/>
          <w:szCs w:val="24"/>
        </w:rPr>
        <w:t xml:space="preserve"> relevant for this analysis are primarily those governing the regime applicable to the international contracts of carriage in the different transport modes. These conventions establish, separately for each transport mode, the legal equivalence of the electronic contract of carriage to that of the paper-based document</w:t>
      </w:r>
      <w:r>
        <w:rPr>
          <w:rFonts w:ascii="Times New Roman" w:eastAsia="Calibri" w:hAnsi="Times New Roman" w:cs="Times New Roman"/>
          <w:noProof/>
          <w:sz w:val="24"/>
          <w:szCs w:val="24"/>
          <w:vertAlign w:val="superscript"/>
        </w:rPr>
        <w:footnoteReference w:id="57"/>
      </w:r>
      <w:r>
        <w:rPr>
          <w:rFonts w:ascii="Times New Roman" w:eastAsia="Calibri" w:hAnsi="Times New Roman" w:cs="Times New Roman"/>
          <w:noProof/>
          <w:sz w:val="24"/>
          <w:szCs w:val="24"/>
        </w:rPr>
        <w:t>. These conventions enable the use of the electronic contract of carriage but, except for the protocol to the CMR convention, the application of their provisions on electronic documents is conditional on the existence of specific national rules. In practice, they apply only if the national legislation of the State under which the contract was concluded allows the use of the electronic means for the conclusion or evidence of a transport contract. The e-CMR protocol, regulating the electronic road consignment note, does not include such clause and it is directly applicable if the respective State is a party to the protocol. Participation in the e-CMR protocol is however relatively modest, though growing.</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These conventions regulate however only the contractual relation between the commercial parties, if they choose to use the contract of carriage in an electronic form. They do not impose, but rather allow, the </w:t>
      </w:r>
      <w:r>
        <w:rPr>
          <w:rFonts w:ascii="Times New Roman" w:eastAsia="Calibri" w:hAnsi="Times New Roman" w:cs="Times New Roman"/>
          <w:i/>
          <w:noProof/>
          <w:sz w:val="24"/>
          <w:szCs w:val="24"/>
        </w:rPr>
        <w:t>use of the electronic contract of carriage (transport document) by the commercial parties (business to business).</w:t>
      </w:r>
      <w:r>
        <w:rPr>
          <w:rFonts w:ascii="Times New Roman" w:eastAsia="Calibri" w:hAnsi="Times New Roman" w:cs="Times New Roman"/>
          <w:noProof/>
          <w:sz w:val="24"/>
          <w:szCs w:val="24"/>
        </w:rPr>
        <w:t xml:space="preserve"> Furthermore, they do not regulate the use of electronic documents between business and authorities.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Indirectly, however, these conventions impact the acceptance by the authorities, and in particular courts, which may be called upon to enforce the rights and obligations deriving from an electronic transport contract. For enforcement authorities, they become relevant only when their national legislation requires a valid transport contract to evidence compliance with specific regulatory requirements.</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At </w:t>
      </w:r>
      <w:r>
        <w:rPr>
          <w:rFonts w:ascii="Times New Roman" w:eastAsia="Calibri" w:hAnsi="Times New Roman" w:cs="Times New Roman"/>
          <w:b/>
          <w:noProof/>
          <w:sz w:val="24"/>
          <w:szCs w:val="24"/>
        </w:rPr>
        <w:t>EU level,</w:t>
      </w:r>
      <w:r>
        <w:rPr>
          <w:rFonts w:ascii="Times New Roman" w:eastAsia="Calibri" w:hAnsi="Times New Roman" w:cs="Times New Roman"/>
          <w:noProof/>
          <w:sz w:val="24"/>
          <w:szCs w:val="24"/>
        </w:rPr>
        <w:t xml:space="preserve"> acceptance by the Member States’ authorities of electronic documents or, more generally, of evidence communicated by electronic means, is regulated by means of several legal acts</w:t>
      </w:r>
      <w:r>
        <w:rPr>
          <w:rFonts w:ascii="Times New Roman" w:eastAsia="Calibri" w:hAnsi="Times New Roman" w:cs="Times New Roman"/>
          <w:noProof/>
          <w:sz w:val="24"/>
          <w:szCs w:val="24"/>
          <w:vertAlign w:val="superscript"/>
        </w:rPr>
        <w:footnoteReference w:id="58"/>
      </w:r>
      <w:r>
        <w:rPr>
          <w:rFonts w:ascii="Times New Roman" w:eastAsia="Calibri" w:hAnsi="Times New Roman" w:cs="Times New Roman"/>
          <w:noProof/>
          <w:sz w:val="24"/>
          <w:szCs w:val="24"/>
        </w:rPr>
        <w:t xml:space="preserve">. These acts establish specific conditions for the transport of goods within the EU, either in general or for particular types of goods, for a variety of regulatory purposes – to ensure the safety and security of transport, to facilitate certain types of transport operations, or to ensure the smooth and fair functioning of the transport market. They also specify how, i.e. the required information elements, and by what means the private actors may make proof of compliance with the respective conditions. While the information elements concerned are often overlapping, the means of conveyance of this information, and the degree of specification of what constitutes an admissible electronic evidence, vary significantly between these legal acts.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Only some of the EU legal acts establish the principle of acceptance of the electronic means. Moreover, they do so only for specific regulatory purposes, in specific transport modes – for example for compliance with security requirements in air freight transport, dangerous goods information transmission in inland waterway transport, or fulfil determined customs formalities (such summary transit declaration) for air and maritime. The acceptance of electronic means is generally established as possible alternative to the paper format, with the only exception of maritime formalities at arrival at and departure from ports, where the EU legislation explicitly states that “</w:t>
      </w:r>
      <w:r>
        <w:rPr>
          <w:rFonts w:ascii="Times New Roman" w:eastAsia="Calibri" w:hAnsi="Times New Roman" w:cs="Times New Roman"/>
          <w:i/>
          <w:noProof/>
          <w:sz w:val="24"/>
          <w:szCs w:val="24"/>
        </w:rPr>
        <w:t>Member States shall accept the fulfilment of reporting formalities in electronic format</w:t>
      </w:r>
      <w:r>
        <w:rPr>
          <w:rFonts w:ascii="Times New Roman" w:eastAsia="Calibri" w:hAnsi="Times New Roman" w:cs="Times New Roman"/>
          <w:noProof/>
          <w:sz w:val="24"/>
          <w:szCs w:val="24"/>
        </w:rPr>
        <w:t xml:space="preserve">”.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three of the five transport modes, there is at least one legal act that foresees only the use of paper and another one (for a different regulatory purpose) that allows the use of electronic means. As a result, an enforcement authority that controls regulatory compliance of the same transport operation, is expected to accept an electronic document pursuant a certain EU legislation, but to require a paper document pursuant another</w:t>
      </w:r>
      <w:r>
        <w:rPr>
          <w:rFonts w:ascii="Times New Roman" w:eastAsia="Calibri" w:hAnsi="Times New Roman" w:cs="Times New Roman"/>
          <w:noProof/>
          <w:sz w:val="24"/>
          <w:szCs w:val="24"/>
          <w:vertAlign w:val="superscript"/>
        </w:rPr>
        <w:footnoteReference w:id="59"/>
      </w:r>
      <w:r>
        <w:rPr>
          <w:rFonts w:ascii="Times New Roman" w:eastAsia="Calibri" w:hAnsi="Times New Roman" w:cs="Times New Roman"/>
          <w:noProof/>
          <w:sz w:val="24"/>
          <w:szCs w:val="24"/>
        </w:rPr>
        <w:t xml:space="preserve">.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At </w:t>
      </w:r>
      <w:r>
        <w:rPr>
          <w:rFonts w:ascii="Times New Roman" w:eastAsia="Calibri" w:hAnsi="Times New Roman" w:cs="Times New Roman"/>
          <w:b/>
          <w:noProof/>
          <w:sz w:val="24"/>
          <w:szCs w:val="24"/>
        </w:rPr>
        <w:t>national level</w:t>
      </w:r>
      <w:r>
        <w:rPr>
          <w:rFonts w:ascii="Times New Roman" w:eastAsia="Calibri" w:hAnsi="Times New Roman" w:cs="Times New Roman"/>
          <w:noProof/>
          <w:sz w:val="24"/>
          <w:szCs w:val="24"/>
        </w:rPr>
        <w:t>, Member States’ legislation regulates acceptance by authorities of (electronic) cargo transport information or documentation for a variety of purposes. These include compliance with fiscal rules, environmental rules, or mere legality of transport. Often, compliance with these rules requires presentation of evidence of a valid transport contract</w:t>
      </w:r>
      <w:r>
        <w:rPr>
          <w:rFonts w:ascii="Times New Roman" w:eastAsia="Calibri" w:hAnsi="Times New Roman" w:cs="Times New Roman"/>
          <w:noProof/>
          <w:sz w:val="24"/>
          <w:szCs w:val="24"/>
          <w:vertAlign w:val="superscript"/>
        </w:rPr>
        <w:footnoteReference w:id="60"/>
      </w:r>
      <w:r>
        <w:rPr>
          <w:rFonts w:ascii="Times New Roman" w:eastAsia="Calibri" w:hAnsi="Times New Roman" w:cs="Times New Roman"/>
          <w:noProof/>
          <w:sz w:val="24"/>
          <w:szCs w:val="24"/>
        </w:rPr>
        <w:t>. These provisions vary considerably. They differ both between Member States and within Member States, depending on the transport mode concerned or regulatory purpose</w:t>
      </w:r>
      <w:r>
        <w:rPr>
          <w:rFonts w:ascii="Times New Roman" w:eastAsia="Calibri" w:hAnsi="Times New Roman" w:cs="Times New Roman"/>
          <w:noProof/>
          <w:sz w:val="24"/>
          <w:szCs w:val="24"/>
          <w:vertAlign w:val="superscript"/>
        </w:rPr>
        <w:footnoteReference w:id="61"/>
      </w:r>
      <w:r>
        <w:rPr>
          <w:rFonts w:ascii="Times New Roman" w:eastAsia="Calibri" w:hAnsi="Times New Roman" w:cs="Times New Roman"/>
          <w:noProof/>
          <w:sz w:val="24"/>
          <w:szCs w:val="24"/>
        </w:rPr>
        <w:t>. They range from specific provisions establishing the obligation of the authorities to always accept the electronic means for certain regulatory purposes, when certain conditions are met</w:t>
      </w:r>
      <w:r>
        <w:rPr>
          <w:rFonts w:ascii="Times New Roman" w:eastAsia="Calibri" w:hAnsi="Times New Roman" w:cs="Times New Roman"/>
          <w:noProof/>
          <w:sz w:val="24"/>
          <w:szCs w:val="24"/>
          <w:vertAlign w:val="superscript"/>
        </w:rPr>
        <w:footnoteReference w:id="62"/>
      </w:r>
      <w:r>
        <w:rPr>
          <w:rFonts w:ascii="Times New Roman" w:eastAsia="Calibri" w:hAnsi="Times New Roman" w:cs="Times New Roman"/>
          <w:noProof/>
          <w:sz w:val="24"/>
          <w:szCs w:val="24"/>
        </w:rPr>
        <w:t>, to legislation under which no such means is accepted</w:t>
      </w:r>
      <w:r>
        <w:rPr>
          <w:rFonts w:ascii="Times New Roman" w:eastAsia="Calibri" w:hAnsi="Times New Roman" w:cs="Times New Roman"/>
          <w:noProof/>
          <w:sz w:val="24"/>
          <w:szCs w:val="24"/>
          <w:vertAlign w:val="superscript"/>
        </w:rPr>
        <w:footnoteReference w:id="63"/>
      </w:r>
      <w:r>
        <w:rPr>
          <w:rFonts w:ascii="Times New Roman" w:eastAsia="Calibri" w:hAnsi="Times New Roman" w:cs="Times New Roman"/>
          <w:noProof/>
          <w:sz w:val="24"/>
          <w:szCs w:val="24"/>
        </w:rPr>
        <w:t>. In other Member States, legislation may take the form of horizontal laws requiring or (implicitly) allowing acceptance by authorities of electronic means in business-to-administration communication</w:t>
      </w:r>
      <w:r>
        <w:rPr>
          <w:rFonts w:ascii="Times New Roman" w:eastAsia="Calibri" w:hAnsi="Times New Roman" w:cs="Times New Roman"/>
          <w:noProof/>
          <w:sz w:val="24"/>
          <w:szCs w:val="24"/>
          <w:vertAlign w:val="superscript"/>
        </w:rPr>
        <w:footnoteReference w:id="64"/>
      </w:r>
      <w:r>
        <w:rPr>
          <w:rFonts w:ascii="Times New Roman" w:eastAsia="Calibri" w:hAnsi="Times New Roman" w:cs="Times New Roman"/>
          <w:noProof/>
          <w:sz w:val="24"/>
          <w:szCs w:val="24"/>
        </w:rPr>
        <w:t>. In addition, specific legislation provisions may also require the paper format for certain, clearly identified documents, while remaining silent on others</w:t>
      </w:r>
      <w:r>
        <w:rPr>
          <w:rFonts w:ascii="Times New Roman" w:eastAsia="Calibri" w:hAnsi="Times New Roman" w:cs="Times New Roman"/>
          <w:noProof/>
          <w:sz w:val="24"/>
          <w:szCs w:val="24"/>
          <w:vertAlign w:val="superscript"/>
        </w:rPr>
        <w:footnoteReference w:id="65"/>
      </w:r>
      <w:r>
        <w:rPr>
          <w:rFonts w:ascii="Times New Roman" w:eastAsia="Calibri" w:hAnsi="Times New Roman" w:cs="Times New Roman"/>
          <w:noProof/>
          <w:sz w:val="24"/>
          <w:szCs w:val="24"/>
        </w:rPr>
        <w:t>. Where the legislation specifically requires the acceptance of electronic documents, it is most often limited to the transport contract and it does so for specific regulatory purposes only</w:t>
      </w:r>
      <w:r>
        <w:rPr>
          <w:rFonts w:ascii="Times New Roman" w:eastAsia="Calibri" w:hAnsi="Times New Roman" w:cs="Times New Roman"/>
          <w:noProof/>
          <w:sz w:val="24"/>
          <w:szCs w:val="24"/>
          <w:vertAlign w:val="superscript"/>
        </w:rPr>
        <w:footnoteReference w:id="66"/>
      </w:r>
      <w:r>
        <w:rPr>
          <w:rFonts w:ascii="Times New Roman" w:eastAsia="Calibri" w:hAnsi="Times New Roman" w:cs="Times New Roman"/>
          <w:noProof/>
          <w:sz w:val="24"/>
          <w:szCs w:val="24"/>
        </w:rPr>
        <w:t xml:space="preserve"> or in specific transport modes</w:t>
      </w:r>
      <w:r>
        <w:rPr>
          <w:rFonts w:ascii="Times New Roman" w:eastAsia="Calibri" w:hAnsi="Times New Roman" w:cs="Times New Roman"/>
          <w:noProof/>
          <w:sz w:val="24"/>
          <w:szCs w:val="24"/>
          <w:vertAlign w:val="superscript"/>
        </w:rPr>
        <w:footnoteReference w:id="67"/>
      </w:r>
      <w:r>
        <w:rPr>
          <w:rFonts w:ascii="Times New Roman" w:eastAsia="Calibri" w:hAnsi="Times New Roman" w:cs="Times New Roman"/>
          <w:noProof/>
          <w:sz w:val="24"/>
          <w:szCs w:val="24"/>
        </w:rPr>
        <w:t>.</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Acceptance by national courts of the electronic means for business-to-administration regulatory information conveyance, and of transport contracts in particular, depends on specific provisions in national legislation on the type of evidence admissible in legal proceedings in courts. In most Member States the contract of carriage does not need to be in paper to be enforced by national courts</w:t>
      </w:r>
      <w:r>
        <w:rPr>
          <w:rFonts w:ascii="Times New Roman" w:eastAsia="Calibri" w:hAnsi="Times New Roman" w:cs="Times New Roman"/>
          <w:noProof/>
          <w:sz w:val="24"/>
          <w:szCs w:val="24"/>
          <w:vertAlign w:val="superscript"/>
        </w:rPr>
        <w:footnoteReference w:id="68"/>
      </w:r>
      <w:r>
        <w:rPr>
          <w:rFonts w:ascii="Times New Roman" w:eastAsia="Calibri" w:hAnsi="Times New Roman" w:cs="Times New Roman"/>
          <w:noProof/>
          <w:sz w:val="24"/>
          <w:szCs w:val="24"/>
        </w:rPr>
        <w:t>; and while in some States even oral contracts of carriage would be enforceable</w:t>
      </w:r>
      <w:r>
        <w:rPr>
          <w:rFonts w:ascii="Times New Roman" w:eastAsia="Calibri" w:hAnsi="Times New Roman" w:cs="Times New Roman"/>
          <w:noProof/>
          <w:sz w:val="24"/>
          <w:szCs w:val="24"/>
          <w:vertAlign w:val="superscript"/>
        </w:rPr>
        <w:footnoteReference w:id="69"/>
      </w:r>
      <w:r>
        <w:rPr>
          <w:rFonts w:ascii="Times New Roman" w:eastAsia="Calibri" w:hAnsi="Times New Roman" w:cs="Times New Roman"/>
          <w:noProof/>
          <w:sz w:val="24"/>
          <w:szCs w:val="24"/>
        </w:rPr>
        <w:t>, in several of them the national legislation establishes specific conditions for the probative value of contracts concluded electronically. At the same time, acceptance of a document as admissible evidence in courts of law is generally not regulated in detail in most Member States. As a result, most Member States’ national courts have discretion on whether to accept or not electronic transport documents as evidence of a contract of carriage</w:t>
      </w:r>
      <w:r>
        <w:rPr>
          <w:rFonts w:ascii="Times New Roman" w:eastAsia="Calibri" w:hAnsi="Times New Roman" w:cs="Times New Roman"/>
          <w:noProof/>
          <w:sz w:val="24"/>
          <w:szCs w:val="24"/>
          <w:vertAlign w:val="superscript"/>
        </w:rPr>
        <w:footnoteReference w:id="70"/>
      </w:r>
      <w:r>
        <w:rPr>
          <w:rFonts w:ascii="Times New Roman" w:eastAsia="Calibri" w:hAnsi="Times New Roman" w:cs="Times New Roman"/>
          <w:noProof/>
          <w:sz w:val="24"/>
          <w:szCs w:val="24"/>
        </w:rPr>
        <w:t>.</w:t>
      </w:r>
    </w:p>
    <w:p>
      <w:pPr>
        <w:pStyle w:val="ListParagraph"/>
        <w:numPr>
          <w:ilvl w:val="0"/>
          <w:numId w:val="49"/>
        </w:numPr>
        <w:rPr>
          <w:rFonts w:eastAsia="Calibri"/>
          <w:i/>
          <w:noProof/>
        </w:rPr>
      </w:pPr>
      <w:r>
        <w:rPr>
          <w:rFonts w:eastAsia="Calibri"/>
          <w:i/>
          <w:noProof/>
        </w:rPr>
        <w:t>Requirements for acceptance/admissibility and guidance on technical implementation</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acceptance of the electronic documents is in practice linked to the criteria and means by which admissibility can be established. When authorities are asked to accept electronically conveyed evidence, they have to apply more general principles of law related to the authenticity and integrity of the information provided. Compared to paper documents</w:t>
      </w:r>
      <w:r>
        <w:rPr>
          <w:rFonts w:ascii="Times New Roman" w:eastAsia="Calibri" w:hAnsi="Times New Roman" w:cs="Times New Roman"/>
          <w:noProof/>
          <w:sz w:val="24"/>
          <w:szCs w:val="24"/>
          <w:vertAlign w:val="superscript"/>
        </w:rPr>
        <w:footnoteReference w:id="71"/>
      </w:r>
      <w:r>
        <w:rPr>
          <w:rFonts w:ascii="Times New Roman" w:eastAsia="Calibri" w:hAnsi="Times New Roman" w:cs="Times New Roman"/>
          <w:noProof/>
          <w:sz w:val="24"/>
          <w:szCs w:val="24"/>
        </w:rPr>
        <w:t>, current guidance on how to establish the validity of electronically conveyed information/documents remains generally limited and uneven. This creates uncertainty and room for interpretation in implementation as to the necessary and sufficient conditions for validity and, therefore acceptance, of the electronic means.</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Two levels of specification can be identified with respect to the guidance provided by the current legislative framework: general requirements for acceptance and specifications for technical implementation.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EU legislation</w:t>
      </w:r>
      <w:r>
        <w:rPr>
          <w:rFonts w:ascii="Times New Roman" w:eastAsia="Calibri" w:hAnsi="Times New Roman" w:cs="Times New Roman"/>
          <w:noProof/>
          <w:sz w:val="24"/>
          <w:szCs w:val="24"/>
        </w:rPr>
        <w:t xml:space="preserve"> limits general requirements for acceptance to the specification of the possibility of use, presentation or transmission of the required information electronically. In addition, the electronic means of information conveyance are referred to, or defined, in different ways. In several acts, a more specific format is implied – “document”, “documentation”</w:t>
      </w:r>
      <w:r>
        <w:rPr>
          <w:rFonts w:ascii="Times New Roman" w:eastAsia="Calibri" w:hAnsi="Times New Roman" w:cs="Times New Roman"/>
          <w:noProof/>
          <w:sz w:val="24"/>
          <w:szCs w:val="24"/>
          <w:vertAlign w:val="superscript"/>
        </w:rPr>
        <w:footnoteReference w:id="72"/>
      </w:r>
      <w:r>
        <w:rPr>
          <w:rFonts w:ascii="Times New Roman" w:eastAsia="Calibri" w:hAnsi="Times New Roman" w:cs="Times New Roman"/>
          <w:noProof/>
          <w:sz w:val="24"/>
          <w:szCs w:val="24"/>
        </w:rPr>
        <w:t xml:space="preserve"> or “message”</w:t>
      </w:r>
      <w:r>
        <w:rPr>
          <w:rFonts w:ascii="Times New Roman" w:eastAsia="Calibri" w:hAnsi="Times New Roman" w:cs="Times New Roman"/>
          <w:noProof/>
          <w:sz w:val="24"/>
          <w:szCs w:val="24"/>
          <w:vertAlign w:val="superscript"/>
        </w:rPr>
        <w:footnoteReference w:id="73"/>
      </w:r>
      <w:r>
        <w:rPr>
          <w:rFonts w:ascii="Times New Roman" w:eastAsia="Calibri" w:hAnsi="Times New Roman" w:cs="Times New Roman"/>
          <w:noProof/>
          <w:sz w:val="24"/>
          <w:szCs w:val="24"/>
        </w:rPr>
        <w:t xml:space="preserve"> – while in others the wider term – “evidence”</w:t>
      </w:r>
      <w:r>
        <w:rPr>
          <w:rFonts w:ascii="Times New Roman" w:eastAsia="Calibri" w:hAnsi="Times New Roman" w:cs="Times New Roman"/>
          <w:noProof/>
          <w:sz w:val="24"/>
          <w:szCs w:val="24"/>
          <w:vertAlign w:val="superscript"/>
        </w:rPr>
        <w:footnoteReference w:id="74"/>
      </w:r>
      <w:r>
        <w:rPr>
          <w:rFonts w:ascii="Times New Roman" w:eastAsia="Calibri" w:hAnsi="Times New Roman" w:cs="Times New Roman"/>
          <w:noProof/>
          <w:sz w:val="24"/>
          <w:szCs w:val="24"/>
        </w:rPr>
        <w:t xml:space="preserve"> – is used. Furthermore, it provides technical specifications in only three of the seven EU legal acts establishing the requirement of acceptance</w:t>
      </w:r>
      <w:r>
        <w:rPr>
          <w:rStyle w:val="FootnoteReference"/>
          <w:rFonts w:ascii="Times New Roman" w:eastAsia="Calibri" w:hAnsi="Times New Roman" w:cs="Times New Roman"/>
          <w:noProof/>
          <w:sz w:val="24"/>
          <w:szCs w:val="24"/>
        </w:rPr>
        <w:footnoteReference w:id="75"/>
      </w:r>
      <w:r>
        <w:rPr>
          <w:rFonts w:ascii="Times New Roman" w:eastAsia="Calibri" w:hAnsi="Times New Roman" w:cs="Times New Roman"/>
          <w:noProof/>
          <w:sz w:val="24"/>
          <w:szCs w:val="24"/>
        </w:rPr>
        <w:t xml:space="preserve">. However, these specifications differ significantly, requiring specific and largely non-interoperable technical solutions.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Similarly, all mode-specific </w:t>
      </w:r>
      <w:r>
        <w:rPr>
          <w:rFonts w:ascii="Times New Roman" w:eastAsia="Calibri" w:hAnsi="Times New Roman" w:cs="Times New Roman"/>
          <w:b/>
          <w:noProof/>
          <w:sz w:val="24"/>
          <w:szCs w:val="24"/>
        </w:rPr>
        <w:t>international conventions</w:t>
      </w:r>
      <w:r>
        <w:rPr>
          <w:rFonts w:ascii="Times New Roman" w:eastAsia="Calibri" w:hAnsi="Times New Roman" w:cs="Times New Roman"/>
          <w:noProof/>
          <w:sz w:val="24"/>
          <w:szCs w:val="24"/>
        </w:rPr>
        <w:t xml:space="preserve"> link the validity (i.e. legal equivalence to the paper format) of the electronically supported contract of carriage to the fulfilment of certain general requirements. Yet these requirements vary significantly between the different conventions. They range from single reference to the manner in which the necessary signatures are performed – “</w:t>
      </w:r>
      <w:r>
        <w:rPr>
          <w:rFonts w:ascii="Times New Roman" w:eastAsia="Calibri" w:hAnsi="Times New Roman" w:cs="Times New Roman"/>
          <w:i/>
          <w:noProof/>
          <w:sz w:val="24"/>
          <w:szCs w:val="24"/>
        </w:rPr>
        <w:t>stamped, in symbols or made by any other mechanical or electronic means</w:t>
      </w:r>
      <w:r>
        <w:rPr>
          <w:rFonts w:ascii="Times New Roman" w:eastAsia="Calibri" w:hAnsi="Times New Roman" w:cs="Times New Roman"/>
          <w:noProof/>
          <w:sz w:val="24"/>
          <w:szCs w:val="24"/>
        </w:rPr>
        <w:t>” (Article 6, CMNI) or just “stamped” (Article 11, Montreal Convention) – to more general reference to the information representation – “</w:t>
      </w:r>
      <w:r>
        <w:rPr>
          <w:rFonts w:ascii="Times New Roman" w:eastAsia="Calibri" w:hAnsi="Times New Roman" w:cs="Times New Roman"/>
          <w:i/>
          <w:noProof/>
          <w:sz w:val="24"/>
          <w:szCs w:val="24"/>
        </w:rPr>
        <w:t>electronic data registration which can be transformed in legible written forms</w:t>
      </w:r>
      <w:r>
        <w:rPr>
          <w:rFonts w:ascii="Times New Roman" w:eastAsia="Calibri" w:hAnsi="Times New Roman" w:cs="Times New Roman"/>
          <w:noProof/>
          <w:sz w:val="24"/>
          <w:szCs w:val="24"/>
        </w:rPr>
        <w:t>” (Article 6, CIM) – to a larger set of more specific requirements such as how the consignment note shall be authenticated, its integrity ensured, and how to deal with additional cargo and transport documents supplementing the note (Articles 3 to 6, e-CMR Protocol). However, none of the conventions provide further guidance on specific options for the technical implementation of these requirements. This is left for the interpretation of the parties concerned resulting in a variety of implementation approaches and specific/non-interoperable technical solutions for electronic transport contracts, mostly along sectoral lines, both by the private sector and the authorities.</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National provisions</w:t>
      </w:r>
      <w:r>
        <w:rPr>
          <w:rFonts w:ascii="Times New Roman" w:eastAsia="Calibri" w:hAnsi="Times New Roman" w:cs="Times New Roman"/>
          <w:noProof/>
          <w:sz w:val="24"/>
          <w:szCs w:val="24"/>
        </w:rPr>
        <w:t xml:space="preserve"> on validity requirements also vary significantly. Most often there are no specific requirements, apart from the possibility, or obligation, to accept electronic means. Some countries have however established explicit conditions, with varying degree of detail – some formulated at general level (such as referred to the identification of the parties, integrity and availability of the document</w:t>
      </w:r>
      <w:r>
        <w:rPr>
          <w:rFonts w:ascii="Times New Roman" w:eastAsia="Calibri" w:hAnsi="Times New Roman" w:cs="Times New Roman"/>
          <w:noProof/>
          <w:sz w:val="24"/>
          <w:szCs w:val="24"/>
          <w:vertAlign w:val="superscript"/>
        </w:rPr>
        <w:footnoteReference w:id="76"/>
      </w:r>
      <w:r>
        <w:rPr>
          <w:rFonts w:ascii="Times New Roman" w:eastAsia="Calibri" w:hAnsi="Times New Roman" w:cs="Times New Roman"/>
          <w:noProof/>
          <w:sz w:val="24"/>
          <w:szCs w:val="24"/>
        </w:rPr>
        <w:t>), other related to the existence of an electronic signature</w:t>
      </w:r>
      <w:r>
        <w:rPr>
          <w:rFonts w:ascii="Times New Roman" w:eastAsia="Calibri" w:hAnsi="Times New Roman" w:cs="Times New Roman"/>
          <w:noProof/>
          <w:sz w:val="24"/>
          <w:szCs w:val="24"/>
          <w:vertAlign w:val="superscript"/>
        </w:rPr>
        <w:footnoteReference w:id="77"/>
      </w:r>
      <w:r>
        <w:rPr>
          <w:rFonts w:ascii="Times New Roman" w:eastAsia="Calibri" w:hAnsi="Times New Roman" w:cs="Times New Roman"/>
          <w:noProof/>
          <w:sz w:val="24"/>
          <w:szCs w:val="24"/>
        </w:rPr>
        <w:t xml:space="preserve">. These requirements may relate either to certain transport mode documents, (e.g. the transport contract), or to the validity of commercial contracts in general. In most cases, no guidance on technical implementation is provided. Overall, national provisions concerning acceptance leave ample room for interpretation to determine the concrete and specific conditions of their implementation. </w:t>
      </w:r>
    </w:p>
    <w:p>
      <w:pPr>
        <w:spacing w:after="120" w:line="240" w:lineRule="auto"/>
        <w:jc w:val="both"/>
        <w:rPr>
          <w:rFonts w:ascii="Times New Roman" w:hAnsi="Times New Roman" w:cs="Times New Roman"/>
          <w:noProof/>
          <w:sz w:val="24"/>
          <w:szCs w:val="24"/>
          <w:lang w:eastAsia="el-GR"/>
        </w:rPr>
      </w:pPr>
      <w:r>
        <w:rPr>
          <w:rFonts w:ascii="Times New Roman" w:hAnsi="Times New Roman" w:cs="Times New Roman"/>
          <w:noProof/>
          <w:sz w:val="24"/>
          <w:szCs w:val="24"/>
        </w:rPr>
        <w:t xml:space="preserve">34 (i.e. more than 75%) respondents to the IA support study targeted survey confirmed that the diverse and inconsistent legal framework applicable at EU Member State level on the acceptance of electronic transport documents/information is a significant driver to the limited use of electronic transport documents. 26 respondents also stressed the fact that national rules requirements for handwritten signatures also hampers the use of electronic documentation. Another 23 respondents mentioned the requirement to use stamps on a transport documents as hampering factor. </w:t>
      </w:r>
    </w:p>
    <w:p>
      <w:pPr>
        <w:spacing w:after="120" w:line="240" w:lineRule="auto"/>
        <w:jc w:val="both"/>
        <w:rPr>
          <w:noProof/>
          <w:szCs w:val="24"/>
        </w:rPr>
      </w:pPr>
      <w:r>
        <w:rPr>
          <w:rFonts w:ascii="Times New Roman" w:hAnsi="Times New Roman" w:cs="Times New Roman"/>
          <w:noProof/>
          <w:sz w:val="24"/>
          <w:szCs w:val="24"/>
        </w:rPr>
        <w:t xml:space="preserve">Closely related to the question whether national rules are in place that allow authorities to accept electronic transport documents, is the question whether they do accept them once the legal basis is provided. 13 out of the 35 respondents to the targeted IA support study survey indicated that authorities do accept the electronic transport documents when the applicable legislation allows it, although the majority also stressed that the authorities do not accept the electronic form once they have reason to believe the documents are not accurate or are manipulated. 12 respondents indicated that, although a legal basis exists that allow authorities to accept electronic documentation they do not accept it. The remaining ten stakeholders did not provide an answer.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It can be concluded therefore, that the legal framework for acceptance of electronic information in relation to international transport operations applicable across the EU is patchy and incomplete. Different requirements in different applicable pieces of legislation implies that the same authority is required (or allowed) to accept an electronic transport document specific to one transport mode, but not to another, or to accept the electronic contract of carriage, but not an electronic invoice, packing list, or house manifest. Furthermore, the limited and variable specification of the law creates ample room for interpretation in application by the authorities. </w:t>
      </w:r>
      <w:bookmarkStart w:id="45" w:name="_Toc506397583"/>
      <w:r>
        <w:rPr>
          <w:rFonts w:ascii="Times New Roman" w:hAnsi="Times New Roman" w:cs="Times New Roman"/>
          <w:noProof/>
          <w:sz w:val="24"/>
          <w:szCs w:val="24"/>
        </w:rPr>
        <w:t>As a result, acceptance remains limited in scale and appears to be more a consequence of initiatives of individual authorities than the legal implication of a general requirement compelling all national authorities to accept electronic transport documents.</w:t>
      </w:r>
    </w:p>
    <w:p>
      <w:pPr>
        <w:pStyle w:val="Heading3"/>
        <w:spacing w:before="240" w:after="120"/>
        <w:rPr>
          <w:noProof/>
          <w:szCs w:val="24"/>
        </w:rPr>
      </w:pPr>
      <w:bookmarkStart w:id="46" w:name="_Toc512854909"/>
      <w:r>
        <w:rPr>
          <w:noProof/>
          <w:szCs w:val="24"/>
        </w:rPr>
        <w:t>Multiple and non-interoperable data exchange systems</w:t>
      </w:r>
      <w:bookmarkEnd w:id="46"/>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second problem driver identified relates to the technical means that authorities need in order to be able to accept electronically communicated transport documents or information</w:t>
      </w:r>
      <w:r>
        <w:rPr>
          <w:rStyle w:val="FootnoteReference"/>
          <w:rFonts w:ascii="Times New Roman" w:hAnsi="Times New Roman" w:cs="Times New Roman"/>
          <w:noProof/>
          <w:sz w:val="24"/>
          <w:szCs w:val="24"/>
        </w:rPr>
        <w:footnoteReference w:id="78"/>
      </w:r>
      <w:r>
        <w:rPr>
          <w:rFonts w:ascii="Times New Roman" w:hAnsi="Times New Roman" w:cs="Times New Roman"/>
          <w:noProof/>
          <w:sz w:val="24"/>
          <w:szCs w:val="24"/>
        </w:rPr>
        <w:t>. Due to limited requirements by the applicable legislation, the number of transport specific IT systems used by Member States’ authorities is currently small. Apart from the electronic systems set up by the Member States pursuant to the EU legal framework on customs and, respectively, maritime reporting formalities, there have been few attempts to develop transport specific electronic cargo information and documentation exchange systems and, so far, they remained at the level of pilot projects</w:t>
      </w:r>
      <w:r>
        <w:rPr>
          <w:rStyle w:val="FootnoteReference"/>
          <w:rFonts w:ascii="Times New Roman" w:hAnsi="Times New Roman" w:cs="Times New Roman"/>
          <w:noProof/>
          <w:sz w:val="24"/>
          <w:szCs w:val="24"/>
        </w:rPr>
        <w:footnoteReference w:id="79"/>
      </w:r>
      <w:r>
        <w:rPr>
          <w:rFonts w:ascii="Times New Roman" w:hAnsi="Times New Roman" w:cs="Times New Roman"/>
          <w:noProof/>
          <w:sz w:val="24"/>
          <w:szCs w:val="24"/>
        </w:rPr>
        <w:t xml:space="preserve">. Each of these pilot projects tended to create its own technical system for sharing the electronic transport documents or information. This means that in each pilot for each authority, mode and Member State, a new technical solution would be introduced for the sharing of information.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a result, multiple technical systems are used by authorities. In addition, these systems differ from the systems used by business in B2B communication. They contain different information, are based on different technical protocols and might use different devices/solutions. Even within the same Member State, for the same transport mode, systems may differ</w:t>
      </w:r>
      <w:r>
        <w:rPr>
          <w:rStyle w:val="FootnoteReference"/>
          <w:rFonts w:ascii="Times New Roman" w:hAnsi="Times New Roman" w:cs="Times New Roman"/>
          <w:noProof/>
          <w:sz w:val="24"/>
          <w:szCs w:val="24"/>
        </w:rPr>
        <w:footnoteReference w:id="80"/>
      </w:r>
      <w:r>
        <w:rPr>
          <w:rFonts w:ascii="Times New Roman" w:hAnsi="Times New Roman" w:cs="Times New Roman"/>
          <w:noProof/>
          <w:sz w:val="24"/>
          <w:szCs w:val="24"/>
        </w:rPr>
        <w:t xml:space="preserve">. </w:t>
      </w:r>
    </w:p>
    <w:p>
      <w:pPr>
        <w:rPr>
          <w:rFonts w:ascii="Times New Roman" w:hAnsi="Times New Roman" w:cs="Times New Roman"/>
          <w:b/>
          <w:noProof/>
          <w:sz w:val="20"/>
          <w:szCs w:val="20"/>
        </w:rPr>
      </w:pPr>
      <w:r>
        <w:rPr>
          <w:rFonts w:ascii="Times New Roman" w:hAnsi="Times New Roman" w:cs="Times New Roman"/>
          <w:b/>
          <w:noProof/>
          <w:sz w:val="20"/>
          <w:szCs w:val="20"/>
        </w:rPr>
        <w:br w:type="page"/>
      </w:r>
    </w:p>
    <w:p>
      <w:pPr>
        <w:spacing w:before="120" w:after="120" w:line="240" w:lineRule="auto"/>
        <w:jc w:val="both"/>
        <w:rPr>
          <w:rFonts w:ascii="Times New Roman" w:hAnsi="Times New Roman" w:cs="Times New Roman"/>
          <w:b/>
          <w:noProof/>
          <w:sz w:val="20"/>
          <w:szCs w:val="20"/>
        </w:rPr>
      </w:pPr>
      <w:r>
        <w:rPr>
          <w:rFonts w:ascii="Times New Roman" w:hAnsi="Times New Roman" w:cs="Times New Roman"/>
          <w:b/>
          <w:noProof/>
          <w:sz w:val="20"/>
          <w:szCs w:val="20"/>
        </w:rPr>
        <w:t>Textbox 2.2: Example of multiple technical systems used within the same Member State</w:t>
      </w:r>
      <w:r>
        <w:rPr>
          <w:rStyle w:val="FootnoteReference"/>
          <w:rFonts w:ascii="Times New Roman" w:hAnsi="Times New Roman" w:cs="Times New Roman"/>
          <w:b/>
          <w:noProof/>
          <w:sz w:val="20"/>
          <w:szCs w:val="20"/>
        </w:rPr>
        <w:footnoteReference w:id="81"/>
      </w:r>
    </w:p>
    <w:p>
      <w:pPr>
        <w:pBdr>
          <w:top w:val="single" w:sz="4" w:space="1" w:color="auto"/>
          <w:left w:val="single" w:sz="4" w:space="4" w:color="auto"/>
          <w:bottom w:val="single" w:sz="4" w:space="0" w:color="auto"/>
          <w:right w:val="single" w:sz="4" w:space="4" w:color="auto"/>
        </w:pBdr>
        <w:shd w:val="clear" w:color="auto" w:fill="BFBFBF" w:themeFill="background1" w:themeFillShade="BF"/>
        <w:spacing w:before="60" w:after="60"/>
        <w:jc w:val="both"/>
        <w:rPr>
          <w:rFonts w:ascii="Times New Roman" w:hAnsi="Times New Roman" w:cs="Times New Roman"/>
          <w:noProof/>
          <w:sz w:val="18"/>
          <w:szCs w:val="18"/>
        </w:rPr>
      </w:pPr>
      <w:r>
        <w:rPr>
          <w:rFonts w:ascii="Times New Roman" w:hAnsi="Times New Roman" w:cs="Times New Roman"/>
          <w:noProof/>
          <w:sz w:val="18"/>
          <w:szCs w:val="18"/>
        </w:rPr>
        <w:t xml:space="preserve">In Germany, multiple systems are used, each based on a different legal act. Based on EU Regulation 2015/2447 custom specific information needs to be included in the ATLAS-system (Automatisiertes Tarif- und Lokales Zollabwicklungssystem). Based on EU Regulation 2010/65, the transport document needs to be included in the National Single Window (NSW) for general inspection. Based on national law, transport related information needs to be included in a nationally developed system. </w:t>
      </w:r>
    </w:p>
    <w:p>
      <w:pPr>
        <w:pBdr>
          <w:top w:val="single" w:sz="4" w:space="1" w:color="auto"/>
          <w:left w:val="single" w:sz="4" w:space="4" w:color="auto"/>
          <w:bottom w:val="single" w:sz="4" w:space="0" w:color="auto"/>
          <w:right w:val="single" w:sz="4" w:space="4" w:color="auto"/>
        </w:pBdr>
        <w:shd w:val="clear" w:color="auto" w:fill="BFBFBF" w:themeFill="background1" w:themeFillShade="BF"/>
        <w:spacing w:before="60" w:after="60"/>
        <w:jc w:val="both"/>
        <w:rPr>
          <w:rFonts w:ascii="Times New Roman" w:hAnsi="Times New Roman" w:cs="Times New Roman"/>
          <w:noProof/>
          <w:sz w:val="18"/>
          <w:szCs w:val="18"/>
        </w:rPr>
      </w:pPr>
      <w:r>
        <w:rPr>
          <w:rFonts w:ascii="Times New Roman" w:hAnsi="Times New Roman" w:cs="Times New Roman"/>
          <w:noProof/>
          <w:sz w:val="18"/>
          <w:szCs w:val="18"/>
        </w:rPr>
        <w:t>These different data transmissions contain partly the same data, but transfer formats and data channels are different. Each authority regards the requested data for their own system as the most vital information. Furthermore, almost the same data is sometimes sent to comparable authorities in different EU countries in order to comply with laws in single countries. This existing administrative burden today causes reluctance among all interviewed companies to create another system to send the same data once more.</w:t>
      </w:r>
    </w:p>
    <w:p>
      <w:pPr>
        <w:pBdr>
          <w:top w:val="single" w:sz="4" w:space="1" w:color="auto"/>
          <w:left w:val="single" w:sz="4" w:space="4" w:color="auto"/>
          <w:bottom w:val="single" w:sz="4" w:space="0" w:color="auto"/>
          <w:right w:val="single" w:sz="4" w:space="4" w:color="auto"/>
        </w:pBdr>
        <w:shd w:val="clear" w:color="auto" w:fill="BFBFBF" w:themeFill="background1" w:themeFillShade="BF"/>
        <w:spacing w:before="60" w:after="60" w:line="240" w:lineRule="auto"/>
        <w:jc w:val="both"/>
        <w:rPr>
          <w:rFonts w:ascii="Times New Roman" w:hAnsi="Times New Roman" w:cs="Times New Roman"/>
          <w:noProof/>
          <w:sz w:val="18"/>
          <w:szCs w:val="18"/>
        </w:rPr>
      </w:pPr>
      <w:r>
        <w:rPr>
          <w:rFonts w:ascii="Times New Roman" w:hAnsi="Times New Roman" w:cs="Times New Roman"/>
          <w:noProof/>
          <w:sz w:val="18"/>
          <w:szCs w:val="18"/>
        </w:rPr>
        <w:t>In the Netherlands, Dutch inland transport sector, two systems are currently used for business-to-administration communication. Furthermore, under the current circumstances, the Dutch barge operators cannot share their transport related information with, for example, the German or Belgian authorities, as they have different systems.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diversity of public administration systems impacts also on the market responses, resulting in a variety of business-to-administration technical solutions</w:t>
      </w:r>
      <w:r>
        <w:rPr>
          <w:rStyle w:val="FootnoteReference"/>
          <w:rFonts w:ascii="Times New Roman" w:hAnsi="Times New Roman" w:cs="Times New Roman"/>
          <w:noProof/>
          <w:sz w:val="24"/>
          <w:szCs w:val="24"/>
        </w:rPr>
        <w:footnoteReference w:id="82"/>
      </w:r>
      <w:r>
        <w:rPr>
          <w:rFonts w:ascii="Times New Roman" w:hAnsi="Times New Roman" w:cs="Times New Roman"/>
          <w:noProof/>
          <w:sz w:val="24"/>
          <w:szCs w:val="24"/>
        </w:rPr>
        <w:t>. Most solutions are only suitable for one mode (e.g. road, air, or rail) or are created for a specific authority (e.g. customs), while others are primarily used for business-to-business information exchange.</w:t>
      </w:r>
      <w:r>
        <w:rPr>
          <w:rStyle w:val="FootnoteReference"/>
          <w:rFonts w:ascii="Times New Roman" w:hAnsi="Times New Roman" w:cs="Times New Roman"/>
          <w:noProof/>
          <w:sz w:val="24"/>
          <w:szCs w:val="24"/>
        </w:rPr>
        <w:footnoteReference w:id="83"/>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Rail and air are sectors characterised by rather high concentration of players, and virtually single electronic information exchange solutions with global reach have been established under the umbrella of the respective global industry organisations. This are essentially B2B systems, but are also used for B2A electronic communication</w:t>
      </w:r>
      <w:r>
        <w:rPr>
          <w:rStyle w:val="FootnoteReference"/>
          <w:rFonts w:ascii="Times New Roman" w:hAnsi="Times New Roman" w:cs="Times New Roman"/>
          <w:noProof/>
          <w:sz w:val="24"/>
          <w:szCs w:val="24"/>
        </w:rPr>
        <w:footnoteReference w:id="84"/>
      </w:r>
      <w:r>
        <w:rPr>
          <w:rFonts w:ascii="Times New Roman" w:hAnsi="Times New Roman" w:cs="Times New Roman"/>
          <w:noProof/>
          <w:sz w:val="24"/>
          <w:szCs w:val="24"/>
        </w:rPr>
        <w:t>. In road, inland waterway and maritime transport, where the market is more fragmented, the number of available solutions is higher, and their use more heterogeneous across the Member States</w:t>
      </w:r>
      <w:r>
        <w:rPr>
          <w:rStyle w:val="FootnoteReference"/>
          <w:rFonts w:ascii="Times New Roman" w:hAnsi="Times New Roman" w:cs="Times New Roman"/>
          <w:noProof/>
          <w:sz w:val="24"/>
          <w:szCs w:val="24"/>
        </w:rPr>
        <w:footnoteReference w:id="85"/>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none of the observed solutions apply at least for B2A electronic information exchange with all authorities in one Member States, let alone apply to all relevant authorities in multiple Member States. As a result, companies need multiple technical solutions to provide the relevant information to authorities and business partners, even if the basic information is the same for all</w:t>
      </w:r>
      <w:r>
        <w:rPr>
          <w:rStyle w:val="FootnoteReference"/>
          <w:rFonts w:ascii="Times New Roman" w:hAnsi="Times New Roman" w:cs="Times New Roman"/>
          <w:noProof/>
          <w:sz w:val="24"/>
          <w:szCs w:val="24"/>
        </w:rPr>
        <w:footnoteReference w:id="86"/>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problem therefore, as it emerged from the feed-back received from the stakeholders, is that the low interoperability between the current B2A systems, which also impacts on B2B solutions. </w:t>
      </w:r>
    </w:p>
    <w:p>
      <w:pPr>
        <w:pStyle w:val="Caption"/>
        <w:rPr>
          <w:rFonts w:ascii="Times New Roman" w:hAnsi="Times New Roman"/>
          <w:noProof/>
          <w:sz w:val="20"/>
          <w:szCs w:val="20"/>
        </w:rPr>
      </w:pPr>
      <w:r>
        <w:rPr>
          <w:rFonts w:ascii="Times New Roman" w:hAnsi="Times New Roman"/>
          <w:noProof/>
          <w:sz w:val="20"/>
          <w:szCs w:val="20"/>
        </w:rPr>
        <w:t>Figure 2.6: Contribution of the problem drivers to the overall problem (n=100)</w:t>
      </w:r>
    </w:p>
    <w:p>
      <w:pPr>
        <w:pStyle w:val="DefaultText"/>
        <w:spacing w:after="240"/>
        <w:jc w:val="both"/>
        <w:rPr>
          <w:noProof/>
        </w:rPr>
      </w:pPr>
      <w:r>
        <w:rPr>
          <w:noProof/>
          <w:lang w:val="en-US" w:eastAsia="en-US"/>
        </w:rPr>
        <w:drawing>
          <wp:inline distT="0" distB="0" distL="0" distR="0">
            <wp:extent cx="4945712" cy="1749287"/>
            <wp:effectExtent l="0" t="0" r="762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l="1131" t="2170" r="1997" b="4514"/>
                    <a:stretch/>
                  </pic:blipFill>
                  <pic:spPr bwMode="auto">
                    <a:xfrm>
                      <a:off x="0" y="0"/>
                      <a:ext cx="4952119" cy="1751553"/>
                    </a:xfrm>
                    <a:prstGeom prst="rect">
                      <a:avLst/>
                    </a:prstGeom>
                    <a:noFill/>
                    <a:ln>
                      <a:noFill/>
                    </a:ln>
                    <a:extLst>
                      <a:ext uri="{53640926-AAD7-44D8-BBD7-CCE9431645EC}">
                        <a14:shadowObscured xmlns:a14="http://schemas.microsoft.com/office/drawing/2010/main"/>
                      </a:ext>
                    </a:extLst>
                  </pic:spPr>
                </pic:pic>
              </a:graphicData>
            </a:graphic>
          </wp:inline>
        </w:drawing>
      </w:r>
    </w:p>
    <w:p>
      <w:pPr>
        <w:pStyle w:val="bronvermelding"/>
        <w:spacing w:after="240"/>
        <w:rPr>
          <w:rFonts w:ascii="Times New Roman" w:hAnsi="Times New Roman"/>
          <w:i/>
          <w:noProof/>
          <w:sz w:val="18"/>
          <w:szCs w:val="18"/>
        </w:rPr>
      </w:pPr>
      <w:r>
        <w:rPr>
          <w:rFonts w:ascii="Times New Roman" w:hAnsi="Times New Roman"/>
          <w:i/>
          <w:noProof/>
          <w:sz w:val="18"/>
          <w:szCs w:val="18"/>
        </w:rPr>
        <w:t>Source: OPC</w:t>
      </w:r>
    </w:p>
    <w:p>
      <w:pPr>
        <w:pStyle w:val="DefaultText"/>
        <w:jc w:val="both"/>
        <w:rPr>
          <w:rFonts w:ascii="Times New Roman" w:hAnsi="Times New Roman"/>
          <w:noProof/>
          <w:sz w:val="24"/>
        </w:rPr>
      </w:pPr>
      <w:r>
        <w:rPr>
          <w:rFonts w:ascii="Times New Roman" w:hAnsi="Times New Roman"/>
          <w:noProof/>
          <w:sz w:val="24"/>
        </w:rPr>
        <w:t>The SME panel results for options regarding the question on how interoperability of IT solutions/systems can be ensured reveal that 73% of the respondents consider that standardized technical specifications for sharing data between logistics operators and public administrations should be established.</w:t>
      </w:r>
    </w:p>
    <w:p>
      <w:pPr>
        <w:pStyle w:val="ManualHeading2"/>
        <w:rPr>
          <w:noProof/>
        </w:rPr>
      </w:pPr>
      <w:bookmarkStart w:id="47" w:name="_Toc512854910"/>
      <w:r>
        <w:rPr>
          <w:noProof/>
        </w:rPr>
        <w:t>2.3</w:t>
      </w:r>
      <w:r>
        <w:rPr>
          <w:noProof/>
        </w:rPr>
        <w:tab/>
        <w:t>How will the problem evolve?</w:t>
      </w:r>
      <w:bookmarkEnd w:id="45"/>
      <w:bookmarkEnd w:id="47"/>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Without any specific EU level intervention, acceptance of electronic documents is likely to remain limited.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International fora generally take a long time to secure agreement between the various parties concerned, and often only recommend, but do not require using certain procedures. At EU level, progress may be equally slow and variable, as it will depend on the various revision processes of the current applicable legislation. At national level, Member States will likely continue to adapt their legislation in order to accommodate the increasing need for development of eGovernment services. However, they are likely to do so at variable pace and with different results, depending on national political priorities. </w:t>
      </w:r>
    </w:p>
    <w:p>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Businesses will likely try to adapt to this evolving enabling environment, in order to capture most of the expected benefits of digitalisation. </w:t>
      </w:r>
      <w:r>
        <w:rPr>
          <w:rFonts w:ascii="Times New Roman" w:hAnsi="Times New Roman" w:cs="Times New Roman"/>
          <w:noProof/>
          <w:sz w:val="24"/>
          <w:szCs w:val="24"/>
        </w:rPr>
        <w:t xml:space="preserve">Therefore, the current trend of slow and mode-specific uptake of a variety of primarily mode-specific and non-interoperable solutions will continue. </w:t>
      </w:r>
      <w:r>
        <w:rPr>
          <w:rFonts w:ascii="Times New Roman" w:eastAsia="Times New Roman" w:hAnsi="Times New Roman" w:cs="Times New Roman"/>
          <w:noProof/>
          <w:sz w:val="24"/>
          <w:szCs w:val="24"/>
        </w:rPr>
        <w:t>Theoretically, a company could acquire as many mode specific and/or national specific solutions as necessary, or use the services of companies that provide connecting software that ensures the interoperability of the data exchanged with the various commercial partners. However, that is neither economically sound nor effectively sustainable in practice, due to the high investment and maintenance costs for this solutions and integrators/translators.</w:t>
      </w:r>
      <w:r>
        <w:rPr>
          <w:rFonts w:ascii="Times New Roman" w:hAnsi="Times New Roman" w:cs="Times New Roman"/>
          <w:noProof/>
          <w:sz w:val="24"/>
          <w:szCs w:val="24"/>
        </w:rPr>
        <w:t xml:space="preserve"> Rather, the large majority of businesses will continue to prefer the certainty (including as regards costs) of paper, and not invest in digital solutions, since the currently fragmented IT market, as well as the limited acceptance by authorities, makes digitalisation too costly</w:t>
      </w:r>
      <w:r>
        <w:rPr>
          <w:rStyle w:val="FootnoteReference"/>
          <w:rFonts w:ascii="Times New Roman" w:hAnsi="Times New Roman" w:cs="Times New Roman"/>
          <w:noProof/>
          <w:sz w:val="24"/>
          <w:szCs w:val="24"/>
        </w:rPr>
        <w:footnoteReference w:id="87"/>
      </w:r>
      <w:r>
        <w:rPr>
          <w:rFonts w:ascii="Times New Roman" w:hAnsi="Times New Roman" w:cs="Times New Roman"/>
          <w:noProof/>
          <w:sz w:val="24"/>
          <w:szCs w:val="24"/>
        </w:rPr>
        <w:t xml:space="preserve">. </w:t>
      </w:r>
    </w:p>
    <w:p>
      <w:pPr>
        <w:spacing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In the baseline scenario, </w:t>
      </w:r>
      <w:r>
        <w:rPr>
          <w:rFonts w:ascii="Times New Roman" w:eastAsia="Calibri" w:hAnsi="Times New Roman" w:cs="Times New Roman"/>
          <w:noProof/>
          <w:sz w:val="24"/>
          <w:szCs w:val="24"/>
        </w:rPr>
        <w:t>freight transport activity for inland modes is projected to increase by 28% between 2015 and 2030 (51% for 2015-2050). Yet the digitalisation levels of the electronic transport document will remain limited for most of the transport modes. The levels provided in the table below represent the continuation of the current situation with only limited coordinated action in the direction of tackling the existing problem drivers. They account however for a certain increase in the use of electronic transport documents in the more digitally-ready Member States, such as for example the Netherlands, Denmark, or Estonia.</w:t>
      </w:r>
    </w:p>
    <w:p>
      <w:pPr>
        <w:keepNext/>
        <w:keepLines/>
        <w:spacing w:before="120" w:after="120" w:line="240" w:lineRule="auto"/>
        <w:jc w:val="both"/>
        <w:rPr>
          <w:rFonts w:ascii="Times New Roman" w:hAnsi="Times New Roman" w:cs="Times New Roman"/>
          <w:b/>
          <w:noProof/>
          <w:sz w:val="20"/>
          <w:szCs w:val="20"/>
        </w:rPr>
      </w:pPr>
      <w:r>
        <w:rPr>
          <w:rFonts w:ascii="Times New Roman" w:hAnsi="Times New Roman" w:cs="Times New Roman"/>
          <w:b/>
          <w:noProof/>
          <w:sz w:val="20"/>
          <w:szCs w:val="20"/>
        </w:rPr>
        <w:t>Table 2.3: Baseline scenario – assumed level of uptake for electronic documents</w:t>
      </w:r>
    </w:p>
    <w:tbl>
      <w:tblPr>
        <w:tblStyle w:val="table-style-blauw-100-outlin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2331"/>
        <w:gridCol w:w="2166"/>
        <w:gridCol w:w="2831"/>
      </w:tblGrid>
      <w:tr>
        <w:trPr>
          <w:cnfStyle w:val="100000000000" w:firstRow="1" w:lastRow="0" w:firstColumn="0" w:lastColumn="0" w:oddVBand="0" w:evenVBand="0" w:oddHBand="0" w:evenHBand="0" w:firstRowFirstColumn="0" w:firstRowLastColumn="0" w:lastRowFirstColumn="0" w:lastRowLastColumn="0"/>
          <w:trHeight w:val="300"/>
          <w:tblHeader/>
        </w:trPr>
        <w:tc>
          <w:tcPr>
            <w:tcW w:w="1055" w:type="pct"/>
            <w:shd w:val="solid" w:color="006DB6" w:fill="006BB7"/>
            <w:noWrap/>
            <w:hideMark/>
          </w:tcPr>
          <w:p>
            <w:pPr>
              <w:pStyle w:val="table-text"/>
              <w:spacing w:line="240" w:lineRule="auto"/>
              <w:jc w:val="center"/>
              <w:rPr>
                <w:rFonts w:ascii="Times New Roman" w:hAnsi="Times New Roman"/>
                <w:noProof/>
                <w:sz w:val="18"/>
                <w:szCs w:val="18"/>
                <w:lang w:val="en-GB"/>
              </w:rPr>
            </w:pPr>
          </w:p>
        </w:tc>
        <w:tc>
          <w:tcPr>
            <w:tcW w:w="1255" w:type="pct"/>
            <w:shd w:val="solid" w:color="006DB6" w:fill="006BB7"/>
            <w:noWrap/>
            <w:hideMark/>
          </w:tcPr>
          <w:p>
            <w:pPr>
              <w:pStyle w:val="table-text"/>
              <w:spacing w:line="240" w:lineRule="auto"/>
              <w:jc w:val="center"/>
              <w:rPr>
                <w:rFonts w:ascii="Times New Roman" w:hAnsi="Times New Roman"/>
                <w:bCs/>
                <w:noProof/>
                <w:sz w:val="18"/>
                <w:szCs w:val="18"/>
                <w:lang w:val="en-GB"/>
              </w:rPr>
            </w:pPr>
            <w:r>
              <w:rPr>
                <w:rFonts w:ascii="Times New Roman" w:hAnsi="Times New Roman"/>
                <w:bCs/>
                <w:noProof/>
                <w:sz w:val="18"/>
                <w:szCs w:val="18"/>
                <w:lang w:val="en-GB"/>
              </w:rPr>
              <w:t>2018</w:t>
            </w:r>
          </w:p>
        </w:tc>
        <w:tc>
          <w:tcPr>
            <w:tcW w:w="1166" w:type="pct"/>
            <w:shd w:val="solid" w:color="006DB6" w:fill="006BB7"/>
            <w:noWrap/>
            <w:hideMark/>
          </w:tcPr>
          <w:p>
            <w:pPr>
              <w:pStyle w:val="table-text"/>
              <w:spacing w:line="240" w:lineRule="auto"/>
              <w:jc w:val="center"/>
              <w:rPr>
                <w:rFonts w:ascii="Times New Roman" w:hAnsi="Times New Roman"/>
                <w:bCs/>
                <w:noProof/>
                <w:sz w:val="18"/>
                <w:szCs w:val="18"/>
                <w:lang w:val="en-GB"/>
              </w:rPr>
            </w:pPr>
            <w:r>
              <w:rPr>
                <w:rFonts w:ascii="Times New Roman" w:hAnsi="Times New Roman"/>
                <w:bCs/>
                <w:noProof/>
                <w:sz w:val="18"/>
                <w:szCs w:val="18"/>
                <w:lang w:val="en-GB"/>
              </w:rPr>
              <w:t>2025</w:t>
            </w:r>
          </w:p>
        </w:tc>
        <w:tc>
          <w:tcPr>
            <w:tcW w:w="1524" w:type="pct"/>
            <w:shd w:val="solid" w:color="006DB6" w:fill="006BB7"/>
            <w:noWrap/>
            <w:hideMark/>
          </w:tcPr>
          <w:p>
            <w:pPr>
              <w:pStyle w:val="table-text"/>
              <w:spacing w:line="240" w:lineRule="auto"/>
              <w:jc w:val="center"/>
              <w:rPr>
                <w:rFonts w:ascii="Times New Roman" w:hAnsi="Times New Roman"/>
                <w:bCs/>
                <w:noProof/>
                <w:sz w:val="18"/>
                <w:szCs w:val="18"/>
                <w:lang w:val="en-GB"/>
              </w:rPr>
            </w:pPr>
            <w:r>
              <w:rPr>
                <w:rFonts w:ascii="Times New Roman" w:hAnsi="Times New Roman"/>
                <w:bCs/>
                <w:noProof/>
                <w:sz w:val="18"/>
                <w:szCs w:val="18"/>
                <w:lang w:val="en-GB"/>
              </w:rPr>
              <w:t>2030</w:t>
            </w:r>
          </w:p>
        </w:tc>
      </w:tr>
      <w:tr>
        <w:trPr>
          <w:cnfStyle w:val="000000100000" w:firstRow="0" w:lastRow="0" w:firstColumn="0" w:lastColumn="0" w:oddVBand="0" w:evenVBand="0" w:oddHBand="1" w:evenHBand="0" w:firstRowFirstColumn="0" w:firstRowLastColumn="0" w:lastRowFirstColumn="0" w:lastRowLastColumn="0"/>
          <w:trHeight w:val="300"/>
        </w:trPr>
        <w:tc>
          <w:tcPr>
            <w:tcW w:w="1055" w:type="pct"/>
            <w:tcBorders>
              <w:top w:val="none" w:sz="0" w:space="0" w:color="auto"/>
            </w:tcBorders>
            <w:noWrap/>
            <w:hideMark/>
          </w:tcPr>
          <w:p>
            <w:pPr>
              <w:pStyle w:val="table-text"/>
              <w:spacing w:line="240" w:lineRule="auto"/>
              <w:rPr>
                <w:rFonts w:ascii="Times New Roman" w:hAnsi="Times New Roman"/>
                <w:b/>
                <w:bCs/>
                <w:noProof/>
                <w:sz w:val="18"/>
                <w:szCs w:val="18"/>
                <w:lang w:val="en-GB"/>
              </w:rPr>
            </w:pPr>
            <w:r>
              <w:rPr>
                <w:rFonts w:ascii="Times New Roman" w:hAnsi="Times New Roman"/>
                <w:b/>
                <w:bCs/>
                <w:noProof/>
                <w:sz w:val="18"/>
                <w:szCs w:val="18"/>
                <w:lang w:val="en-GB"/>
              </w:rPr>
              <w:t>Road</w:t>
            </w:r>
          </w:p>
        </w:tc>
        <w:tc>
          <w:tcPr>
            <w:tcW w:w="1255" w:type="pct"/>
            <w:tcBorders>
              <w:top w:val="none" w:sz="0" w:space="0" w:color="auto"/>
            </w:tcBorders>
            <w:noWrap/>
            <w:hideMark/>
          </w:tcPr>
          <w:p>
            <w:pPr>
              <w:pStyle w:val="table-text"/>
              <w:spacing w:line="240" w:lineRule="auto"/>
              <w:jc w:val="center"/>
              <w:rPr>
                <w:rFonts w:ascii="Times New Roman" w:hAnsi="Times New Roman"/>
                <w:noProof/>
                <w:sz w:val="18"/>
                <w:szCs w:val="18"/>
                <w:lang w:val="en-GB"/>
              </w:rPr>
            </w:pPr>
            <w:r>
              <w:rPr>
                <w:rFonts w:ascii="Times New Roman" w:hAnsi="Times New Roman"/>
                <w:noProof/>
                <w:sz w:val="18"/>
                <w:szCs w:val="18"/>
                <w:lang w:val="en-GB"/>
              </w:rPr>
              <w:t>1%</w:t>
            </w:r>
          </w:p>
        </w:tc>
        <w:tc>
          <w:tcPr>
            <w:tcW w:w="1166" w:type="pct"/>
            <w:tcBorders>
              <w:top w:val="none" w:sz="0" w:space="0" w:color="auto"/>
            </w:tcBorders>
            <w:noWrap/>
            <w:hideMark/>
          </w:tcPr>
          <w:p>
            <w:pPr>
              <w:pStyle w:val="table-text"/>
              <w:spacing w:line="240" w:lineRule="auto"/>
              <w:jc w:val="center"/>
              <w:rPr>
                <w:rFonts w:ascii="Times New Roman" w:hAnsi="Times New Roman"/>
                <w:noProof/>
                <w:sz w:val="18"/>
                <w:szCs w:val="18"/>
                <w:lang w:val="en-GB"/>
              </w:rPr>
            </w:pPr>
            <w:r>
              <w:rPr>
                <w:rFonts w:ascii="Times New Roman" w:hAnsi="Times New Roman"/>
                <w:noProof/>
                <w:sz w:val="18"/>
                <w:szCs w:val="18"/>
                <w:lang w:val="en-GB"/>
              </w:rPr>
              <w:t>3%</w:t>
            </w:r>
          </w:p>
        </w:tc>
        <w:tc>
          <w:tcPr>
            <w:tcW w:w="1524" w:type="pct"/>
            <w:tcBorders>
              <w:top w:val="none" w:sz="0" w:space="0" w:color="auto"/>
            </w:tcBorders>
            <w:noWrap/>
            <w:hideMark/>
          </w:tcPr>
          <w:p>
            <w:pPr>
              <w:pStyle w:val="table-text"/>
              <w:spacing w:line="240" w:lineRule="auto"/>
              <w:jc w:val="center"/>
              <w:rPr>
                <w:rFonts w:ascii="Times New Roman" w:hAnsi="Times New Roman"/>
                <w:noProof/>
                <w:sz w:val="18"/>
                <w:szCs w:val="18"/>
                <w:lang w:val="en-GB"/>
              </w:rPr>
            </w:pPr>
            <w:r>
              <w:rPr>
                <w:rFonts w:ascii="Times New Roman" w:hAnsi="Times New Roman"/>
                <w:noProof/>
                <w:sz w:val="18"/>
                <w:szCs w:val="18"/>
                <w:lang w:val="en-GB"/>
              </w:rPr>
              <w:t>5%</w:t>
            </w:r>
          </w:p>
        </w:tc>
      </w:tr>
      <w:tr>
        <w:trPr>
          <w:cnfStyle w:val="000000010000" w:firstRow="0" w:lastRow="0" w:firstColumn="0" w:lastColumn="0" w:oddVBand="0" w:evenVBand="0" w:oddHBand="0" w:evenHBand="1" w:firstRowFirstColumn="0" w:firstRowLastColumn="0" w:lastRowFirstColumn="0" w:lastRowLastColumn="0"/>
          <w:trHeight w:val="300"/>
        </w:trPr>
        <w:tc>
          <w:tcPr>
            <w:tcW w:w="1055" w:type="pct"/>
            <w:tcBorders>
              <w:top w:val="none" w:sz="0" w:space="0" w:color="auto"/>
            </w:tcBorders>
            <w:noWrap/>
            <w:hideMark/>
          </w:tcPr>
          <w:p>
            <w:pPr>
              <w:pStyle w:val="table-text"/>
              <w:spacing w:line="240" w:lineRule="auto"/>
              <w:rPr>
                <w:rFonts w:ascii="Times New Roman" w:hAnsi="Times New Roman"/>
                <w:b/>
                <w:bCs/>
                <w:noProof/>
                <w:sz w:val="18"/>
                <w:szCs w:val="18"/>
                <w:lang w:val="en-GB"/>
              </w:rPr>
            </w:pPr>
            <w:r>
              <w:rPr>
                <w:rFonts w:ascii="Times New Roman" w:hAnsi="Times New Roman"/>
                <w:b/>
                <w:bCs/>
                <w:noProof/>
                <w:sz w:val="18"/>
                <w:szCs w:val="18"/>
                <w:lang w:val="en-GB"/>
              </w:rPr>
              <w:t>Rail</w:t>
            </w:r>
          </w:p>
        </w:tc>
        <w:tc>
          <w:tcPr>
            <w:tcW w:w="1255" w:type="pct"/>
            <w:tcBorders>
              <w:top w:val="none" w:sz="0" w:space="0" w:color="auto"/>
            </w:tcBorders>
            <w:noWrap/>
            <w:hideMark/>
          </w:tcPr>
          <w:p>
            <w:pPr>
              <w:pStyle w:val="table-text"/>
              <w:spacing w:line="240" w:lineRule="auto"/>
              <w:jc w:val="center"/>
              <w:rPr>
                <w:rFonts w:ascii="Times New Roman" w:hAnsi="Times New Roman"/>
                <w:noProof/>
                <w:sz w:val="18"/>
                <w:szCs w:val="18"/>
                <w:lang w:val="en-GB"/>
              </w:rPr>
            </w:pPr>
            <w:r>
              <w:rPr>
                <w:rFonts w:ascii="Times New Roman" w:hAnsi="Times New Roman"/>
                <w:noProof/>
                <w:sz w:val="18"/>
                <w:szCs w:val="18"/>
                <w:lang w:val="en-GB"/>
              </w:rPr>
              <w:t>5%</w:t>
            </w:r>
          </w:p>
        </w:tc>
        <w:tc>
          <w:tcPr>
            <w:tcW w:w="1166" w:type="pct"/>
            <w:tcBorders>
              <w:top w:val="none" w:sz="0" w:space="0" w:color="auto"/>
            </w:tcBorders>
            <w:noWrap/>
            <w:hideMark/>
          </w:tcPr>
          <w:p>
            <w:pPr>
              <w:pStyle w:val="table-text"/>
              <w:spacing w:line="240" w:lineRule="auto"/>
              <w:jc w:val="center"/>
              <w:rPr>
                <w:rFonts w:ascii="Times New Roman" w:hAnsi="Times New Roman"/>
                <w:noProof/>
                <w:sz w:val="18"/>
                <w:szCs w:val="18"/>
                <w:lang w:val="en-GB"/>
              </w:rPr>
            </w:pPr>
            <w:r>
              <w:rPr>
                <w:rFonts w:ascii="Times New Roman" w:hAnsi="Times New Roman"/>
                <w:noProof/>
                <w:sz w:val="18"/>
                <w:szCs w:val="18"/>
                <w:lang w:val="en-GB"/>
              </w:rPr>
              <w:t>10%</w:t>
            </w:r>
          </w:p>
        </w:tc>
        <w:tc>
          <w:tcPr>
            <w:tcW w:w="1524" w:type="pct"/>
            <w:tcBorders>
              <w:top w:val="none" w:sz="0" w:space="0" w:color="auto"/>
            </w:tcBorders>
            <w:noWrap/>
            <w:hideMark/>
          </w:tcPr>
          <w:p>
            <w:pPr>
              <w:pStyle w:val="table-text"/>
              <w:spacing w:line="240" w:lineRule="auto"/>
              <w:jc w:val="center"/>
              <w:rPr>
                <w:rFonts w:ascii="Times New Roman" w:hAnsi="Times New Roman"/>
                <w:noProof/>
                <w:sz w:val="18"/>
                <w:szCs w:val="18"/>
                <w:lang w:val="en-GB"/>
              </w:rPr>
            </w:pPr>
            <w:r>
              <w:rPr>
                <w:rFonts w:ascii="Times New Roman" w:hAnsi="Times New Roman"/>
                <w:noProof/>
                <w:sz w:val="18"/>
                <w:szCs w:val="18"/>
                <w:lang w:val="en-GB"/>
              </w:rPr>
              <w:t>15%</w:t>
            </w:r>
          </w:p>
        </w:tc>
      </w:tr>
      <w:tr>
        <w:trPr>
          <w:cnfStyle w:val="000000100000" w:firstRow="0" w:lastRow="0" w:firstColumn="0" w:lastColumn="0" w:oddVBand="0" w:evenVBand="0" w:oddHBand="1" w:evenHBand="0" w:firstRowFirstColumn="0" w:firstRowLastColumn="0" w:lastRowFirstColumn="0" w:lastRowLastColumn="0"/>
          <w:trHeight w:val="300"/>
        </w:trPr>
        <w:tc>
          <w:tcPr>
            <w:tcW w:w="1055" w:type="pct"/>
            <w:tcBorders>
              <w:top w:val="none" w:sz="0" w:space="0" w:color="auto"/>
            </w:tcBorders>
            <w:noWrap/>
            <w:hideMark/>
          </w:tcPr>
          <w:p>
            <w:pPr>
              <w:pStyle w:val="table-text"/>
              <w:spacing w:line="240" w:lineRule="auto"/>
              <w:rPr>
                <w:rFonts w:ascii="Times New Roman" w:hAnsi="Times New Roman"/>
                <w:b/>
                <w:bCs/>
                <w:noProof/>
                <w:sz w:val="18"/>
                <w:szCs w:val="18"/>
                <w:lang w:val="en-GB"/>
              </w:rPr>
            </w:pPr>
            <w:r>
              <w:rPr>
                <w:rFonts w:ascii="Times New Roman" w:hAnsi="Times New Roman"/>
                <w:b/>
                <w:bCs/>
                <w:noProof/>
                <w:sz w:val="18"/>
                <w:szCs w:val="18"/>
                <w:lang w:val="en-GB"/>
              </w:rPr>
              <w:t>IWT</w:t>
            </w:r>
          </w:p>
        </w:tc>
        <w:tc>
          <w:tcPr>
            <w:tcW w:w="1255" w:type="pct"/>
            <w:tcBorders>
              <w:top w:val="none" w:sz="0" w:space="0" w:color="auto"/>
            </w:tcBorders>
            <w:noWrap/>
            <w:hideMark/>
          </w:tcPr>
          <w:p>
            <w:pPr>
              <w:pStyle w:val="table-text"/>
              <w:spacing w:line="240" w:lineRule="auto"/>
              <w:jc w:val="center"/>
              <w:rPr>
                <w:rFonts w:ascii="Times New Roman" w:hAnsi="Times New Roman"/>
                <w:noProof/>
                <w:sz w:val="18"/>
                <w:szCs w:val="18"/>
                <w:lang w:val="en-GB"/>
              </w:rPr>
            </w:pPr>
            <w:r>
              <w:rPr>
                <w:rFonts w:ascii="Times New Roman" w:hAnsi="Times New Roman"/>
                <w:noProof/>
                <w:sz w:val="18"/>
                <w:szCs w:val="18"/>
                <w:lang w:val="en-GB"/>
              </w:rPr>
              <w:t>0%</w:t>
            </w:r>
          </w:p>
        </w:tc>
        <w:tc>
          <w:tcPr>
            <w:tcW w:w="1166" w:type="pct"/>
            <w:tcBorders>
              <w:top w:val="none" w:sz="0" w:space="0" w:color="auto"/>
            </w:tcBorders>
            <w:noWrap/>
            <w:hideMark/>
          </w:tcPr>
          <w:p>
            <w:pPr>
              <w:pStyle w:val="table-text"/>
              <w:spacing w:line="240" w:lineRule="auto"/>
              <w:jc w:val="center"/>
              <w:rPr>
                <w:rFonts w:ascii="Times New Roman" w:hAnsi="Times New Roman"/>
                <w:noProof/>
                <w:sz w:val="18"/>
                <w:szCs w:val="18"/>
                <w:lang w:val="en-GB"/>
              </w:rPr>
            </w:pPr>
            <w:r>
              <w:rPr>
                <w:rFonts w:ascii="Times New Roman" w:hAnsi="Times New Roman"/>
                <w:noProof/>
                <w:sz w:val="18"/>
                <w:szCs w:val="18"/>
                <w:lang w:val="en-GB"/>
              </w:rPr>
              <w:t>2%</w:t>
            </w:r>
          </w:p>
        </w:tc>
        <w:tc>
          <w:tcPr>
            <w:tcW w:w="1524" w:type="pct"/>
            <w:tcBorders>
              <w:top w:val="none" w:sz="0" w:space="0" w:color="auto"/>
            </w:tcBorders>
            <w:noWrap/>
            <w:hideMark/>
          </w:tcPr>
          <w:p>
            <w:pPr>
              <w:pStyle w:val="table-text"/>
              <w:spacing w:line="240" w:lineRule="auto"/>
              <w:jc w:val="center"/>
              <w:rPr>
                <w:rFonts w:ascii="Times New Roman" w:hAnsi="Times New Roman"/>
                <w:noProof/>
                <w:sz w:val="18"/>
                <w:szCs w:val="18"/>
                <w:lang w:val="en-GB"/>
              </w:rPr>
            </w:pPr>
            <w:r>
              <w:rPr>
                <w:rFonts w:ascii="Times New Roman" w:hAnsi="Times New Roman"/>
                <w:noProof/>
                <w:sz w:val="18"/>
                <w:szCs w:val="18"/>
                <w:lang w:val="en-GB"/>
              </w:rPr>
              <w:t>5%</w:t>
            </w:r>
          </w:p>
        </w:tc>
      </w:tr>
      <w:tr>
        <w:trPr>
          <w:cnfStyle w:val="000000010000" w:firstRow="0" w:lastRow="0" w:firstColumn="0" w:lastColumn="0" w:oddVBand="0" w:evenVBand="0" w:oddHBand="0" w:evenHBand="1" w:firstRowFirstColumn="0" w:firstRowLastColumn="0" w:lastRowFirstColumn="0" w:lastRowLastColumn="0"/>
          <w:trHeight w:val="300"/>
        </w:trPr>
        <w:tc>
          <w:tcPr>
            <w:tcW w:w="1055" w:type="pct"/>
            <w:tcBorders>
              <w:top w:val="none" w:sz="0" w:space="0" w:color="auto"/>
            </w:tcBorders>
            <w:noWrap/>
            <w:hideMark/>
          </w:tcPr>
          <w:p>
            <w:pPr>
              <w:pStyle w:val="table-text"/>
              <w:spacing w:line="240" w:lineRule="auto"/>
              <w:rPr>
                <w:rFonts w:ascii="Times New Roman" w:hAnsi="Times New Roman"/>
                <w:b/>
                <w:bCs/>
                <w:noProof/>
                <w:sz w:val="18"/>
                <w:szCs w:val="18"/>
                <w:lang w:val="en-GB"/>
              </w:rPr>
            </w:pPr>
            <w:r>
              <w:rPr>
                <w:rFonts w:ascii="Times New Roman" w:hAnsi="Times New Roman"/>
                <w:b/>
                <w:bCs/>
                <w:noProof/>
                <w:sz w:val="18"/>
                <w:szCs w:val="18"/>
                <w:lang w:val="en-GB"/>
              </w:rPr>
              <w:t>Maritime</w:t>
            </w:r>
          </w:p>
        </w:tc>
        <w:tc>
          <w:tcPr>
            <w:tcW w:w="1255" w:type="pct"/>
            <w:tcBorders>
              <w:top w:val="none" w:sz="0" w:space="0" w:color="auto"/>
            </w:tcBorders>
            <w:noWrap/>
            <w:hideMark/>
          </w:tcPr>
          <w:p>
            <w:pPr>
              <w:pStyle w:val="table-text"/>
              <w:spacing w:line="240" w:lineRule="auto"/>
              <w:jc w:val="center"/>
              <w:rPr>
                <w:rFonts w:ascii="Times New Roman" w:hAnsi="Times New Roman"/>
                <w:noProof/>
                <w:sz w:val="18"/>
                <w:szCs w:val="18"/>
                <w:lang w:val="en-GB"/>
              </w:rPr>
            </w:pPr>
            <w:r>
              <w:rPr>
                <w:rFonts w:ascii="Times New Roman" w:hAnsi="Times New Roman"/>
                <w:noProof/>
                <w:sz w:val="18"/>
                <w:szCs w:val="18"/>
                <w:lang w:val="en-GB"/>
              </w:rPr>
              <w:t>0%</w:t>
            </w:r>
          </w:p>
        </w:tc>
        <w:tc>
          <w:tcPr>
            <w:tcW w:w="1166" w:type="pct"/>
            <w:tcBorders>
              <w:top w:val="none" w:sz="0" w:space="0" w:color="auto"/>
            </w:tcBorders>
            <w:noWrap/>
            <w:hideMark/>
          </w:tcPr>
          <w:p>
            <w:pPr>
              <w:pStyle w:val="table-text"/>
              <w:spacing w:line="240" w:lineRule="auto"/>
              <w:jc w:val="center"/>
              <w:rPr>
                <w:rFonts w:ascii="Times New Roman" w:hAnsi="Times New Roman"/>
                <w:noProof/>
                <w:sz w:val="18"/>
                <w:szCs w:val="18"/>
                <w:lang w:val="en-GB"/>
              </w:rPr>
            </w:pPr>
            <w:r>
              <w:rPr>
                <w:rFonts w:ascii="Times New Roman" w:hAnsi="Times New Roman"/>
                <w:noProof/>
                <w:sz w:val="18"/>
                <w:szCs w:val="18"/>
                <w:lang w:val="en-GB"/>
              </w:rPr>
              <w:t>2%</w:t>
            </w:r>
          </w:p>
        </w:tc>
        <w:tc>
          <w:tcPr>
            <w:tcW w:w="1524" w:type="pct"/>
            <w:tcBorders>
              <w:top w:val="none" w:sz="0" w:space="0" w:color="auto"/>
            </w:tcBorders>
            <w:noWrap/>
            <w:hideMark/>
          </w:tcPr>
          <w:p>
            <w:pPr>
              <w:pStyle w:val="table-text"/>
              <w:spacing w:line="240" w:lineRule="auto"/>
              <w:jc w:val="center"/>
              <w:rPr>
                <w:rFonts w:ascii="Times New Roman" w:hAnsi="Times New Roman"/>
                <w:noProof/>
                <w:sz w:val="18"/>
                <w:szCs w:val="18"/>
                <w:lang w:val="en-GB"/>
              </w:rPr>
            </w:pPr>
            <w:r>
              <w:rPr>
                <w:rFonts w:ascii="Times New Roman" w:hAnsi="Times New Roman"/>
                <w:noProof/>
                <w:sz w:val="18"/>
                <w:szCs w:val="18"/>
                <w:lang w:val="en-GB"/>
              </w:rPr>
              <w:t>5%</w:t>
            </w:r>
          </w:p>
        </w:tc>
      </w:tr>
      <w:tr>
        <w:trPr>
          <w:cnfStyle w:val="000000100000" w:firstRow="0" w:lastRow="0" w:firstColumn="0" w:lastColumn="0" w:oddVBand="0" w:evenVBand="0" w:oddHBand="1" w:evenHBand="0" w:firstRowFirstColumn="0" w:firstRowLastColumn="0" w:lastRowFirstColumn="0" w:lastRowLastColumn="0"/>
          <w:trHeight w:val="300"/>
        </w:trPr>
        <w:tc>
          <w:tcPr>
            <w:tcW w:w="1055" w:type="pct"/>
            <w:tcBorders>
              <w:top w:val="none" w:sz="0" w:space="0" w:color="auto"/>
            </w:tcBorders>
            <w:noWrap/>
            <w:hideMark/>
          </w:tcPr>
          <w:p>
            <w:pPr>
              <w:pStyle w:val="table-text"/>
              <w:spacing w:line="240" w:lineRule="auto"/>
              <w:rPr>
                <w:rFonts w:ascii="Times New Roman" w:hAnsi="Times New Roman"/>
                <w:b/>
                <w:bCs/>
                <w:noProof/>
                <w:sz w:val="18"/>
                <w:szCs w:val="18"/>
                <w:lang w:val="en-GB"/>
              </w:rPr>
            </w:pPr>
            <w:r>
              <w:rPr>
                <w:rFonts w:ascii="Times New Roman" w:hAnsi="Times New Roman"/>
                <w:b/>
                <w:bCs/>
                <w:noProof/>
                <w:sz w:val="18"/>
                <w:szCs w:val="18"/>
                <w:lang w:val="en-GB"/>
              </w:rPr>
              <w:t>Aviation</w:t>
            </w:r>
          </w:p>
        </w:tc>
        <w:tc>
          <w:tcPr>
            <w:tcW w:w="1255" w:type="pct"/>
            <w:tcBorders>
              <w:top w:val="none" w:sz="0" w:space="0" w:color="auto"/>
            </w:tcBorders>
            <w:noWrap/>
            <w:hideMark/>
          </w:tcPr>
          <w:p>
            <w:pPr>
              <w:pStyle w:val="table-text"/>
              <w:spacing w:line="240" w:lineRule="auto"/>
              <w:jc w:val="center"/>
              <w:rPr>
                <w:rFonts w:ascii="Times New Roman" w:hAnsi="Times New Roman"/>
                <w:noProof/>
                <w:sz w:val="18"/>
                <w:szCs w:val="18"/>
                <w:lang w:val="en-GB"/>
              </w:rPr>
            </w:pPr>
            <w:r>
              <w:rPr>
                <w:rFonts w:ascii="Times New Roman" w:hAnsi="Times New Roman"/>
                <w:noProof/>
                <w:sz w:val="18"/>
                <w:szCs w:val="18"/>
                <w:lang w:val="en-GB"/>
              </w:rPr>
              <w:t>40%</w:t>
            </w:r>
          </w:p>
        </w:tc>
        <w:tc>
          <w:tcPr>
            <w:tcW w:w="1166" w:type="pct"/>
            <w:tcBorders>
              <w:top w:val="none" w:sz="0" w:space="0" w:color="auto"/>
            </w:tcBorders>
            <w:noWrap/>
            <w:hideMark/>
          </w:tcPr>
          <w:p>
            <w:pPr>
              <w:pStyle w:val="table-text"/>
              <w:spacing w:line="240" w:lineRule="auto"/>
              <w:jc w:val="center"/>
              <w:rPr>
                <w:rFonts w:ascii="Times New Roman" w:hAnsi="Times New Roman"/>
                <w:noProof/>
                <w:sz w:val="18"/>
                <w:szCs w:val="18"/>
                <w:lang w:val="en-GB"/>
              </w:rPr>
            </w:pPr>
            <w:r>
              <w:rPr>
                <w:rFonts w:ascii="Times New Roman" w:hAnsi="Times New Roman"/>
                <w:noProof/>
                <w:sz w:val="18"/>
                <w:szCs w:val="18"/>
                <w:lang w:val="en-GB"/>
              </w:rPr>
              <w:t>45%</w:t>
            </w:r>
          </w:p>
        </w:tc>
        <w:tc>
          <w:tcPr>
            <w:tcW w:w="1524" w:type="pct"/>
            <w:tcBorders>
              <w:top w:val="none" w:sz="0" w:space="0" w:color="auto"/>
            </w:tcBorders>
            <w:noWrap/>
            <w:hideMark/>
          </w:tcPr>
          <w:p>
            <w:pPr>
              <w:pStyle w:val="table-text"/>
              <w:spacing w:line="240" w:lineRule="auto"/>
              <w:jc w:val="center"/>
              <w:rPr>
                <w:rFonts w:ascii="Times New Roman" w:hAnsi="Times New Roman"/>
                <w:noProof/>
                <w:sz w:val="18"/>
                <w:szCs w:val="18"/>
                <w:lang w:val="en-GB"/>
              </w:rPr>
            </w:pPr>
            <w:r>
              <w:rPr>
                <w:rFonts w:ascii="Times New Roman" w:hAnsi="Times New Roman"/>
                <w:noProof/>
                <w:sz w:val="18"/>
                <w:szCs w:val="18"/>
                <w:lang w:val="en-GB"/>
              </w:rPr>
              <w:t>50%</w:t>
            </w:r>
          </w:p>
        </w:tc>
      </w:tr>
    </w:tbl>
    <w:p>
      <w:pPr>
        <w:spacing w:after="240" w:line="240" w:lineRule="auto"/>
        <w:jc w:val="both"/>
        <w:rPr>
          <w:rFonts w:ascii="Times New Roman" w:eastAsia="Times New Roman" w:hAnsi="Times New Roman" w:cs="Times New Roman"/>
          <w:i/>
          <w:noProof/>
          <w:sz w:val="18"/>
          <w:szCs w:val="18"/>
        </w:rPr>
      </w:pPr>
      <w:r>
        <w:rPr>
          <w:rFonts w:ascii="Times New Roman" w:eastAsia="Times New Roman" w:hAnsi="Times New Roman" w:cs="Times New Roman"/>
          <w:i/>
          <w:noProof/>
          <w:sz w:val="18"/>
          <w:szCs w:val="18"/>
        </w:rPr>
        <w:t xml:space="preserve">Source: Ecorys et al. (2018) impact assessment support study </w:t>
      </w:r>
    </w:p>
    <w:p>
      <w:pPr>
        <w:spacing w:after="120"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Driven by growing traffic and low </w:t>
      </w:r>
      <w:r>
        <w:rPr>
          <w:rFonts w:ascii="Times New Roman" w:eastAsia="Times New Roman" w:hAnsi="Times New Roman" w:cs="Times New Roman"/>
          <w:noProof/>
          <w:sz w:val="24"/>
          <w:szCs w:val="20"/>
        </w:rPr>
        <w:t>acceptance/use of electronic documentation and information exchange</w:t>
      </w:r>
      <w:r>
        <w:rPr>
          <w:rFonts w:ascii="Times New Roman" w:eastAsia="Calibri" w:hAnsi="Times New Roman" w:cs="Times New Roman"/>
          <w:noProof/>
          <w:sz w:val="24"/>
          <w:szCs w:val="24"/>
        </w:rPr>
        <w:t xml:space="preserve">, the administrative costs under the baseline scenario are projected to increase despite some further uptake of electronic documents. </w:t>
      </w:r>
      <w:r>
        <w:rPr>
          <w:rFonts w:ascii="Times New Roman" w:hAnsi="Times New Roman" w:cs="Times New Roman"/>
          <w:noProof/>
          <w:sz w:val="24"/>
          <w:szCs w:val="24"/>
        </w:rPr>
        <w:t>Table 2.4 shows the evolution of administrative costs by mode of transport between 2018 and 2030 in million euros</w:t>
      </w:r>
      <w:r>
        <w:rPr>
          <w:rStyle w:val="FootnoteReference"/>
          <w:rFonts w:ascii="Times New Roman" w:hAnsi="Times New Roman" w:cs="Times New Roman"/>
          <w:noProof/>
          <w:sz w:val="24"/>
          <w:szCs w:val="24"/>
        </w:rPr>
        <w:footnoteReference w:id="88"/>
      </w:r>
      <w:r>
        <w:rPr>
          <w:rFonts w:ascii="Times New Roman" w:hAnsi="Times New Roman" w:cs="Times New Roman"/>
          <w:noProof/>
          <w:sz w:val="24"/>
          <w:szCs w:val="24"/>
        </w:rPr>
        <w:t xml:space="preserve">. The assumed uptake rates in the baseline scenario and the calculation of administrative costs are explained in Annex 4. </w:t>
      </w:r>
    </w:p>
    <w:p>
      <w:pPr>
        <w:spacing w:after="120" w:line="240" w:lineRule="auto"/>
        <w:jc w:val="both"/>
        <w:rPr>
          <w:rFonts w:ascii="Times New Roman" w:hAnsi="Times New Roman" w:cs="Times New Roman"/>
          <w:b/>
          <w:noProof/>
          <w:sz w:val="20"/>
          <w:szCs w:val="20"/>
        </w:rPr>
      </w:pPr>
      <w:r>
        <w:rPr>
          <w:rFonts w:ascii="Times New Roman" w:hAnsi="Times New Roman" w:cs="Times New Roman"/>
          <w:b/>
          <w:noProof/>
          <w:sz w:val="20"/>
          <w:szCs w:val="20"/>
        </w:rPr>
        <w:t>Table 2.4 Estimated administrative costs in the baseline scenario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29"/>
        <w:gridCol w:w="934"/>
        <w:gridCol w:w="929"/>
        <w:gridCol w:w="929"/>
        <w:gridCol w:w="929"/>
        <w:gridCol w:w="929"/>
        <w:gridCol w:w="929"/>
        <w:gridCol w:w="929"/>
        <w:gridCol w:w="916"/>
      </w:tblGrid>
      <w:tr>
        <w:trPr>
          <w:trHeight w:val="288"/>
        </w:trPr>
        <w:tc>
          <w:tcPr>
            <w:tcW w:w="504" w:type="pct"/>
            <w:shd w:val="clear" w:color="000000" w:fill="006BB7"/>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Sector</w:t>
            </w:r>
          </w:p>
        </w:tc>
        <w:tc>
          <w:tcPr>
            <w:tcW w:w="1503" w:type="pct"/>
            <w:gridSpan w:val="3"/>
            <w:shd w:val="clear" w:color="000000" w:fill="006BB7"/>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2018</w:t>
            </w:r>
          </w:p>
        </w:tc>
        <w:tc>
          <w:tcPr>
            <w:tcW w:w="1499" w:type="pct"/>
            <w:gridSpan w:val="3"/>
            <w:shd w:val="clear" w:color="000000" w:fill="006BB7"/>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2025</w:t>
            </w:r>
          </w:p>
        </w:tc>
        <w:tc>
          <w:tcPr>
            <w:tcW w:w="1494" w:type="pct"/>
            <w:gridSpan w:val="3"/>
            <w:shd w:val="clear" w:color="000000" w:fill="006BB7"/>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2030</w:t>
            </w:r>
          </w:p>
        </w:tc>
      </w:tr>
      <w:tr>
        <w:trPr>
          <w:trHeight w:val="300"/>
        </w:trPr>
        <w:tc>
          <w:tcPr>
            <w:tcW w:w="504" w:type="pct"/>
            <w:shd w:val="clear" w:color="000000" w:fill="006BB7"/>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 </w:t>
            </w:r>
          </w:p>
        </w:tc>
        <w:tc>
          <w:tcPr>
            <w:tcW w:w="500" w:type="pct"/>
            <w:shd w:val="clear" w:color="000000" w:fill="006BB7"/>
            <w:vAlign w:val="center"/>
            <w:hideMark/>
          </w:tcPr>
          <w:p>
            <w:pPr>
              <w:spacing w:after="0" w:line="240" w:lineRule="auto"/>
              <w:jc w:val="center"/>
              <w:rPr>
                <w:rFonts w:ascii="Times New Roman" w:eastAsia="Times New Roman" w:hAnsi="Times New Roman" w:cs="Times New Roman"/>
                <w:b/>
                <w:noProof/>
                <w:color w:val="FFFFFF"/>
                <w:sz w:val="18"/>
                <w:szCs w:val="18"/>
                <w:lang w:eastAsia="en-GB"/>
              </w:rPr>
            </w:pPr>
            <w:r>
              <w:rPr>
                <w:rFonts w:ascii="Times New Roman" w:eastAsia="Times New Roman" w:hAnsi="Times New Roman" w:cs="Times New Roman"/>
                <w:b/>
                <w:noProof/>
                <w:color w:val="FFFFFF"/>
                <w:sz w:val="18"/>
                <w:szCs w:val="18"/>
                <w:lang w:eastAsia="en-GB"/>
              </w:rPr>
              <w:t>Digital</w:t>
            </w:r>
          </w:p>
        </w:tc>
        <w:tc>
          <w:tcPr>
            <w:tcW w:w="503" w:type="pct"/>
            <w:shd w:val="clear" w:color="000000" w:fill="006BB7"/>
            <w:vAlign w:val="center"/>
            <w:hideMark/>
          </w:tcPr>
          <w:p>
            <w:pPr>
              <w:spacing w:after="0" w:line="240" w:lineRule="auto"/>
              <w:jc w:val="center"/>
              <w:rPr>
                <w:rFonts w:ascii="Times New Roman" w:eastAsia="Times New Roman" w:hAnsi="Times New Roman" w:cs="Times New Roman"/>
                <w:b/>
                <w:noProof/>
                <w:color w:val="FFFFFF"/>
                <w:sz w:val="18"/>
                <w:szCs w:val="18"/>
                <w:lang w:eastAsia="en-GB"/>
              </w:rPr>
            </w:pPr>
            <w:r>
              <w:rPr>
                <w:rFonts w:ascii="Times New Roman" w:eastAsia="Times New Roman" w:hAnsi="Times New Roman" w:cs="Times New Roman"/>
                <w:b/>
                <w:noProof/>
                <w:color w:val="FFFFFF"/>
                <w:sz w:val="18"/>
                <w:szCs w:val="18"/>
                <w:lang w:eastAsia="en-GB"/>
              </w:rPr>
              <w:t>Paper</w:t>
            </w:r>
          </w:p>
        </w:tc>
        <w:tc>
          <w:tcPr>
            <w:tcW w:w="500" w:type="pct"/>
            <w:shd w:val="clear" w:color="000000" w:fill="006BB7"/>
            <w:vAlign w:val="center"/>
            <w:hideMark/>
          </w:tcPr>
          <w:p>
            <w:pPr>
              <w:spacing w:after="0" w:line="240" w:lineRule="auto"/>
              <w:jc w:val="center"/>
              <w:rPr>
                <w:rFonts w:ascii="Times New Roman" w:eastAsia="Times New Roman" w:hAnsi="Times New Roman" w:cs="Times New Roman"/>
                <w:b/>
                <w:noProof/>
                <w:color w:val="FFFFFF"/>
                <w:sz w:val="18"/>
                <w:szCs w:val="18"/>
                <w:lang w:eastAsia="en-GB"/>
              </w:rPr>
            </w:pPr>
            <w:r>
              <w:rPr>
                <w:rFonts w:ascii="Times New Roman" w:eastAsia="Times New Roman" w:hAnsi="Times New Roman" w:cs="Times New Roman"/>
                <w:b/>
                <w:noProof/>
                <w:color w:val="FFFFFF"/>
                <w:sz w:val="18"/>
                <w:szCs w:val="18"/>
                <w:lang w:eastAsia="en-GB"/>
              </w:rPr>
              <w:t>Total</w:t>
            </w:r>
          </w:p>
        </w:tc>
        <w:tc>
          <w:tcPr>
            <w:tcW w:w="500" w:type="pct"/>
            <w:shd w:val="clear" w:color="000000" w:fill="006BB7"/>
            <w:vAlign w:val="center"/>
            <w:hideMark/>
          </w:tcPr>
          <w:p>
            <w:pPr>
              <w:spacing w:after="0" w:line="240" w:lineRule="auto"/>
              <w:jc w:val="center"/>
              <w:rPr>
                <w:rFonts w:ascii="Times New Roman" w:eastAsia="Times New Roman" w:hAnsi="Times New Roman" w:cs="Times New Roman"/>
                <w:b/>
                <w:noProof/>
                <w:color w:val="FFFFFF"/>
                <w:sz w:val="18"/>
                <w:szCs w:val="18"/>
                <w:lang w:eastAsia="en-GB"/>
              </w:rPr>
            </w:pPr>
            <w:r>
              <w:rPr>
                <w:rFonts w:ascii="Times New Roman" w:eastAsia="Times New Roman" w:hAnsi="Times New Roman" w:cs="Times New Roman"/>
                <w:b/>
                <w:noProof/>
                <w:color w:val="FFFFFF"/>
                <w:sz w:val="18"/>
                <w:szCs w:val="18"/>
                <w:lang w:eastAsia="en-GB"/>
              </w:rPr>
              <w:t>Digital</w:t>
            </w:r>
          </w:p>
        </w:tc>
        <w:tc>
          <w:tcPr>
            <w:tcW w:w="500" w:type="pct"/>
            <w:shd w:val="clear" w:color="000000" w:fill="006BB7"/>
            <w:vAlign w:val="center"/>
            <w:hideMark/>
          </w:tcPr>
          <w:p>
            <w:pPr>
              <w:spacing w:after="0" w:line="240" w:lineRule="auto"/>
              <w:jc w:val="center"/>
              <w:rPr>
                <w:rFonts w:ascii="Times New Roman" w:eastAsia="Times New Roman" w:hAnsi="Times New Roman" w:cs="Times New Roman"/>
                <w:b/>
                <w:noProof/>
                <w:color w:val="FFFFFF"/>
                <w:sz w:val="18"/>
                <w:szCs w:val="18"/>
                <w:lang w:eastAsia="en-GB"/>
              </w:rPr>
            </w:pPr>
            <w:r>
              <w:rPr>
                <w:rFonts w:ascii="Times New Roman" w:eastAsia="Times New Roman" w:hAnsi="Times New Roman" w:cs="Times New Roman"/>
                <w:b/>
                <w:noProof/>
                <w:color w:val="FFFFFF"/>
                <w:sz w:val="18"/>
                <w:szCs w:val="18"/>
                <w:lang w:eastAsia="en-GB"/>
              </w:rPr>
              <w:t>Paper</w:t>
            </w:r>
          </w:p>
        </w:tc>
        <w:tc>
          <w:tcPr>
            <w:tcW w:w="500" w:type="pct"/>
            <w:shd w:val="clear" w:color="000000" w:fill="006BB7"/>
            <w:vAlign w:val="center"/>
            <w:hideMark/>
          </w:tcPr>
          <w:p>
            <w:pPr>
              <w:spacing w:after="0" w:line="240" w:lineRule="auto"/>
              <w:jc w:val="center"/>
              <w:rPr>
                <w:rFonts w:ascii="Times New Roman" w:eastAsia="Times New Roman" w:hAnsi="Times New Roman" w:cs="Times New Roman"/>
                <w:b/>
                <w:noProof/>
                <w:color w:val="FFFFFF"/>
                <w:sz w:val="18"/>
                <w:szCs w:val="18"/>
                <w:lang w:eastAsia="en-GB"/>
              </w:rPr>
            </w:pPr>
            <w:r>
              <w:rPr>
                <w:rFonts w:ascii="Times New Roman" w:eastAsia="Times New Roman" w:hAnsi="Times New Roman" w:cs="Times New Roman"/>
                <w:b/>
                <w:noProof/>
                <w:color w:val="FFFFFF"/>
                <w:sz w:val="18"/>
                <w:szCs w:val="18"/>
                <w:lang w:eastAsia="en-GB"/>
              </w:rPr>
              <w:t>Total</w:t>
            </w:r>
          </w:p>
        </w:tc>
        <w:tc>
          <w:tcPr>
            <w:tcW w:w="500" w:type="pct"/>
            <w:shd w:val="clear" w:color="000000" w:fill="006BB7"/>
            <w:vAlign w:val="center"/>
            <w:hideMark/>
          </w:tcPr>
          <w:p>
            <w:pPr>
              <w:spacing w:after="0" w:line="240" w:lineRule="auto"/>
              <w:jc w:val="center"/>
              <w:rPr>
                <w:rFonts w:ascii="Times New Roman" w:eastAsia="Times New Roman" w:hAnsi="Times New Roman" w:cs="Times New Roman"/>
                <w:b/>
                <w:noProof/>
                <w:color w:val="FFFFFF"/>
                <w:sz w:val="18"/>
                <w:szCs w:val="18"/>
                <w:lang w:eastAsia="en-GB"/>
              </w:rPr>
            </w:pPr>
            <w:r>
              <w:rPr>
                <w:rFonts w:ascii="Times New Roman" w:eastAsia="Times New Roman" w:hAnsi="Times New Roman" w:cs="Times New Roman"/>
                <w:b/>
                <w:noProof/>
                <w:color w:val="FFFFFF"/>
                <w:sz w:val="18"/>
                <w:szCs w:val="18"/>
                <w:lang w:eastAsia="en-GB"/>
              </w:rPr>
              <w:t>Digital</w:t>
            </w:r>
          </w:p>
        </w:tc>
        <w:tc>
          <w:tcPr>
            <w:tcW w:w="500" w:type="pct"/>
            <w:shd w:val="clear" w:color="000000" w:fill="006BB7"/>
            <w:vAlign w:val="center"/>
            <w:hideMark/>
          </w:tcPr>
          <w:p>
            <w:pPr>
              <w:spacing w:after="0" w:line="240" w:lineRule="auto"/>
              <w:jc w:val="center"/>
              <w:rPr>
                <w:rFonts w:ascii="Times New Roman" w:eastAsia="Times New Roman" w:hAnsi="Times New Roman" w:cs="Times New Roman"/>
                <w:b/>
                <w:noProof/>
                <w:color w:val="FFFFFF"/>
                <w:sz w:val="18"/>
                <w:szCs w:val="18"/>
                <w:lang w:eastAsia="en-GB"/>
              </w:rPr>
            </w:pPr>
            <w:r>
              <w:rPr>
                <w:rFonts w:ascii="Times New Roman" w:eastAsia="Times New Roman" w:hAnsi="Times New Roman" w:cs="Times New Roman"/>
                <w:b/>
                <w:noProof/>
                <w:color w:val="FFFFFF"/>
                <w:sz w:val="18"/>
                <w:szCs w:val="18"/>
                <w:lang w:eastAsia="en-GB"/>
              </w:rPr>
              <w:t>Paper</w:t>
            </w:r>
          </w:p>
        </w:tc>
        <w:tc>
          <w:tcPr>
            <w:tcW w:w="494" w:type="pct"/>
            <w:shd w:val="clear" w:color="000000" w:fill="006BB7"/>
            <w:vAlign w:val="center"/>
            <w:hideMark/>
          </w:tcPr>
          <w:p>
            <w:pPr>
              <w:spacing w:after="0" w:line="240" w:lineRule="auto"/>
              <w:jc w:val="center"/>
              <w:rPr>
                <w:rFonts w:ascii="Times New Roman" w:eastAsia="Times New Roman" w:hAnsi="Times New Roman" w:cs="Times New Roman"/>
                <w:b/>
                <w:noProof/>
                <w:color w:val="FFFFFF"/>
                <w:sz w:val="18"/>
                <w:szCs w:val="18"/>
                <w:lang w:eastAsia="en-GB"/>
              </w:rPr>
            </w:pPr>
            <w:r>
              <w:rPr>
                <w:rFonts w:ascii="Times New Roman" w:eastAsia="Times New Roman" w:hAnsi="Times New Roman" w:cs="Times New Roman"/>
                <w:b/>
                <w:noProof/>
                <w:color w:val="FFFFFF"/>
                <w:sz w:val="18"/>
                <w:szCs w:val="18"/>
                <w:lang w:eastAsia="en-GB"/>
              </w:rPr>
              <w:t>Total</w:t>
            </w:r>
          </w:p>
        </w:tc>
      </w:tr>
      <w:tr>
        <w:trPr>
          <w:trHeight w:val="300"/>
        </w:trPr>
        <w:tc>
          <w:tcPr>
            <w:tcW w:w="504" w:type="pct"/>
            <w:shd w:val="clear" w:color="auto" w:fill="auto"/>
            <w:vAlign w:val="center"/>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Road</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42</w:t>
            </w:r>
          </w:p>
        </w:tc>
        <w:tc>
          <w:tcPr>
            <w:tcW w:w="503"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5,920</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5,962</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140</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6,474</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6,614</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250</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6,776</w:t>
            </w:r>
          </w:p>
        </w:tc>
        <w:tc>
          <w:tcPr>
            <w:tcW w:w="494"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7,026</w:t>
            </w:r>
          </w:p>
        </w:tc>
      </w:tr>
      <w:tr>
        <w:trPr>
          <w:trHeight w:val="300"/>
        </w:trPr>
        <w:tc>
          <w:tcPr>
            <w:tcW w:w="504" w:type="pct"/>
            <w:shd w:val="clear" w:color="auto" w:fill="auto"/>
            <w:vAlign w:val="center"/>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Rail</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17</w:t>
            </w:r>
          </w:p>
        </w:tc>
        <w:tc>
          <w:tcPr>
            <w:tcW w:w="503"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490</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507</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40</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536</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576</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66</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559</w:t>
            </w:r>
          </w:p>
        </w:tc>
        <w:tc>
          <w:tcPr>
            <w:tcW w:w="494"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625</w:t>
            </w:r>
          </w:p>
        </w:tc>
      </w:tr>
      <w:tr>
        <w:trPr>
          <w:trHeight w:val="300"/>
        </w:trPr>
        <w:tc>
          <w:tcPr>
            <w:tcW w:w="504" w:type="pct"/>
            <w:shd w:val="clear" w:color="auto" w:fill="auto"/>
            <w:vAlign w:val="center"/>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IWT</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w:t>
            </w:r>
          </w:p>
        </w:tc>
        <w:tc>
          <w:tcPr>
            <w:tcW w:w="503"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582</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582</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7</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628</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635</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18</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656</w:t>
            </w:r>
          </w:p>
        </w:tc>
        <w:tc>
          <w:tcPr>
            <w:tcW w:w="494"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674</w:t>
            </w:r>
          </w:p>
        </w:tc>
      </w:tr>
      <w:tr>
        <w:trPr>
          <w:trHeight w:val="300"/>
        </w:trPr>
        <w:tc>
          <w:tcPr>
            <w:tcW w:w="504" w:type="pct"/>
            <w:shd w:val="clear" w:color="auto" w:fill="auto"/>
            <w:vAlign w:val="center"/>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Maritime</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w:t>
            </w:r>
          </w:p>
        </w:tc>
        <w:tc>
          <w:tcPr>
            <w:tcW w:w="503"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814</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814</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9</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873</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882</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25</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901</w:t>
            </w:r>
          </w:p>
        </w:tc>
        <w:tc>
          <w:tcPr>
            <w:tcW w:w="494"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926</w:t>
            </w:r>
          </w:p>
        </w:tc>
      </w:tr>
      <w:tr>
        <w:trPr>
          <w:trHeight w:val="300"/>
        </w:trPr>
        <w:tc>
          <w:tcPr>
            <w:tcW w:w="504" w:type="pct"/>
            <w:shd w:val="clear" w:color="auto" w:fill="auto"/>
            <w:vAlign w:val="center"/>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Aviation</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8</w:t>
            </w:r>
          </w:p>
        </w:tc>
        <w:tc>
          <w:tcPr>
            <w:tcW w:w="503"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17</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25</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20</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31</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15</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21</w:t>
            </w:r>
          </w:p>
        </w:tc>
        <w:tc>
          <w:tcPr>
            <w:tcW w:w="494"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36</w:t>
            </w:r>
          </w:p>
        </w:tc>
      </w:tr>
      <w:tr>
        <w:trPr>
          <w:trHeight w:val="300"/>
        </w:trPr>
        <w:tc>
          <w:tcPr>
            <w:tcW w:w="504" w:type="pct"/>
            <w:shd w:val="clear" w:color="auto" w:fill="auto"/>
            <w:vAlign w:val="center"/>
            <w:hideMark/>
          </w:tcPr>
          <w:p>
            <w:pPr>
              <w:spacing w:after="0" w:line="240" w:lineRule="auto"/>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Total</w:t>
            </w:r>
          </w:p>
        </w:tc>
        <w:tc>
          <w:tcPr>
            <w:tcW w:w="1003" w:type="pct"/>
            <w:gridSpan w:val="2"/>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7,890</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1000" w:type="pct"/>
            <w:gridSpan w:val="2"/>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8,738</w:t>
            </w:r>
          </w:p>
        </w:tc>
        <w:tc>
          <w:tcPr>
            <w:tcW w:w="500"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1000" w:type="pct"/>
            <w:gridSpan w:val="2"/>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9,287</w:t>
            </w:r>
          </w:p>
        </w:tc>
        <w:tc>
          <w:tcPr>
            <w:tcW w:w="494" w:type="pct"/>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bl>
    <w:p>
      <w:pPr>
        <w:spacing w:after="240" w:line="240" w:lineRule="auto"/>
        <w:jc w:val="both"/>
        <w:rPr>
          <w:rFonts w:ascii="Times New Roman" w:eastAsia="Times New Roman" w:hAnsi="Times New Roman" w:cs="Times New Roman"/>
          <w:i/>
          <w:noProof/>
          <w:sz w:val="18"/>
          <w:szCs w:val="18"/>
        </w:rPr>
      </w:pPr>
      <w:r>
        <w:rPr>
          <w:rFonts w:ascii="Times New Roman" w:eastAsia="Times New Roman" w:hAnsi="Times New Roman" w:cs="Times New Roman"/>
          <w:i/>
          <w:noProof/>
          <w:sz w:val="18"/>
          <w:szCs w:val="18"/>
        </w:rPr>
        <w:t xml:space="preserve">Source: Ecorys et al. (2018) impact assessment support study </w:t>
      </w:r>
    </w:p>
    <w:p>
      <w:pPr>
        <w:spacing w:after="120" w:line="240" w:lineRule="auto"/>
        <w:jc w:val="both"/>
        <w:rPr>
          <w:rFonts w:ascii="Times New Roman" w:hAnsi="Times New Roman" w:cs="Times New Roman"/>
          <w:noProof/>
          <w:sz w:val="24"/>
          <w:szCs w:val="24"/>
          <w:highlight w:val="yellow"/>
        </w:rPr>
      </w:pPr>
      <w:r>
        <w:rPr>
          <w:rFonts w:ascii="Times New Roman" w:eastAsia="Times New Roman" w:hAnsi="Times New Roman" w:cs="Times New Roman"/>
          <w:noProof/>
          <w:sz w:val="24"/>
          <w:szCs w:val="24"/>
        </w:rPr>
        <w:t>The slow and mode-dependent progress in the acceptance/use of electronic documents and information exchange is expected to hamper developments in the multimodal transport. In the baseline scenario r</w:t>
      </w:r>
      <w:r>
        <w:rPr>
          <w:rFonts w:ascii="Times New Roman" w:eastAsia="Calibri" w:hAnsi="Times New Roman" w:cs="Times New Roman"/>
          <w:noProof/>
          <w:sz w:val="24"/>
          <w:szCs w:val="24"/>
        </w:rPr>
        <w:t xml:space="preserve">oad transport would maintain its dominant role within the EU, road freight activity going up by 27% by 2030 (47% for 2015-2050). These developments would not support the achievement of the 2011 Transport White Paper goal of shifting 30% of </w:t>
      </w:r>
      <w:r>
        <w:rPr>
          <w:rFonts w:ascii="Times New Roman" w:eastAsia="Times New Roman" w:hAnsi="Times New Roman" w:cs="Times New Roman"/>
          <w:noProof/>
          <w:sz w:val="24"/>
          <w:szCs w:val="24"/>
        </w:rPr>
        <w:t xml:space="preserve">road freight over 300 km to other modes such as rail or waterborne transport </w:t>
      </w:r>
      <w:r>
        <w:rPr>
          <w:rFonts w:ascii="Times New Roman" w:eastAsia="Calibri" w:hAnsi="Times New Roman" w:cs="Times New Roman"/>
          <w:noProof/>
          <w:sz w:val="24"/>
          <w:szCs w:val="24"/>
        </w:rPr>
        <w:t>by 2030</w:t>
      </w:r>
      <w:r>
        <w:rPr>
          <w:rFonts w:ascii="Times New Roman" w:eastAsia="Times New Roman" w:hAnsi="Times New Roman" w:cs="Times New Roman"/>
          <w:noProof/>
          <w:sz w:val="24"/>
          <w:szCs w:val="24"/>
        </w:rPr>
        <w:t>. A description of the baseline scenario and its assumptions is provided in Annex 4.</w:t>
      </w:r>
    </w:p>
    <w:p>
      <w:pPr>
        <w:pStyle w:val="Heading1"/>
        <w:rPr>
          <w:noProof/>
        </w:rPr>
      </w:pPr>
      <w:bookmarkStart w:id="48" w:name="_Toc506387893"/>
      <w:bookmarkStart w:id="49" w:name="_Toc506388017"/>
      <w:bookmarkStart w:id="50" w:name="_Toc506397013"/>
      <w:bookmarkStart w:id="51" w:name="_Toc506397584"/>
      <w:bookmarkStart w:id="52" w:name="_Toc512854911"/>
      <w:bookmarkEnd w:id="48"/>
      <w:bookmarkEnd w:id="49"/>
      <w:r>
        <w:rPr>
          <w:noProof/>
        </w:rPr>
        <w:t>Why should the EU act?</w:t>
      </w:r>
      <w:bookmarkEnd w:id="50"/>
      <w:bookmarkEnd w:id="51"/>
      <w:bookmarkEnd w:id="52"/>
    </w:p>
    <w:p>
      <w:pPr>
        <w:pStyle w:val="ManualHeading2"/>
        <w:rPr>
          <w:noProof/>
        </w:rPr>
      </w:pPr>
      <w:bookmarkStart w:id="53" w:name="_Toc506397585"/>
      <w:bookmarkStart w:id="54" w:name="_Toc512854912"/>
      <w:r>
        <w:rPr>
          <w:noProof/>
        </w:rPr>
        <w:t>3.1</w:t>
      </w:r>
      <w:r>
        <w:rPr>
          <w:noProof/>
        </w:rPr>
        <w:tab/>
        <w:t>Legal basis</w:t>
      </w:r>
      <w:bookmarkEnd w:id="53"/>
      <w:bookmarkEnd w:id="54"/>
    </w:p>
    <w:p>
      <w:pPr>
        <w:pStyle w:val="Text1"/>
        <w:ind w:left="0"/>
        <w:rPr>
          <w:noProof/>
          <w:szCs w:val="24"/>
        </w:rPr>
      </w:pPr>
      <w:bookmarkStart w:id="55" w:name="_Hlk509136766"/>
      <w:r>
        <w:rPr>
          <w:noProof/>
          <w:szCs w:val="24"/>
        </w:rPr>
        <w:t>The legal basis is provided by Article 91 and 100(2) of the Treaty on the Functioning of the European Union (TFEU), which must be understood in light of Article 90. Article 90 requires Member States to pursue a common transport policy. Articles 91 and, respectively 100(2) set out the requirement that common rules applicable to international transport to or from the territory of a Member State or passing across the territory of one or more Member States and, respectively, appropriate provisions for sea and air transport, be laid down by the European Parliament and the Council.</w:t>
      </w:r>
    </w:p>
    <w:p>
      <w:pPr>
        <w:pStyle w:val="ManualHeading2"/>
        <w:rPr>
          <w:noProof/>
        </w:rPr>
      </w:pPr>
      <w:bookmarkStart w:id="56" w:name="_Toc506397586"/>
      <w:bookmarkStart w:id="57" w:name="_Toc512854913"/>
      <w:bookmarkEnd w:id="55"/>
      <w:r>
        <w:rPr>
          <w:noProof/>
        </w:rPr>
        <w:t>3.2</w:t>
      </w:r>
      <w:r>
        <w:rPr>
          <w:noProof/>
        </w:rPr>
        <w:tab/>
        <w:t>Subsidiarity: Necessity of EU action</w:t>
      </w:r>
      <w:bookmarkEnd w:id="56"/>
      <w:bookmarkEnd w:id="57"/>
    </w:p>
    <w:p>
      <w:pPr>
        <w:pStyle w:val="Text1"/>
        <w:spacing w:after="120"/>
        <w:ind w:left="0"/>
        <w:rPr>
          <w:noProof/>
          <w:szCs w:val="24"/>
        </w:rPr>
      </w:pPr>
      <w:bookmarkStart w:id="58" w:name="_Hlk509136847"/>
      <w:r>
        <w:rPr>
          <w:noProof/>
          <w:szCs w:val="24"/>
        </w:rPr>
        <w:t xml:space="preserve">Unilateral initiatives by Member States to facilitate the uptake of electronic transport documents and information exchange would have limited effect, if similar action was not taken in other Member States whose territory is also concerned by the transport operations in question. </w:t>
      </w:r>
    </w:p>
    <w:p>
      <w:pPr>
        <w:pStyle w:val="Text2"/>
        <w:spacing w:after="120"/>
        <w:ind w:left="0"/>
        <w:rPr>
          <w:noProof/>
        </w:rPr>
      </w:pPr>
      <w:r>
        <w:rPr>
          <w:noProof/>
          <w:szCs w:val="24"/>
        </w:rPr>
        <w:t>At the same time, even if most EU Member States were to enact legislation facilitating the use of electronic documents, there is a high risk that, legislating unilaterally, each Member State would adopt different requirements for the acceptance of electronic documents, and regulatory information communication more generally, as valid and authentic. In practice, electronic documents and regulatory information communication which fulfilled the requirements for acceptance in one Member State would not be accepted in the other(s), thus creating barriers in the EU internal market.</w:t>
      </w:r>
    </w:p>
    <w:p>
      <w:pPr>
        <w:pStyle w:val="ManualHeading2"/>
        <w:rPr>
          <w:noProof/>
        </w:rPr>
      </w:pPr>
      <w:bookmarkStart w:id="59" w:name="_Toc506397587"/>
      <w:bookmarkStart w:id="60" w:name="_Toc512854914"/>
      <w:bookmarkEnd w:id="58"/>
      <w:r>
        <w:rPr>
          <w:noProof/>
        </w:rPr>
        <w:t>3.3</w:t>
      </w:r>
      <w:r>
        <w:rPr>
          <w:noProof/>
        </w:rPr>
        <w:tab/>
        <w:t>Subsidiarity: Added value of EU action</w:t>
      </w:r>
      <w:bookmarkEnd w:id="59"/>
      <w:bookmarkEnd w:id="60"/>
    </w:p>
    <w:p>
      <w:pPr>
        <w:pStyle w:val="Text1"/>
        <w:spacing w:after="120"/>
        <w:ind w:left="0"/>
        <w:rPr>
          <w:noProof/>
          <w:szCs w:val="24"/>
        </w:rPr>
      </w:pPr>
      <w:bookmarkStart w:id="61" w:name="_Hlk509136936"/>
      <w:r>
        <w:rPr>
          <w:noProof/>
          <w:szCs w:val="24"/>
        </w:rPr>
        <w:t>The most appropriate level to address the problem and its drivers is therefore the EU level, where a uniform approach to acceptance of and common standards for acceptance of electronic documents can be set.</w:t>
      </w:r>
      <w:r>
        <w:rPr>
          <w:noProof/>
        </w:rPr>
        <w:t xml:space="preserve"> In that respect, this initiative takes further and complements </w:t>
      </w:r>
      <w:r>
        <w:rPr>
          <w:noProof/>
          <w:szCs w:val="24"/>
        </w:rPr>
        <w:t>measures already established at EU level to ensure uniform conditions for acceptance of electronic freight transport information and documents, including by ensuring trust with regards to the electronic means for their communication</w:t>
      </w:r>
      <w:r>
        <w:rPr>
          <w:rStyle w:val="FootnoteReference"/>
          <w:noProof/>
          <w:szCs w:val="24"/>
        </w:rPr>
        <w:footnoteReference w:id="89"/>
      </w:r>
      <w:r>
        <w:rPr>
          <w:noProof/>
          <w:szCs w:val="24"/>
        </w:rPr>
        <w:t>.</w:t>
      </w:r>
    </w:p>
    <w:p>
      <w:pPr>
        <w:pStyle w:val="Heading1"/>
        <w:rPr>
          <w:noProof/>
        </w:rPr>
      </w:pPr>
      <w:bookmarkStart w:id="62" w:name="_Toc506397014"/>
      <w:bookmarkStart w:id="63" w:name="_Toc506397588"/>
      <w:bookmarkStart w:id="64" w:name="_Toc512854915"/>
      <w:bookmarkEnd w:id="61"/>
      <w:r>
        <w:rPr>
          <w:noProof/>
        </w:rPr>
        <w:t>Objectives: What is to be achieved?</w:t>
      </w:r>
      <w:bookmarkEnd w:id="62"/>
      <w:bookmarkEnd w:id="63"/>
      <w:bookmarkEnd w:id="64"/>
    </w:p>
    <w:p>
      <w:pPr>
        <w:pStyle w:val="ManualHeading2"/>
        <w:rPr>
          <w:noProof/>
        </w:rPr>
      </w:pPr>
      <w:bookmarkStart w:id="65" w:name="_Toc506397589"/>
      <w:bookmarkStart w:id="66" w:name="_Toc512854916"/>
      <w:r>
        <w:rPr>
          <w:noProof/>
        </w:rPr>
        <w:t>4.1</w:t>
      </w:r>
      <w:r>
        <w:rPr>
          <w:noProof/>
        </w:rPr>
        <w:tab/>
        <w:t>General and specific objectives</w:t>
      </w:r>
      <w:bookmarkEnd w:id="65"/>
      <w:bookmarkEnd w:id="66"/>
    </w:p>
    <w:p>
      <w:pPr>
        <w:spacing w:after="120" w:line="240" w:lineRule="auto"/>
        <w:jc w:val="both"/>
        <w:rPr>
          <w:rFonts w:ascii="Times New Roman" w:hAnsi="Times New Roman" w:cs="Times New Roman"/>
          <w:noProof/>
          <w:sz w:val="24"/>
          <w:szCs w:val="24"/>
        </w:rPr>
      </w:pPr>
      <w:bookmarkStart w:id="67" w:name="_Hlk509137074"/>
      <w:r>
        <w:rPr>
          <w:rFonts w:ascii="Times New Roman" w:hAnsi="Times New Roman" w:cs="Times New Roman"/>
          <w:noProof/>
          <w:sz w:val="24"/>
          <w:szCs w:val="24"/>
        </w:rPr>
        <w:t>The general objective of the initiative is to contribute to removing barriers to the smooth functioning of the Internal Market, to the modernisation of the economy and to the greater efficiency of the transport sector, through enabling wider use of digital technologies.</w:t>
      </w:r>
    </w:p>
    <w:bookmarkEnd w:id="67"/>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general objective would be achieved by means of specific measures implementing the following specific objectives: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Addressing the problem driver "fragmented legal framework"</w:t>
      </w:r>
    </w:p>
    <w:p>
      <w:pPr>
        <w:pStyle w:val="ListParagraph"/>
        <w:numPr>
          <w:ilvl w:val="0"/>
          <w:numId w:val="20"/>
        </w:numPr>
        <w:contextualSpacing w:val="0"/>
        <w:rPr>
          <w:noProof/>
        </w:rPr>
      </w:pPr>
      <w:bookmarkStart w:id="68" w:name="_Hlk509137867"/>
      <w:r>
        <w:rPr>
          <w:noProof/>
        </w:rPr>
        <w:t>Ensure the establishment, in all EU Member States, of the obligation of acceptance of electronic cargo transport documents/information by all relevant public authorities;</w:t>
      </w:r>
    </w:p>
    <w:p>
      <w:pPr>
        <w:pStyle w:val="ListParagraph"/>
        <w:numPr>
          <w:ilvl w:val="0"/>
          <w:numId w:val="20"/>
        </w:numPr>
        <w:ind w:left="714" w:hanging="357"/>
        <w:contextualSpacing w:val="0"/>
        <w:rPr>
          <w:noProof/>
        </w:rPr>
      </w:pPr>
      <w:r>
        <w:rPr>
          <w:noProof/>
        </w:rPr>
        <w:t>Ensure the uniform implementation by authorities of the obligation of acceptance;</w:t>
      </w:r>
    </w:p>
    <w:bookmarkEnd w:id="68"/>
    <w:p>
      <w:pPr>
        <w:spacing w:after="120"/>
        <w:rPr>
          <w:noProof/>
        </w:rPr>
      </w:pPr>
      <w:r>
        <w:rPr>
          <w:rFonts w:ascii="Times New Roman" w:hAnsi="Times New Roman" w:cs="Times New Roman"/>
          <w:noProof/>
          <w:sz w:val="24"/>
          <w:szCs w:val="24"/>
        </w:rPr>
        <w:t>b) Addressing the problem driver "multiple and non-interoperable systems"</w:t>
      </w:r>
    </w:p>
    <w:p>
      <w:pPr>
        <w:pStyle w:val="ListParagraph"/>
        <w:numPr>
          <w:ilvl w:val="0"/>
          <w:numId w:val="20"/>
        </w:numPr>
        <w:rPr>
          <w:noProof/>
        </w:rPr>
      </w:pPr>
      <w:bookmarkStart w:id="69" w:name="_Hlk509138115"/>
      <w:r>
        <w:rPr>
          <w:noProof/>
        </w:rPr>
        <w:t xml:space="preserve">Ensure the interoperability of IT systems and solutions for electronic exchange of cargo transport information, in particular for B2A regulatory information communication. </w:t>
      </w:r>
    </w:p>
    <w:bookmarkEnd w:id="69"/>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are clear synergies between the specific objectives of the intervention. For example, acceptance of the electronic transport information/documents by the authorities will significantly impact the level of acceptance by the businesses, and is expected to have a significant impact on reducing related B2A administrative costs and on improving the accuracy and reliability of the information exchanged B2B. However, if the authorities will continue to have large room for interpretation in how to apply their regulatory obligation to accept the information/documents communicated electronically, this will significantly impact the interoperability of the systems developed or adopted by the authorities to that end. If these systems remain not interoperable, this will impact on the interoperability of the solutions developed for the businesses, both for B2A and B2B communication, and therefore their related costs. As a result, the printed versions of the documents will continue to be issued and physically exchanged alongside the goods throughout the entire logistics chain. Therefore, it is important to pursue these objectives in parallel for a more coherent system of digital solutions.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All of the stated specific objectives were supported by the large majority of the stakeholders consulted. 90 of the 100 OPC respondents fully agreed with the first objective, namely to ensure the acceptance by Member States' authorities. The same number of respondents also agreed with the third objective, aimed at ensuring the interoperability for B2A and B2B communications. There was also no subgroup of respondents that disagreed with any of these two objectives.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Likewise, most enterprises responding to the SME panel indicated that ‘acceptance by MS authorities’ would be the most important policy objective to increase the use of electronic transport documents by SME’s (with 198 out 265 indicating it as a very important objective, and additional 35 as moderately important). A great majority also indicated the ability to use a single IT application/system to exchange electronic transport documents with all the other companies as a second most important objective (240 in total, with 172 indicating it as very important and 58 as moderately important).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second objective has been suggested by stakeholders during the consultation workshops and interviews. It aims to complement the implementation of the first objective, by ensuring also the uniform implementation, across the Member States, of the new uniform legal regime concerning the acceptance of the electronic documents by the authorities. This would tackle, in particular, the different administrative practices aspect of the identified problem. </w:t>
      </w:r>
      <w:r>
        <w:rPr>
          <w:rStyle w:val="FootnoteReference"/>
          <w:rFonts w:ascii="Times New Roman" w:hAnsi="Times New Roman" w:cs="Times New Roman"/>
          <w:noProof/>
          <w:sz w:val="24"/>
          <w:szCs w:val="24"/>
        </w:rPr>
        <w:footnoteReference w:id="90"/>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objectives of the present intervention are consistent with the objectives of other ongoing initiatives currently being pursued, such as on the revision of the cabotage and combined transport rules in the EU, which provide for the acceptance by authorities of electronic evidence as proof of compliance with these rules, but do not provide detailed guidance on what could be considered authentic evidence, and how such authenticity could be proved.  As highlighted earlier, the initiative is also consistent with the on-going initiative dealing with the RFD revision. By ensuring the uniform acceptance of electronically communicated cargo transport information on the hinterland journey of the goods – either before reaching a port for continuation over a maritime leg, or once the goods left the port after their maritime voyage – this initiative would facilitate the possibility of end-to-end electronic communication and exchange of transport information along the entire logistics chain. Furthermore, in pursuing the objective of ensuring the interoperability of the systems used by authorities to accept the electronic cargo information, synergies will be exploited, notably in terms of data models and interoperability.</w:t>
      </w:r>
    </w:p>
    <w:p>
      <w:pPr>
        <w:pStyle w:val="Heading1"/>
        <w:rPr>
          <w:noProof/>
        </w:rPr>
      </w:pPr>
      <w:bookmarkStart w:id="70" w:name="_Toc506397015"/>
      <w:bookmarkStart w:id="71" w:name="_Toc506397590"/>
      <w:bookmarkStart w:id="72" w:name="_Toc512854917"/>
      <w:r>
        <w:rPr>
          <w:noProof/>
        </w:rPr>
        <w:t>What are the available policy options?</w:t>
      </w:r>
      <w:bookmarkEnd w:id="70"/>
      <w:bookmarkEnd w:id="71"/>
      <w:bookmarkEnd w:id="72"/>
    </w:p>
    <w:p>
      <w:pPr>
        <w:pStyle w:val="ManualHeading2"/>
        <w:rPr>
          <w:noProof/>
        </w:rPr>
      </w:pPr>
      <w:bookmarkStart w:id="73" w:name="_Toc506397591"/>
      <w:bookmarkStart w:id="74" w:name="_Toc512854918"/>
      <w:r>
        <w:rPr>
          <w:noProof/>
        </w:rPr>
        <w:t>5.1</w:t>
      </w:r>
      <w:r>
        <w:rPr>
          <w:noProof/>
        </w:rPr>
        <w:tab/>
        <w:t>What is the baseline from which options are assessed?</w:t>
      </w:r>
      <w:bookmarkEnd w:id="73"/>
      <w:bookmarkEnd w:id="74"/>
    </w:p>
    <w:p>
      <w:pPr>
        <w:keepNext/>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The Baseline scenario reflects developments under current trends and adopted policies as described in section 2.4, without further EU level intervention. In this scenario the </w:t>
      </w:r>
      <w:r>
        <w:rPr>
          <w:rFonts w:ascii="Times New Roman" w:eastAsia="Times New Roman" w:hAnsi="Times New Roman" w:cs="Times New Roman"/>
          <w:noProof/>
          <w:sz w:val="24"/>
          <w:szCs w:val="24"/>
        </w:rPr>
        <w:t xml:space="preserve">acceptance of documents will continue to remain limited, particularly on the side of the public authorities, though improving slowly and at variable speeds depending on the transport mode and on the Member State concerned. </w:t>
      </w:r>
    </w:p>
    <w:p>
      <w:pPr>
        <w:keepNext/>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adoption by authorities of technical implementation orientations and digital tools for inspecting electronic transport information would also remain limited, and largely divergent. </w:t>
      </w:r>
      <w:r>
        <w:rPr>
          <w:rFonts w:ascii="Times New Roman" w:eastAsia="Times New Roman" w:hAnsi="Times New Roman" w:cs="Times New Roman"/>
          <w:noProof/>
          <w:sz w:val="24"/>
          <w:szCs w:val="24"/>
        </w:rPr>
        <w:t>Slow progress will be hampering the development of multimodal transport. National based approaches will likely continue to remain the norm, impacting on the digitalisation of cross-border transport information and documentation exchange. As suggested by current pilot initiative, more efforts for coordination among the different Member States and between and with the business can be expected. Yet, as this experience also suggests, these pilots will continue largely independently, with cross-border coordination concentrated rather at regional level</w:t>
      </w:r>
      <w:r>
        <w:rPr>
          <w:rStyle w:val="FootnoteReference"/>
          <w:rFonts w:ascii="Times New Roman" w:eastAsia="Times New Roman" w:hAnsi="Times New Roman" w:cs="Times New Roman"/>
          <w:noProof/>
          <w:sz w:val="24"/>
          <w:szCs w:val="24"/>
        </w:rPr>
        <w:footnoteReference w:id="91"/>
      </w:r>
      <w:r>
        <w:rPr>
          <w:rFonts w:ascii="Times New Roman" w:eastAsia="Times New Roman" w:hAnsi="Times New Roman" w:cs="Times New Roman"/>
          <w:noProof/>
          <w:sz w:val="24"/>
          <w:szCs w:val="24"/>
        </w:rPr>
        <w:t xml:space="preserve">. </w:t>
      </w:r>
    </w:p>
    <w:p>
      <w:pPr>
        <w:pStyle w:val="ManualHeading2"/>
        <w:rPr>
          <w:noProof/>
        </w:rPr>
      </w:pPr>
      <w:bookmarkStart w:id="75" w:name="_Toc506397592"/>
      <w:bookmarkStart w:id="76" w:name="_Toc512854919"/>
      <w:r>
        <w:rPr>
          <w:noProof/>
        </w:rPr>
        <w:t>5.2</w:t>
      </w:r>
      <w:r>
        <w:rPr>
          <w:noProof/>
        </w:rPr>
        <w:tab/>
        <w:t>Policy measures and options</w:t>
      </w:r>
      <w:bookmarkEnd w:id="75"/>
      <w:bookmarkEnd w:id="76"/>
    </w:p>
    <w:p>
      <w:pPr>
        <w:spacing w:after="120" w:line="240" w:lineRule="auto"/>
        <w:jc w:val="both"/>
        <w:rPr>
          <w:rFonts w:ascii="Times New Roman" w:eastAsia="Times New Roman" w:hAnsi="Times New Roman" w:cs="Times New Roman"/>
          <w:noProof/>
          <w:sz w:val="24"/>
          <w:szCs w:val="24"/>
        </w:rPr>
      </w:pPr>
      <w:bookmarkStart w:id="77" w:name="_Hlk509155699"/>
      <w:r>
        <w:rPr>
          <w:rFonts w:ascii="Times New Roman" w:eastAsia="Times New Roman" w:hAnsi="Times New Roman" w:cs="Times New Roman"/>
          <w:noProof/>
          <w:sz w:val="24"/>
          <w:szCs w:val="24"/>
        </w:rPr>
        <w:t xml:space="preserve">A long list of policy measures addressing the two main problem drivers was considered after extensive consultations with stakeholders, </w:t>
      </w:r>
      <w:r>
        <w:rPr>
          <w:rFonts w:ascii="Times New Roman" w:eastAsia="Times New Roman" w:hAnsi="Times New Roman" w:cs="Times New Roman"/>
          <w:noProof/>
          <w:sz w:val="24"/>
          <w:szCs w:val="24"/>
          <w:lang w:eastAsia="en-GB"/>
        </w:rPr>
        <w:t xml:space="preserve">expert meetings, independent research and the Commission’s own analysis. </w:t>
      </w:r>
      <w:r>
        <w:rPr>
          <w:rFonts w:ascii="Times New Roman" w:eastAsia="Times New Roman" w:hAnsi="Times New Roman" w:cs="Times New Roman"/>
          <w:noProof/>
          <w:sz w:val="24"/>
          <w:szCs w:val="24"/>
        </w:rPr>
        <w:t xml:space="preserve">This list was subsequently screened based on the following criteria: legal, political and technical feasibility, effectiveness, efficiency and proportionality. Based on this initial screening </w:t>
      </w:r>
      <w:r>
        <w:rPr>
          <w:rFonts w:ascii="Times New Roman" w:eastAsia="Times New Roman" w:hAnsi="Times New Roman" w:cs="Times New Roman"/>
          <w:noProof/>
          <w:sz w:val="24"/>
          <w:szCs w:val="24"/>
          <w:lang w:eastAsia="en-GB"/>
        </w:rPr>
        <w:t>(see Annex 9 for detailed explanation)</w:t>
      </w:r>
      <w:r>
        <w:rPr>
          <w:rFonts w:ascii="Times New Roman" w:eastAsia="Times New Roman" w:hAnsi="Times New Roman" w:cs="Times New Roman"/>
          <w:noProof/>
          <w:sz w:val="24"/>
          <w:szCs w:val="24"/>
        </w:rPr>
        <w:t xml:space="preserve">, a number of </w:t>
      </w:r>
      <w:r>
        <w:rPr>
          <w:rFonts w:ascii="Times New Roman" w:eastAsia="Times New Roman" w:hAnsi="Times New Roman" w:cs="Times New Roman"/>
          <w:bCs/>
          <w:noProof/>
          <w:sz w:val="24"/>
          <w:szCs w:val="24"/>
        </w:rPr>
        <w:t>policy measures were discarded</w:t>
      </w:r>
      <w:bookmarkEnd w:id="77"/>
      <w:r>
        <w:rPr>
          <w:rFonts w:ascii="Times New Roman" w:eastAsia="Times New Roman" w:hAnsi="Times New Roman" w:cs="Times New Roman"/>
          <w:noProof/>
          <w:sz w:val="24"/>
          <w:szCs w:val="24"/>
        </w:rPr>
        <w:t>:</w:t>
      </w:r>
    </w:p>
    <w:p>
      <w:pPr>
        <w:numPr>
          <w:ilvl w:val="0"/>
          <w:numId w:val="21"/>
        </w:numPr>
        <w:spacing w:after="0" w:line="240" w:lineRule="auto"/>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Separate revision of individual pieces of current EU legislation; </w:t>
      </w:r>
    </w:p>
    <w:p>
      <w:pPr>
        <w:numPr>
          <w:ilvl w:val="0"/>
          <w:numId w:val="21"/>
        </w:numPr>
        <w:spacing w:after="0" w:line="240" w:lineRule="auto"/>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Obligation for businesses to use electronic documents for regulatory inspection by authorities;</w:t>
      </w:r>
    </w:p>
    <w:p>
      <w:pPr>
        <w:numPr>
          <w:ilvl w:val="0"/>
          <w:numId w:val="21"/>
        </w:numPr>
        <w:spacing w:after="0" w:line="240" w:lineRule="auto"/>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Establishment of a single EU legal regime concerning the validity of electronic transport contracts as commercial contracts;</w:t>
      </w:r>
    </w:p>
    <w:p>
      <w:pPr>
        <w:numPr>
          <w:ilvl w:val="0"/>
          <w:numId w:val="21"/>
        </w:numPr>
        <w:spacing w:after="0" w:line="240" w:lineRule="auto"/>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Establishment of a centralised EU transport information exchange system.</w:t>
      </w:r>
    </w:p>
    <w:p>
      <w:pPr>
        <w:spacing w:before="120" w:after="120" w:line="240" w:lineRule="auto"/>
        <w:jc w:val="both"/>
        <w:rPr>
          <w:rFonts w:ascii="Times New Roman" w:hAnsi="Times New Roman" w:cs="Times New Roman"/>
          <w:noProof/>
          <w:sz w:val="24"/>
          <w:szCs w:val="24"/>
        </w:rPr>
      </w:pPr>
      <w:bookmarkStart w:id="78" w:name="_Hlk509156494"/>
      <w:bookmarkStart w:id="79" w:name="_Toc405371520"/>
      <w:r>
        <w:rPr>
          <w:rFonts w:ascii="Times New Roman" w:hAnsi="Times New Roman" w:cs="Times New Roman"/>
          <w:noProof/>
          <w:sz w:val="24"/>
          <w:szCs w:val="24"/>
        </w:rPr>
        <w:t>The retained policy measures have been grouped in four distinct policy options.</w:t>
      </w:r>
      <w:bookmarkEnd w:id="78"/>
      <w:r>
        <w:rPr>
          <w:rFonts w:ascii="Times New Roman" w:hAnsi="Times New Roman" w:cs="Times New Roman"/>
          <w:noProof/>
          <w:sz w:val="24"/>
          <w:szCs w:val="24"/>
        </w:rPr>
        <w:t xml:space="preserve"> Table 5.1 below provides an overview of the retained policy measures, and links the individual policy measures with the problem drivers in the problem definition, the objectives and the policy options. </w:t>
      </w:r>
    </w:p>
    <w:p>
      <w:pPr>
        <w:keepNext/>
        <w:spacing w:before="120" w:after="0" w:line="240" w:lineRule="auto"/>
        <w:jc w:val="both"/>
        <w:rPr>
          <w:rFonts w:ascii="Times New Roman" w:hAnsi="Times New Roman" w:cs="Times New Roman"/>
          <w:noProof/>
          <w:sz w:val="20"/>
          <w:szCs w:val="20"/>
        </w:rPr>
      </w:pPr>
      <w:bookmarkStart w:id="80" w:name="_Ref467514369"/>
      <w:r>
        <w:rPr>
          <w:rFonts w:ascii="Times New Roman" w:eastAsia="Times New Roman" w:hAnsi="Times New Roman" w:cs="Times New Roman"/>
          <w:b/>
          <w:bCs/>
          <w:noProof/>
          <w:sz w:val="20"/>
          <w:szCs w:val="20"/>
          <w:lang w:eastAsia="de-DE"/>
        </w:rPr>
        <w:t xml:space="preserve">Table </w:t>
      </w:r>
      <w:bookmarkEnd w:id="80"/>
      <w:r>
        <w:rPr>
          <w:rFonts w:ascii="Times New Roman" w:eastAsia="Times New Roman" w:hAnsi="Times New Roman" w:cs="Times New Roman"/>
          <w:b/>
          <w:bCs/>
          <w:noProof/>
          <w:sz w:val="20"/>
          <w:szCs w:val="20"/>
          <w:lang w:eastAsia="de-DE"/>
        </w:rPr>
        <w:t>5.1: Description of policy measures (</w:t>
      </w:r>
      <w:r>
        <w:rPr>
          <w:rFonts w:ascii="Times New Roman" w:hAnsi="Times New Roman" w:cs="Times New Roman"/>
          <w:noProof/>
          <w:sz w:val="20"/>
          <w:szCs w:val="20"/>
        </w:rPr>
        <w:t xml:space="preserve">Key: D1=“multiple legal requirements” driver; D2=“non-interoperable systems” driver; SO = specific objective; S = support measure; R= regulatory measure; </w:t>
      </w:r>
      <w:r>
        <w:rPr>
          <w:rFonts w:ascii="Times New Roman" w:hAnsi="Times New Roman" w:cs="Times New Roman"/>
          <w:noProof/>
          <w:sz w:val="20"/>
          <w:szCs w:val="20"/>
        </w:rPr>
        <w:sym w:font="Wingdings 2" w:char="F050"/>
      </w:r>
      <w:r>
        <w:rPr>
          <w:rFonts w:ascii="Times New Roman" w:hAnsi="Times New Roman" w:cs="Times New Roman"/>
          <w:noProof/>
          <w:sz w:val="20"/>
          <w:szCs w:val="20"/>
        </w:rPr>
        <w:t xml:space="preserve"> : included)</w:t>
      </w:r>
    </w:p>
    <w:tbl>
      <w:tblPr>
        <w:tblStyle w:val="Mainbidtables"/>
        <w:tblW w:w="5000" w:type="pct"/>
        <w:tblLook w:val="04A0" w:firstRow="1" w:lastRow="0" w:firstColumn="1" w:lastColumn="0" w:noHBand="0" w:noVBand="1"/>
      </w:tblPr>
      <w:tblGrid>
        <w:gridCol w:w="543"/>
        <w:gridCol w:w="5127"/>
        <w:gridCol w:w="1122"/>
        <w:gridCol w:w="624"/>
        <w:gridCol w:w="624"/>
        <w:gridCol w:w="624"/>
        <w:gridCol w:w="624"/>
      </w:tblGrid>
      <w:tr>
        <w:trPr>
          <w:cnfStyle w:val="100000000000" w:firstRow="1" w:lastRow="0" w:firstColumn="0" w:lastColumn="0" w:oddVBand="0" w:evenVBand="0" w:oddHBand="0" w:evenHBand="0" w:firstRowFirstColumn="0" w:firstRowLastColumn="0" w:lastRowFirstColumn="0" w:lastRowLastColumn="0"/>
          <w:trHeight w:val="288"/>
          <w:tblHeader/>
        </w:trPr>
        <w:tc>
          <w:tcPr>
            <w:tcW w:w="292" w:type="pct"/>
            <w:tcBorders>
              <w:top w:val="single" w:sz="4" w:space="0" w:color="auto"/>
              <w:left w:val="single" w:sz="4" w:space="0" w:color="auto"/>
              <w:bottom w:val="single" w:sz="4" w:space="0" w:color="auto"/>
              <w:right w:val="single" w:sz="4" w:space="0" w:color="auto"/>
            </w:tcBorders>
          </w:tcPr>
          <w:p>
            <w:pPr>
              <w:rPr>
                <w:rFonts w:ascii="Times New Roman" w:hAnsi="Times New Roman"/>
                <w:b/>
                <w:bCs/>
                <w:noProof/>
              </w:rPr>
            </w:pPr>
            <w:bookmarkStart w:id="81" w:name="_Hlk506028237"/>
          </w:p>
        </w:tc>
        <w:tc>
          <w:tcPr>
            <w:tcW w:w="2759" w:type="pct"/>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b/>
                <w:bCs/>
                <w:noProof/>
                <w:color w:val="FFFFFF"/>
              </w:rPr>
            </w:pPr>
            <w:r>
              <w:rPr>
                <w:rFonts w:ascii="Times New Roman" w:hAnsi="Times New Roman"/>
                <w:b/>
                <w:bCs/>
                <w:noProof/>
              </w:rPr>
              <w:t>Policy measure</w:t>
            </w:r>
          </w:p>
        </w:tc>
        <w:tc>
          <w:tcPr>
            <w:tcW w:w="604" w:type="pct"/>
            <w:tcBorders>
              <w:top w:val="single" w:sz="4" w:space="0" w:color="auto"/>
              <w:left w:val="single" w:sz="4" w:space="0" w:color="auto"/>
              <w:bottom w:val="single" w:sz="4" w:space="0" w:color="auto"/>
              <w:right w:val="single" w:sz="4" w:space="0" w:color="auto"/>
            </w:tcBorders>
          </w:tcPr>
          <w:p>
            <w:pPr>
              <w:spacing w:after="60"/>
              <w:jc w:val="center"/>
              <w:rPr>
                <w:rFonts w:ascii="Times New Roman" w:hAnsi="Times New Roman"/>
                <w:b/>
                <w:bCs/>
                <w:noProof/>
              </w:rPr>
            </w:pPr>
            <w:r>
              <w:rPr>
                <w:rFonts w:ascii="Times New Roman" w:hAnsi="Times New Roman"/>
                <w:b/>
                <w:bCs/>
                <w:noProof/>
              </w:rPr>
              <w:t>Driver / Specific objective</w:t>
            </w:r>
          </w:p>
        </w:tc>
        <w:tc>
          <w:tcPr>
            <w:tcW w:w="336" w:type="pct"/>
            <w:tcBorders>
              <w:top w:val="single" w:sz="4" w:space="0" w:color="auto"/>
              <w:left w:val="single" w:sz="4" w:space="0" w:color="auto"/>
              <w:bottom w:val="single" w:sz="4" w:space="0" w:color="auto"/>
              <w:right w:val="single" w:sz="4" w:space="0" w:color="auto"/>
            </w:tcBorders>
            <w:hideMark/>
          </w:tcPr>
          <w:p>
            <w:pPr>
              <w:spacing w:after="60"/>
              <w:jc w:val="center"/>
              <w:rPr>
                <w:rFonts w:ascii="Times New Roman" w:hAnsi="Times New Roman"/>
                <w:b/>
                <w:bCs/>
                <w:noProof/>
                <w:color w:val="FFFFFF"/>
              </w:rPr>
            </w:pPr>
            <w:r>
              <w:rPr>
                <w:rFonts w:ascii="Times New Roman" w:hAnsi="Times New Roman"/>
                <w:b/>
                <w:bCs/>
                <w:noProof/>
              </w:rPr>
              <w:t xml:space="preserve">PO1 </w:t>
            </w:r>
          </w:p>
        </w:tc>
        <w:tc>
          <w:tcPr>
            <w:tcW w:w="336" w:type="pct"/>
            <w:tcBorders>
              <w:top w:val="single" w:sz="4" w:space="0" w:color="auto"/>
              <w:left w:val="single" w:sz="4" w:space="0" w:color="auto"/>
              <w:bottom w:val="single" w:sz="4" w:space="0" w:color="auto"/>
              <w:right w:val="single" w:sz="4" w:space="0" w:color="auto"/>
            </w:tcBorders>
            <w:hideMark/>
          </w:tcPr>
          <w:p>
            <w:pPr>
              <w:spacing w:after="60"/>
              <w:jc w:val="center"/>
              <w:rPr>
                <w:rFonts w:ascii="Times New Roman" w:hAnsi="Times New Roman"/>
                <w:b/>
                <w:bCs/>
                <w:noProof/>
                <w:color w:val="FFFFFF"/>
              </w:rPr>
            </w:pPr>
            <w:r>
              <w:rPr>
                <w:rFonts w:ascii="Times New Roman" w:hAnsi="Times New Roman"/>
                <w:b/>
                <w:bCs/>
                <w:noProof/>
              </w:rPr>
              <w:t xml:space="preserve">PO2 </w:t>
            </w:r>
          </w:p>
        </w:tc>
        <w:tc>
          <w:tcPr>
            <w:tcW w:w="336" w:type="pct"/>
            <w:tcBorders>
              <w:top w:val="single" w:sz="4" w:space="0" w:color="auto"/>
              <w:left w:val="single" w:sz="4" w:space="0" w:color="auto"/>
              <w:bottom w:val="single" w:sz="4" w:space="0" w:color="auto"/>
              <w:right w:val="single" w:sz="4" w:space="0" w:color="auto"/>
            </w:tcBorders>
            <w:hideMark/>
          </w:tcPr>
          <w:p>
            <w:pPr>
              <w:spacing w:after="60"/>
              <w:jc w:val="center"/>
              <w:rPr>
                <w:rFonts w:ascii="Times New Roman" w:hAnsi="Times New Roman"/>
                <w:b/>
                <w:bCs/>
                <w:noProof/>
                <w:color w:val="FFFFFF"/>
              </w:rPr>
            </w:pPr>
            <w:r>
              <w:rPr>
                <w:rFonts w:ascii="Times New Roman" w:hAnsi="Times New Roman"/>
                <w:b/>
                <w:bCs/>
                <w:noProof/>
              </w:rPr>
              <w:t>PO3</w:t>
            </w:r>
          </w:p>
        </w:tc>
        <w:tc>
          <w:tcPr>
            <w:tcW w:w="336" w:type="pct"/>
            <w:tcBorders>
              <w:top w:val="single" w:sz="4" w:space="0" w:color="auto"/>
              <w:left w:val="single" w:sz="4" w:space="0" w:color="auto"/>
              <w:bottom w:val="single" w:sz="4" w:space="0" w:color="auto"/>
              <w:right w:val="single" w:sz="4" w:space="0" w:color="auto"/>
            </w:tcBorders>
          </w:tcPr>
          <w:p>
            <w:pPr>
              <w:spacing w:after="60"/>
              <w:jc w:val="center"/>
              <w:rPr>
                <w:rFonts w:ascii="Times New Roman" w:hAnsi="Times New Roman"/>
                <w:b/>
                <w:bCs/>
                <w:noProof/>
              </w:rPr>
            </w:pPr>
            <w:r>
              <w:rPr>
                <w:rFonts w:ascii="Times New Roman" w:hAnsi="Times New Roman"/>
                <w:b/>
                <w:bCs/>
                <w:noProof/>
              </w:rPr>
              <w:t>PO4</w:t>
            </w:r>
          </w:p>
        </w:tc>
      </w:tr>
      <w:tr>
        <w:trPr>
          <w:cnfStyle w:val="000000100000" w:firstRow="0" w:lastRow="0" w:firstColumn="0" w:lastColumn="0" w:oddVBand="0" w:evenVBand="0" w:oddHBand="1" w:evenHBand="0" w:firstRowFirstColumn="0" w:firstRowLastColumn="0" w:lastRowFirstColumn="0" w:lastRowLastColumn="0"/>
          <w:trHeight w:val="288"/>
        </w:trPr>
        <w:tc>
          <w:tcPr>
            <w:tcW w:w="292" w:type="pct"/>
            <w:tcBorders>
              <w:top w:val="single" w:sz="4" w:space="0" w:color="auto"/>
              <w:left w:val="single" w:sz="4" w:space="0" w:color="auto"/>
              <w:bottom w:val="single" w:sz="4" w:space="0" w:color="auto"/>
              <w:right w:val="single" w:sz="4" w:space="0" w:color="auto"/>
            </w:tcBorders>
            <w:shd w:val="clear" w:color="auto" w:fill="548DD4" w:themeFill="text2" w:themeFillTint="99"/>
          </w:tcPr>
          <w:p>
            <w:pPr>
              <w:spacing w:after="60"/>
              <w:rPr>
                <w:rFonts w:ascii="Times New Roman" w:hAnsi="Times New Roman"/>
                <w:b/>
                <w:bCs/>
                <w:noProof/>
                <w:color w:val="FFFFFF" w:themeColor="background1"/>
              </w:rPr>
            </w:pPr>
          </w:p>
        </w:tc>
        <w:tc>
          <w:tcPr>
            <w:tcW w:w="2759"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top"/>
          </w:tcPr>
          <w:p>
            <w:pPr>
              <w:spacing w:after="60"/>
              <w:rPr>
                <w:rFonts w:ascii="Times New Roman" w:hAnsi="Times New Roman"/>
                <w:b/>
                <w:bCs/>
                <w:noProof/>
                <w:color w:val="FFFFFF" w:themeColor="background1"/>
              </w:rPr>
            </w:pPr>
            <w:r>
              <w:rPr>
                <w:rFonts w:ascii="Times New Roman" w:hAnsi="Times New Roman"/>
                <w:b/>
                <w:bCs/>
                <w:noProof/>
                <w:color w:val="FFFFFF" w:themeColor="background1"/>
              </w:rPr>
              <w:t>Acceptance</w:t>
            </w:r>
          </w:p>
        </w:tc>
        <w:tc>
          <w:tcPr>
            <w:tcW w:w="604" w:type="pct"/>
            <w:tcBorders>
              <w:top w:val="single" w:sz="4" w:space="0" w:color="auto"/>
              <w:left w:val="single" w:sz="4" w:space="0" w:color="auto"/>
              <w:bottom w:val="single" w:sz="4" w:space="0" w:color="auto"/>
              <w:right w:val="single" w:sz="4" w:space="0" w:color="auto"/>
            </w:tcBorders>
            <w:shd w:val="clear" w:color="auto" w:fill="548DD4" w:themeFill="text2" w:themeFillTint="99"/>
          </w:tcPr>
          <w:p>
            <w:pPr>
              <w:spacing w:after="60"/>
              <w:rPr>
                <w:rFonts w:ascii="Times New Roman" w:hAnsi="Times New Roman"/>
                <w:b/>
                <w:bCs/>
                <w:noProof/>
                <w:color w:val="FFFFFF" w:themeColor="background1"/>
              </w:rPr>
            </w:pPr>
            <w:r>
              <w:rPr>
                <w:rFonts w:ascii="Times New Roman" w:hAnsi="Times New Roman"/>
                <w:b/>
                <w:bCs/>
                <w:noProof/>
                <w:color w:val="000000"/>
              </w:rPr>
              <w:t>D1 / SO1</w:t>
            </w:r>
          </w:p>
        </w:tc>
        <w:tc>
          <w:tcPr>
            <w:tcW w:w="336" w:type="pct"/>
            <w:tcBorders>
              <w:top w:val="single" w:sz="4" w:space="0" w:color="auto"/>
              <w:left w:val="single" w:sz="4" w:space="0" w:color="auto"/>
              <w:bottom w:val="single" w:sz="4" w:space="0" w:color="auto"/>
              <w:right w:val="single" w:sz="4" w:space="0" w:color="auto"/>
            </w:tcBorders>
            <w:shd w:val="clear" w:color="auto" w:fill="548DD4" w:themeFill="text2" w:themeFillTint="99"/>
          </w:tcPr>
          <w:p>
            <w:pPr>
              <w:spacing w:after="60"/>
              <w:rPr>
                <w:rFonts w:ascii="Times New Roman" w:hAnsi="Times New Roman"/>
                <w:b/>
                <w:bCs/>
                <w:noProof/>
                <w:color w:val="FFFFFF" w:themeColor="background1"/>
              </w:rPr>
            </w:pPr>
          </w:p>
        </w:tc>
        <w:tc>
          <w:tcPr>
            <w:tcW w:w="336" w:type="pct"/>
            <w:tcBorders>
              <w:top w:val="single" w:sz="4" w:space="0" w:color="auto"/>
              <w:left w:val="single" w:sz="4" w:space="0" w:color="auto"/>
              <w:bottom w:val="single" w:sz="4" w:space="0" w:color="auto"/>
              <w:right w:val="single" w:sz="4" w:space="0" w:color="auto"/>
            </w:tcBorders>
            <w:shd w:val="clear" w:color="auto" w:fill="548DD4" w:themeFill="text2" w:themeFillTint="99"/>
          </w:tcPr>
          <w:p>
            <w:pPr>
              <w:spacing w:after="60"/>
              <w:rPr>
                <w:rFonts w:ascii="Times New Roman" w:hAnsi="Times New Roman"/>
                <w:b/>
                <w:bCs/>
                <w:noProof/>
                <w:color w:val="FFFFFF" w:themeColor="background1"/>
              </w:rPr>
            </w:pPr>
          </w:p>
        </w:tc>
        <w:tc>
          <w:tcPr>
            <w:tcW w:w="336" w:type="pct"/>
            <w:tcBorders>
              <w:top w:val="single" w:sz="4" w:space="0" w:color="auto"/>
              <w:left w:val="single" w:sz="4" w:space="0" w:color="auto"/>
              <w:bottom w:val="single" w:sz="4" w:space="0" w:color="auto"/>
              <w:right w:val="single" w:sz="4" w:space="0" w:color="auto"/>
            </w:tcBorders>
            <w:shd w:val="clear" w:color="auto" w:fill="548DD4" w:themeFill="text2" w:themeFillTint="99"/>
          </w:tcPr>
          <w:p>
            <w:pPr>
              <w:spacing w:after="60"/>
              <w:rPr>
                <w:rFonts w:ascii="Times New Roman" w:hAnsi="Times New Roman"/>
                <w:b/>
                <w:bCs/>
                <w:noProof/>
                <w:color w:val="FFFFFF" w:themeColor="background1"/>
              </w:rPr>
            </w:pPr>
          </w:p>
        </w:tc>
        <w:tc>
          <w:tcPr>
            <w:tcW w:w="336" w:type="pct"/>
            <w:tcBorders>
              <w:top w:val="single" w:sz="4" w:space="0" w:color="auto"/>
              <w:left w:val="single" w:sz="4" w:space="0" w:color="auto"/>
              <w:bottom w:val="single" w:sz="4" w:space="0" w:color="auto"/>
              <w:right w:val="single" w:sz="4" w:space="0" w:color="auto"/>
            </w:tcBorders>
            <w:shd w:val="clear" w:color="auto" w:fill="548DD4" w:themeFill="text2" w:themeFillTint="99"/>
          </w:tcPr>
          <w:p>
            <w:pPr>
              <w:spacing w:after="60"/>
              <w:rPr>
                <w:rFonts w:ascii="Times New Roman" w:hAnsi="Times New Roman"/>
                <w:b/>
                <w:bCs/>
                <w:noProof/>
                <w:color w:val="FFFFFF" w:themeColor="background1"/>
              </w:rPr>
            </w:pPr>
          </w:p>
        </w:tc>
      </w:tr>
      <w:tr>
        <w:trPr>
          <w:cnfStyle w:val="000000010000" w:firstRow="0" w:lastRow="0" w:firstColumn="0" w:lastColumn="0" w:oddVBand="0" w:evenVBand="0" w:oddHBand="0" w:evenHBand="1" w:firstRowFirstColumn="0" w:firstRowLastColumn="0" w:lastRowFirstColumn="0" w:lastRowLastColumn="0"/>
          <w:trHeight w:val="288"/>
        </w:trPr>
        <w:tc>
          <w:tcPr>
            <w:tcW w:w="292" w:type="pct"/>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rPr>
            </w:pPr>
            <w:r>
              <w:rPr>
                <w:rFonts w:ascii="Times New Roman" w:hAnsi="Times New Roman"/>
                <w:noProof/>
              </w:rPr>
              <w:t>1</w:t>
            </w:r>
          </w:p>
        </w:tc>
        <w:tc>
          <w:tcPr>
            <w:tcW w:w="2759" w:type="pct"/>
            <w:tcBorders>
              <w:top w:val="single" w:sz="4" w:space="0" w:color="auto"/>
              <w:left w:val="single" w:sz="4" w:space="0" w:color="auto"/>
              <w:bottom w:val="single" w:sz="4" w:space="0" w:color="auto"/>
              <w:right w:val="single" w:sz="4" w:space="0" w:color="auto"/>
            </w:tcBorders>
            <w:vAlign w:val="top"/>
          </w:tcPr>
          <w:p>
            <w:pPr>
              <w:spacing w:after="60"/>
              <w:rPr>
                <w:rFonts w:ascii="Times New Roman" w:hAnsi="Times New Roman"/>
                <w:noProof/>
              </w:rPr>
            </w:pPr>
            <w:r>
              <w:rPr>
                <w:rFonts w:ascii="Times New Roman" w:hAnsi="Times New Roman"/>
                <w:noProof/>
              </w:rPr>
              <w:t>Member States adherence to international contracts of carrige conventions</w:t>
            </w:r>
          </w:p>
        </w:tc>
        <w:tc>
          <w:tcPr>
            <w:tcW w:w="604"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color w:val="000000"/>
              </w:rPr>
            </w:pPr>
            <w:r>
              <w:rPr>
                <w:rFonts w:ascii="Times New Roman" w:hAnsi="Times New Roman"/>
                <w:b/>
                <w:bCs/>
                <w:noProof/>
                <w:color w:val="000000"/>
              </w:rPr>
              <w:t>D1 / SO1</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noProof/>
                <w:color w:val="000000"/>
              </w:rPr>
            </w:pPr>
            <w:r>
              <w:rPr>
                <w:rFonts w:ascii="Times New Roman" w:hAnsi="Times New Roman"/>
                <w:b/>
                <w:bCs/>
                <w:noProof/>
                <w:color w:val="000000"/>
              </w:rPr>
              <w:sym w:font="Wingdings 2" w:char="F050"/>
            </w:r>
            <w:r>
              <w:rPr>
                <w:rFonts w:ascii="Times New Roman" w:hAnsi="Times New Roman"/>
                <w:b/>
                <w:bCs/>
                <w:noProof/>
                <w:color w:val="000000"/>
              </w:rPr>
              <w:t xml:space="preserve"> R</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S</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S</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S</w:t>
            </w:r>
          </w:p>
        </w:tc>
      </w:tr>
      <w:tr>
        <w:trPr>
          <w:cnfStyle w:val="000000100000" w:firstRow="0" w:lastRow="0" w:firstColumn="0" w:lastColumn="0" w:oddVBand="0" w:evenVBand="0" w:oddHBand="1" w:evenHBand="0" w:firstRowFirstColumn="0" w:firstRowLastColumn="0" w:lastRowFirstColumn="0" w:lastRowLastColumn="0"/>
          <w:trHeight w:val="288"/>
        </w:trPr>
        <w:tc>
          <w:tcPr>
            <w:tcW w:w="292" w:type="pct"/>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rPr>
            </w:pPr>
            <w:r>
              <w:rPr>
                <w:rFonts w:ascii="Times New Roman" w:hAnsi="Times New Roman"/>
                <w:noProof/>
              </w:rPr>
              <w:t>2</w:t>
            </w:r>
          </w:p>
        </w:tc>
        <w:tc>
          <w:tcPr>
            <w:tcW w:w="2759" w:type="pct"/>
            <w:tcBorders>
              <w:top w:val="single" w:sz="4" w:space="0" w:color="auto"/>
              <w:left w:val="single" w:sz="4" w:space="0" w:color="auto"/>
              <w:bottom w:val="single" w:sz="4" w:space="0" w:color="auto"/>
              <w:right w:val="single" w:sz="4" w:space="0" w:color="auto"/>
            </w:tcBorders>
            <w:vAlign w:val="top"/>
          </w:tcPr>
          <w:p>
            <w:pPr>
              <w:spacing w:after="60"/>
              <w:rPr>
                <w:rFonts w:ascii="Times New Roman" w:hAnsi="Times New Roman"/>
                <w:noProof/>
              </w:rPr>
            </w:pPr>
            <w:r>
              <w:rPr>
                <w:rFonts w:ascii="Times New Roman" w:hAnsi="Times New Roman"/>
                <w:noProof/>
              </w:rPr>
              <w:t>Amendment of international conventions to remove the limitation of applicability of the conventions' provisions on the legal equivalence of the electronic transport contracts</w:t>
            </w:r>
          </w:p>
        </w:tc>
        <w:tc>
          <w:tcPr>
            <w:tcW w:w="604"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noProof/>
                <w:color w:val="000000"/>
              </w:rPr>
            </w:pPr>
            <w:r>
              <w:rPr>
                <w:rFonts w:ascii="Times New Roman" w:hAnsi="Times New Roman"/>
                <w:b/>
                <w:noProof/>
                <w:color w:val="000000"/>
              </w:rPr>
              <w:t>D1 / SO1</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noProof/>
                <w:color w:val="000000"/>
              </w:rPr>
            </w:pPr>
            <w:r>
              <w:rPr>
                <w:rFonts w:ascii="Times New Roman" w:hAnsi="Times New Roman"/>
                <w:b/>
                <w:bCs/>
                <w:noProof/>
                <w:color w:val="000000"/>
              </w:rPr>
              <w:sym w:font="Wingdings 2" w:char="F050"/>
            </w:r>
            <w:r>
              <w:rPr>
                <w:rFonts w:ascii="Times New Roman" w:hAnsi="Times New Roman"/>
                <w:b/>
                <w:bCs/>
                <w:noProof/>
                <w:color w:val="000000"/>
              </w:rPr>
              <w:t>S</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S</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S</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S</w:t>
            </w:r>
          </w:p>
        </w:tc>
      </w:tr>
      <w:tr>
        <w:trPr>
          <w:cnfStyle w:val="000000010000" w:firstRow="0" w:lastRow="0" w:firstColumn="0" w:lastColumn="0" w:oddVBand="0" w:evenVBand="0" w:oddHBand="0" w:evenHBand="1" w:firstRowFirstColumn="0" w:firstRowLastColumn="0" w:lastRowFirstColumn="0" w:lastRowLastColumn="0"/>
          <w:trHeight w:val="857"/>
        </w:trPr>
        <w:tc>
          <w:tcPr>
            <w:tcW w:w="292" w:type="pct"/>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rPr>
            </w:pPr>
            <w:r>
              <w:rPr>
                <w:rFonts w:ascii="Times New Roman" w:hAnsi="Times New Roman"/>
                <w:noProof/>
              </w:rPr>
              <w:t>3</w:t>
            </w:r>
          </w:p>
        </w:tc>
        <w:tc>
          <w:tcPr>
            <w:tcW w:w="2759" w:type="pct"/>
            <w:tcBorders>
              <w:top w:val="single" w:sz="4" w:space="0" w:color="auto"/>
              <w:left w:val="single" w:sz="4" w:space="0" w:color="auto"/>
              <w:bottom w:val="single" w:sz="4" w:space="0" w:color="auto"/>
              <w:right w:val="single" w:sz="4" w:space="0" w:color="auto"/>
            </w:tcBorders>
            <w:vAlign w:val="top"/>
          </w:tcPr>
          <w:p>
            <w:pPr>
              <w:keepNext/>
              <w:keepLines/>
              <w:spacing w:after="60"/>
              <w:rPr>
                <w:rFonts w:ascii="Times New Roman" w:hAnsi="Times New Roman"/>
                <w:noProof/>
              </w:rPr>
            </w:pPr>
            <w:r>
              <w:rPr>
                <w:rFonts w:ascii="Times New Roman" w:hAnsi="Times New Roman"/>
                <w:noProof/>
              </w:rPr>
              <w:t>Establishment of general obligation for MS authorities to accept electronic means for B2A information/documentation communication</w:t>
            </w:r>
            <w:r>
              <w:rPr>
                <w:rFonts w:ascii="Times New Roman" w:hAnsi="Times New Roman"/>
                <w:noProof/>
                <w:vertAlign w:val="superscript"/>
              </w:rPr>
              <w:footnoteReference w:id="92"/>
            </w:r>
          </w:p>
        </w:tc>
        <w:tc>
          <w:tcPr>
            <w:tcW w:w="604"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color w:val="000000"/>
              </w:rPr>
            </w:pPr>
            <w:r>
              <w:rPr>
                <w:rFonts w:ascii="Times New Roman" w:hAnsi="Times New Roman"/>
                <w:b/>
                <w:bCs/>
                <w:noProof/>
                <w:color w:val="000000"/>
              </w:rPr>
              <w:t xml:space="preserve">D1 </w:t>
            </w:r>
            <w:r>
              <w:rPr>
                <w:rFonts w:ascii="Times New Roman" w:hAnsi="Times New Roman"/>
                <w:b/>
                <w:noProof/>
                <w:color w:val="000000"/>
              </w:rPr>
              <w:t>/ SO1</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color w:val="000000"/>
              </w:rPr>
            </w:pPr>
          </w:p>
          <w:p>
            <w:pPr>
              <w:jc w:val="center"/>
              <w:rPr>
                <w:rFonts w:ascii="Times New Roman" w:hAnsi="Times New Roman"/>
                <w:b/>
                <w:bCs/>
                <w:noProof/>
                <w:color w:val="000000"/>
              </w:rPr>
            </w:pPr>
            <w:r>
              <w:rPr>
                <w:rFonts w:ascii="Times New Roman" w:hAnsi="Times New Roman"/>
                <w:b/>
                <w:bCs/>
                <w:noProof/>
                <w:color w:val="000000"/>
              </w:rPr>
              <w:t>-</w:t>
            </w:r>
          </w:p>
          <w:p>
            <w:pPr>
              <w:jc w:val="center"/>
              <w:rPr>
                <w:rFonts w:ascii="Times New Roman" w:hAnsi="Times New Roman"/>
                <w:b/>
                <w:bCs/>
                <w:noProof/>
                <w:color w:val="000000"/>
              </w:rPr>
            </w:pP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 xml:space="preserve">R </w:t>
            </w:r>
          </w:p>
        </w:tc>
        <w:tc>
          <w:tcPr>
            <w:tcW w:w="336" w:type="pct"/>
            <w:tcBorders>
              <w:top w:val="single" w:sz="4" w:space="0" w:color="auto"/>
              <w:left w:val="single" w:sz="4" w:space="0" w:color="auto"/>
              <w:bottom w:val="single" w:sz="4" w:space="0" w:color="auto"/>
              <w:right w:val="single" w:sz="4" w:space="0" w:color="auto"/>
            </w:tcBorders>
            <w:vAlign w:val="top"/>
          </w:tcPr>
          <w:p>
            <w:pPr>
              <w:jc w:val="center"/>
              <w:rPr>
                <w:rFonts w:ascii="Times New Roman" w:hAnsi="Times New Roman"/>
                <w:b/>
                <w:bCs/>
                <w:noProof/>
                <w:color w:val="000000"/>
              </w:rPr>
            </w:pPr>
          </w:p>
          <w:p>
            <w:pPr>
              <w:jc w:val="center"/>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R</w:t>
            </w:r>
          </w:p>
        </w:tc>
        <w:tc>
          <w:tcPr>
            <w:tcW w:w="336" w:type="pct"/>
            <w:tcBorders>
              <w:top w:val="single" w:sz="4" w:space="0" w:color="auto"/>
              <w:left w:val="single" w:sz="4" w:space="0" w:color="auto"/>
              <w:bottom w:val="single" w:sz="4" w:space="0" w:color="auto"/>
              <w:right w:val="single" w:sz="4" w:space="0" w:color="auto"/>
            </w:tcBorders>
            <w:vAlign w:val="top"/>
          </w:tcPr>
          <w:p>
            <w:pPr>
              <w:jc w:val="center"/>
              <w:rPr>
                <w:rFonts w:ascii="Times New Roman" w:hAnsi="Times New Roman"/>
                <w:b/>
                <w:bCs/>
                <w:noProof/>
                <w:color w:val="000000"/>
              </w:rPr>
            </w:pPr>
          </w:p>
          <w:p>
            <w:pPr>
              <w:jc w:val="center"/>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R</w:t>
            </w:r>
          </w:p>
        </w:tc>
      </w:tr>
      <w:tr>
        <w:trPr>
          <w:cnfStyle w:val="000000100000" w:firstRow="0" w:lastRow="0" w:firstColumn="0" w:lastColumn="0" w:oddVBand="0" w:evenVBand="0" w:oddHBand="1" w:evenHBand="0" w:firstRowFirstColumn="0" w:firstRowLastColumn="0" w:lastRowFirstColumn="0" w:lastRowLastColumn="0"/>
          <w:trHeight w:val="288"/>
        </w:trPr>
        <w:tc>
          <w:tcPr>
            <w:tcW w:w="292" w:type="pct"/>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rPr>
            </w:pPr>
            <w:r>
              <w:rPr>
                <w:rFonts w:ascii="Times New Roman" w:hAnsi="Times New Roman"/>
                <w:noProof/>
              </w:rPr>
              <w:t>4</w:t>
            </w:r>
          </w:p>
        </w:tc>
        <w:tc>
          <w:tcPr>
            <w:tcW w:w="2759" w:type="pct"/>
            <w:tcBorders>
              <w:top w:val="single" w:sz="4" w:space="0" w:color="auto"/>
              <w:left w:val="single" w:sz="4" w:space="0" w:color="auto"/>
              <w:bottom w:val="single" w:sz="4" w:space="0" w:color="auto"/>
              <w:right w:val="single" w:sz="4" w:space="0" w:color="auto"/>
            </w:tcBorders>
            <w:vAlign w:val="top"/>
          </w:tcPr>
          <w:p>
            <w:pPr>
              <w:spacing w:after="60"/>
              <w:rPr>
                <w:rFonts w:ascii="Times New Roman" w:hAnsi="Times New Roman"/>
                <w:noProof/>
              </w:rPr>
            </w:pPr>
            <w:r>
              <w:rPr>
                <w:rFonts w:ascii="Times New Roman" w:hAnsi="Times New Roman"/>
                <w:noProof/>
              </w:rPr>
              <w:t xml:space="preserve">Inclusion in relevant EU-third countries bilateral agreements of provisions on mutual acceptance of electronic information/documentation </w:t>
            </w:r>
          </w:p>
        </w:tc>
        <w:tc>
          <w:tcPr>
            <w:tcW w:w="604"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color w:val="000000"/>
                <w:sz w:val="18"/>
                <w:szCs w:val="18"/>
              </w:rPr>
            </w:pPr>
            <w:r>
              <w:rPr>
                <w:rFonts w:ascii="Times New Roman" w:hAnsi="Times New Roman"/>
                <w:b/>
                <w:bCs/>
                <w:noProof/>
                <w:color w:val="000000"/>
              </w:rPr>
              <w:t xml:space="preserve">D1 </w:t>
            </w:r>
            <w:r>
              <w:rPr>
                <w:rFonts w:ascii="Times New Roman" w:hAnsi="Times New Roman"/>
                <w:b/>
                <w:noProof/>
                <w:color w:val="000000"/>
              </w:rPr>
              <w:t>/ SO1</w:t>
            </w:r>
            <w:r>
              <w:rPr>
                <w:rFonts w:ascii="Times New Roman" w:hAnsi="Times New Roman"/>
                <w:b/>
                <w:bCs/>
                <w:noProof/>
                <w:color w:val="000000"/>
              </w:rPr>
              <w:t xml:space="preserve"> </w:t>
            </w:r>
            <w:r>
              <w:rPr>
                <w:rFonts w:ascii="Times New Roman" w:hAnsi="Times New Roman"/>
                <w:b/>
                <w:noProof/>
                <w:color w:val="000000"/>
                <w:sz w:val="18"/>
                <w:szCs w:val="18"/>
              </w:rPr>
              <w:t>(int'l dimension)</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color w:val="000000"/>
              </w:rPr>
            </w:pPr>
            <w:r>
              <w:rPr>
                <w:rFonts w:ascii="Times New Roman" w:hAnsi="Times New Roman"/>
                <w:b/>
                <w:bCs/>
                <w:noProof/>
                <w:color w:val="000000"/>
              </w:rPr>
              <w:t>-</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R</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 xml:space="preserve">R </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R</w:t>
            </w:r>
          </w:p>
        </w:tc>
      </w:tr>
      <w:tr>
        <w:trPr>
          <w:cnfStyle w:val="000000010000" w:firstRow="0" w:lastRow="0" w:firstColumn="0" w:lastColumn="0" w:oddVBand="0" w:evenVBand="0" w:oddHBand="0" w:evenHBand="1" w:firstRowFirstColumn="0" w:firstRowLastColumn="0" w:lastRowFirstColumn="0" w:lastRowLastColumn="0"/>
          <w:trHeight w:val="429"/>
        </w:trPr>
        <w:tc>
          <w:tcPr>
            <w:tcW w:w="292" w:type="pct"/>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rPr>
            </w:pPr>
            <w:r>
              <w:rPr>
                <w:rFonts w:ascii="Times New Roman" w:hAnsi="Times New Roman"/>
                <w:noProof/>
              </w:rPr>
              <w:t>5</w:t>
            </w:r>
          </w:p>
        </w:tc>
        <w:tc>
          <w:tcPr>
            <w:tcW w:w="2759" w:type="pct"/>
            <w:tcBorders>
              <w:top w:val="single" w:sz="4" w:space="0" w:color="auto"/>
              <w:left w:val="single" w:sz="4" w:space="0" w:color="auto"/>
              <w:bottom w:val="single" w:sz="4" w:space="0" w:color="auto"/>
              <w:right w:val="single" w:sz="4" w:space="0" w:color="auto"/>
            </w:tcBorders>
            <w:vAlign w:val="top"/>
          </w:tcPr>
          <w:p>
            <w:pPr>
              <w:spacing w:after="60"/>
              <w:rPr>
                <w:rFonts w:ascii="Times New Roman" w:hAnsi="Times New Roman"/>
                <w:noProof/>
              </w:rPr>
            </w:pPr>
            <w:r>
              <w:rPr>
                <w:rFonts w:ascii="Times New Roman" w:hAnsi="Times New Roman"/>
                <w:noProof/>
              </w:rPr>
              <w:t>Awareness raising, training and exchange of experience</w:t>
            </w:r>
          </w:p>
        </w:tc>
        <w:tc>
          <w:tcPr>
            <w:tcW w:w="604"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noProof/>
                <w:color w:val="000000"/>
              </w:rPr>
            </w:pPr>
            <w:r>
              <w:rPr>
                <w:rFonts w:ascii="Times New Roman" w:hAnsi="Times New Roman"/>
                <w:b/>
                <w:noProof/>
                <w:color w:val="000000"/>
              </w:rPr>
              <w:t>D1 / SO1</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 xml:space="preserve"> S</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 xml:space="preserve">S </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 xml:space="preserve">S </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S</w:t>
            </w:r>
          </w:p>
        </w:tc>
      </w:tr>
      <w:tr>
        <w:trPr>
          <w:cnfStyle w:val="000000100000" w:firstRow="0" w:lastRow="0" w:firstColumn="0" w:lastColumn="0" w:oddVBand="0" w:evenVBand="0" w:oddHBand="1" w:evenHBand="0" w:firstRowFirstColumn="0" w:firstRowLastColumn="0" w:lastRowFirstColumn="0" w:lastRowLastColumn="0"/>
          <w:trHeight w:val="467"/>
          <w:tblHeader/>
        </w:trPr>
        <w:tc>
          <w:tcPr>
            <w:tcW w:w="292" w:type="pct"/>
            <w:tcBorders>
              <w:top w:val="single" w:sz="4" w:space="0" w:color="auto"/>
              <w:left w:val="single" w:sz="4" w:space="0" w:color="auto"/>
              <w:bottom w:val="single" w:sz="4" w:space="0" w:color="auto"/>
              <w:right w:val="single" w:sz="4" w:space="0" w:color="auto"/>
            </w:tcBorders>
            <w:shd w:val="clear" w:color="auto" w:fill="548DD4" w:themeFill="text2" w:themeFillTint="99"/>
          </w:tcPr>
          <w:p>
            <w:pPr>
              <w:spacing w:after="60"/>
              <w:rPr>
                <w:rFonts w:ascii="Times New Roman" w:hAnsi="Times New Roman"/>
                <w:b/>
                <w:bCs/>
                <w:noProof/>
                <w:color w:val="FFFFFF" w:themeColor="background1"/>
              </w:rPr>
            </w:pPr>
          </w:p>
        </w:tc>
        <w:tc>
          <w:tcPr>
            <w:tcW w:w="2759" w:type="pct"/>
            <w:tcBorders>
              <w:top w:val="single" w:sz="4" w:space="0" w:color="auto"/>
              <w:left w:val="single" w:sz="4" w:space="0" w:color="auto"/>
              <w:bottom w:val="single" w:sz="4" w:space="0" w:color="auto"/>
              <w:right w:val="single" w:sz="4" w:space="0" w:color="auto"/>
            </w:tcBorders>
            <w:shd w:val="clear" w:color="auto" w:fill="548DD4" w:themeFill="text2" w:themeFillTint="99"/>
          </w:tcPr>
          <w:p>
            <w:pPr>
              <w:spacing w:after="60"/>
              <w:rPr>
                <w:rFonts w:ascii="Times New Roman" w:hAnsi="Times New Roman"/>
                <w:b/>
                <w:bCs/>
                <w:noProof/>
                <w:color w:val="FFFFFF" w:themeColor="background1"/>
              </w:rPr>
            </w:pPr>
            <w:r>
              <w:rPr>
                <w:rFonts w:ascii="Times New Roman" w:hAnsi="Times New Roman"/>
                <w:b/>
                <w:bCs/>
                <w:noProof/>
                <w:color w:val="FFFFFF" w:themeColor="background1"/>
              </w:rPr>
              <w:t>Requirements for validity/acceptance</w:t>
            </w:r>
          </w:p>
        </w:tc>
        <w:tc>
          <w:tcPr>
            <w:tcW w:w="604" w:type="pct"/>
            <w:tcBorders>
              <w:top w:val="single" w:sz="4" w:space="0" w:color="auto"/>
              <w:left w:val="single" w:sz="4" w:space="0" w:color="auto"/>
              <w:bottom w:val="single" w:sz="4" w:space="0" w:color="auto"/>
              <w:right w:val="single" w:sz="4" w:space="0" w:color="auto"/>
            </w:tcBorders>
            <w:shd w:val="clear" w:color="auto" w:fill="548DD4" w:themeFill="text2" w:themeFillTint="99"/>
          </w:tcPr>
          <w:p>
            <w:pPr>
              <w:spacing w:after="60"/>
              <w:rPr>
                <w:rFonts w:ascii="Times New Roman" w:hAnsi="Times New Roman"/>
                <w:b/>
                <w:bCs/>
                <w:noProof/>
                <w:color w:val="FFFFFF" w:themeColor="background1"/>
              </w:rPr>
            </w:pPr>
            <w:r>
              <w:rPr>
                <w:rFonts w:ascii="Times New Roman" w:hAnsi="Times New Roman"/>
                <w:b/>
                <w:noProof/>
                <w:color w:val="000000"/>
              </w:rPr>
              <w:t>D1 / SO1</w:t>
            </w:r>
          </w:p>
        </w:tc>
        <w:tc>
          <w:tcPr>
            <w:tcW w:w="336" w:type="pct"/>
            <w:tcBorders>
              <w:top w:val="single" w:sz="4" w:space="0" w:color="auto"/>
              <w:left w:val="single" w:sz="4" w:space="0" w:color="auto"/>
              <w:bottom w:val="single" w:sz="4" w:space="0" w:color="auto"/>
              <w:right w:val="single" w:sz="4" w:space="0" w:color="auto"/>
            </w:tcBorders>
            <w:shd w:val="clear" w:color="auto" w:fill="548DD4" w:themeFill="text2" w:themeFillTint="99"/>
          </w:tcPr>
          <w:p>
            <w:pPr>
              <w:spacing w:after="60"/>
              <w:rPr>
                <w:rFonts w:ascii="Times New Roman" w:hAnsi="Times New Roman"/>
                <w:b/>
                <w:bCs/>
                <w:noProof/>
                <w:color w:val="FFFFFF" w:themeColor="background1"/>
              </w:rPr>
            </w:pPr>
          </w:p>
        </w:tc>
        <w:tc>
          <w:tcPr>
            <w:tcW w:w="336" w:type="pct"/>
            <w:tcBorders>
              <w:top w:val="single" w:sz="4" w:space="0" w:color="auto"/>
              <w:left w:val="single" w:sz="4" w:space="0" w:color="auto"/>
              <w:bottom w:val="single" w:sz="4" w:space="0" w:color="auto"/>
              <w:right w:val="single" w:sz="4" w:space="0" w:color="auto"/>
            </w:tcBorders>
            <w:shd w:val="clear" w:color="auto" w:fill="548DD4" w:themeFill="text2" w:themeFillTint="99"/>
          </w:tcPr>
          <w:p>
            <w:pPr>
              <w:spacing w:after="60"/>
              <w:rPr>
                <w:rFonts w:ascii="Times New Roman" w:hAnsi="Times New Roman"/>
                <w:b/>
                <w:bCs/>
                <w:noProof/>
                <w:color w:val="FFFFFF" w:themeColor="background1"/>
              </w:rPr>
            </w:pPr>
          </w:p>
        </w:tc>
        <w:tc>
          <w:tcPr>
            <w:tcW w:w="336" w:type="pct"/>
            <w:tcBorders>
              <w:top w:val="single" w:sz="4" w:space="0" w:color="auto"/>
              <w:left w:val="single" w:sz="4" w:space="0" w:color="auto"/>
              <w:bottom w:val="single" w:sz="4" w:space="0" w:color="auto"/>
              <w:right w:val="single" w:sz="4" w:space="0" w:color="auto"/>
            </w:tcBorders>
            <w:shd w:val="clear" w:color="auto" w:fill="548DD4" w:themeFill="text2" w:themeFillTint="99"/>
          </w:tcPr>
          <w:p>
            <w:pPr>
              <w:spacing w:after="60"/>
              <w:rPr>
                <w:rFonts w:ascii="Times New Roman" w:hAnsi="Times New Roman"/>
                <w:b/>
                <w:bCs/>
                <w:noProof/>
                <w:color w:val="FFFFFF" w:themeColor="background1"/>
              </w:rPr>
            </w:pPr>
          </w:p>
        </w:tc>
        <w:tc>
          <w:tcPr>
            <w:tcW w:w="336" w:type="pct"/>
            <w:tcBorders>
              <w:top w:val="single" w:sz="4" w:space="0" w:color="auto"/>
              <w:left w:val="single" w:sz="4" w:space="0" w:color="auto"/>
              <w:bottom w:val="single" w:sz="4" w:space="0" w:color="auto"/>
              <w:right w:val="single" w:sz="4" w:space="0" w:color="auto"/>
            </w:tcBorders>
            <w:shd w:val="clear" w:color="auto" w:fill="548DD4" w:themeFill="text2" w:themeFillTint="99"/>
          </w:tcPr>
          <w:p>
            <w:pPr>
              <w:spacing w:after="60"/>
              <w:rPr>
                <w:rFonts w:ascii="Times New Roman" w:hAnsi="Times New Roman"/>
                <w:b/>
                <w:bCs/>
                <w:noProof/>
                <w:color w:val="FFFFFF" w:themeColor="background1"/>
              </w:rPr>
            </w:pPr>
          </w:p>
        </w:tc>
      </w:tr>
      <w:tr>
        <w:trPr>
          <w:cnfStyle w:val="000000010000" w:firstRow="0" w:lastRow="0" w:firstColumn="0" w:lastColumn="0" w:oddVBand="0" w:evenVBand="0" w:oddHBand="0" w:evenHBand="1" w:firstRowFirstColumn="0" w:firstRowLastColumn="0" w:lastRowFirstColumn="0" w:lastRowLastColumn="0"/>
          <w:trHeight w:val="288"/>
        </w:trPr>
        <w:tc>
          <w:tcPr>
            <w:tcW w:w="292" w:type="pct"/>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rPr>
            </w:pPr>
            <w:r>
              <w:rPr>
                <w:rFonts w:ascii="Times New Roman" w:hAnsi="Times New Roman"/>
                <w:noProof/>
              </w:rPr>
              <w:t>6</w:t>
            </w:r>
          </w:p>
        </w:tc>
        <w:tc>
          <w:tcPr>
            <w:tcW w:w="2759" w:type="pct"/>
            <w:tcBorders>
              <w:top w:val="single" w:sz="4" w:space="0" w:color="auto"/>
              <w:left w:val="single" w:sz="4" w:space="0" w:color="auto"/>
              <w:bottom w:val="single" w:sz="4" w:space="0" w:color="auto"/>
              <w:right w:val="single" w:sz="4" w:space="0" w:color="auto"/>
            </w:tcBorders>
            <w:vAlign w:val="top"/>
          </w:tcPr>
          <w:p>
            <w:pPr>
              <w:spacing w:after="60"/>
              <w:rPr>
                <w:rFonts w:ascii="Times New Roman" w:hAnsi="Times New Roman"/>
                <w:noProof/>
              </w:rPr>
            </w:pPr>
            <w:r>
              <w:rPr>
                <w:rFonts w:ascii="Times New Roman" w:hAnsi="Times New Roman"/>
                <w:noProof/>
              </w:rPr>
              <w:t xml:space="preserve">Amendment of international conventions to align provisions on the validity of electronic contracts of carriage </w:t>
            </w:r>
          </w:p>
        </w:tc>
        <w:tc>
          <w:tcPr>
            <w:tcW w:w="604"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noProof/>
                <w:color w:val="000000"/>
              </w:rPr>
            </w:pPr>
            <w:r>
              <w:rPr>
                <w:rFonts w:ascii="Times New Roman" w:hAnsi="Times New Roman"/>
                <w:b/>
                <w:noProof/>
                <w:color w:val="000000"/>
              </w:rPr>
              <w:t>D1 / SO1</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noProof/>
                <w:color w:val="000000"/>
              </w:rPr>
            </w:pPr>
            <w:r>
              <w:rPr>
                <w:rFonts w:ascii="Times New Roman" w:hAnsi="Times New Roman"/>
                <w:b/>
                <w:bCs/>
                <w:noProof/>
                <w:color w:val="000000"/>
              </w:rPr>
              <w:sym w:font="Wingdings 2" w:char="F050"/>
            </w:r>
            <w:r>
              <w:rPr>
                <w:rFonts w:ascii="Times New Roman" w:hAnsi="Times New Roman"/>
                <w:b/>
                <w:bCs/>
                <w:noProof/>
                <w:color w:val="000000"/>
              </w:rPr>
              <w:t>S</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S</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S</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S</w:t>
            </w:r>
          </w:p>
        </w:tc>
      </w:tr>
      <w:tr>
        <w:trPr>
          <w:cnfStyle w:val="000000100000" w:firstRow="0" w:lastRow="0" w:firstColumn="0" w:lastColumn="0" w:oddVBand="0" w:evenVBand="0" w:oddHBand="1" w:evenHBand="0" w:firstRowFirstColumn="0" w:firstRowLastColumn="0" w:lastRowFirstColumn="0" w:lastRowLastColumn="0"/>
          <w:trHeight w:val="288"/>
        </w:trPr>
        <w:tc>
          <w:tcPr>
            <w:tcW w:w="292" w:type="pct"/>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rPr>
            </w:pPr>
            <w:r>
              <w:rPr>
                <w:rFonts w:ascii="Times New Roman" w:hAnsi="Times New Roman"/>
                <w:noProof/>
              </w:rPr>
              <w:t>7</w:t>
            </w:r>
          </w:p>
        </w:tc>
        <w:tc>
          <w:tcPr>
            <w:tcW w:w="2759" w:type="pct"/>
            <w:tcBorders>
              <w:top w:val="single" w:sz="4" w:space="0" w:color="auto"/>
              <w:left w:val="single" w:sz="4" w:space="0" w:color="auto"/>
              <w:bottom w:val="single" w:sz="4" w:space="0" w:color="auto"/>
              <w:right w:val="single" w:sz="4" w:space="0" w:color="auto"/>
            </w:tcBorders>
            <w:vAlign w:val="top"/>
          </w:tcPr>
          <w:p>
            <w:pPr>
              <w:keepNext/>
              <w:keepLines/>
              <w:spacing w:after="60"/>
              <w:rPr>
                <w:rFonts w:ascii="Times New Roman" w:hAnsi="Times New Roman"/>
                <w:noProof/>
              </w:rPr>
            </w:pPr>
            <w:r>
              <w:rPr>
                <w:rFonts w:ascii="Times New Roman" w:hAnsi="Times New Roman"/>
                <w:noProof/>
              </w:rPr>
              <w:t xml:space="preserve">Establishment of requirements for acceptance by authorities of B2A information made avaliable electronically </w:t>
            </w:r>
          </w:p>
        </w:tc>
        <w:tc>
          <w:tcPr>
            <w:tcW w:w="604"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color w:val="000000"/>
              </w:rPr>
            </w:pPr>
            <w:r>
              <w:rPr>
                <w:rFonts w:ascii="Times New Roman" w:hAnsi="Times New Roman"/>
                <w:b/>
                <w:noProof/>
                <w:color w:val="000000"/>
              </w:rPr>
              <w:t>D1 / SO1</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S</w:t>
            </w:r>
            <w:r>
              <w:rPr>
                <w:rFonts w:ascii="Times New Roman" w:hAnsi="Times New Roman"/>
                <w:noProof/>
                <w:color w:val="000000"/>
              </w:rPr>
              <w:t> </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R</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R</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R</w:t>
            </w:r>
          </w:p>
        </w:tc>
      </w:tr>
      <w:tr>
        <w:trPr>
          <w:cnfStyle w:val="000000010000" w:firstRow="0" w:lastRow="0" w:firstColumn="0" w:lastColumn="0" w:oddVBand="0" w:evenVBand="0" w:oddHBand="0" w:evenHBand="1" w:firstRowFirstColumn="0" w:firstRowLastColumn="0" w:lastRowFirstColumn="0" w:lastRowLastColumn="0"/>
          <w:trHeight w:val="288"/>
        </w:trPr>
        <w:tc>
          <w:tcPr>
            <w:tcW w:w="292" w:type="pct"/>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rPr>
            </w:pPr>
            <w:r>
              <w:rPr>
                <w:rFonts w:ascii="Times New Roman" w:hAnsi="Times New Roman"/>
                <w:noProof/>
              </w:rPr>
              <w:t>8</w:t>
            </w:r>
          </w:p>
        </w:tc>
        <w:tc>
          <w:tcPr>
            <w:tcW w:w="2759" w:type="pct"/>
            <w:tcBorders>
              <w:top w:val="single" w:sz="4" w:space="0" w:color="auto"/>
              <w:left w:val="single" w:sz="4" w:space="0" w:color="auto"/>
              <w:bottom w:val="single" w:sz="4" w:space="0" w:color="auto"/>
              <w:right w:val="single" w:sz="4" w:space="0" w:color="auto"/>
            </w:tcBorders>
            <w:vAlign w:val="top"/>
          </w:tcPr>
          <w:p>
            <w:pPr>
              <w:keepNext/>
              <w:keepLines/>
              <w:spacing w:after="60"/>
              <w:rPr>
                <w:rFonts w:ascii="Times New Roman" w:hAnsi="Times New Roman"/>
                <w:noProof/>
              </w:rPr>
            </w:pPr>
            <w:r>
              <w:rPr>
                <w:rFonts w:ascii="Times New Roman" w:hAnsi="Times New Roman"/>
                <w:noProof/>
              </w:rPr>
              <w:t>Inclusion of provisions on common requirements for acceptance in relevant EU-third countries bilateral agreements</w:t>
            </w:r>
          </w:p>
        </w:tc>
        <w:tc>
          <w:tcPr>
            <w:tcW w:w="604" w:type="pct"/>
            <w:tcBorders>
              <w:top w:val="single" w:sz="4" w:space="0" w:color="auto"/>
              <w:left w:val="single" w:sz="4" w:space="0" w:color="auto"/>
              <w:bottom w:val="single" w:sz="4" w:space="0" w:color="auto"/>
              <w:right w:val="single" w:sz="4" w:space="0" w:color="auto"/>
            </w:tcBorders>
          </w:tcPr>
          <w:p>
            <w:pPr>
              <w:spacing w:after="60"/>
              <w:jc w:val="center"/>
              <w:rPr>
                <w:rFonts w:ascii="Times New Roman" w:hAnsi="Times New Roman"/>
                <w:b/>
                <w:noProof/>
              </w:rPr>
            </w:pPr>
            <w:r>
              <w:rPr>
                <w:rFonts w:ascii="Times New Roman" w:hAnsi="Times New Roman"/>
                <w:b/>
                <w:noProof/>
                <w:color w:val="000000"/>
              </w:rPr>
              <w:t>D1 / SO1</w:t>
            </w:r>
          </w:p>
        </w:tc>
        <w:tc>
          <w:tcPr>
            <w:tcW w:w="336" w:type="pct"/>
            <w:tcBorders>
              <w:top w:val="single" w:sz="4" w:space="0" w:color="auto"/>
              <w:left w:val="single" w:sz="4" w:space="0" w:color="auto"/>
              <w:bottom w:val="single" w:sz="4" w:space="0" w:color="auto"/>
              <w:right w:val="single" w:sz="4" w:space="0" w:color="auto"/>
            </w:tcBorders>
          </w:tcPr>
          <w:p>
            <w:pPr>
              <w:spacing w:after="60"/>
              <w:jc w:val="center"/>
              <w:rPr>
                <w:rFonts w:ascii="Times New Roman" w:hAnsi="Times New Roman"/>
                <w:b/>
                <w:noProof/>
              </w:rPr>
            </w:pPr>
            <w:r>
              <w:rPr>
                <w:rFonts w:ascii="Times New Roman" w:hAnsi="Times New Roman"/>
                <w:b/>
                <w:noProof/>
              </w:rPr>
              <w:t>-</w:t>
            </w:r>
          </w:p>
        </w:tc>
        <w:tc>
          <w:tcPr>
            <w:tcW w:w="336" w:type="pct"/>
            <w:tcBorders>
              <w:top w:val="single" w:sz="4" w:space="0" w:color="auto"/>
              <w:left w:val="single" w:sz="4" w:space="0" w:color="auto"/>
              <w:bottom w:val="single" w:sz="4" w:space="0" w:color="auto"/>
              <w:right w:val="single" w:sz="4" w:space="0" w:color="auto"/>
            </w:tcBorders>
          </w:tcPr>
          <w:p>
            <w:pPr>
              <w:spacing w:after="60"/>
              <w:jc w:val="center"/>
              <w:rPr>
                <w:rFonts w:ascii="Times New Roman" w:hAnsi="Times New Roman"/>
                <w:b/>
                <w:noProof/>
              </w:rPr>
            </w:pPr>
            <w:r>
              <w:rPr>
                <w:rFonts w:ascii="Times New Roman" w:hAnsi="Times New Roman"/>
                <w:b/>
                <w:noProof/>
              </w:rPr>
              <w:sym w:font="Wingdings 2" w:char="F050"/>
            </w:r>
            <w:r>
              <w:rPr>
                <w:rFonts w:ascii="Times New Roman" w:hAnsi="Times New Roman"/>
                <w:b/>
                <w:noProof/>
              </w:rPr>
              <w:t xml:space="preserve">R </w:t>
            </w:r>
          </w:p>
        </w:tc>
        <w:tc>
          <w:tcPr>
            <w:tcW w:w="336" w:type="pct"/>
            <w:tcBorders>
              <w:top w:val="single" w:sz="4" w:space="0" w:color="auto"/>
              <w:left w:val="single" w:sz="4" w:space="0" w:color="auto"/>
              <w:bottom w:val="single" w:sz="4" w:space="0" w:color="auto"/>
              <w:right w:val="single" w:sz="4" w:space="0" w:color="auto"/>
            </w:tcBorders>
          </w:tcPr>
          <w:p>
            <w:pPr>
              <w:spacing w:after="60"/>
              <w:jc w:val="center"/>
              <w:rPr>
                <w:rFonts w:ascii="Times New Roman" w:hAnsi="Times New Roman"/>
                <w:b/>
                <w:noProof/>
              </w:rPr>
            </w:pPr>
            <w:r>
              <w:rPr>
                <w:rFonts w:ascii="Times New Roman" w:hAnsi="Times New Roman"/>
                <w:b/>
                <w:noProof/>
              </w:rPr>
              <w:sym w:font="Wingdings 2" w:char="F050"/>
            </w:r>
            <w:r>
              <w:rPr>
                <w:rFonts w:ascii="Times New Roman" w:hAnsi="Times New Roman"/>
                <w:b/>
                <w:noProof/>
              </w:rPr>
              <w:t xml:space="preserve">R </w:t>
            </w:r>
          </w:p>
        </w:tc>
        <w:tc>
          <w:tcPr>
            <w:tcW w:w="336" w:type="pct"/>
            <w:tcBorders>
              <w:top w:val="single" w:sz="4" w:space="0" w:color="auto"/>
              <w:left w:val="single" w:sz="4" w:space="0" w:color="auto"/>
              <w:bottom w:val="single" w:sz="4" w:space="0" w:color="auto"/>
              <w:right w:val="single" w:sz="4" w:space="0" w:color="auto"/>
            </w:tcBorders>
          </w:tcPr>
          <w:p>
            <w:pPr>
              <w:spacing w:after="60"/>
              <w:jc w:val="center"/>
              <w:rPr>
                <w:rFonts w:ascii="Times New Roman" w:hAnsi="Times New Roman"/>
                <w:b/>
                <w:noProof/>
              </w:rPr>
            </w:pPr>
            <w:r>
              <w:rPr>
                <w:rFonts w:ascii="Times New Roman" w:hAnsi="Times New Roman"/>
                <w:b/>
                <w:noProof/>
              </w:rPr>
              <w:sym w:font="Wingdings 2" w:char="F050"/>
            </w:r>
            <w:r>
              <w:rPr>
                <w:rFonts w:ascii="Times New Roman" w:hAnsi="Times New Roman"/>
                <w:b/>
                <w:noProof/>
              </w:rPr>
              <w:t>R</w:t>
            </w:r>
          </w:p>
        </w:tc>
      </w:tr>
      <w:tr>
        <w:trPr>
          <w:cnfStyle w:val="000000100000" w:firstRow="0" w:lastRow="0" w:firstColumn="0" w:lastColumn="0" w:oddVBand="0" w:evenVBand="0" w:oddHBand="1" w:evenHBand="0" w:firstRowFirstColumn="0" w:firstRowLastColumn="0" w:lastRowFirstColumn="0" w:lastRowLastColumn="0"/>
          <w:trHeight w:val="531"/>
        </w:trPr>
        <w:tc>
          <w:tcPr>
            <w:tcW w:w="292" w:type="pct"/>
            <w:tcBorders>
              <w:top w:val="single" w:sz="4" w:space="0" w:color="auto"/>
              <w:left w:val="single" w:sz="4" w:space="0" w:color="auto"/>
              <w:bottom w:val="single" w:sz="4" w:space="0" w:color="auto"/>
              <w:right w:val="single" w:sz="4" w:space="0" w:color="auto"/>
            </w:tcBorders>
            <w:shd w:val="clear" w:color="auto" w:fill="548DD4" w:themeFill="text2" w:themeFillTint="99"/>
          </w:tcPr>
          <w:p>
            <w:pPr>
              <w:spacing w:after="60"/>
              <w:rPr>
                <w:rFonts w:ascii="Times New Roman" w:hAnsi="Times New Roman"/>
                <w:b/>
                <w:bCs/>
                <w:noProof/>
                <w:color w:val="FFFFFF" w:themeColor="background1"/>
              </w:rPr>
            </w:pPr>
          </w:p>
        </w:tc>
        <w:tc>
          <w:tcPr>
            <w:tcW w:w="2759"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top"/>
          </w:tcPr>
          <w:p>
            <w:pPr>
              <w:keepNext/>
              <w:keepLines/>
              <w:spacing w:after="60"/>
              <w:rPr>
                <w:rFonts w:ascii="Times New Roman" w:hAnsi="Times New Roman"/>
                <w:b/>
                <w:bCs/>
                <w:noProof/>
                <w:color w:val="FFFFFF" w:themeColor="background1"/>
              </w:rPr>
            </w:pPr>
            <w:r>
              <w:rPr>
                <w:rFonts w:ascii="Times New Roman" w:hAnsi="Times New Roman"/>
                <w:b/>
                <w:bCs/>
                <w:noProof/>
                <w:color w:val="FFFFFF" w:themeColor="background1"/>
              </w:rPr>
              <w:t>Alignment of administrative procedures</w:t>
            </w:r>
          </w:p>
        </w:tc>
        <w:tc>
          <w:tcPr>
            <w:tcW w:w="604"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top"/>
          </w:tcPr>
          <w:p>
            <w:pPr>
              <w:spacing w:after="60"/>
              <w:jc w:val="center"/>
              <w:rPr>
                <w:rFonts w:ascii="Times New Roman" w:hAnsi="Times New Roman"/>
                <w:b/>
                <w:bCs/>
                <w:noProof/>
                <w:color w:val="FFFFFF" w:themeColor="background1"/>
              </w:rPr>
            </w:pPr>
            <w:r>
              <w:rPr>
                <w:rFonts w:ascii="Times New Roman" w:hAnsi="Times New Roman"/>
                <w:b/>
                <w:bCs/>
                <w:noProof/>
                <w:color w:val="FFFFFF" w:themeColor="background1"/>
              </w:rPr>
              <w:t>D1 / SO2</w:t>
            </w:r>
          </w:p>
        </w:tc>
        <w:tc>
          <w:tcPr>
            <w:tcW w:w="336" w:type="pct"/>
            <w:tcBorders>
              <w:top w:val="single" w:sz="4" w:space="0" w:color="auto"/>
              <w:left w:val="single" w:sz="4" w:space="0" w:color="auto"/>
              <w:bottom w:val="single" w:sz="4" w:space="0" w:color="auto"/>
              <w:right w:val="single" w:sz="4" w:space="0" w:color="auto"/>
            </w:tcBorders>
            <w:shd w:val="clear" w:color="auto" w:fill="548DD4" w:themeFill="text2" w:themeFillTint="99"/>
          </w:tcPr>
          <w:p>
            <w:pPr>
              <w:spacing w:after="60"/>
              <w:jc w:val="center"/>
              <w:rPr>
                <w:rFonts w:ascii="Times New Roman" w:hAnsi="Times New Roman"/>
                <w:b/>
                <w:bCs/>
                <w:noProof/>
                <w:color w:val="FFFFFF" w:themeColor="background1"/>
              </w:rPr>
            </w:pPr>
          </w:p>
        </w:tc>
        <w:tc>
          <w:tcPr>
            <w:tcW w:w="336" w:type="pct"/>
            <w:tcBorders>
              <w:top w:val="single" w:sz="4" w:space="0" w:color="auto"/>
              <w:left w:val="single" w:sz="4" w:space="0" w:color="auto"/>
              <w:bottom w:val="single" w:sz="4" w:space="0" w:color="auto"/>
              <w:right w:val="single" w:sz="4" w:space="0" w:color="auto"/>
            </w:tcBorders>
            <w:shd w:val="clear" w:color="auto" w:fill="548DD4" w:themeFill="text2" w:themeFillTint="99"/>
          </w:tcPr>
          <w:p>
            <w:pPr>
              <w:spacing w:after="60"/>
              <w:jc w:val="center"/>
              <w:rPr>
                <w:rFonts w:ascii="Times New Roman" w:hAnsi="Times New Roman"/>
                <w:b/>
                <w:bCs/>
                <w:noProof/>
                <w:color w:val="FFFFFF" w:themeColor="background1"/>
              </w:rPr>
            </w:pPr>
          </w:p>
        </w:tc>
        <w:tc>
          <w:tcPr>
            <w:tcW w:w="336" w:type="pct"/>
            <w:tcBorders>
              <w:top w:val="single" w:sz="4" w:space="0" w:color="auto"/>
              <w:left w:val="single" w:sz="4" w:space="0" w:color="auto"/>
              <w:bottom w:val="single" w:sz="4" w:space="0" w:color="auto"/>
              <w:right w:val="single" w:sz="4" w:space="0" w:color="auto"/>
            </w:tcBorders>
            <w:shd w:val="clear" w:color="auto" w:fill="548DD4" w:themeFill="text2" w:themeFillTint="99"/>
          </w:tcPr>
          <w:p>
            <w:pPr>
              <w:spacing w:after="60"/>
              <w:jc w:val="center"/>
              <w:rPr>
                <w:rFonts w:ascii="Times New Roman" w:hAnsi="Times New Roman"/>
                <w:b/>
                <w:bCs/>
                <w:noProof/>
                <w:color w:val="FFFFFF" w:themeColor="background1"/>
              </w:rPr>
            </w:pPr>
          </w:p>
        </w:tc>
        <w:tc>
          <w:tcPr>
            <w:tcW w:w="336" w:type="pct"/>
            <w:tcBorders>
              <w:top w:val="single" w:sz="4" w:space="0" w:color="auto"/>
              <w:left w:val="single" w:sz="4" w:space="0" w:color="auto"/>
              <w:bottom w:val="single" w:sz="4" w:space="0" w:color="auto"/>
              <w:right w:val="single" w:sz="4" w:space="0" w:color="auto"/>
            </w:tcBorders>
            <w:shd w:val="clear" w:color="auto" w:fill="548DD4" w:themeFill="text2" w:themeFillTint="99"/>
          </w:tcPr>
          <w:p>
            <w:pPr>
              <w:spacing w:after="60"/>
              <w:jc w:val="center"/>
              <w:rPr>
                <w:rFonts w:ascii="Times New Roman" w:hAnsi="Times New Roman"/>
                <w:b/>
                <w:bCs/>
                <w:noProof/>
                <w:color w:val="FFFFFF" w:themeColor="background1"/>
              </w:rPr>
            </w:pPr>
          </w:p>
        </w:tc>
      </w:tr>
      <w:tr>
        <w:trPr>
          <w:cnfStyle w:val="000000010000" w:firstRow="0" w:lastRow="0" w:firstColumn="0" w:lastColumn="0" w:oddVBand="0" w:evenVBand="0" w:oddHBand="0" w:evenHBand="1" w:firstRowFirstColumn="0" w:firstRowLastColumn="0" w:lastRowFirstColumn="0" w:lastRowLastColumn="0"/>
          <w:trHeight w:val="288"/>
        </w:trPr>
        <w:tc>
          <w:tcPr>
            <w:tcW w:w="292" w:type="pct"/>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rPr>
            </w:pPr>
            <w:r>
              <w:rPr>
                <w:rFonts w:ascii="Times New Roman" w:hAnsi="Times New Roman"/>
                <w:noProof/>
              </w:rPr>
              <w:t>9</w:t>
            </w:r>
          </w:p>
        </w:tc>
        <w:tc>
          <w:tcPr>
            <w:tcW w:w="2759" w:type="pct"/>
            <w:tcBorders>
              <w:top w:val="single" w:sz="4" w:space="0" w:color="auto"/>
              <w:left w:val="single" w:sz="4" w:space="0" w:color="auto"/>
              <w:bottom w:val="single" w:sz="4" w:space="0" w:color="auto"/>
              <w:right w:val="single" w:sz="4" w:space="0" w:color="auto"/>
            </w:tcBorders>
            <w:vAlign w:val="top"/>
          </w:tcPr>
          <w:p>
            <w:pPr>
              <w:keepNext/>
              <w:keepLines/>
              <w:spacing w:after="60"/>
              <w:rPr>
                <w:rFonts w:ascii="Times New Roman" w:hAnsi="Times New Roman"/>
                <w:noProof/>
              </w:rPr>
            </w:pPr>
            <w:r>
              <w:rPr>
                <w:rFonts w:ascii="Times New Roman" w:hAnsi="Times New Roman"/>
                <w:noProof/>
              </w:rPr>
              <w:t xml:space="preserve">Review of administrative practices for checks by authorities of regulatory information </w:t>
            </w:r>
          </w:p>
        </w:tc>
        <w:tc>
          <w:tcPr>
            <w:tcW w:w="604" w:type="pct"/>
            <w:tcBorders>
              <w:top w:val="single" w:sz="4" w:space="0" w:color="auto"/>
              <w:left w:val="single" w:sz="4" w:space="0" w:color="auto"/>
              <w:bottom w:val="single" w:sz="4" w:space="0" w:color="auto"/>
              <w:right w:val="single" w:sz="4" w:space="0" w:color="auto"/>
            </w:tcBorders>
            <w:vAlign w:val="top"/>
          </w:tcPr>
          <w:p>
            <w:pPr>
              <w:spacing w:after="60"/>
              <w:jc w:val="center"/>
              <w:rPr>
                <w:rFonts w:ascii="Times New Roman" w:hAnsi="Times New Roman"/>
                <w:b/>
                <w:noProof/>
              </w:rPr>
            </w:pPr>
            <w:r>
              <w:rPr>
                <w:rFonts w:ascii="Times New Roman" w:hAnsi="Times New Roman"/>
                <w:b/>
                <w:bCs/>
                <w:noProof/>
              </w:rPr>
              <w:t>D1 / SO2</w:t>
            </w:r>
          </w:p>
        </w:tc>
        <w:tc>
          <w:tcPr>
            <w:tcW w:w="336" w:type="pct"/>
            <w:tcBorders>
              <w:top w:val="single" w:sz="4" w:space="0" w:color="auto"/>
              <w:left w:val="single" w:sz="4" w:space="0" w:color="auto"/>
              <w:bottom w:val="single" w:sz="4" w:space="0" w:color="auto"/>
              <w:right w:val="single" w:sz="4" w:space="0" w:color="auto"/>
            </w:tcBorders>
          </w:tcPr>
          <w:p>
            <w:pPr>
              <w:spacing w:after="60"/>
              <w:jc w:val="center"/>
              <w:rPr>
                <w:rFonts w:ascii="Times New Roman" w:hAnsi="Times New Roman"/>
                <w:b/>
                <w:noProof/>
              </w:rPr>
            </w:pPr>
            <w:r>
              <w:rPr>
                <w:rFonts w:ascii="Times New Roman" w:hAnsi="Times New Roman"/>
                <w:b/>
                <w:noProof/>
              </w:rPr>
              <w:sym w:font="Wingdings 2" w:char="F050"/>
            </w:r>
            <w:r>
              <w:rPr>
                <w:rFonts w:ascii="Times New Roman" w:hAnsi="Times New Roman"/>
                <w:b/>
                <w:noProof/>
              </w:rPr>
              <w:t xml:space="preserve"> S</w:t>
            </w:r>
          </w:p>
        </w:tc>
        <w:tc>
          <w:tcPr>
            <w:tcW w:w="336" w:type="pct"/>
            <w:tcBorders>
              <w:top w:val="single" w:sz="4" w:space="0" w:color="auto"/>
              <w:left w:val="single" w:sz="4" w:space="0" w:color="auto"/>
              <w:bottom w:val="single" w:sz="4" w:space="0" w:color="auto"/>
              <w:right w:val="single" w:sz="4" w:space="0" w:color="auto"/>
            </w:tcBorders>
          </w:tcPr>
          <w:p>
            <w:pPr>
              <w:spacing w:after="60"/>
              <w:jc w:val="center"/>
              <w:rPr>
                <w:rFonts w:ascii="Times New Roman" w:hAnsi="Times New Roman"/>
                <w:b/>
                <w:noProof/>
              </w:rPr>
            </w:pPr>
            <w:r>
              <w:rPr>
                <w:rFonts w:ascii="Times New Roman" w:hAnsi="Times New Roman"/>
                <w:b/>
                <w:noProof/>
              </w:rPr>
              <w:sym w:font="Wingdings 2" w:char="F050"/>
            </w:r>
            <w:r>
              <w:rPr>
                <w:rFonts w:ascii="Times New Roman" w:hAnsi="Times New Roman"/>
                <w:b/>
                <w:noProof/>
              </w:rPr>
              <w:t xml:space="preserve">S </w:t>
            </w:r>
          </w:p>
        </w:tc>
        <w:tc>
          <w:tcPr>
            <w:tcW w:w="336" w:type="pct"/>
            <w:tcBorders>
              <w:top w:val="single" w:sz="4" w:space="0" w:color="auto"/>
              <w:left w:val="single" w:sz="4" w:space="0" w:color="auto"/>
              <w:bottom w:val="single" w:sz="4" w:space="0" w:color="auto"/>
              <w:right w:val="single" w:sz="4" w:space="0" w:color="auto"/>
            </w:tcBorders>
          </w:tcPr>
          <w:p>
            <w:pPr>
              <w:spacing w:after="60"/>
              <w:jc w:val="center"/>
              <w:rPr>
                <w:rFonts w:ascii="Times New Roman" w:hAnsi="Times New Roman"/>
                <w:b/>
                <w:noProof/>
              </w:rPr>
            </w:pPr>
            <w:r>
              <w:rPr>
                <w:rFonts w:ascii="Times New Roman" w:hAnsi="Times New Roman"/>
                <w:b/>
                <w:noProof/>
              </w:rPr>
              <w:sym w:font="Wingdings 2" w:char="F050"/>
            </w:r>
            <w:r>
              <w:rPr>
                <w:rFonts w:ascii="Times New Roman" w:hAnsi="Times New Roman"/>
                <w:b/>
                <w:noProof/>
              </w:rPr>
              <w:t>R</w:t>
            </w:r>
          </w:p>
        </w:tc>
        <w:tc>
          <w:tcPr>
            <w:tcW w:w="336" w:type="pct"/>
            <w:tcBorders>
              <w:top w:val="single" w:sz="4" w:space="0" w:color="auto"/>
              <w:left w:val="single" w:sz="4" w:space="0" w:color="auto"/>
              <w:bottom w:val="single" w:sz="4" w:space="0" w:color="auto"/>
              <w:right w:val="single" w:sz="4" w:space="0" w:color="auto"/>
            </w:tcBorders>
          </w:tcPr>
          <w:p>
            <w:pPr>
              <w:spacing w:after="60"/>
              <w:jc w:val="center"/>
              <w:rPr>
                <w:rFonts w:ascii="Times New Roman" w:hAnsi="Times New Roman"/>
                <w:b/>
                <w:noProof/>
              </w:rPr>
            </w:pPr>
            <w:r>
              <w:rPr>
                <w:rFonts w:ascii="Times New Roman" w:hAnsi="Times New Roman"/>
                <w:b/>
                <w:noProof/>
              </w:rPr>
              <w:sym w:font="Wingdings 2" w:char="F050"/>
            </w:r>
            <w:r>
              <w:rPr>
                <w:rFonts w:ascii="Times New Roman" w:hAnsi="Times New Roman"/>
                <w:b/>
                <w:noProof/>
              </w:rPr>
              <w:t>R</w:t>
            </w:r>
          </w:p>
        </w:tc>
      </w:tr>
      <w:tr>
        <w:trPr>
          <w:cnfStyle w:val="000000100000" w:firstRow="0" w:lastRow="0" w:firstColumn="0" w:lastColumn="0" w:oddVBand="0" w:evenVBand="0" w:oddHBand="1" w:evenHBand="0" w:firstRowFirstColumn="0" w:firstRowLastColumn="0" w:lastRowFirstColumn="0" w:lastRowLastColumn="0"/>
          <w:trHeight w:val="288"/>
        </w:trPr>
        <w:tc>
          <w:tcPr>
            <w:tcW w:w="292" w:type="pct"/>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rPr>
            </w:pPr>
            <w:r>
              <w:rPr>
                <w:rFonts w:ascii="Times New Roman" w:hAnsi="Times New Roman"/>
                <w:noProof/>
              </w:rPr>
              <w:t>10</w:t>
            </w:r>
          </w:p>
        </w:tc>
        <w:tc>
          <w:tcPr>
            <w:tcW w:w="2759" w:type="pct"/>
            <w:tcBorders>
              <w:top w:val="single" w:sz="4" w:space="0" w:color="auto"/>
              <w:left w:val="single" w:sz="4" w:space="0" w:color="auto"/>
              <w:bottom w:val="single" w:sz="4" w:space="0" w:color="auto"/>
              <w:right w:val="single" w:sz="4" w:space="0" w:color="auto"/>
            </w:tcBorders>
            <w:vAlign w:val="top"/>
          </w:tcPr>
          <w:p>
            <w:pPr>
              <w:keepNext/>
              <w:keepLines/>
              <w:spacing w:after="60"/>
              <w:rPr>
                <w:rFonts w:ascii="Times New Roman" w:hAnsi="Times New Roman"/>
                <w:noProof/>
              </w:rPr>
            </w:pPr>
            <w:r>
              <w:rPr>
                <w:rFonts w:ascii="Times New Roman" w:hAnsi="Times New Roman"/>
                <w:noProof/>
              </w:rPr>
              <w:t>Adoption of aligned procedures for regulatory information checks</w:t>
            </w:r>
          </w:p>
        </w:tc>
        <w:tc>
          <w:tcPr>
            <w:tcW w:w="604" w:type="pct"/>
            <w:tcBorders>
              <w:top w:val="single" w:sz="4" w:space="0" w:color="auto"/>
              <w:left w:val="single" w:sz="4" w:space="0" w:color="auto"/>
              <w:bottom w:val="single" w:sz="4" w:space="0" w:color="auto"/>
              <w:right w:val="single" w:sz="4" w:space="0" w:color="auto"/>
            </w:tcBorders>
            <w:vAlign w:val="top"/>
          </w:tcPr>
          <w:p>
            <w:pPr>
              <w:spacing w:after="60"/>
              <w:jc w:val="center"/>
              <w:rPr>
                <w:noProof/>
              </w:rPr>
            </w:pPr>
            <w:r>
              <w:rPr>
                <w:rFonts w:ascii="Times New Roman" w:hAnsi="Times New Roman"/>
                <w:b/>
                <w:bCs/>
                <w:noProof/>
              </w:rPr>
              <w:t>D1 / SO2</w:t>
            </w:r>
          </w:p>
        </w:tc>
        <w:tc>
          <w:tcPr>
            <w:tcW w:w="336" w:type="pct"/>
            <w:tcBorders>
              <w:top w:val="single" w:sz="4" w:space="0" w:color="auto"/>
              <w:left w:val="single" w:sz="4" w:space="0" w:color="auto"/>
              <w:bottom w:val="single" w:sz="4" w:space="0" w:color="auto"/>
              <w:right w:val="single" w:sz="4" w:space="0" w:color="auto"/>
            </w:tcBorders>
          </w:tcPr>
          <w:p>
            <w:pPr>
              <w:spacing w:after="60"/>
              <w:jc w:val="center"/>
              <w:rPr>
                <w:rFonts w:ascii="Times New Roman" w:hAnsi="Times New Roman"/>
                <w:b/>
                <w:bCs/>
                <w:noProof/>
              </w:rPr>
            </w:pPr>
            <w:r>
              <w:rPr>
                <w:rFonts w:ascii="Times New Roman" w:hAnsi="Times New Roman"/>
                <w:b/>
                <w:bCs/>
                <w:noProof/>
              </w:rPr>
              <w:sym w:font="Wingdings 2" w:char="F050"/>
            </w:r>
            <w:r>
              <w:rPr>
                <w:rFonts w:ascii="Times New Roman" w:hAnsi="Times New Roman"/>
                <w:b/>
                <w:bCs/>
                <w:noProof/>
              </w:rPr>
              <w:t xml:space="preserve"> S</w:t>
            </w:r>
          </w:p>
        </w:tc>
        <w:tc>
          <w:tcPr>
            <w:tcW w:w="336" w:type="pct"/>
            <w:tcBorders>
              <w:top w:val="single" w:sz="4" w:space="0" w:color="auto"/>
              <w:left w:val="single" w:sz="4" w:space="0" w:color="auto"/>
              <w:bottom w:val="single" w:sz="4" w:space="0" w:color="auto"/>
              <w:right w:val="single" w:sz="4" w:space="0" w:color="auto"/>
            </w:tcBorders>
          </w:tcPr>
          <w:p>
            <w:pPr>
              <w:spacing w:after="60"/>
              <w:jc w:val="center"/>
              <w:rPr>
                <w:rFonts w:ascii="Times New Roman" w:hAnsi="Times New Roman"/>
                <w:b/>
                <w:bCs/>
                <w:noProof/>
              </w:rPr>
            </w:pPr>
            <w:r>
              <w:rPr>
                <w:rFonts w:ascii="Times New Roman" w:hAnsi="Times New Roman"/>
                <w:b/>
                <w:bCs/>
                <w:noProof/>
              </w:rPr>
              <w:sym w:font="Wingdings 2" w:char="F050"/>
            </w:r>
            <w:r>
              <w:rPr>
                <w:rFonts w:ascii="Times New Roman" w:hAnsi="Times New Roman"/>
                <w:b/>
                <w:bCs/>
                <w:noProof/>
              </w:rPr>
              <w:t xml:space="preserve">S </w:t>
            </w:r>
          </w:p>
        </w:tc>
        <w:tc>
          <w:tcPr>
            <w:tcW w:w="336" w:type="pct"/>
            <w:tcBorders>
              <w:top w:val="single" w:sz="4" w:space="0" w:color="auto"/>
              <w:left w:val="single" w:sz="4" w:space="0" w:color="auto"/>
              <w:bottom w:val="single" w:sz="4" w:space="0" w:color="auto"/>
              <w:right w:val="single" w:sz="4" w:space="0" w:color="auto"/>
            </w:tcBorders>
          </w:tcPr>
          <w:p>
            <w:pPr>
              <w:spacing w:after="60"/>
              <w:jc w:val="center"/>
              <w:rPr>
                <w:rFonts w:ascii="Times New Roman" w:hAnsi="Times New Roman"/>
                <w:b/>
                <w:bCs/>
                <w:noProof/>
              </w:rPr>
            </w:pPr>
            <w:r>
              <w:rPr>
                <w:rFonts w:ascii="Times New Roman" w:hAnsi="Times New Roman"/>
                <w:b/>
                <w:bCs/>
                <w:noProof/>
              </w:rPr>
              <w:sym w:font="Wingdings 2" w:char="F050"/>
            </w:r>
            <w:r>
              <w:rPr>
                <w:rFonts w:ascii="Times New Roman" w:hAnsi="Times New Roman"/>
                <w:b/>
                <w:bCs/>
                <w:noProof/>
              </w:rPr>
              <w:t xml:space="preserve">R </w:t>
            </w:r>
          </w:p>
        </w:tc>
        <w:tc>
          <w:tcPr>
            <w:tcW w:w="336" w:type="pct"/>
            <w:tcBorders>
              <w:top w:val="single" w:sz="4" w:space="0" w:color="auto"/>
              <w:left w:val="single" w:sz="4" w:space="0" w:color="auto"/>
              <w:bottom w:val="single" w:sz="4" w:space="0" w:color="auto"/>
              <w:right w:val="single" w:sz="4" w:space="0" w:color="auto"/>
            </w:tcBorders>
          </w:tcPr>
          <w:p>
            <w:pPr>
              <w:spacing w:after="60"/>
              <w:jc w:val="center"/>
              <w:rPr>
                <w:rFonts w:ascii="Times New Roman" w:hAnsi="Times New Roman"/>
                <w:b/>
                <w:bCs/>
                <w:noProof/>
              </w:rPr>
            </w:pPr>
            <w:r>
              <w:rPr>
                <w:rFonts w:ascii="Times New Roman" w:hAnsi="Times New Roman"/>
                <w:b/>
                <w:bCs/>
                <w:noProof/>
              </w:rPr>
              <w:sym w:font="Wingdings 2" w:char="F050"/>
            </w:r>
            <w:r>
              <w:rPr>
                <w:rFonts w:ascii="Times New Roman" w:hAnsi="Times New Roman"/>
                <w:b/>
                <w:bCs/>
                <w:noProof/>
              </w:rPr>
              <w:t>R</w:t>
            </w:r>
          </w:p>
        </w:tc>
      </w:tr>
      <w:tr>
        <w:trPr>
          <w:cnfStyle w:val="000000010000" w:firstRow="0" w:lastRow="0" w:firstColumn="0" w:lastColumn="0" w:oddVBand="0" w:evenVBand="0" w:oddHBand="0" w:evenHBand="1" w:firstRowFirstColumn="0" w:firstRowLastColumn="0" w:lastRowFirstColumn="0" w:lastRowLastColumn="0"/>
          <w:trHeight w:val="472"/>
          <w:tblHeader/>
        </w:trPr>
        <w:tc>
          <w:tcPr>
            <w:tcW w:w="292" w:type="pct"/>
            <w:tcBorders>
              <w:top w:val="single" w:sz="4" w:space="0" w:color="auto"/>
              <w:left w:val="single" w:sz="4" w:space="0" w:color="auto"/>
              <w:bottom w:val="single" w:sz="4" w:space="0" w:color="auto"/>
              <w:right w:val="single" w:sz="4" w:space="0" w:color="auto"/>
            </w:tcBorders>
            <w:shd w:val="clear" w:color="auto" w:fill="548DD4" w:themeFill="text2" w:themeFillTint="99"/>
          </w:tcPr>
          <w:p>
            <w:pPr>
              <w:spacing w:after="60"/>
              <w:rPr>
                <w:rFonts w:ascii="Times New Roman" w:hAnsi="Times New Roman"/>
                <w:b/>
                <w:bCs/>
                <w:noProof/>
                <w:color w:val="FFFFFF" w:themeColor="background1"/>
              </w:rPr>
            </w:pPr>
          </w:p>
        </w:tc>
        <w:tc>
          <w:tcPr>
            <w:tcW w:w="2759" w:type="pct"/>
            <w:tcBorders>
              <w:top w:val="single" w:sz="4" w:space="0" w:color="auto"/>
              <w:left w:val="single" w:sz="4" w:space="0" w:color="auto"/>
              <w:bottom w:val="single" w:sz="4" w:space="0" w:color="auto"/>
              <w:right w:val="single" w:sz="4" w:space="0" w:color="auto"/>
            </w:tcBorders>
            <w:shd w:val="clear" w:color="auto" w:fill="548DD4" w:themeFill="text2" w:themeFillTint="99"/>
          </w:tcPr>
          <w:p>
            <w:pPr>
              <w:spacing w:after="60"/>
              <w:rPr>
                <w:rFonts w:ascii="Times New Roman" w:hAnsi="Times New Roman"/>
                <w:b/>
                <w:bCs/>
                <w:noProof/>
                <w:color w:val="FFFFFF" w:themeColor="background1"/>
              </w:rPr>
            </w:pPr>
            <w:r>
              <w:rPr>
                <w:rFonts w:ascii="Times New Roman" w:hAnsi="Times New Roman"/>
                <w:b/>
                <w:bCs/>
                <w:noProof/>
                <w:color w:val="FFFFFF" w:themeColor="background1"/>
              </w:rPr>
              <w:t>Technical specifications for interoperability</w:t>
            </w:r>
          </w:p>
        </w:tc>
        <w:tc>
          <w:tcPr>
            <w:tcW w:w="604" w:type="pct"/>
            <w:tcBorders>
              <w:top w:val="single" w:sz="4" w:space="0" w:color="auto"/>
              <w:left w:val="single" w:sz="4" w:space="0" w:color="auto"/>
              <w:bottom w:val="single" w:sz="4" w:space="0" w:color="auto"/>
              <w:right w:val="single" w:sz="4" w:space="0" w:color="auto"/>
            </w:tcBorders>
            <w:shd w:val="clear" w:color="auto" w:fill="548DD4" w:themeFill="text2" w:themeFillTint="99"/>
          </w:tcPr>
          <w:p>
            <w:pPr>
              <w:spacing w:after="60"/>
              <w:jc w:val="center"/>
              <w:rPr>
                <w:rFonts w:ascii="Times New Roman" w:hAnsi="Times New Roman"/>
                <w:b/>
                <w:bCs/>
                <w:noProof/>
              </w:rPr>
            </w:pPr>
            <w:r>
              <w:rPr>
                <w:rFonts w:ascii="Times New Roman" w:hAnsi="Times New Roman"/>
                <w:b/>
                <w:bCs/>
                <w:noProof/>
              </w:rPr>
              <w:t>D2 / SO3</w:t>
            </w:r>
          </w:p>
        </w:tc>
        <w:tc>
          <w:tcPr>
            <w:tcW w:w="336" w:type="pct"/>
            <w:tcBorders>
              <w:top w:val="single" w:sz="4" w:space="0" w:color="auto"/>
              <w:left w:val="single" w:sz="4" w:space="0" w:color="auto"/>
              <w:bottom w:val="single" w:sz="4" w:space="0" w:color="auto"/>
              <w:right w:val="single" w:sz="4" w:space="0" w:color="auto"/>
            </w:tcBorders>
            <w:shd w:val="clear" w:color="auto" w:fill="548DD4" w:themeFill="text2" w:themeFillTint="99"/>
          </w:tcPr>
          <w:p>
            <w:pPr>
              <w:spacing w:after="60"/>
              <w:jc w:val="center"/>
              <w:rPr>
                <w:rFonts w:ascii="Times New Roman" w:hAnsi="Times New Roman"/>
                <w:b/>
                <w:bCs/>
                <w:noProof/>
              </w:rPr>
            </w:pPr>
          </w:p>
        </w:tc>
        <w:tc>
          <w:tcPr>
            <w:tcW w:w="336" w:type="pct"/>
            <w:tcBorders>
              <w:top w:val="single" w:sz="4" w:space="0" w:color="auto"/>
              <w:left w:val="single" w:sz="4" w:space="0" w:color="auto"/>
              <w:bottom w:val="single" w:sz="4" w:space="0" w:color="auto"/>
              <w:right w:val="single" w:sz="4" w:space="0" w:color="auto"/>
            </w:tcBorders>
            <w:shd w:val="clear" w:color="auto" w:fill="548DD4" w:themeFill="text2" w:themeFillTint="99"/>
          </w:tcPr>
          <w:p>
            <w:pPr>
              <w:spacing w:after="60"/>
              <w:jc w:val="center"/>
              <w:rPr>
                <w:rFonts w:ascii="Times New Roman" w:hAnsi="Times New Roman"/>
                <w:b/>
                <w:bCs/>
                <w:noProof/>
              </w:rPr>
            </w:pPr>
          </w:p>
        </w:tc>
        <w:tc>
          <w:tcPr>
            <w:tcW w:w="336" w:type="pct"/>
            <w:tcBorders>
              <w:top w:val="single" w:sz="4" w:space="0" w:color="auto"/>
              <w:left w:val="single" w:sz="4" w:space="0" w:color="auto"/>
              <w:bottom w:val="single" w:sz="4" w:space="0" w:color="auto"/>
              <w:right w:val="single" w:sz="4" w:space="0" w:color="auto"/>
            </w:tcBorders>
            <w:shd w:val="clear" w:color="auto" w:fill="548DD4" w:themeFill="text2" w:themeFillTint="99"/>
          </w:tcPr>
          <w:p>
            <w:pPr>
              <w:spacing w:after="60"/>
              <w:jc w:val="center"/>
              <w:rPr>
                <w:rFonts w:ascii="Times New Roman" w:hAnsi="Times New Roman"/>
                <w:b/>
                <w:bCs/>
                <w:noProof/>
              </w:rPr>
            </w:pPr>
          </w:p>
        </w:tc>
        <w:tc>
          <w:tcPr>
            <w:tcW w:w="336" w:type="pct"/>
            <w:tcBorders>
              <w:top w:val="single" w:sz="4" w:space="0" w:color="auto"/>
              <w:left w:val="single" w:sz="4" w:space="0" w:color="auto"/>
              <w:bottom w:val="single" w:sz="4" w:space="0" w:color="auto"/>
              <w:right w:val="single" w:sz="4" w:space="0" w:color="auto"/>
            </w:tcBorders>
            <w:shd w:val="clear" w:color="auto" w:fill="548DD4" w:themeFill="text2" w:themeFillTint="99"/>
          </w:tcPr>
          <w:p>
            <w:pPr>
              <w:spacing w:after="60"/>
              <w:jc w:val="center"/>
              <w:rPr>
                <w:rFonts w:ascii="Times New Roman" w:hAnsi="Times New Roman"/>
                <w:b/>
                <w:bCs/>
                <w:noProof/>
              </w:rPr>
            </w:pPr>
          </w:p>
        </w:tc>
      </w:tr>
      <w:tr>
        <w:trPr>
          <w:cnfStyle w:val="000000100000" w:firstRow="0" w:lastRow="0" w:firstColumn="0" w:lastColumn="0" w:oddVBand="0" w:evenVBand="0" w:oddHBand="1" w:evenHBand="0" w:firstRowFirstColumn="0" w:firstRowLastColumn="0" w:lastRowFirstColumn="0" w:lastRowLastColumn="0"/>
          <w:trHeight w:val="288"/>
        </w:trPr>
        <w:tc>
          <w:tcPr>
            <w:tcW w:w="292" w:type="pct"/>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rPr>
            </w:pPr>
            <w:r>
              <w:rPr>
                <w:rFonts w:ascii="Times New Roman" w:hAnsi="Times New Roman"/>
                <w:noProof/>
              </w:rPr>
              <w:t>11</w:t>
            </w:r>
          </w:p>
        </w:tc>
        <w:tc>
          <w:tcPr>
            <w:tcW w:w="2759" w:type="pct"/>
            <w:tcBorders>
              <w:top w:val="single" w:sz="4" w:space="0" w:color="auto"/>
              <w:left w:val="single" w:sz="4" w:space="0" w:color="auto"/>
              <w:bottom w:val="single" w:sz="4" w:space="0" w:color="auto"/>
              <w:right w:val="single" w:sz="4" w:space="0" w:color="auto"/>
            </w:tcBorders>
            <w:vAlign w:val="top"/>
          </w:tcPr>
          <w:p>
            <w:pPr>
              <w:keepNext/>
              <w:keepLines/>
              <w:spacing w:after="60"/>
              <w:rPr>
                <w:rFonts w:ascii="Times New Roman" w:hAnsi="Times New Roman"/>
                <w:noProof/>
              </w:rPr>
            </w:pPr>
            <w:r>
              <w:rPr>
                <w:rFonts w:ascii="Times New Roman" w:hAnsi="Times New Roman"/>
                <w:noProof/>
              </w:rPr>
              <w:t xml:space="preserve">Establishment of technical specifications for the implementation of the requirements for acceptance of B2A information/documentation made available electronically </w:t>
            </w:r>
          </w:p>
        </w:tc>
        <w:tc>
          <w:tcPr>
            <w:tcW w:w="604" w:type="pct"/>
            <w:tcBorders>
              <w:top w:val="single" w:sz="4" w:space="0" w:color="auto"/>
              <w:left w:val="single" w:sz="4" w:space="0" w:color="auto"/>
              <w:bottom w:val="single" w:sz="4" w:space="0" w:color="auto"/>
              <w:right w:val="single" w:sz="4" w:space="0" w:color="auto"/>
            </w:tcBorders>
          </w:tcPr>
          <w:p>
            <w:pPr>
              <w:spacing w:after="60"/>
              <w:jc w:val="center"/>
              <w:rPr>
                <w:rFonts w:ascii="Times New Roman" w:hAnsi="Times New Roman"/>
                <w:b/>
                <w:noProof/>
              </w:rPr>
            </w:pPr>
            <w:r>
              <w:rPr>
                <w:rFonts w:ascii="Times New Roman" w:hAnsi="Times New Roman"/>
                <w:b/>
                <w:noProof/>
              </w:rPr>
              <w:t xml:space="preserve">D2 </w:t>
            </w:r>
            <w:r>
              <w:rPr>
                <w:rFonts w:ascii="Times New Roman" w:hAnsi="Times New Roman"/>
                <w:b/>
                <w:bCs/>
                <w:noProof/>
              </w:rPr>
              <w:t>/ SO3</w:t>
            </w:r>
            <w:r>
              <w:rPr>
                <w:rFonts w:ascii="Times New Roman" w:hAnsi="Times New Roman"/>
                <w:b/>
                <w:noProof/>
              </w:rPr>
              <w:t xml:space="preserve"> </w:t>
            </w:r>
          </w:p>
        </w:tc>
        <w:tc>
          <w:tcPr>
            <w:tcW w:w="336" w:type="pct"/>
            <w:tcBorders>
              <w:top w:val="single" w:sz="4" w:space="0" w:color="auto"/>
              <w:left w:val="single" w:sz="4" w:space="0" w:color="auto"/>
              <w:bottom w:val="single" w:sz="4" w:space="0" w:color="auto"/>
              <w:right w:val="single" w:sz="4" w:space="0" w:color="auto"/>
            </w:tcBorders>
          </w:tcPr>
          <w:p>
            <w:pPr>
              <w:spacing w:after="60"/>
              <w:jc w:val="center"/>
              <w:rPr>
                <w:rFonts w:ascii="Times New Roman" w:hAnsi="Times New Roman"/>
                <w:b/>
                <w:noProof/>
              </w:rPr>
            </w:pPr>
            <w:r>
              <w:rPr>
                <w:rFonts w:ascii="Times New Roman" w:hAnsi="Times New Roman"/>
                <w:b/>
                <w:noProof/>
              </w:rPr>
              <w:sym w:font="Wingdings 2" w:char="F050"/>
            </w:r>
            <w:r>
              <w:rPr>
                <w:rFonts w:ascii="Times New Roman" w:hAnsi="Times New Roman"/>
                <w:b/>
                <w:noProof/>
              </w:rPr>
              <w:t>S </w:t>
            </w:r>
          </w:p>
        </w:tc>
        <w:tc>
          <w:tcPr>
            <w:tcW w:w="336" w:type="pct"/>
            <w:tcBorders>
              <w:top w:val="single" w:sz="4" w:space="0" w:color="auto"/>
              <w:left w:val="single" w:sz="4" w:space="0" w:color="auto"/>
              <w:bottom w:val="single" w:sz="4" w:space="0" w:color="auto"/>
              <w:right w:val="single" w:sz="4" w:space="0" w:color="auto"/>
            </w:tcBorders>
          </w:tcPr>
          <w:p>
            <w:pPr>
              <w:spacing w:after="60"/>
              <w:jc w:val="center"/>
              <w:rPr>
                <w:rFonts w:ascii="Times New Roman" w:hAnsi="Times New Roman"/>
                <w:b/>
                <w:noProof/>
              </w:rPr>
            </w:pPr>
            <w:r>
              <w:rPr>
                <w:rFonts w:ascii="Times New Roman" w:hAnsi="Times New Roman"/>
                <w:b/>
                <w:noProof/>
              </w:rPr>
              <w:sym w:font="Wingdings 2" w:char="F050"/>
            </w:r>
            <w:r>
              <w:rPr>
                <w:rFonts w:ascii="Times New Roman" w:hAnsi="Times New Roman"/>
                <w:b/>
                <w:noProof/>
              </w:rPr>
              <w:t>S</w:t>
            </w:r>
          </w:p>
        </w:tc>
        <w:tc>
          <w:tcPr>
            <w:tcW w:w="336" w:type="pct"/>
            <w:tcBorders>
              <w:top w:val="single" w:sz="4" w:space="0" w:color="auto"/>
              <w:left w:val="single" w:sz="4" w:space="0" w:color="auto"/>
              <w:bottom w:val="single" w:sz="4" w:space="0" w:color="auto"/>
              <w:right w:val="single" w:sz="4" w:space="0" w:color="auto"/>
            </w:tcBorders>
          </w:tcPr>
          <w:p>
            <w:pPr>
              <w:spacing w:after="60"/>
              <w:jc w:val="center"/>
              <w:rPr>
                <w:rFonts w:ascii="Times New Roman" w:hAnsi="Times New Roman"/>
                <w:b/>
                <w:noProof/>
              </w:rPr>
            </w:pPr>
            <w:r>
              <w:rPr>
                <w:rFonts w:ascii="Times New Roman" w:hAnsi="Times New Roman"/>
                <w:b/>
                <w:bCs/>
                <w:noProof/>
              </w:rPr>
              <w:sym w:font="Wingdings 2" w:char="F050"/>
            </w:r>
            <w:r>
              <w:rPr>
                <w:rFonts w:ascii="Times New Roman" w:hAnsi="Times New Roman"/>
                <w:b/>
                <w:noProof/>
              </w:rPr>
              <w:t>R</w:t>
            </w:r>
          </w:p>
        </w:tc>
        <w:tc>
          <w:tcPr>
            <w:tcW w:w="336" w:type="pct"/>
            <w:tcBorders>
              <w:top w:val="single" w:sz="4" w:space="0" w:color="auto"/>
              <w:left w:val="single" w:sz="4" w:space="0" w:color="auto"/>
              <w:bottom w:val="single" w:sz="4" w:space="0" w:color="auto"/>
              <w:right w:val="single" w:sz="4" w:space="0" w:color="auto"/>
            </w:tcBorders>
          </w:tcPr>
          <w:p>
            <w:pPr>
              <w:spacing w:after="60"/>
              <w:jc w:val="center"/>
              <w:rPr>
                <w:rFonts w:ascii="Times New Roman" w:hAnsi="Times New Roman"/>
                <w:b/>
                <w:noProof/>
              </w:rPr>
            </w:pPr>
            <w:r>
              <w:rPr>
                <w:rFonts w:ascii="Times New Roman" w:hAnsi="Times New Roman"/>
                <w:b/>
                <w:bCs/>
                <w:noProof/>
              </w:rPr>
              <w:sym w:font="Wingdings 2" w:char="F050"/>
            </w:r>
            <w:r>
              <w:rPr>
                <w:rFonts w:ascii="Times New Roman" w:hAnsi="Times New Roman"/>
                <w:b/>
                <w:noProof/>
              </w:rPr>
              <w:t>R</w:t>
            </w:r>
          </w:p>
        </w:tc>
      </w:tr>
      <w:tr>
        <w:trPr>
          <w:cnfStyle w:val="000000010000" w:firstRow="0" w:lastRow="0" w:firstColumn="0" w:lastColumn="0" w:oddVBand="0" w:evenVBand="0" w:oddHBand="0" w:evenHBand="1" w:firstRowFirstColumn="0" w:firstRowLastColumn="0" w:lastRowFirstColumn="0" w:lastRowLastColumn="0"/>
          <w:trHeight w:val="432"/>
        </w:trPr>
        <w:tc>
          <w:tcPr>
            <w:tcW w:w="292" w:type="pct"/>
          </w:tcPr>
          <w:p>
            <w:pPr>
              <w:spacing w:after="60"/>
              <w:rPr>
                <w:rFonts w:ascii="Times New Roman" w:hAnsi="Times New Roman"/>
                <w:noProof/>
              </w:rPr>
            </w:pPr>
            <w:r>
              <w:rPr>
                <w:rFonts w:ascii="Times New Roman" w:hAnsi="Times New Roman"/>
                <w:noProof/>
              </w:rPr>
              <w:t>12a</w:t>
            </w:r>
          </w:p>
        </w:tc>
        <w:tc>
          <w:tcPr>
            <w:tcW w:w="2759" w:type="pct"/>
            <w:tcBorders>
              <w:right w:val="single" w:sz="4" w:space="0" w:color="auto"/>
            </w:tcBorders>
          </w:tcPr>
          <w:p>
            <w:pPr>
              <w:keepNext/>
              <w:keepLines/>
              <w:spacing w:after="60"/>
              <w:rPr>
                <w:rFonts w:ascii="Times New Roman" w:hAnsi="Times New Roman"/>
                <w:noProof/>
              </w:rPr>
            </w:pPr>
            <w:r>
              <w:rPr>
                <w:rFonts w:ascii="Times New Roman" w:hAnsi="Times New Roman"/>
                <w:noProof/>
              </w:rPr>
              <w:t xml:space="preserve">Establishment of an EU transport data dictionary/ data model </w:t>
            </w:r>
          </w:p>
        </w:tc>
        <w:tc>
          <w:tcPr>
            <w:tcW w:w="604" w:type="pct"/>
            <w:tcBorders>
              <w:top w:val="single" w:sz="4" w:space="0" w:color="auto"/>
              <w:left w:val="single" w:sz="4" w:space="0" w:color="auto"/>
              <w:right w:val="single" w:sz="6" w:space="0" w:color="auto"/>
            </w:tcBorders>
          </w:tcPr>
          <w:p>
            <w:pPr>
              <w:jc w:val="center"/>
              <w:rPr>
                <w:noProof/>
              </w:rPr>
            </w:pPr>
            <w:r>
              <w:rPr>
                <w:rFonts w:ascii="Times New Roman" w:hAnsi="Times New Roman"/>
                <w:b/>
                <w:bCs/>
                <w:noProof/>
              </w:rPr>
              <w:t>D2 / SO3</w:t>
            </w:r>
          </w:p>
        </w:tc>
        <w:tc>
          <w:tcPr>
            <w:tcW w:w="336" w:type="pct"/>
            <w:tcBorders>
              <w:top w:val="single" w:sz="4" w:space="0" w:color="auto"/>
              <w:left w:val="single" w:sz="6" w:space="0" w:color="auto"/>
              <w:right w:val="single" w:sz="6" w:space="0" w:color="auto"/>
            </w:tcBorders>
          </w:tcPr>
          <w:p>
            <w:pPr>
              <w:jc w:val="center"/>
              <w:rPr>
                <w:rFonts w:ascii="Times New Roman" w:hAnsi="Times New Roman"/>
                <w:b/>
                <w:bCs/>
                <w:noProof/>
              </w:rPr>
            </w:pPr>
            <w:r>
              <w:rPr>
                <w:rFonts w:ascii="Times New Roman" w:hAnsi="Times New Roman"/>
                <w:b/>
                <w:bCs/>
                <w:noProof/>
              </w:rPr>
              <w:sym w:font="Wingdings 2" w:char="F050"/>
            </w:r>
            <w:r>
              <w:rPr>
                <w:rFonts w:ascii="Times New Roman" w:hAnsi="Times New Roman"/>
                <w:b/>
                <w:bCs/>
                <w:noProof/>
              </w:rPr>
              <w:t>S</w:t>
            </w:r>
            <w:r>
              <w:rPr>
                <w:rFonts w:ascii="Times New Roman" w:hAnsi="Times New Roman"/>
                <w:noProof/>
              </w:rPr>
              <w:t> </w:t>
            </w:r>
          </w:p>
        </w:tc>
        <w:tc>
          <w:tcPr>
            <w:tcW w:w="336" w:type="pct"/>
            <w:tcBorders>
              <w:top w:val="single" w:sz="4" w:space="0" w:color="auto"/>
              <w:left w:val="single" w:sz="6" w:space="0" w:color="auto"/>
              <w:right w:val="single" w:sz="4" w:space="0" w:color="auto"/>
            </w:tcBorders>
          </w:tcPr>
          <w:p>
            <w:pPr>
              <w:jc w:val="center"/>
              <w:rPr>
                <w:rFonts w:ascii="Times New Roman" w:hAnsi="Times New Roman"/>
                <w:b/>
                <w:bCs/>
                <w:noProof/>
              </w:rPr>
            </w:pPr>
            <w:r>
              <w:rPr>
                <w:rFonts w:ascii="Times New Roman" w:hAnsi="Times New Roman"/>
                <w:b/>
                <w:bCs/>
                <w:noProof/>
              </w:rPr>
              <w:sym w:font="Wingdings 2" w:char="F050"/>
            </w:r>
            <w:r>
              <w:rPr>
                <w:rFonts w:ascii="Times New Roman" w:hAnsi="Times New Roman"/>
                <w:b/>
                <w:bCs/>
                <w:noProof/>
              </w:rPr>
              <w:t>S</w:t>
            </w:r>
            <w:r>
              <w:rPr>
                <w:rFonts w:ascii="Times New Roman" w:hAnsi="Times New Roman"/>
                <w:noProof/>
              </w:rPr>
              <w:t> </w:t>
            </w:r>
          </w:p>
        </w:tc>
        <w:tc>
          <w:tcPr>
            <w:tcW w:w="336" w:type="pct"/>
            <w:tcBorders>
              <w:top w:val="single" w:sz="4" w:space="0" w:color="auto"/>
              <w:left w:val="single" w:sz="4" w:space="0" w:color="auto"/>
            </w:tcBorders>
          </w:tcPr>
          <w:p>
            <w:pPr>
              <w:jc w:val="center"/>
              <w:rPr>
                <w:rFonts w:ascii="Times New Roman" w:hAnsi="Times New Roman"/>
                <w:b/>
                <w:bCs/>
                <w:noProof/>
              </w:rPr>
            </w:pPr>
            <w:r>
              <w:rPr>
                <w:rFonts w:ascii="Times New Roman" w:hAnsi="Times New Roman"/>
                <w:b/>
                <w:bCs/>
                <w:noProof/>
              </w:rPr>
              <w:sym w:font="Wingdings 2" w:char="F050"/>
            </w:r>
            <w:r>
              <w:rPr>
                <w:rFonts w:ascii="Times New Roman" w:hAnsi="Times New Roman"/>
                <w:b/>
                <w:bCs/>
                <w:noProof/>
              </w:rPr>
              <w:t>R</w:t>
            </w:r>
          </w:p>
        </w:tc>
        <w:tc>
          <w:tcPr>
            <w:tcW w:w="336" w:type="pct"/>
            <w:tcBorders>
              <w:top w:val="single" w:sz="4" w:space="0" w:color="auto"/>
            </w:tcBorders>
          </w:tcPr>
          <w:p>
            <w:pPr>
              <w:jc w:val="center"/>
              <w:rPr>
                <w:rFonts w:ascii="Times New Roman" w:hAnsi="Times New Roman"/>
                <w:b/>
                <w:bCs/>
                <w:noProof/>
              </w:rPr>
            </w:pPr>
            <w:r>
              <w:rPr>
                <w:rFonts w:ascii="Times New Roman" w:hAnsi="Times New Roman"/>
                <w:b/>
                <w:bCs/>
                <w:noProof/>
              </w:rPr>
              <w:sym w:font="Wingdings 2" w:char="F050"/>
            </w:r>
            <w:r>
              <w:rPr>
                <w:rFonts w:ascii="Times New Roman" w:hAnsi="Times New Roman"/>
                <w:b/>
                <w:bCs/>
                <w:noProof/>
              </w:rPr>
              <w:t>R</w:t>
            </w:r>
          </w:p>
        </w:tc>
      </w:tr>
      <w:tr>
        <w:trPr>
          <w:cnfStyle w:val="000000100000" w:firstRow="0" w:lastRow="0" w:firstColumn="0" w:lastColumn="0" w:oddVBand="0" w:evenVBand="0" w:oddHBand="1" w:evenHBand="0" w:firstRowFirstColumn="0" w:firstRowLastColumn="0" w:lastRowFirstColumn="0" w:lastRowLastColumn="0"/>
          <w:trHeight w:val="346"/>
        </w:trPr>
        <w:tc>
          <w:tcPr>
            <w:tcW w:w="292" w:type="pct"/>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rPr>
            </w:pPr>
            <w:r>
              <w:rPr>
                <w:rFonts w:ascii="Times New Roman" w:hAnsi="Times New Roman"/>
                <w:noProof/>
              </w:rPr>
              <w:t>12b</w:t>
            </w:r>
          </w:p>
        </w:tc>
        <w:tc>
          <w:tcPr>
            <w:tcW w:w="2759" w:type="pct"/>
            <w:tcBorders>
              <w:top w:val="single" w:sz="4" w:space="0" w:color="auto"/>
              <w:left w:val="single" w:sz="4" w:space="0" w:color="auto"/>
              <w:bottom w:val="single" w:sz="4" w:space="0" w:color="auto"/>
              <w:right w:val="single" w:sz="4" w:space="0" w:color="auto"/>
            </w:tcBorders>
            <w:vAlign w:val="top"/>
          </w:tcPr>
          <w:p>
            <w:pPr>
              <w:keepNext/>
              <w:keepLines/>
              <w:spacing w:after="60"/>
              <w:rPr>
                <w:rFonts w:ascii="Times New Roman" w:hAnsi="Times New Roman"/>
                <w:noProof/>
              </w:rPr>
            </w:pPr>
            <w:r>
              <w:rPr>
                <w:rFonts w:ascii="Times New Roman" w:hAnsi="Times New Roman"/>
                <w:noProof/>
              </w:rPr>
              <w:t xml:space="preserve">Mode-specific technical specifications </w:t>
            </w:r>
          </w:p>
        </w:tc>
        <w:tc>
          <w:tcPr>
            <w:tcW w:w="604"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noProof/>
              </w:rPr>
            </w:pPr>
            <w:r>
              <w:rPr>
                <w:rFonts w:ascii="Times New Roman" w:hAnsi="Times New Roman"/>
                <w:b/>
                <w:noProof/>
              </w:rPr>
              <w:t xml:space="preserve">D2 </w:t>
            </w:r>
            <w:r>
              <w:rPr>
                <w:rFonts w:ascii="Times New Roman" w:hAnsi="Times New Roman"/>
                <w:b/>
                <w:bCs/>
                <w:noProof/>
              </w:rPr>
              <w:t>/ SO3</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rPr>
            </w:pPr>
            <w:r>
              <w:rPr>
                <w:rFonts w:ascii="Times New Roman" w:hAnsi="Times New Roman"/>
                <w:b/>
                <w:bCs/>
                <w:noProof/>
              </w:rPr>
              <w:sym w:font="Wingdings 2" w:char="F050"/>
            </w:r>
            <w:r>
              <w:rPr>
                <w:rFonts w:ascii="Times New Roman" w:hAnsi="Times New Roman"/>
                <w:b/>
                <w:bCs/>
                <w:noProof/>
              </w:rPr>
              <w:t>S</w:t>
            </w:r>
            <w:r>
              <w:rPr>
                <w:rFonts w:ascii="Times New Roman" w:hAnsi="Times New Roman"/>
                <w:noProof/>
              </w:rPr>
              <w:t> </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rPr>
            </w:pPr>
            <w:r>
              <w:rPr>
                <w:rFonts w:ascii="Times New Roman" w:hAnsi="Times New Roman"/>
                <w:b/>
                <w:bCs/>
                <w:noProof/>
              </w:rPr>
              <w:sym w:font="Wingdings 2" w:char="F050"/>
            </w:r>
            <w:r>
              <w:rPr>
                <w:rFonts w:ascii="Times New Roman" w:hAnsi="Times New Roman"/>
                <w:b/>
                <w:bCs/>
                <w:noProof/>
              </w:rPr>
              <w:t>S</w:t>
            </w:r>
            <w:r>
              <w:rPr>
                <w:rFonts w:ascii="Times New Roman" w:hAnsi="Times New Roman"/>
                <w:noProof/>
              </w:rPr>
              <w:t> </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rPr>
            </w:pPr>
            <w:r>
              <w:rPr>
                <w:rFonts w:ascii="Times New Roman" w:hAnsi="Times New Roman"/>
                <w:b/>
                <w:bCs/>
                <w:noProof/>
              </w:rPr>
              <w:sym w:font="Wingdings 2" w:char="F050"/>
            </w:r>
            <w:r>
              <w:rPr>
                <w:rFonts w:ascii="Times New Roman" w:hAnsi="Times New Roman"/>
                <w:b/>
                <w:bCs/>
                <w:noProof/>
              </w:rPr>
              <w:t xml:space="preserve">R </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rPr>
            </w:pPr>
            <w:r>
              <w:rPr>
                <w:rFonts w:ascii="Times New Roman" w:hAnsi="Times New Roman"/>
                <w:b/>
                <w:bCs/>
                <w:noProof/>
              </w:rPr>
              <w:t>-</w:t>
            </w:r>
          </w:p>
        </w:tc>
      </w:tr>
      <w:tr>
        <w:trPr>
          <w:cnfStyle w:val="000000010000" w:firstRow="0" w:lastRow="0" w:firstColumn="0" w:lastColumn="0" w:oddVBand="0" w:evenVBand="0" w:oddHBand="0" w:evenHBand="1" w:firstRowFirstColumn="0" w:firstRowLastColumn="0" w:lastRowFirstColumn="0" w:lastRowLastColumn="0"/>
          <w:trHeight w:val="335"/>
        </w:trPr>
        <w:tc>
          <w:tcPr>
            <w:tcW w:w="292" w:type="pct"/>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rPr>
            </w:pPr>
            <w:r>
              <w:rPr>
                <w:rFonts w:ascii="Times New Roman" w:hAnsi="Times New Roman"/>
                <w:noProof/>
              </w:rPr>
              <w:t>12c</w:t>
            </w:r>
          </w:p>
        </w:tc>
        <w:tc>
          <w:tcPr>
            <w:tcW w:w="2759" w:type="pct"/>
            <w:tcBorders>
              <w:top w:val="single" w:sz="4" w:space="0" w:color="auto"/>
              <w:left w:val="single" w:sz="4" w:space="0" w:color="auto"/>
              <w:bottom w:val="single" w:sz="4" w:space="0" w:color="auto"/>
              <w:right w:val="single" w:sz="4" w:space="0" w:color="auto"/>
            </w:tcBorders>
            <w:vAlign w:val="top"/>
          </w:tcPr>
          <w:p>
            <w:pPr>
              <w:keepNext/>
              <w:keepLines/>
              <w:spacing w:after="60"/>
              <w:rPr>
                <w:rFonts w:ascii="Times New Roman" w:hAnsi="Times New Roman"/>
                <w:noProof/>
              </w:rPr>
            </w:pPr>
            <w:r>
              <w:rPr>
                <w:rFonts w:ascii="Times New Roman" w:hAnsi="Times New Roman"/>
                <w:noProof/>
              </w:rPr>
              <w:t>Technical specifications common to all transport modes</w:t>
            </w:r>
          </w:p>
        </w:tc>
        <w:tc>
          <w:tcPr>
            <w:tcW w:w="604" w:type="pct"/>
          </w:tcPr>
          <w:p>
            <w:pPr>
              <w:jc w:val="center"/>
              <w:rPr>
                <w:rFonts w:ascii="Times New Roman" w:hAnsi="Times New Roman"/>
                <w:b/>
                <w:noProof/>
              </w:rPr>
            </w:pPr>
            <w:r>
              <w:rPr>
                <w:rFonts w:ascii="Times New Roman" w:hAnsi="Times New Roman"/>
                <w:b/>
                <w:noProof/>
              </w:rPr>
              <w:t xml:space="preserve">D2 </w:t>
            </w:r>
            <w:r>
              <w:rPr>
                <w:rFonts w:ascii="Times New Roman" w:hAnsi="Times New Roman"/>
                <w:b/>
                <w:bCs/>
                <w:noProof/>
              </w:rPr>
              <w:t>/ SO3</w:t>
            </w:r>
          </w:p>
        </w:tc>
        <w:tc>
          <w:tcPr>
            <w:tcW w:w="336" w:type="pct"/>
          </w:tcPr>
          <w:p>
            <w:pPr>
              <w:jc w:val="center"/>
              <w:rPr>
                <w:rFonts w:ascii="Times New Roman" w:hAnsi="Times New Roman"/>
                <w:b/>
                <w:noProof/>
              </w:rPr>
            </w:pPr>
            <w:r>
              <w:rPr>
                <w:rFonts w:ascii="Times New Roman" w:hAnsi="Times New Roman"/>
                <w:b/>
                <w:bCs/>
                <w:noProof/>
              </w:rPr>
              <w:sym w:font="Wingdings 2" w:char="F050"/>
            </w:r>
            <w:r>
              <w:rPr>
                <w:rFonts w:ascii="Times New Roman" w:hAnsi="Times New Roman"/>
                <w:b/>
                <w:bCs/>
                <w:noProof/>
              </w:rPr>
              <w:t>S</w:t>
            </w:r>
            <w:r>
              <w:rPr>
                <w:rFonts w:ascii="Times New Roman" w:hAnsi="Times New Roman"/>
                <w:noProof/>
              </w:rPr>
              <w:t> </w:t>
            </w:r>
          </w:p>
        </w:tc>
        <w:tc>
          <w:tcPr>
            <w:tcW w:w="336" w:type="pct"/>
          </w:tcPr>
          <w:p>
            <w:pPr>
              <w:jc w:val="center"/>
              <w:rPr>
                <w:rFonts w:ascii="Times New Roman" w:hAnsi="Times New Roman"/>
                <w:b/>
                <w:noProof/>
              </w:rPr>
            </w:pPr>
            <w:r>
              <w:rPr>
                <w:rFonts w:ascii="Times New Roman" w:hAnsi="Times New Roman"/>
                <w:b/>
                <w:bCs/>
                <w:noProof/>
              </w:rPr>
              <w:sym w:font="Wingdings 2" w:char="F050"/>
            </w:r>
            <w:r>
              <w:rPr>
                <w:rFonts w:ascii="Times New Roman" w:hAnsi="Times New Roman"/>
                <w:b/>
                <w:bCs/>
                <w:noProof/>
              </w:rPr>
              <w:t>S</w:t>
            </w:r>
            <w:r>
              <w:rPr>
                <w:rFonts w:ascii="Times New Roman" w:hAnsi="Times New Roman"/>
                <w:noProof/>
              </w:rPr>
              <w:t> </w:t>
            </w:r>
          </w:p>
        </w:tc>
        <w:tc>
          <w:tcPr>
            <w:tcW w:w="336" w:type="pct"/>
          </w:tcPr>
          <w:p>
            <w:pPr>
              <w:jc w:val="center"/>
              <w:rPr>
                <w:rFonts w:ascii="Times New Roman" w:hAnsi="Times New Roman"/>
                <w:b/>
                <w:bCs/>
                <w:noProof/>
              </w:rPr>
            </w:pPr>
            <w:r>
              <w:rPr>
                <w:rFonts w:ascii="Times New Roman" w:hAnsi="Times New Roman"/>
                <w:b/>
                <w:bCs/>
                <w:noProof/>
              </w:rPr>
              <w:t xml:space="preserve">- </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rPr>
            </w:pPr>
            <w:r>
              <w:rPr>
                <w:rFonts w:ascii="Times New Roman" w:hAnsi="Times New Roman"/>
                <w:b/>
                <w:bCs/>
                <w:noProof/>
              </w:rPr>
              <w:sym w:font="Wingdings 2" w:char="F050"/>
            </w:r>
            <w:r>
              <w:rPr>
                <w:rFonts w:ascii="Times New Roman" w:hAnsi="Times New Roman"/>
                <w:b/>
                <w:bCs/>
                <w:noProof/>
              </w:rPr>
              <w:t>R</w:t>
            </w:r>
          </w:p>
        </w:tc>
      </w:tr>
      <w:tr>
        <w:trPr>
          <w:cnfStyle w:val="000000100000" w:firstRow="0" w:lastRow="0" w:firstColumn="0" w:lastColumn="0" w:oddVBand="0" w:evenVBand="0" w:oddHBand="1" w:evenHBand="0" w:firstRowFirstColumn="0" w:firstRowLastColumn="0" w:lastRowFirstColumn="0" w:lastRowLastColumn="0"/>
          <w:trHeight w:val="288"/>
        </w:trPr>
        <w:tc>
          <w:tcPr>
            <w:tcW w:w="292" w:type="pct"/>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rPr>
            </w:pPr>
            <w:r>
              <w:rPr>
                <w:rFonts w:ascii="Times New Roman" w:hAnsi="Times New Roman"/>
                <w:noProof/>
              </w:rPr>
              <w:t>13</w:t>
            </w:r>
          </w:p>
        </w:tc>
        <w:tc>
          <w:tcPr>
            <w:tcW w:w="2759" w:type="pct"/>
            <w:tcBorders>
              <w:top w:val="single" w:sz="4" w:space="0" w:color="auto"/>
              <w:left w:val="single" w:sz="4" w:space="0" w:color="auto"/>
              <w:bottom w:val="single" w:sz="4" w:space="0" w:color="auto"/>
              <w:right w:val="single" w:sz="4" w:space="0" w:color="auto"/>
            </w:tcBorders>
            <w:vAlign w:val="top"/>
          </w:tcPr>
          <w:p>
            <w:pPr>
              <w:keepNext/>
              <w:keepLines/>
              <w:spacing w:after="60"/>
              <w:rPr>
                <w:rFonts w:ascii="Times New Roman" w:hAnsi="Times New Roman"/>
                <w:noProof/>
              </w:rPr>
            </w:pPr>
            <w:r>
              <w:rPr>
                <w:rFonts w:ascii="Times New Roman" w:hAnsi="Times New Roman"/>
                <w:noProof/>
              </w:rPr>
              <w:t>Establishment of technical specifications for implementation of B2A electronic documentation requirements for validity/acceptance</w:t>
            </w:r>
          </w:p>
        </w:tc>
        <w:tc>
          <w:tcPr>
            <w:tcW w:w="604"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rPr>
            </w:pPr>
            <w:r>
              <w:rPr>
                <w:rFonts w:ascii="Times New Roman" w:hAnsi="Times New Roman"/>
                <w:b/>
                <w:bCs/>
                <w:noProof/>
              </w:rPr>
              <w:t xml:space="preserve">D2 / SO3 </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rPr>
            </w:pPr>
            <w:r>
              <w:rPr>
                <w:rFonts w:ascii="Times New Roman" w:hAnsi="Times New Roman"/>
                <w:b/>
                <w:bCs/>
                <w:noProof/>
              </w:rPr>
              <w:sym w:font="Wingdings 2" w:char="F050"/>
            </w:r>
            <w:r>
              <w:rPr>
                <w:rFonts w:ascii="Times New Roman" w:hAnsi="Times New Roman"/>
                <w:b/>
                <w:bCs/>
                <w:noProof/>
              </w:rPr>
              <w:t>S</w:t>
            </w:r>
            <w:r>
              <w:rPr>
                <w:rFonts w:ascii="Times New Roman" w:hAnsi="Times New Roman"/>
                <w:noProof/>
              </w:rPr>
              <w:t> </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rPr>
            </w:pPr>
            <w:r>
              <w:rPr>
                <w:rFonts w:ascii="Times New Roman" w:hAnsi="Times New Roman"/>
                <w:b/>
                <w:bCs/>
                <w:noProof/>
              </w:rPr>
              <w:sym w:font="Wingdings 2" w:char="F050"/>
            </w:r>
            <w:r>
              <w:rPr>
                <w:rFonts w:ascii="Times New Roman" w:hAnsi="Times New Roman"/>
                <w:b/>
                <w:bCs/>
                <w:noProof/>
              </w:rPr>
              <w:t>S</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rPr>
            </w:pPr>
            <w:r>
              <w:rPr>
                <w:rFonts w:ascii="Times New Roman" w:hAnsi="Times New Roman"/>
                <w:b/>
                <w:bCs/>
                <w:noProof/>
              </w:rPr>
              <w:sym w:font="Wingdings 2" w:char="F050"/>
            </w:r>
            <w:r>
              <w:rPr>
                <w:rFonts w:ascii="Times New Roman" w:hAnsi="Times New Roman"/>
                <w:b/>
                <w:bCs/>
                <w:noProof/>
              </w:rPr>
              <w:t>R</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rPr>
            </w:pPr>
            <w:r>
              <w:rPr>
                <w:rFonts w:ascii="Times New Roman" w:hAnsi="Times New Roman"/>
                <w:b/>
                <w:bCs/>
                <w:noProof/>
              </w:rPr>
              <w:sym w:font="Wingdings 2" w:char="F050"/>
            </w:r>
            <w:r>
              <w:rPr>
                <w:rFonts w:ascii="Times New Roman" w:hAnsi="Times New Roman"/>
                <w:b/>
                <w:bCs/>
                <w:noProof/>
              </w:rPr>
              <w:t>R</w:t>
            </w:r>
          </w:p>
        </w:tc>
      </w:tr>
      <w:tr>
        <w:trPr>
          <w:cnfStyle w:val="000000010000" w:firstRow="0" w:lastRow="0" w:firstColumn="0" w:lastColumn="0" w:oddVBand="0" w:evenVBand="0" w:oddHBand="0" w:evenHBand="1" w:firstRowFirstColumn="0" w:firstRowLastColumn="0" w:lastRowFirstColumn="0" w:lastRowLastColumn="0"/>
          <w:trHeight w:val="288"/>
        </w:trPr>
        <w:tc>
          <w:tcPr>
            <w:tcW w:w="292" w:type="pct"/>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rPr>
            </w:pPr>
            <w:r>
              <w:rPr>
                <w:rFonts w:ascii="Times New Roman" w:hAnsi="Times New Roman"/>
                <w:noProof/>
              </w:rPr>
              <w:t>14</w:t>
            </w:r>
          </w:p>
        </w:tc>
        <w:tc>
          <w:tcPr>
            <w:tcW w:w="2759" w:type="pct"/>
            <w:tcBorders>
              <w:top w:val="single" w:sz="4" w:space="0" w:color="auto"/>
              <w:left w:val="single" w:sz="4" w:space="0" w:color="auto"/>
              <w:bottom w:val="single" w:sz="4" w:space="0" w:color="auto"/>
              <w:right w:val="single" w:sz="4" w:space="0" w:color="auto"/>
            </w:tcBorders>
            <w:vAlign w:val="top"/>
          </w:tcPr>
          <w:p>
            <w:pPr>
              <w:keepNext/>
              <w:keepLines/>
              <w:spacing w:after="60"/>
              <w:rPr>
                <w:rFonts w:ascii="Times New Roman" w:hAnsi="Times New Roman"/>
                <w:noProof/>
              </w:rPr>
            </w:pPr>
            <w:r>
              <w:rPr>
                <w:rFonts w:ascii="Times New Roman" w:hAnsi="Times New Roman"/>
                <w:noProof/>
              </w:rPr>
              <w:t>Certification of IT solutions for B2A information communication</w:t>
            </w:r>
          </w:p>
        </w:tc>
        <w:tc>
          <w:tcPr>
            <w:tcW w:w="604"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rPr>
            </w:pPr>
            <w:r>
              <w:rPr>
                <w:rFonts w:ascii="Times New Roman" w:hAnsi="Times New Roman"/>
                <w:b/>
                <w:bCs/>
                <w:noProof/>
              </w:rPr>
              <w:t>D2 / SO3</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rPr>
            </w:pPr>
            <w:r>
              <w:rPr>
                <w:rFonts w:ascii="Times New Roman" w:hAnsi="Times New Roman"/>
                <w:b/>
                <w:bCs/>
                <w:noProof/>
              </w:rPr>
              <w:sym w:font="Wingdings 2" w:char="F050"/>
            </w:r>
            <w:r>
              <w:rPr>
                <w:rFonts w:ascii="Times New Roman" w:hAnsi="Times New Roman"/>
                <w:b/>
                <w:bCs/>
                <w:noProof/>
              </w:rPr>
              <w:t xml:space="preserve">S </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rPr>
            </w:pPr>
            <w:r>
              <w:rPr>
                <w:rFonts w:ascii="Times New Roman" w:hAnsi="Times New Roman"/>
                <w:b/>
                <w:bCs/>
                <w:noProof/>
              </w:rPr>
              <w:sym w:font="Wingdings 2" w:char="F050"/>
            </w:r>
            <w:r>
              <w:rPr>
                <w:rFonts w:ascii="Times New Roman" w:hAnsi="Times New Roman"/>
                <w:b/>
                <w:bCs/>
                <w:noProof/>
              </w:rPr>
              <w:t xml:space="preserve">S </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rPr>
            </w:pPr>
            <w:r>
              <w:rPr>
                <w:rFonts w:ascii="Times New Roman" w:hAnsi="Times New Roman"/>
                <w:b/>
                <w:bCs/>
                <w:noProof/>
              </w:rPr>
              <w:sym w:font="Wingdings 2" w:char="F050"/>
            </w:r>
            <w:r>
              <w:rPr>
                <w:rFonts w:ascii="Times New Roman" w:hAnsi="Times New Roman"/>
                <w:b/>
                <w:bCs/>
                <w:noProof/>
              </w:rPr>
              <w:t>R</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rPr>
            </w:pPr>
            <w:r>
              <w:rPr>
                <w:rFonts w:ascii="Times New Roman" w:hAnsi="Times New Roman"/>
                <w:b/>
                <w:bCs/>
                <w:noProof/>
              </w:rPr>
              <w:sym w:font="Wingdings 2" w:char="F050"/>
            </w:r>
            <w:r>
              <w:rPr>
                <w:rFonts w:ascii="Times New Roman" w:hAnsi="Times New Roman"/>
                <w:b/>
                <w:bCs/>
                <w:noProof/>
              </w:rPr>
              <w:t>R</w:t>
            </w:r>
          </w:p>
        </w:tc>
      </w:tr>
      <w:tr>
        <w:trPr>
          <w:cnfStyle w:val="000000100000" w:firstRow="0" w:lastRow="0" w:firstColumn="0" w:lastColumn="0" w:oddVBand="0" w:evenVBand="0" w:oddHBand="1" w:evenHBand="0" w:firstRowFirstColumn="0" w:firstRowLastColumn="0" w:lastRowFirstColumn="0" w:lastRowLastColumn="0"/>
          <w:trHeight w:val="288"/>
        </w:trPr>
        <w:tc>
          <w:tcPr>
            <w:tcW w:w="292" w:type="pct"/>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rPr>
            </w:pPr>
            <w:r>
              <w:rPr>
                <w:rFonts w:ascii="Times New Roman" w:hAnsi="Times New Roman"/>
                <w:noProof/>
              </w:rPr>
              <w:t>15</w:t>
            </w:r>
          </w:p>
        </w:tc>
        <w:tc>
          <w:tcPr>
            <w:tcW w:w="2759" w:type="pct"/>
            <w:tcBorders>
              <w:top w:val="single" w:sz="4" w:space="0" w:color="auto"/>
              <w:left w:val="single" w:sz="4" w:space="0" w:color="auto"/>
              <w:bottom w:val="single" w:sz="4" w:space="0" w:color="auto"/>
              <w:right w:val="single" w:sz="4" w:space="0" w:color="auto"/>
            </w:tcBorders>
            <w:vAlign w:val="top"/>
          </w:tcPr>
          <w:p>
            <w:pPr>
              <w:keepNext/>
              <w:keepLines/>
              <w:spacing w:after="60"/>
              <w:rPr>
                <w:rFonts w:ascii="Times New Roman" w:hAnsi="Times New Roman"/>
                <w:noProof/>
              </w:rPr>
            </w:pPr>
            <w:r>
              <w:rPr>
                <w:rFonts w:ascii="Times New Roman" w:hAnsi="Times New Roman"/>
                <w:noProof/>
              </w:rPr>
              <w:t>Inclusion of provisions on common technical specifications in relevant EU-third countries bilateral agreements</w:t>
            </w:r>
          </w:p>
        </w:tc>
        <w:tc>
          <w:tcPr>
            <w:tcW w:w="604"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rPr>
            </w:pPr>
            <w:r>
              <w:rPr>
                <w:rFonts w:ascii="Times New Roman" w:hAnsi="Times New Roman"/>
                <w:b/>
                <w:noProof/>
              </w:rPr>
              <w:t xml:space="preserve">D2 </w:t>
            </w:r>
            <w:r>
              <w:rPr>
                <w:rFonts w:ascii="Times New Roman" w:hAnsi="Times New Roman"/>
                <w:b/>
                <w:bCs/>
                <w:noProof/>
              </w:rPr>
              <w:t>/ SO3</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rPr>
            </w:pPr>
            <w:r>
              <w:rPr>
                <w:rFonts w:ascii="Times New Roman" w:hAnsi="Times New Roman"/>
                <w:b/>
                <w:bCs/>
                <w:noProof/>
              </w:rPr>
              <w:t>-</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rPr>
            </w:pPr>
            <w:r>
              <w:rPr>
                <w:rFonts w:ascii="Times New Roman" w:hAnsi="Times New Roman"/>
                <w:b/>
                <w:bCs/>
                <w:noProof/>
              </w:rPr>
              <w:t>-</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rPr>
            </w:pPr>
            <w:r>
              <w:rPr>
                <w:rFonts w:ascii="Times New Roman" w:hAnsi="Times New Roman"/>
                <w:b/>
                <w:bCs/>
                <w:noProof/>
              </w:rPr>
              <w:sym w:font="Wingdings 2" w:char="F050"/>
            </w:r>
            <w:r>
              <w:rPr>
                <w:rFonts w:ascii="Times New Roman" w:hAnsi="Times New Roman"/>
                <w:b/>
                <w:bCs/>
                <w:noProof/>
              </w:rPr>
              <w:t xml:space="preserve">R </w:t>
            </w:r>
          </w:p>
        </w:tc>
        <w:tc>
          <w:tcPr>
            <w:tcW w:w="336" w:type="pct"/>
            <w:tcBorders>
              <w:top w:val="single" w:sz="4" w:space="0" w:color="auto"/>
              <w:left w:val="single" w:sz="4" w:space="0" w:color="auto"/>
              <w:bottom w:val="single" w:sz="4" w:space="0" w:color="auto"/>
              <w:right w:val="single" w:sz="4" w:space="0" w:color="auto"/>
            </w:tcBorders>
          </w:tcPr>
          <w:p>
            <w:pPr>
              <w:jc w:val="center"/>
              <w:rPr>
                <w:rFonts w:ascii="Times New Roman" w:hAnsi="Times New Roman"/>
                <w:b/>
                <w:bCs/>
                <w:noProof/>
              </w:rPr>
            </w:pPr>
            <w:r>
              <w:rPr>
                <w:rFonts w:ascii="Times New Roman" w:hAnsi="Times New Roman"/>
                <w:b/>
                <w:bCs/>
                <w:noProof/>
              </w:rPr>
              <w:sym w:font="Wingdings 2" w:char="F050"/>
            </w:r>
            <w:r>
              <w:rPr>
                <w:rFonts w:ascii="Times New Roman" w:hAnsi="Times New Roman"/>
                <w:b/>
                <w:bCs/>
                <w:noProof/>
              </w:rPr>
              <w:t>R</w:t>
            </w:r>
          </w:p>
        </w:tc>
      </w:tr>
    </w:tbl>
    <w:bookmarkEnd w:id="81"/>
    <w:p>
      <w:pPr>
        <w:spacing w:after="0"/>
        <w:rPr>
          <w:rFonts w:ascii="Times New Roman" w:hAnsi="Times New Roman" w:cs="Times New Roman"/>
          <w:b/>
          <w:noProof/>
          <w:sz w:val="20"/>
          <w:szCs w:val="20"/>
        </w:rPr>
      </w:pPr>
      <w:r>
        <w:rPr>
          <w:rFonts w:ascii="Times New Roman" w:hAnsi="Times New Roman" w:cs="Times New Roman"/>
          <w:b/>
          <w:noProof/>
          <w:sz w:val="20"/>
          <w:szCs w:val="20"/>
        </w:rPr>
        <w:t xml:space="preserve"> </w:t>
      </w:r>
    </w:p>
    <w:p>
      <w:pPr>
        <w:pBdr>
          <w:top w:val="nil"/>
          <w:left w:val="nil"/>
          <w:bottom w:val="nil"/>
          <w:right w:val="nil"/>
          <w:between w:val="nil"/>
          <w:bar w:val="nil"/>
        </w:pBdr>
        <w:spacing w:after="120" w:line="240" w:lineRule="auto"/>
        <w:jc w:val="both"/>
        <w:rPr>
          <w:noProof/>
          <w:szCs w:val="24"/>
        </w:rPr>
      </w:pPr>
      <w:r>
        <w:rPr>
          <w:rFonts w:ascii="Times New Roman" w:hAnsi="Times New Roman" w:cs="Times New Roman"/>
          <w:noProof/>
          <w:sz w:val="24"/>
          <w:szCs w:val="24"/>
        </w:rPr>
        <w:t>As indicated in Table 5.1 above</w:t>
      </w:r>
      <w:bookmarkStart w:id="82" w:name="_Hlk509156457"/>
      <w:r>
        <w:rPr>
          <w:rFonts w:ascii="Times New Roman" w:hAnsi="Times New Roman" w:cs="Times New Roman"/>
          <w:noProof/>
          <w:sz w:val="24"/>
          <w:szCs w:val="24"/>
        </w:rPr>
        <w:t xml:space="preserve">, all options contain, for most part, the same set of policy measures. These measures may be implemented either in non-binding form, as support measures promoting voluntary action by the Member States, or regulatory form, such as the adoption of EU legal acts and the signature of bilateral agreements with third countries. The logic of the policy options building has followed a combination of these measures, when varied along two axes: material scope of the policy initiative, on the one hand, and levels of regulatory strength of the intervention, on the other hand. </w:t>
      </w:r>
      <w:bookmarkEnd w:id="82"/>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scope, the options differ primarily in the range of cargo and transport documents/information covered, namely whether it includes only the main transport documents (i.e. those which serve as contracts of carriage), or any document/evidence containing the information required by applicable legislations. The depth of regulatory intervention is determined by the mix of non-regulatory instruments (support measures) and regulatory instruments under each option. It ranges from limited legislative intervention, relying primarily on ensuring adherence to current international conventions provisions on the legal equivalence of the electronic transport contracts to full regulatory guidance on the implementation of the obligation of acceptance. Table 5.2 below provides a synthetic overview of the four policy options envisaged. A more detailed explanation of the differences between the options is provided further below.</w:t>
      </w:r>
    </w:p>
    <w:p>
      <w:pPr>
        <w:keepNext/>
        <w:spacing w:before="120" w:after="120" w:line="240" w:lineRule="auto"/>
        <w:jc w:val="both"/>
        <w:rPr>
          <w:rFonts w:ascii="Times New Roman" w:eastAsia="Times New Roman" w:hAnsi="Times New Roman" w:cs="Times New Roman"/>
          <w:b/>
          <w:bCs/>
          <w:noProof/>
          <w:sz w:val="20"/>
          <w:szCs w:val="20"/>
          <w:lang w:eastAsia="de-DE"/>
        </w:rPr>
      </w:pPr>
      <w:bookmarkStart w:id="83" w:name="_Ref468456710"/>
      <w:r>
        <w:rPr>
          <w:rFonts w:ascii="Times New Roman" w:eastAsia="Times New Roman" w:hAnsi="Times New Roman" w:cs="Times New Roman"/>
          <w:b/>
          <w:bCs/>
          <w:noProof/>
          <w:sz w:val="20"/>
          <w:szCs w:val="20"/>
          <w:lang w:eastAsia="de-DE"/>
        </w:rPr>
        <w:t xml:space="preserve">Table </w:t>
      </w:r>
      <w:bookmarkEnd w:id="83"/>
      <w:r>
        <w:rPr>
          <w:rFonts w:ascii="Times New Roman" w:eastAsia="Times New Roman" w:hAnsi="Times New Roman" w:cs="Times New Roman"/>
          <w:b/>
          <w:bCs/>
          <w:noProof/>
          <w:sz w:val="20"/>
          <w:szCs w:val="20"/>
          <w:lang w:eastAsia="de-DE"/>
        </w:rPr>
        <w:t xml:space="preserve">5.2 – Definition of policy options </w:t>
      </w:r>
      <w:r>
        <w:rPr>
          <w:rFonts w:ascii="Times New Roman" w:eastAsia="Times New Roman" w:hAnsi="Times New Roman" w:cs="Times New Roman"/>
          <w:bCs/>
          <w:noProof/>
          <w:sz w:val="20"/>
          <w:szCs w:val="20"/>
          <w:lang w:eastAsia="de-DE"/>
        </w:rPr>
        <w:t>(Key: S = support measure; R= regulatory measure)</w:t>
      </w:r>
    </w:p>
    <w:tbl>
      <w:tblPr>
        <w:tblStyle w:val="Mainbidtables"/>
        <w:tblW w:w="5440" w:type="pct"/>
        <w:tblInd w:w="-289" w:type="dxa"/>
        <w:tblLayout w:type="fixed"/>
        <w:tblLook w:val="04A0" w:firstRow="1" w:lastRow="0" w:firstColumn="1" w:lastColumn="0" w:noHBand="0" w:noVBand="1"/>
      </w:tblPr>
      <w:tblGrid>
        <w:gridCol w:w="10105"/>
      </w:tblGrid>
      <w:tr>
        <w:trPr>
          <w:cnfStyle w:val="100000000000" w:firstRow="1" w:lastRow="0" w:firstColumn="0" w:lastColumn="0" w:oddVBand="0" w:evenVBand="0" w:oddHBand="0" w:evenHBand="0" w:firstRowFirstColumn="0" w:firstRowLastColumn="0" w:lastRowFirstColumn="0" w:lastRowLastColumn="0"/>
          <w:trHeight w:val="288"/>
        </w:trPr>
        <w:tc>
          <w:tcPr>
            <w:tcW w:w="0" w:type="pct"/>
            <w:tcBorders>
              <w:top w:val="single" w:sz="4" w:space="0" w:color="auto"/>
              <w:left w:val="single" w:sz="4" w:space="0" w:color="auto"/>
              <w:bottom w:val="single" w:sz="4" w:space="0" w:color="auto"/>
              <w:right w:val="single" w:sz="4" w:space="0" w:color="auto"/>
            </w:tcBorders>
            <w:hideMark/>
          </w:tcPr>
          <w:p>
            <w:pPr>
              <w:rPr>
                <w:rFonts w:ascii="Times New Roman" w:hAnsi="Times New Roman"/>
                <w:b/>
                <w:bCs/>
                <w:noProof/>
              </w:rPr>
            </w:pPr>
            <w:r>
              <w:rPr>
                <w:rFonts w:ascii="Times New Roman" w:hAnsi="Times New Roman"/>
                <w:b/>
                <w:bCs/>
                <w:noProof/>
              </w:rPr>
              <w:t xml:space="preserve">Policy Option 1 – </w:t>
            </w:r>
            <w:bookmarkStart w:id="84" w:name="_Hlk509157232"/>
            <w:r>
              <w:rPr>
                <w:rFonts w:ascii="Times New Roman" w:hAnsi="Times New Roman"/>
                <w:b/>
                <w:bCs/>
                <w:noProof/>
              </w:rPr>
              <w:t>Full obligation of adherence by the Member States to the current legal framework as regards acceptance of electronic transport contracts, with voluntary harmonisation of implementation</w:t>
            </w:r>
            <w:bookmarkEnd w:id="84"/>
            <w:r>
              <w:rPr>
                <w:rFonts w:ascii="Times New Roman" w:hAnsi="Times New Roman"/>
                <w:b/>
                <w:bCs/>
                <w:noProof/>
              </w:rPr>
              <w:t xml:space="preserve"> (PO1)</w:t>
            </w:r>
          </w:p>
        </w:tc>
      </w:tr>
      <w:tr>
        <w:trPr>
          <w:cnfStyle w:val="000000100000" w:firstRow="0" w:lastRow="0" w:firstColumn="0" w:lastColumn="0" w:oddVBand="0" w:evenVBand="0" w:oddHBand="1" w:evenHBand="0" w:firstRowFirstColumn="0" w:firstRowLastColumn="0" w:lastRowFirstColumn="0" w:lastRowLastColumn="0"/>
          <w:trHeight w:val="288"/>
        </w:trPr>
        <w:tc>
          <w:tcPr>
            <w:tcW w:w="500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top"/>
          </w:tcPr>
          <w:p>
            <w:pPr>
              <w:spacing w:after="60"/>
              <w:rPr>
                <w:rFonts w:ascii="Times New Roman" w:hAnsi="Times New Roman"/>
                <w:b/>
                <w:bCs/>
                <w:noProof/>
                <w:color w:val="FFFFFF" w:themeColor="background1"/>
              </w:rPr>
            </w:pPr>
            <w:r>
              <w:rPr>
                <w:rFonts w:ascii="Times New Roman" w:hAnsi="Times New Roman"/>
                <w:b/>
                <w:bCs/>
                <w:noProof/>
              </w:rPr>
              <w:t>Acceptance</w:t>
            </w:r>
          </w:p>
        </w:tc>
      </w:tr>
      <w:tr>
        <w:trPr>
          <w:cnfStyle w:val="000000010000" w:firstRow="0" w:lastRow="0" w:firstColumn="0" w:lastColumn="0" w:oddVBand="0" w:evenVBand="0" w:oddHBand="0" w:evenHBand="1" w:firstRowFirstColumn="0" w:firstRowLastColumn="0" w:lastRowFirstColumn="0" w:lastRowLastColumn="0"/>
          <w:trHeight w:val="288"/>
        </w:trPr>
        <w:tc>
          <w:tcPr>
            <w:tcW w:w="5000" w:type="pct"/>
            <w:tcBorders>
              <w:top w:val="single" w:sz="4" w:space="0" w:color="auto"/>
              <w:left w:val="single" w:sz="4" w:space="0" w:color="auto"/>
              <w:bottom w:val="single" w:sz="4" w:space="0" w:color="auto"/>
              <w:right w:val="single" w:sz="4" w:space="0" w:color="auto"/>
            </w:tcBorders>
            <w:vAlign w:val="top"/>
          </w:tcPr>
          <w:p>
            <w:pPr>
              <w:spacing w:after="60"/>
              <w:rPr>
                <w:rFonts w:ascii="Times New Roman" w:hAnsi="Times New Roman"/>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Adherence to relevant international conventions (</w:t>
            </w:r>
            <w:r>
              <w:rPr>
                <w:rFonts w:ascii="Times New Roman" w:hAnsi="Times New Roman"/>
                <w:bCs/>
                <w:noProof/>
                <w:color w:val="000000"/>
              </w:rPr>
              <w:t>R)</w:t>
            </w:r>
          </w:p>
          <w:p>
            <w:pPr>
              <w:numPr>
                <w:ilvl w:val="0"/>
                <w:numId w:val="22"/>
              </w:numPr>
              <w:spacing w:after="60"/>
              <w:contextualSpacing/>
              <w:rPr>
                <w:rFonts w:ascii="Times New Roman" w:hAnsi="Times New Roman"/>
                <w:bCs/>
                <w:noProof/>
                <w:color w:val="000000"/>
              </w:rPr>
            </w:pPr>
            <w:r>
              <w:rPr>
                <w:rFonts w:ascii="Times New Roman" w:hAnsi="Times New Roman"/>
                <w:bCs/>
                <w:noProof/>
                <w:color w:val="000000"/>
              </w:rPr>
              <w:t>Scope: international conventions to which not all Member States are party, i.e. the e-CMR protocol (road), the CMNI convention (inland waterways), and the Hamburg Rules (maritime)</w:t>
            </w:r>
          </w:p>
          <w:p>
            <w:pPr>
              <w:keepNext/>
              <w:keepLines/>
              <w:spacing w:after="60"/>
              <w:rPr>
                <w:rFonts w:ascii="Times New Roman" w:hAnsi="Times New Roman"/>
                <w:noProof/>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Amendment of international conventions to remove the limitation of the applicability of conventions' provisions on the legal equivalence of the electronic contracts to the paper concluded/evidenced contracts (</w:t>
            </w:r>
            <w:r>
              <w:rPr>
                <w:rFonts w:ascii="Times New Roman" w:hAnsi="Times New Roman"/>
                <w:bCs/>
                <w:noProof/>
                <w:color w:val="000000"/>
              </w:rPr>
              <w:t>S)</w:t>
            </w:r>
            <w:r>
              <w:rPr>
                <w:rFonts w:ascii="Times New Roman" w:hAnsi="Times New Roman"/>
                <w:noProof/>
              </w:rPr>
              <w:t xml:space="preserve"> </w:t>
            </w:r>
          </w:p>
          <w:p>
            <w:pPr>
              <w:spacing w:after="60"/>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Awareness raising, training and exchange of experience (</w:t>
            </w:r>
            <w:r>
              <w:rPr>
                <w:rFonts w:ascii="Times New Roman" w:hAnsi="Times New Roman"/>
                <w:bCs/>
                <w:noProof/>
                <w:color w:val="000000"/>
              </w:rPr>
              <w:t>S)</w:t>
            </w:r>
          </w:p>
        </w:tc>
      </w:tr>
      <w:tr>
        <w:trPr>
          <w:cnfStyle w:val="000000100000" w:firstRow="0" w:lastRow="0" w:firstColumn="0" w:lastColumn="0" w:oddVBand="0" w:evenVBand="0" w:oddHBand="1" w:evenHBand="0" w:firstRowFirstColumn="0" w:firstRowLastColumn="0" w:lastRowFirstColumn="0" w:lastRowLastColumn="0"/>
          <w:trHeight w:val="288"/>
          <w:tblHeader/>
        </w:trPr>
        <w:tc>
          <w:tcPr>
            <w:tcW w:w="50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pPr>
              <w:spacing w:after="60"/>
              <w:rPr>
                <w:rFonts w:ascii="Times New Roman" w:hAnsi="Times New Roman"/>
                <w:b/>
                <w:bCs/>
                <w:noProof/>
                <w:color w:val="FFFFFF" w:themeColor="background1"/>
              </w:rPr>
            </w:pPr>
            <w:r>
              <w:rPr>
                <w:rFonts w:ascii="Times New Roman" w:hAnsi="Times New Roman"/>
                <w:b/>
                <w:bCs/>
                <w:noProof/>
              </w:rPr>
              <w:t>Requirements for validity/acceptance/admissibility</w:t>
            </w:r>
          </w:p>
        </w:tc>
      </w:tr>
      <w:tr>
        <w:trPr>
          <w:cnfStyle w:val="000000010000" w:firstRow="0" w:lastRow="0" w:firstColumn="0" w:lastColumn="0" w:oddVBand="0" w:evenVBand="0" w:oddHBand="0" w:evenHBand="1" w:firstRowFirstColumn="0" w:firstRowLastColumn="0" w:lastRowFirstColumn="0" w:lastRowLastColumn="0"/>
          <w:trHeight w:val="288"/>
        </w:trPr>
        <w:tc>
          <w:tcPr>
            <w:tcW w:w="5000" w:type="pct"/>
            <w:tcBorders>
              <w:top w:val="single" w:sz="4" w:space="0" w:color="auto"/>
              <w:left w:val="single" w:sz="4" w:space="0" w:color="auto"/>
              <w:bottom w:val="single" w:sz="4" w:space="0" w:color="auto"/>
              <w:right w:val="single" w:sz="4" w:space="0" w:color="auto"/>
            </w:tcBorders>
            <w:vAlign w:val="top"/>
          </w:tcPr>
          <w:p>
            <w:pPr>
              <w:spacing w:after="60"/>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 xml:space="preserve">Amendment of international conventions to align current mode-specific provisions on requirements for the legal equivalence of electronic contracts of carriage to paper-based/evidenced contracts </w:t>
            </w:r>
            <w:r>
              <w:rPr>
                <w:rFonts w:ascii="Times New Roman" w:hAnsi="Times New Roman"/>
                <w:bCs/>
                <w:noProof/>
                <w:color w:val="000000"/>
              </w:rPr>
              <w:t>(S)</w:t>
            </w:r>
          </w:p>
        </w:tc>
      </w:tr>
      <w:tr>
        <w:trPr>
          <w:cnfStyle w:val="000000100000" w:firstRow="0" w:lastRow="0" w:firstColumn="0" w:lastColumn="0" w:oddVBand="0" w:evenVBand="0" w:oddHBand="1" w:evenHBand="0" w:firstRowFirstColumn="0" w:firstRowLastColumn="0" w:lastRowFirstColumn="0" w:lastRowLastColumn="0"/>
          <w:trHeight w:val="408"/>
        </w:trPr>
        <w:tc>
          <w:tcPr>
            <w:tcW w:w="500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top"/>
          </w:tcPr>
          <w:p>
            <w:pPr>
              <w:spacing w:after="60"/>
              <w:rPr>
                <w:rFonts w:ascii="Times New Roman" w:hAnsi="Times New Roman"/>
                <w:b/>
                <w:bCs/>
                <w:noProof/>
                <w:color w:val="000000"/>
              </w:rPr>
            </w:pPr>
            <w:r>
              <w:rPr>
                <w:rFonts w:ascii="Times New Roman" w:hAnsi="Times New Roman"/>
                <w:b/>
                <w:noProof/>
              </w:rPr>
              <w:t>Administrative procedures</w:t>
            </w:r>
          </w:p>
        </w:tc>
      </w:tr>
      <w:tr>
        <w:trPr>
          <w:cnfStyle w:val="000000010000" w:firstRow="0" w:lastRow="0" w:firstColumn="0" w:lastColumn="0" w:oddVBand="0" w:evenVBand="0" w:oddHBand="0" w:evenHBand="1" w:firstRowFirstColumn="0" w:firstRowLastColumn="0" w:lastRowFirstColumn="0" w:lastRowLastColumn="0"/>
          <w:trHeight w:val="288"/>
        </w:trPr>
        <w:tc>
          <w:tcPr>
            <w:tcW w:w="5000" w:type="pct"/>
            <w:tcBorders>
              <w:top w:val="single" w:sz="4" w:space="0" w:color="auto"/>
              <w:left w:val="single" w:sz="4" w:space="0" w:color="auto"/>
              <w:bottom w:val="single" w:sz="4" w:space="0" w:color="auto"/>
              <w:right w:val="single" w:sz="4" w:space="0" w:color="auto"/>
            </w:tcBorders>
            <w:vAlign w:val="top"/>
          </w:tcPr>
          <w:p>
            <w:pPr>
              <w:spacing w:after="60"/>
              <w:rPr>
                <w:rFonts w:ascii="Times New Roman" w:hAnsi="Times New Roman"/>
                <w:noProof/>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 xml:space="preserve">Review of administrative practices for controls of electronic transport documents/information </w:t>
            </w:r>
            <w:r>
              <w:rPr>
                <w:rFonts w:ascii="Times New Roman" w:hAnsi="Times New Roman"/>
                <w:bCs/>
                <w:noProof/>
                <w:color w:val="000000"/>
              </w:rPr>
              <w:t>(S)</w:t>
            </w:r>
            <w:r>
              <w:rPr>
                <w:rFonts w:ascii="Times New Roman" w:hAnsi="Times New Roman"/>
                <w:noProof/>
              </w:rPr>
              <w:t xml:space="preserve"> </w:t>
            </w:r>
          </w:p>
          <w:p>
            <w:pPr>
              <w:spacing w:after="60"/>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 xml:space="preserve">Adoption of aligned procedures for controls of electronic transport contracts presented electronically </w:t>
            </w:r>
            <w:r>
              <w:rPr>
                <w:rFonts w:ascii="Times New Roman" w:hAnsi="Times New Roman"/>
                <w:bCs/>
                <w:noProof/>
                <w:color w:val="000000"/>
              </w:rPr>
              <w:t>(S)</w:t>
            </w:r>
          </w:p>
        </w:tc>
      </w:tr>
      <w:tr>
        <w:trPr>
          <w:cnfStyle w:val="000000100000" w:firstRow="0" w:lastRow="0" w:firstColumn="0" w:lastColumn="0" w:oddVBand="0" w:evenVBand="0" w:oddHBand="1" w:evenHBand="0" w:firstRowFirstColumn="0" w:firstRowLastColumn="0" w:lastRowFirstColumn="0" w:lastRowLastColumn="0"/>
          <w:trHeight w:val="288"/>
          <w:tblHeader/>
        </w:trPr>
        <w:tc>
          <w:tcPr>
            <w:tcW w:w="50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pPr>
              <w:spacing w:after="60"/>
              <w:rPr>
                <w:rFonts w:ascii="Times New Roman" w:hAnsi="Times New Roman"/>
                <w:b/>
                <w:bCs/>
                <w:noProof/>
              </w:rPr>
            </w:pPr>
            <w:r>
              <w:rPr>
                <w:rFonts w:ascii="Times New Roman" w:hAnsi="Times New Roman"/>
                <w:b/>
                <w:bCs/>
                <w:noProof/>
              </w:rPr>
              <w:t xml:space="preserve">Technical specifications </w:t>
            </w:r>
          </w:p>
        </w:tc>
      </w:tr>
      <w:tr>
        <w:trPr>
          <w:cnfStyle w:val="000000010000" w:firstRow="0" w:lastRow="0" w:firstColumn="0" w:lastColumn="0" w:oddVBand="0" w:evenVBand="0" w:oddHBand="0" w:evenHBand="1" w:firstRowFirstColumn="0" w:firstRowLastColumn="0" w:lastRowFirstColumn="0" w:lastRowLastColumn="0"/>
          <w:trHeight w:val="288"/>
        </w:trPr>
        <w:tc>
          <w:tcPr>
            <w:tcW w:w="5000" w:type="pct"/>
            <w:tcBorders>
              <w:top w:val="single" w:sz="4" w:space="0" w:color="auto"/>
              <w:left w:val="single" w:sz="4" w:space="0" w:color="auto"/>
              <w:bottom w:val="single" w:sz="4" w:space="0" w:color="auto"/>
              <w:right w:val="single" w:sz="4" w:space="0" w:color="auto"/>
            </w:tcBorders>
            <w:vAlign w:val="top"/>
          </w:tcPr>
          <w:p>
            <w:pPr>
              <w:spacing w:after="60"/>
              <w:rPr>
                <w:rFonts w:ascii="Times New Roman" w:hAnsi="Times New Roman"/>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 xml:space="preserve">Establishment and alignment by Member States of technical specifications for the implementation of the requirements for validity/admissibility of electronic transport contracts, as specified in the international conventions, in their respective national legislation </w:t>
            </w:r>
            <w:r>
              <w:rPr>
                <w:rFonts w:ascii="Times New Roman" w:hAnsi="Times New Roman"/>
                <w:bCs/>
                <w:noProof/>
                <w:color w:val="000000"/>
              </w:rPr>
              <w:t>(S)</w:t>
            </w:r>
          </w:p>
          <w:p>
            <w:pPr>
              <w:spacing w:after="60"/>
              <w:rPr>
                <w:rFonts w:ascii="Times New Roman" w:hAnsi="Times New Roman"/>
                <w:noProof/>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Certification of IT solutions for B2A information communication (S)</w:t>
            </w:r>
          </w:p>
        </w:tc>
      </w:tr>
      <w:tr>
        <w:trPr>
          <w:cnfStyle w:val="000000100000" w:firstRow="0" w:lastRow="0" w:firstColumn="0" w:lastColumn="0" w:oddVBand="0" w:evenVBand="0" w:oddHBand="1" w:evenHBand="0" w:firstRowFirstColumn="0" w:firstRowLastColumn="0" w:lastRowFirstColumn="0" w:lastRowLastColumn="0"/>
          <w:trHeight w:val="288"/>
          <w:tblHeader/>
        </w:trPr>
        <w:tc>
          <w:tcPr>
            <w:tcW w:w="5000" w:type="pct"/>
            <w:tcBorders>
              <w:top w:val="single" w:sz="4" w:space="0" w:color="auto"/>
              <w:left w:val="single" w:sz="4" w:space="0" w:color="auto"/>
              <w:bottom w:val="single" w:sz="4" w:space="0" w:color="auto"/>
              <w:right w:val="single" w:sz="4" w:space="0" w:color="auto"/>
            </w:tcBorders>
            <w:shd w:val="clear" w:color="auto" w:fill="006BB7"/>
            <w:hideMark/>
          </w:tcPr>
          <w:p>
            <w:pPr>
              <w:rPr>
                <w:rFonts w:ascii="Times New Roman" w:hAnsi="Times New Roman"/>
                <w:b/>
                <w:bCs/>
                <w:noProof/>
                <w:color w:val="FFFFFF" w:themeColor="background1"/>
              </w:rPr>
            </w:pPr>
            <w:bookmarkStart w:id="85" w:name="_Hlk506050176"/>
            <w:r>
              <w:rPr>
                <w:rFonts w:ascii="Times New Roman" w:hAnsi="Times New Roman"/>
                <w:b/>
                <w:bCs/>
                <w:noProof/>
                <w:color w:val="FFFFFF" w:themeColor="background1"/>
              </w:rPr>
              <w:t>Policy Option 2</w:t>
            </w:r>
            <w:r>
              <w:rPr>
                <w:noProof/>
                <w:color w:val="FFFFFF" w:themeColor="background1"/>
              </w:rPr>
              <w:t xml:space="preserve"> – </w:t>
            </w:r>
            <w:bookmarkStart w:id="86" w:name="_Hlk509157250"/>
            <w:r>
              <w:rPr>
                <w:rFonts w:ascii="Times New Roman" w:hAnsi="Times New Roman"/>
                <w:b/>
                <w:bCs/>
                <w:noProof/>
                <w:color w:val="FFFFFF" w:themeColor="background1"/>
              </w:rPr>
              <w:t xml:space="preserve">Full obligation of acceptance for the Member States authorities of the electronic transport contracts, with minimum harmonisation of implementation </w:t>
            </w:r>
            <w:bookmarkEnd w:id="86"/>
            <w:r>
              <w:rPr>
                <w:rFonts w:ascii="Times New Roman" w:hAnsi="Times New Roman"/>
                <w:b/>
                <w:bCs/>
                <w:noProof/>
                <w:color w:val="FFFFFF" w:themeColor="background1"/>
              </w:rPr>
              <w:t>(PO2)</w:t>
            </w:r>
          </w:p>
        </w:tc>
      </w:tr>
      <w:tr>
        <w:trPr>
          <w:cnfStyle w:val="000000010000" w:firstRow="0" w:lastRow="0" w:firstColumn="0" w:lastColumn="0" w:oddVBand="0" w:evenVBand="0" w:oddHBand="0" w:evenHBand="1" w:firstRowFirstColumn="0" w:firstRowLastColumn="0" w:lastRowFirstColumn="0" w:lastRowLastColumn="0"/>
          <w:trHeight w:val="288"/>
        </w:trPr>
        <w:tc>
          <w:tcPr>
            <w:tcW w:w="500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top"/>
          </w:tcPr>
          <w:p>
            <w:pPr>
              <w:spacing w:after="60"/>
              <w:rPr>
                <w:rFonts w:ascii="Times New Roman" w:hAnsi="Times New Roman"/>
                <w:b/>
                <w:bCs/>
                <w:noProof/>
              </w:rPr>
            </w:pPr>
            <w:r>
              <w:rPr>
                <w:rFonts w:ascii="Times New Roman" w:hAnsi="Times New Roman"/>
                <w:b/>
                <w:bCs/>
                <w:noProof/>
              </w:rPr>
              <w:t>Acceptance</w:t>
            </w:r>
          </w:p>
        </w:tc>
      </w:tr>
      <w:tr>
        <w:trPr>
          <w:cnfStyle w:val="000000100000" w:firstRow="0" w:lastRow="0" w:firstColumn="0" w:lastColumn="0" w:oddVBand="0" w:evenVBand="0" w:oddHBand="1" w:evenHBand="0" w:firstRowFirstColumn="0" w:firstRowLastColumn="0" w:lastRowFirstColumn="0" w:lastRowLastColumn="0"/>
          <w:trHeight w:val="288"/>
        </w:trPr>
        <w:tc>
          <w:tcPr>
            <w:tcW w:w="5000" w:type="pct"/>
            <w:tcBorders>
              <w:top w:val="single" w:sz="4" w:space="0" w:color="auto"/>
              <w:left w:val="single" w:sz="4" w:space="0" w:color="auto"/>
              <w:bottom w:val="single" w:sz="4" w:space="0" w:color="auto"/>
              <w:right w:val="single" w:sz="4" w:space="0" w:color="auto"/>
            </w:tcBorders>
            <w:vAlign w:val="top"/>
          </w:tcPr>
          <w:p>
            <w:pPr>
              <w:keepNext/>
              <w:keepLines/>
              <w:spacing w:after="60"/>
              <w:rPr>
                <w:rFonts w:ascii="Times New Roman" w:hAnsi="Times New Roman"/>
                <w:noProof/>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Establishment of general obligation for MS enforcement authorities to accept electronic contracts of carriage (R)</w:t>
            </w:r>
          </w:p>
          <w:p>
            <w:pPr>
              <w:keepNext/>
              <w:keepLines/>
              <w:numPr>
                <w:ilvl w:val="0"/>
                <w:numId w:val="22"/>
              </w:numPr>
              <w:spacing w:after="60"/>
              <w:contextualSpacing/>
              <w:rPr>
                <w:rFonts w:ascii="Times New Roman" w:hAnsi="Times New Roman"/>
                <w:bCs/>
                <w:noProof/>
                <w:color w:val="000000"/>
              </w:rPr>
            </w:pPr>
            <w:r>
              <w:rPr>
                <w:rFonts w:ascii="Times New Roman" w:hAnsi="Times New Roman"/>
                <w:bCs/>
                <w:noProof/>
                <w:color w:val="000000"/>
              </w:rPr>
              <w:t xml:space="preserve">Scope: international transport contracts as governed by the mode-specific international conventions, as well as any other electronically concluded or evidenced transport contract </w:t>
            </w:r>
          </w:p>
          <w:p>
            <w:pPr>
              <w:keepNext/>
              <w:keepLines/>
              <w:spacing w:after="60"/>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Inclusion of provisions of mutual acceptance of electronic contracts of carriage in relevant EU-third countries bilateral agreements (</w:t>
            </w:r>
            <w:r>
              <w:rPr>
                <w:rFonts w:ascii="Times New Roman" w:hAnsi="Times New Roman"/>
                <w:bCs/>
                <w:noProof/>
                <w:color w:val="000000"/>
              </w:rPr>
              <w:t>S)</w:t>
            </w:r>
          </w:p>
          <w:p>
            <w:pPr>
              <w:spacing w:after="60"/>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Awareness raising, training and exchange of experience (</w:t>
            </w:r>
            <w:r>
              <w:rPr>
                <w:rFonts w:ascii="Times New Roman" w:hAnsi="Times New Roman"/>
                <w:bCs/>
                <w:noProof/>
                <w:color w:val="000000"/>
              </w:rPr>
              <w:t>S)</w:t>
            </w:r>
          </w:p>
        </w:tc>
      </w:tr>
      <w:tr>
        <w:trPr>
          <w:cnfStyle w:val="000000010000" w:firstRow="0" w:lastRow="0" w:firstColumn="0" w:lastColumn="0" w:oddVBand="0" w:evenVBand="0" w:oddHBand="0" w:evenHBand="1" w:firstRowFirstColumn="0" w:firstRowLastColumn="0" w:lastRowFirstColumn="0" w:lastRowLastColumn="0"/>
          <w:trHeight w:val="288"/>
          <w:tblHeader/>
        </w:trPr>
        <w:tc>
          <w:tcPr>
            <w:tcW w:w="50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pPr>
              <w:spacing w:after="60"/>
              <w:rPr>
                <w:rFonts w:ascii="Times New Roman" w:hAnsi="Times New Roman"/>
                <w:b/>
                <w:bCs/>
                <w:noProof/>
              </w:rPr>
            </w:pPr>
            <w:r>
              <w:rPr>
                <w:rFonts w:ascii="Times New Roman" w:hAnsi="Times New Roman"/>
                <w:b/>
                <w:bCs/>
                <w:noProof/>
              </w:rPr>
              <w:t>Requirements for validity/acceptance/admissibility</w:t>
            </w:r>
          </w:p>
        </w:tc>
      </w:tr>
      <w:tr>
        <w:trPr>
          <w:cnfStyle w:val="000000100000" w:firstRow="0" w:lastRow="0" w:firstColumn="0" w:lastColumn="0" w:oddVBand="0" w:evenVBand="0" w:oddHBand="1" w:evenHBand="0" w:firstRowFirstColumn="0" w:firstRowLastColumn="0" w:lastRowFirstColumn="0" w:lastRowLastColumn="0"/>
          <w:trHeight w:val="288"/>
        </w:trPr>
        <w:tc>
          <w:tcPr>
            <w:tcW w:w="5000" w:type="pct"/>
            <w:tcBorders>
              <w:top w:val="single" w:sz="4" w:space="0" w:color="auto"/>
              <w:left w:val="single" w:sz="4" w:space="0" w:color="auto"/>
              <w:bottom w:val="single" w:sz="4" w:space="0" w:color="auto"/>
              <w:right w:val="single" w:sz="4" w:space="0" w:color="auto"/>
            </w:tcBorders>
            <w:vAlign w:val="top"/>
          </w:tcPr>
          <w:p>
            <w:pPr>
              <w:spacing w:after="60"/>
              <w:rPr>
                <w:rFonts w:ascii="Times New Roman" w:hAnsi="Times New Roman"/>
                <w:noProof/>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 xml:space="preserve">Establishment of single set of requirements for acceptance by authorities of electronic contracts of carriage for all transport modes </w:t>
            </w:r>
            <w:r>
              <w:rPr>
                <w:rFonts w:ascii="Times New Roman" w:hAnsi="Times New Roman"/>
                <w:bCs/>
                <w:noProof/>
                <w:color w:val="000000"/>
              </w:rPr>
              <w:t>(R)</w:t>
            </w:r>
          </w:p>
          <w:p>
            <w:pPr>
              <w:spacing w:after="60"/>
              <w:rPr>
                <w:rFonts w:ascii="Times New Roman" w:hAnsi="Times New Roman"/>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 xml:space="preserve">Amendment of international conventions to align current mode-specific provisions on electronic contracts of carriage with EU requirements </w:t>
            </w:r>
            <w:r>
              <w:rPr>
                <w:rFonts w:ascii="Times New Roman" w:hAnsi="Times New Roman"/>
                <w:bCs/>
                <w:noProof/>
                <w:color w:val="000000"/>
              </w:rPr>
              <w:t>(S)</w:t>
            </w:r>
          </w:p>
          <w:p>
            <w:pPr>
              <w:spacing w:after="60"/>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 xml:space="preserve">Inclusion of provisions on common requirements in relevant EU-third countries bilateral agreements </w:t>
            </w:r>
            <w:r>
              <w:rPr>
                <w:rFonts w:ascii="Times New Roman" w:hAnsi="Times New Roman"/>
                <w:bCs/>
                <w:noProof/>
                <w:color w:val="000000"/>
              </w:rPr>
              <w:t>(S)</w:t>
            </w:r>
          </w:p>
        </w:tc>
      </w:tr>
      <w:tr>
        <w:trPr>
          <w:cnfStyle w:val="000000010000" w:firstRow="0" w:lastRow="0" w:firstColumn="0" w:lastColumn="0" w:oddVBand="0" w:evenVBand="0" w:oddHBand="0" w:evenHBand="1" w:firstRowFirstColumn="0" w:firstRowLastColumn="0" w:lastRowFirstColumn="0" w:lastRowLastColumn="0"/>
          <w:trHeight w:val="408"/>
        </w:trPr>
        <w:tc>
          <w:tcPr>
            <w:tcW w:w="500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top"/>
          </w:tcPr>
          <w:p>
            <w:pPr>
              <w:spacing w:after="60"/>
              <w:rPr>
                <w:rFonts w:ascii="Times New Roman" w:hAnsi="Times New Roman"/>
                <w:b/>
                <w:bCs/>
                <w:noProof/>
                <w:color w:val="000000"/>
              </w:rPr>
            </w:pPr>
            <w:r>
              <w:rPr>
                <w:rFonts w:ascii="Times New Roman" w:hAnsi="Times New Roman"/>
                <w:b/>
                <w:noProof/>
              </w:rPr>
              <w:t>Administrative procedures</w:t>
            </w:r>
          </w:p>
        </w:tc>
      </w:tr>
      <w:tr>
        <w:trPr>
          <w:cnfStyle w:val="000000100000" w:firstRow="0" w:lastRow="0" w:firstColumn="0" w:lastColumn="0" w:oddVBand="0" w:evenVBand="0" w:oddHBand="1" w:evenHBand="0" w:firstRowFirstColumn="0" w:firstRowLastColumn="0" w:lastRowFirstColumn="0" w:lastRowLastColumn="0"/>
          <w:trHeight w:val="288"/>
        </w:trPr>
        <w:tc>
          <w:tcPr>
            <w:tcW w:w="5000" w:type="pct"/>
            <w:tcBorders>
              <w:top w:val="single" w:sz="4" w:space="0" w:color="auto"/>
              <w:left w:val="single" w:sz="4" w:space="0" w:color="auto"/>
              <w:bottom w:val="single" w:sz="4" w:space="0" w:color="auto"/>
              <w:right w:val="single" w:sz="4" w:space="0" w:color="auto"/>
            </w:tcBorders>
            <w:vAlign w:val="top"/>
          </w:tcPr>
          <w:p>
            <w:pPr>
              <w:spacing w:after="60"/>
              <w:rPr>
                <w:rFonts w:ascii="Times New Roman" w:hAnsi="Times New Roman"/>
                <w:noProof/>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 xml:space="preserve">Review of administrative practices of inspection of transport documents, including, and in particular, the electronic contracts of carriage </w:t>
            </w:r>
            <w:r>
              <w:rPr>
                <w:rFonts w:ascii="Times New Roman" w:hAnsi="Times New Roman"/>
                <w:bCs/>
                <w:noProof/>
                <w:color w:val="000000"/>
              </w:rPr>
              <w:t>(S)</w:t>
            </w:r>
            <w:r>
              <w:rPr>
                <w:rFonts w:ascii="Times New Roman" w:hAnsi="Times New Roman"/>
                <w:noProof/>
              </w:rPr>
              <w:t xml:space="preserve"> </w:t>
            </w:r>
          </w:p>
          <w:p>
            <w:pPr>
              <w:spacing w:after="60"/>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 xml:space="preserve">Adoption of aligned procedures for controls of transport contracts presented electronically </w:t>
            </w:r>
            <w:r>
              <w:rPr>
                <w:rFonts w:ascii="Times New Roman" w:hAnsi="Times New Roman"/>
                <w:bCs/>
                <w:noProof/>
                <w:color w:val="000000"/>
              </w:rPr>
              <w:t>(S)</w:t>
            </w:r>
          </w:p>
        </w:tc>
      </w:tr>
      <w:tr>
        <w:trPr>
          <w:cnfStyle w:val="000000010000" w:firstRow="0" w:lastRow="0" w:firstColumn="0" w:lastColumn="0" w:oddVBand="0" w:evenVBand="0" w:oddHBand="0" w:evenHBand="1" w:firstRowFirstColumn="0" w:firstRowLastColumn="0" w:lastRowFirstColumn="0" w:lastRowLastColumn="0"/>
          <w:trHeight w:val="288"/>
          <w:tblHeader/>
        </w:trPr>
        <w:tc>
          <w:tcPr>
            <w:tcW w:w="50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pPr>
              <w:spacing w:after="60"/>
              <w:rPr>
                <w:rFonts w:ascii="Times New Roman" w:hAnsi="Times New Roman"/>
                <w:b/>
                <w:bCs/>
                <w:noProof/>
              </w:rPr>
            </w:pPr>
            <w:r>
              <w:rPr>
                <w:rFonts w:ascii="Times New Roman" w:hAnsi="Times New Roman"/>
                <w:b/>
                <w:bCs/>
                <w:noProof/>
              </w:rPr>
              <w:t xml:space="preserve">Technical specifications </w:t>
            </w:r>
          </w:p>
        </w:tc>
      </w:tr>
      <w:tr>
        <w:trPr>
          <w:cnfStyle w:val="000000100000" w:firstRow="0" w:lastRow="0" w:firstColumn="0" w:lastColumn="0" w:oddVBand="0" w:evenVBand="0" w:oddHBand="1" w:evenHBand="0" w:firstRowFirstColumn="0" w:firstRowLastColumn="0" w:lastRowFirstColumn="0" w:lastRowLastColumn="0"/>
          <w:trHeight w:val="288"/>
        </w:trPr>
        <w:tc>
          <w:tcPr>
            <w:tcW w:w="5000" w:type="pct"/>
            <w:tcBorders>
              <w:top w:val="single" w:sz="4" w:space="0" w:color="auto"/>
              <w:left w:val="single" w:sz="4" w:space="0" w:color="auto"/>
              <w:bottom w:val="single" w:sz="4" w:space="0" w:color="auto"/>
              <w:right w:val="single" w:sz="4" w:space="0" w:color="auto"/>
            </w:tcBorders>
            <w:vAlign w:val="top"/>
          </w:tcPr>
          <w:p>
            <w:pPr>
              <w:spacing w:after="60"/>
              <w:rPr>
                <w:rFonts w:ascii="Times New Roman" w:hAnsi="Times New Roman"/>
                <w:noProof/>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 xml:space="preserve">Establishment of technical specifications for the implementation of the requirements for acceptance of electronic contracts of carriage </w:t>
            </w:r>
            <w:r>
              <w:rPr>
                <w:rFonts w:ascii="Times New Roman" w:hAnsi="Times New Roman"/>
                <w:bCs/>
                <w:noProof/>
                <w:color w:val="000000"/>
              </w:rPr>
              <w:t>(S)</w:t>
            </w:r>
          </w:p>
          <w:p>
            <w:pPr>
              <w:spacing w:after="60"/>
              <w:rPr>
                <w:rFonts w:ascii="Times New Roman" w:hAnsi="Times New Roman"/>
                <w:noProof/>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 xml:space="preserve">Establishment of an EU transport data dictionary/data model </w:t>
            </w:r>
            <w:r>
              <w:rPr>
                <w:rFonts w:ascii="Times New Roman" w:hAnsi="Times New Roman"/>
                <w:bCs/>
                <w:noProof/>
                <w:color w:val="000000"/>
              </w:rPr>
              <w:t>(S)</w:t>
            </w:r>
          </w:p>
          <w:p>
            <w:pPr>
              <w:spacing w:after="60"/>
              <w:rPr>
                <w:rFonts w:ascii="Times New Roman" w:hAnsi="Times New Roman"/>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 xml:space="preserve">Inclusion of provisions on common technical specifications in relevant EU-third countries bilateral agreements </w:t>
            </w:r>
            <w:r>
              <w:rPr>
                <w:rFonts w:ascii="Times New Roman" w:hAnsi="Times New Roman"/>
                <w:bCs/>
                <w:noProof/>
                <w:color w:val="000000"/>
              </w:rPr>
              <w:t>(S)</w:t>
            </w:r>
          </w:p>
          <w:p>
            <w:pPr>
              <w:spacing w:after="60"/>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Certification of IT solutions for B2A information communication (S)</w:t>
            </w:r>
          </w:p>
        </w:tc>
      </w:tr>
      <w:bookmarkEnd w:id="85"/>
      <w:tr>
        <w:trPr>
          <w:cnfStyle w:val="000000010000" w:firstRow="0" w:lastRow="0" w:firstColumn="0" w:lastColumn="0" w:oddVBand="0" w:evenVBand="0" w:oddHBand="0" w:evenHBand="1" w:firstRowFirstColumn="0" w:firstRowLastColumn="0" w:lastRowFirstColumn="0" w:lastRowLastColumn="0"/>
          <w:trHeight w:val="288"/>
        </w:trPr>
        <w:tc>
          <w:tcPr>
            <w:tcW w:w="0" w:type="pct"/>
            <w:tcBorders>
              <w:top w:val="single" w:sz="4" w:space="0" w:color="auto"/>
              <w:left w:val="single" w:sz="4" w:space="0" w:color="auto"/>
              <w:bottom w:val="single" w:sz="4" w:space="0" w:color="auto"/>
              <w:right w:val="single" w:sz="4" w:space="0" w:color="auto"/>
            </w:tcBorders>
            <w:shd w:val="clear" w:color="auto" w:fill="006BB7"/>
            <w:hideMark/>
          </w:tcPr>
          <w:p>
            <w:pPr>
              <w:rPr>
                <w:rFonts w:ascii="Times New Roman" w:hAnsi="Times New Roman"/>
                <w:b/>
                <w:bCs/>
                <w:noProof/>
                <w:color w:val="FFFFFF" w:themeColor="background1"/>
              </w:rPr>
            </w:pPr>
            <w:r>
              <w:rPr>
                <w:rFonts w:ascii="Times New Roman" w:hAnsi="Times New Roman"/>
                <w:b/>
                <w:bCs/>
                <w:noProof/>
                <w:color w:val="FFFFFF" w:themeColor="background1"/>
              </w:rPr>
              <w:t>Policy Option 3</w:t>
            </w:r>
            <w:r>
              <w:rPr>
                <w:noProof/>
                <w:color w:val="FFFFFF" w:themeColor="background1"/>
              </w:rPr>
              <w:t xml:space="preserve"> – </w:t>
            </w:r>
            <w:bookmarkStart w:id="87" w:name="_Hlk509157323"/>
            <w:r>
              <w:rPr>
                <w:rFonts w:ascii="Times New Roman" w:hAnsi="Times New Roman"/>
                <w:b/>
                <w:bCs/>
                <w:noProof/>
                <w:color w:val="FFFFFF" w:themeColor="background1"/>
              </w:rPr>
              <w:t xml:space="preserve">Full obligation of acceptance for the Member States authorities of regulatory cargo transport information or documentation, with partially harmonised implementation  </w:t>
            </w:r>
            <w:bookmarkEnd w:id="87"/>
            <w:r>
              <w:rPr>
                <w:rFonts w:ascii="Times New Roman" w:hAnsi="Times New Roman"/>
                <w:b/>
                <w:bCs/>
                <w:noProof/>
                <w:color w:val="FFFFFF" w:themeColor="background1"/>
              </w:rPr>
              <w:t>(PO3)</w:t>
            </w:r>
          </w:p>
        </w:tc>
      </w:tr>
      <w:tr>
        <w:trPr>
          <w:cnfStyle w:val="000000100000" w:firstRow="0" w:lastRow="0" w:firstColumn="0" w:lastColumn="0" w:oddVBand="0" w:evenVBand="0" w:oddHBand="1" w:evenHBand="0" w:firstRowFirstColumn="0" w:firstRowLastColumn="0" w:lastRowFirstColumn="0" w:lastRowLastColumn="0"/>
          <w:trHeight w:val="288"/>
        </w:trPr>
        <w:tc>
          <w:tcPr>
            <w:tcW w:w="500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top"/>
          </w:tcPr>
          <w:p>
            <w:pPr>
              <w:spacing w:after="60"/>
              <w:rPr>
                <w:rFonts w:ascii="Times New Roman" w:hAnsi="Times New Roman"/>
                <w:b/>
                <w:bCs/>
                <w:noProof/>
                <w:color w:val="FFFFFF" w:themeColor="background1"/>
              </w:rPr>
            </w:pPr>
            <w:r>
              <w:rPr>
                <w:rFonts w:ascii="Times New Roman" w:hAnsi="Times New Roman"/>
                <w:b/>
                <w:bCs/>
                <w:noProof/>
              </w:rPr>
              <w:t>Acceptance</w:t>
            </w:r>
          </w:p>
        </w:tc>
      </w:tr>
      <w:tr>
        <w:trPr>
          <w:cnfStyle w:val="000000010000" w:firstRow="0" w:lastRow="0" w:firstColumn="0" w:lastColumn="0" w:oddVBand="0" w:evenVBand="0" w:oddHBand="0" w:evenHBand="1" w:firstRowFirstColumn="0" w:firstRowLastColumn="0" w:lastRowFirstColumn="0" w:lastRowLastColumn="0"/>
          <w:trHeight w:val="288"/>
        </w:trPr>
        <w:tc>
          <w:tcPr>
            <w:tcW w:w="5000" w:type="pct"/>
            <w:tcBorders>
              <w:top w:val="single" w:sz="4" w:space="0" w:color="auto"/>
              <w:left w:val="single" w:sz="4" w:space="0" w:color="auto"/>
              <w:bottom w:val="single" w:sz="4" w:space="0" w:color="auto"/>
              <w:right w:val="single" w:sz="4" w:space="0" w:color="auto"/>
            </w:tcBorders>
            <w:vAlign w:val="top"/>
          </w:tcPr>
          <w:p>
            <w:pPr>
              <w:keepNext/>
              <w:keepLines/>
              <w:spacing w:after="60"/>
              <w:rPr>
                <w:rFonts w:ascii="Times New Roman" w:hAnsi="Times New Roman"/>
                <w:noProof/>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 xml:space="preserve">Establishment of general obligation for MS enforcement authorities to accept B2A regulatory information and documentation made available electronically (R). </w:t>
            </w:r>
          </w:p>
          <w:p>
            <w:pPr>
              <w:keepNext/>
              <w:keepLines/>
              <w:numPr>
                <w:ilvl w:val="0"/>
                <w:numId w:val="23"/>
              </w:numPr>
              <w:spacing w:after="60"/>
              <w:contextualSpacing/>
              <w:jc w:val="both"/>
              <w:rPr>
                <w:rFonts w:ascii="Times New Roman" w:eastAsia="Calibri" w:hAnsi="Times New Roman"/>
                <w:bCs/>
                <w:noProof/>
                <w:color w:val="000000"/>
              </w:rPr>
            </w:pPr>
            <w:r>
              <w:rPr>
                <w:rFonts w:ascii="Times New Roman" w:eastAsia="Calibri" w:hAnsi="Times New Roman"/>
                <w:bCs/>
                <w:noProof/>
                <w:color w:val="000000"/>
              </w:rPr>
              <w:t xml:space="preserve">Scope: All regulatory information/documentation required to be evidenced as proof of compliance as specified by EU legislation regulating the conditions of the transport of goods within the EU (cf. Title VI TFEU), as well as specific national provisions that may bear on international freight transport. This includes information evidenced by, but not limited to, contracts of carriage. </w:t>
            </w:r>
          </w:p>
          <w:p>
            <w:pPr>
              <w:keepNext/>
              <w:keepLines/>
              <w:spacing w:after="60"/>
              <w:rPr>
                <w:rFonts w:ascii="Times New Roman" w:hAnsi="Times New Roman"/>
                <w:noProof/>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Amendment of international conventions to remove the limitation of applicability of the conventions' provisions (</w:t>
            </w:r>
            <w:r>
              <w:rPr>
                <w:rFonts w:ascii="Times New Roman" w:hAnsi="Times New Roman"/>
                <w:bCs/>
                <w:noProof/>
                <w:color w:val="000000"/>
              </w:rPr>
              <w:t xml:space="preserve">S) </w:t>
            </w:r>
          </w:p>
          <w:p>
            <w:pPr>
              <w:keepNext/>
              <w:keepLines/>
              <w:spacing w:after="60"/>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Inclusion in relevant EU-third countries bilateral agreements of provisions on mutual acceptance of electronic means for B2A regulatory information / documentation communication (</w:t>
            </w:r>
            <w:r>
              <w:rPr>
                <w:rFonts w:ascii="Times New Roman" w:hAnsi="Times New Roman"/>
                <w:bCs/>
                <w:noProof/>
                <w:color w:val="000000"/>
              </w:rPr>
              <w:t>S)</w:t>
            </w:r>
          </w:p>
          <w:p>
            <w:pPr>
              <w:spacing w:after="60"/>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Awareness raising, training and exchange of experience (</w:t>
            </w:r>
            <w:r>
              <w:rPr>
                <w:rFonts w:ascii="Times New Roman" w:hAnsi="Times New Roman"/>
                <w:bCs/>
                <w:noProof/>
                <w:color w:val="000000"/>
              </w:rPr>
              <w:t>S)</w:t>
            </w:r>
          </w:p>
        </w:tc>
      </w:tr>
      <w:tr>
        <w:trPr>
          <w:cnfStyle w:val="000000100000" w:firstRow="0" w:lastRow="0" w:firstColumn="0" w:lastColumn="0" w:oddVBand="0" w:evenVBand="0" w:oddHBand="1" w:evenHBand="0" w:firstRowFirstColumn="0" w:firstRowLastColumn="0" w:lastRowFirstColumn="0" w:lastRowLastColumn="0"/>
          <w:trHeight w:val="288"/>
          <w:tblHeader/>
        </w:trPr>
        <w:tc>
          <w:tcPr>
            <w:tcW w:w="50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pPr>
              <w:spacing w:after="60"/>
              <w:rPr>
                <w:rFonts w:ascii="Times New Roman" w:hAnsi="Times New Roman"/>
                <w:b/>
                <w:bCs/>
                <w:noProof/>
                <w:color w:val="FFFFFF" w:themeColor="background1"/>
              </w:rPr>
            </w:pPr>
            <w:r>
              <w:rPr>
                <w:rFonts w:ascii="Times New Roman" w:hAnsi="Times New Roman"/>
                <w:b/>
                <w:bCs/>
                <w:noProof/>
              </w:rPr>
              <w:t>Requirements for validity/acceptance/admissibility</w:t>
            </w:r>
          </w:p>
        </w:tc>
      </w:tr>
      <w:tr>
        <w:trPr>
          <w:cnfStyle w:val="000000010000" w:firstRow="0" w:lastRow="0" w:firstColumn="0" w:lastColumn="0" w:oddVBand="0" w:evenVBand="0" w:oddHBand="0" w:evenHBand="1" w:firstRowFirstColumn="0" w:firstRowLastColumn="0" w:lastRowFirstColumn="0" w:lastRowLastColumn="0"/>
          <w:trHeight w:val="288"/>
        </w:trPr>
        <w:tc>
          <w:tcPr>
            <w:tcW w:w="5000" w:type="pct"/>
            <w:tcBorders>
              <w:top w:val="single" w:sz="4" w:space="0" w:color="auto"/>
              <w:left w:val="single" w:sz="4" w:space="0" w:color="auto"/>
              <w:bottom w:val="single" w:sz="4" w:space="0" w:color="auto"/>
              <w:right w:val="single" w:sz="4" w:space="0" w:color="auto"/>
            </w:tcBorders>
            <w:vAlign w:val="top"/>
          </w:tcPr>
          <w:p>
            <w:pPr>
              <w:spacing w:after="60"/>
              <w:rPr>
                <w:rFonts w:ascii="Times New Roman" w:hAnsi="Times New Roman"/>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 xml:space="preserve">Establishment of single set of requirements for acceptance by authorities of B2A regulatory information / documentation made available electronically </w:t>
            </w:r>
            <w:r>
              <w:rPr>
                <w:rFonts w:ascii="Times New Roman" w:hAnsi="Times New Roman"/>
                <w:bCs/>
                <w:noProof/>
                <w:color w:val="000000"/>
              </w:rPr>
              <w:t>(R)</w:t>
            </w:r>
          </w:p>
          <w:p>
            <w:pPr>
              <w:spacing w:after="60"/>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 xml:space="preserve">Amendment of international conventions to align provisions on electronic contracts of carriage </w:t>
            </w:r>
            <w:r>
              <w:rPr>
                <w:rFonts w:ascii="Times New Roman" w:hAnsi="Times New Roman"/>
                <w:bCs/>
                <w:noProof/>
                <w:color w:val="000000"/>
              </w:rPr>
              <w:t xml:space="preserve">(S) or </w:t>
            </w: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 xml:space="preserve">Inclusion of provisions on common requirements in relevant EU-third countries bilateral agreements </w:t>
            </w:r>
            <w:r>
              <w:rPr>
                <w:rFonts w:ascii="Times New Roman" w:hAnsi="Times New Roman"/>
                <w:bCs/>
                <w:noProof/>
                <w:color w:val="000000"/>
              </w:rPr>
              <w:t>(S)</w:t>
            </w:r>
          </w:p>
        </w:tc>
      </w:tr>
      <w:tr>
        <w:trPr>
          <w:cnfStyle w:val="000000100000" w:firstRow="0" w:lastRow="0" w:firstColumn="0" w:lastColumn="0" w:oddVBand="0" w:evenVBand="0" w:oddHBand="1" w:evenHBand="0" w:firstRowFirstColumn="0" w:firstRowLastColumn="0" w:lastRowFirstColumn="0" w:lastRowLastColumn="0"/>
          <w:trHeight w:val="408"/>
        </w:trPr>
        <w:tc>
          <w:tcPr>
            <w:tcW w:w="500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top"/>
          </w:tcPr>
          <w:p>
            <w:pPr>
              <w:spacing w:after="60"/>
              <w:rPr>
                <w:rFonts w:ascii="Times New Roman" w:hAnsi="Times New Roman"/>
                <w:b/>
                <w:bCs/>
                <w:noProof/>
              </w:rPr>
            </w:pPr>
            <w:r>
              <w:rPr>
                <w:rFonts w:ascii="Times New Roman" w:hAnsi="Times New Roman"/>
                <w:b/>
                <w:noProof/>
              </w:rPr>
              <w:t>Administrative procedures</w:t>
            </w:r>
          </w:p>
        </w:tc>
      </w:tr>
      <w:tr>
        <w:trPr>
          <w:cnfStyle w:val="000000010000" w:firstRow="0" w:lastRow="0" w:firstColumn="0" w:lastColumn="0" w:oddVBand="0" w:evenVBand="0" w:oddHBand="0" w:evenHBand="1" w:firstRowFirstColumn="0" w:firstRowLastColumn="0" w:lastRowFirstColumn="0" w:lastRowLastColumn="0"/>
          <w:trHeight w:val="288"/>
        </w:trPr>
        <w:tc>
          <w:tcPr>
            <w:tcW w:w="5000" w:type="pct"/>
            <w:tcBorders>
              <w:top w:val="single" w:sz="4" w:space="0" w:color="auto"/>
              <w:left w:val="single" w:sz="4" w:space="0" w:color="auto"/>
              <w:bottom w:val="single" w:sz="4" w:space="0" w:color="auto"/>
              <w:right w:val="single" w:sz="4" w:space="0" w:color="auto"/>
            </w:tcBorders>
            <w:vAlign w:val="top"/>
          </w:tcPr>
          <w:p>
            <w:pPr>
              <w:spacing w:after="60"/>
              <w:rPr>
                <w:rFonts w:ascii="Times New Roman" w:hAnsi="Times New Roman"/>
                <w:noProof/>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 xml:space="preserve">Review of administrative practices for regulatory controls and information requirements </w:t>
            </w:r>
            <w:r>
              <w:rPr>
                <w:rFonts w:ascii="Times New Roman" w:hAnsi="Times New Roman"/>
                <w:bCs/>
                <w:noProof/>
                <w:color w:val="000000"/>
              </w:rPr>
              <w:t>(R)</w:t>
            </w:r>
            <w:r>
              <w:rPr>
                <w:rFonts w:ascii="Times New Roman" w:hAnsi="Times New Roman"/>
                <w:noProof/>
              </w:rPr>
              <w:t xml:space="preserve"> </w:t>
            </w:r>
          </w:p>
          <w:p>
            <w:pPr>
              <w:spacing w:after="60"/>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 xml:space="preserve">Adoption of aligned procedures for controls, including checks of information requirements </w:t>
            </w:r>
            <w:r>
              <w:rPr>
                <w:rFonts w:ascii="Times New Roman" w:hAnsi="Times New Roman"/>
                <w:bCs/>
                <w:noProof/>
                <w:color w:val="000000"/>
              </w:rPr>
              <w:t>(R)</w:t>
            </w:r>
          </w:p>
        </w:tc>
      </w:tr>
      <w:tr>
        <w:trPr>
          <w:cnfStyle w:val="000000100000" w:firstRow="0" w:lastRow="0" w:firstColumn="0" w:lastColumn="0" w:oddVBand="0" w:evenVBand="0" w:oddHBand="1" w:evenHBand="0" w:firstRowFirstColumn="0" w:firstRowLastColumn="0" w:lastRowFirstColumn="0" w:lastRowLastColumn="0"/>
          <w:trHeight w:val="288"/>
          <w:tblHeader/>
        </w:trPr>
        <w:tc>
          <w:tcPr>
            <w:tcW w:w="50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pPr>
              <w:spacing w:after="60"/>
              <w:rPr>
                <w:rFonts w:ascii="Times New Roman" w:hAnsi="Times New Roman"/>
                <w:b/>
                <w:bCs/>
                <w:noProof/>
              </w:rPr>
            </w:pPr>
            <w:r>
              <w:rPr>
                <w:rFonts w:ascii="Times New Roman" w:hAnsi="Times New Roman"/>
                <w:b/>
                <w:bCs/>
                <w:noProof/>
              </w:rPr>
              <w:t xml:space="preserve">Technical specifications </w:t>
            </w:r>
          </w:p>
        </w:tc>
      </w:tr>
      <w:tr>
        <w:trPr>
          <w:cnfStyle w:val="000000010000" w:firstRow="0" w:lastRow="0" w:firstColumn="0" w:lastColumn="0" w:oddVBand="0" w:evenVBand="0" w:oddHBand="0" w:evenHBand="1" w:firstRowFirstColumn="0" w:firstRowLastColumn="0" w:lastRowFirstColumn="0" w:lastRowLastColumn="0"/>
          <w:trHeight w:val="288"/>
        </w:trPr>
        <w:tc>
          <w:tcPr>
            <w:tcW w:w="5000" w:type="pct"/>
            <w:tcBorders>
              <w:top w:val="single" w:sz="4" w:space="0" w:color="auto"/>
              <w:left w:val="single" w:sz="4" w:space="0" w:color="auto"/>
              <w:bottom w:val="single" w:sz="4" w:space="0" w:color="auto"/>
              <w:right w:val="single" w:sz="4" w:space="0" w:color="auto"/>
            </w:tcBorders>
            <w:vAlign w:val="top"/>
          </w:tcPr>
          <w:p>
            <w:pPr>
              <w:spacing w:after="60"/>
              <w:rPr>
                <w:rFonts w:ascii="Times New Roman" w:hAnsi="Times New Roman"/>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 xml:space="preserve">Establishment of technical specifications for the implementation of the requirements for validity/admissibility of B2A and, respectively, A2B electronic information/documentation communication </w:t>
            </w:r>
            <w:r>
              <w:rPr>
                <w:rFonts w:ascii="Times New Roman" w:hAnsi="Times New Roman"/>
                <w:bCs/>
                <w:noProof/>
                <w:color w:val="000000"/>
              </w:rPr>
              <w:t xml:space="preserve">(R) </w:t>
            </w:r>
          </w:p>
          <w:p>
            <w:pPr>
              <w:numPr>
                <w:ilvl w:val="0"/>
                <w:numId w:val="23"/>
              </w:numPr>
              <w:spacing w:after="60"/>
              <w:contextualSpacing/>
              <w:rPr>
                <w:rFonts w:ascii="Times New Roman" w:eastAsia="Calibri" w:hAnsi="Times New Roman"/>
                <w:noProof/>
              </w:rPr>
            </w:pPr>
            <w:r>
              <w:rPr>
                <w:rFonts w:ascii="Times New Roman" w:eastAsia="Calibri" w:hAnsi="Times New Roman"/>
                <w:noProof/>
              </w:rPr>
              <w:t xml:space="preserve">Mode-specific technical specifications for B2A communication but with </w:t>
            </w:r>
            <w:r>
              <w:rPr>
                <w:rFonts w:ascii="Times New Roman" w:eastAsia="Calibri" w:hAnsi="Times New Roman"/>
                <w:b/>
                <w:bCs/>
                <w:noProof/>
                <w:color w:val="000000"/>
              </w:rPr>
              <w:sym w:font="Wingdings 2" w:char="F050"/>
            </w:r>
            <w:r>
              <w:rPr>
                <w:rFonts w:ascii="Times New Roman" w:eastAsia="Calibri" w:hAnsi="Times New Roman"/>
                <w:noProof/>
              </w:rPr>
              <w:t xml:space="preserve"> common core EU transport data dictionary/ data </w:t>
            </w:r>
          </w:p>
          <w:p>
            <w:pPr>
              <w:numPr>
                <w:ilvl w:val="0"/>
                <w:numId w:val="23"/>
              </w:numPr>
              <w:spacing w:after="60"/>
              <w:contextualSpacing/>
              <w:rPr>
                <w:rFonts w:ascii="Times New Roman" w:eastAsia="Calibri" w:hAnsi="Times New Roman"/>
                <w:noProof/>
              </w:rPr>
            </w:pPr>
            <w:r>
              <w:rPr>
                <w:rFonts w:ascii="Times New Roman" w:eastAsia="Calibri" w:hAnsi="Times New Roman"/>
                <w:noProof/>
              </w:rPr>
              <w:t>(Possibly) Different technical specifications for requirements implementation for A2B documentation</w:t>
            </w:r>
          </w:p>
          <w:p>
            <w:pPr>
              <w:spacing w:after="60"/>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Certification of IT solutions for B2A information communication (R)</w:t>
            </w:r>
          </w:p>
          <w:p>
            <w:pPr>
              <w:spacing w:after="60"/>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 xml:space="preserve">Inclusion of provisions on common technical specifications in relevant EU-third countries bilateral agreements </w:t>
            </w:r>
            <w:r>
              <w:rPr>
                <w:rFonts w:ascii="Times New Roman" w:hAnsi="Times New Roman"/>
                <w:bCs/>
                <w:noProof/>
                <w:color w:val="000000"/>
              </w:rPr>
              <w:t>(S)</w:t>
            </w:r>
          </w:p>
        </w:tc>
      </w:tr>
      <w:tr>
        <w:trPr>
          <w:cnfStyle w:val="000000100000" w:firstRow="0" w:lastRow="0" w:firstColumn="0" w:lastColumn="0" w:oddVBand="0" w:evenVBand="0" w:oddHBand="1" w:evenHBand="0" w:firstRowFirstColumn="0" w:firstRowLastColumn="0" w:lastRowFirstColumn="0" w:lastRowLastColumn="0"/>
          <w:trHeight w:val="288"/>
          <w:tblHeader/>
        </w:trPr>
        <w:tc>
          <w:tcPr>
            <w:tcW w:w="5000" w:type="pct"/>
            <w:tcBorders>
              <w:top w:val="single" w:sz="4" w:space="0" w:color="auto"/>
              <w:left w:val="single" w:sz="4" w:space="0" w:color="auto"/>
              <w:bottom w:val="single" w:sz="4" w:space="0" w:color="auto"/>
              <w:right w:val="single" w:sz="4" w:space="0" w:color="auto"/>
            </w:tcBorders>
            <w:shd w:val="clear" w:color="auto" w:fill="006BB7"/>
            <w:hideMark/>
          </w:tcPr>
          <w:p>
            <w:pPr>
              <w:rPr>
                <w:rFonts w:ascii="Times New Roman" w:hAnsi="Times New Roman"/>
                <w:b/>
                <w:bCs/>
                <w:noProof/>
                <w:color w:val="FFFFFF" w:themeColor="background1"/>
              </w:rPr>
            </w:pPr>
            <w:r>
              <w:rPr>
                <w:rFonts w:ascii="Times New Roman" w:hAnsi="Times New Roman"/>
                <w:b/>
                <w:bCs/>
                <w:noProof/>
                <w:color w:val="FFFFFF" w:themeColor="background1"/>
              </w:rPr>
              <w:t xml:space="preserve">Policy Option 4 – </w:t>
            </w:r>
            <w:bookmarkStart w:id="88" w:name="_Hlk509157345"/>
            <w:r>
              <w:rPr>
                <w:rFonts w:ascii="Times New Roman" w:hAnsi="Times New Roman"/>
                <w:b/>
                <w:bCs/>
                <w:noProof/>
                <w:color w:val="FFFFFF" w:themeColor="background1"/>
              </w:rPr>
              <w:t xml:space="preserve">Full obligation of acceptance for the Member States authorities of regulatory cargo transport information or documentation, with fully harmonised implementation  </w:t>
            </w:r>
            <w:bookmarkEnd w:id="88"/>
            <w:r>
              <w:rPr>
                <w:rFonts w:ascii="Times New Roman" w:hAnsi="Times New Roman"/>
                <w:b/>
                <w:bCs/>
                <w:noProof/>
                <w:color w:val="FFFFFF" w:themeColor="background1"/>
              </w:rPr>
              <w:t>(PO4)</w:t>
            </w:r>
          </w:p>
        </w:tc>
      </w:tr>
      <w:tr>
        <w:trPr>
          <w:cnfStyle w:val="000000010000" w:firstRow="0" w:lastRow="0" w:firstColumn="0" w:lastColumn="0" w:oddVBand="0" w:evenVBand="0" w:oddHBand="0" w:evenHBand="1" w:firstRowFirstColumn="0" w:firstRowLastColumn="0" w:lastRowFirstColumn="0" w:lastRowLastColumn="0"/>
          <w:trHeight w:val="288"/>
        </w:trPr>
        <w:tc>
          <w:tcPr>
            <w:tcW w:w="500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top"/>
          </w:tcPr>
          <w:p>
            <w:pPr>
              <w:spacing w:after="60"/>
              <w:rPr>
                <w:rFonts w:ascii="Times New Roman" w:hAnsi="Times New Roman"/>
                <w:b/>
                <w:bCs/>
                <w:noProof/>
                <w:color w:val="FFFFFF" w:themeColor="background1"/>
              </w:rPr>
            </w:pPr>
            <w:r>
              <w:rPr>
                <w:rFonts w:ascii="Times New Roman" w:hAnsi="Times New Roman"/>
                <w:b/>
                <w:bCs/>
                <w:noProof/>
              </w:rPr>
              <w:t>Acceptance</w:t>
            </w:r>
          </w:p>
        </w:tc>
      </w:tr>
      <w:tr>
        <w:trPr>
          <w:cnfStyle w:val="000000100000" w:firstRow="0" w:lastRow="0" w:firstColumn="0" w:lastColumn="0" w:oddVBand="0" w:evenVBand="0" w:oddHBand="1" w:evenHBand="0" w:firstRowFirstColumn="0" w:firstRowLastColumn="0" w:lastRowFirstColumn="0" w:lastRowLastColumn="0"/>
          <w:trHeight w:val="288"/>
        </w:trPr>
        <w:tc>
          <w:tcPr>
            <w:tcW w:w="5000" w:type="pct"/>
            <w:tcBorders>
              <w:top w:val="single" w:sz="4" w:space="0" w:color="auto"/>
              <w:left w:val="single" w:sz="4" w:space="0" w:color="auto"/>
              <w:bottom w:val="single" w:sz="4" w:space="0" w:color="auto"/>
              <w:right w:val="single" w:sz="4" w:space="0" w:color="auto"/>
            </w:tcBorders>
            <w:vAlign w:val="top"/>
          </w:tcPr>
          <w:p>
            <w:pPr>
              <w:spacing w:after="60"/>
              <w:rPr>
                <w:rFonts w:ascii="Times New Roman" w:hAnsi="Times New Roman"/>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bCs/>
                <w:noProof/>
                <w:color w:val="000000"/>
              </w:rPr>
              <w:t xml:space="preserve">Same as PO3 </w:t>
            </w:r>
          </w:p>
        </w:tc>
      </w:tr>
      <w:tr>
        <w:trPr>
          <w:cnfStyle w:val="000000010000" w:firstRow="0" w:lastRow="0" w:firstColumn="0" w:lastColumn="0" w:oddVBand="0" w:evenVBand="0" w:oddHBand="0" w:evenHBand="1" w:firstRowFirstColumn="0" w:firstRowLastColumn="0" w:lastRowFirstColumn="0" w:lastRowLastColumn="0"/>
          <w:trHeight w:val="288"/>
          <w:tblHeader/>
        </w:trPr>
        <w:tc>
          <w:tcPr>
            <w:tcW w:w="50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pPr>
              <w:spacing w:after="60"/>
              <w:rPr>
                <w:rFonts w:ascii="Times New Roman" w:hAnsi="Times New Roman"/>
                <w:b/>
                <w:bCs/>
                <w:noProof/>
                <w:color w:val="FFFFFF" w:themeColor="background1"/>
              </w:rPr>
            </w:pPr>
            <w:r>
              <w:rPr>
                <w:rFonts w:ascii="Times New Roman" w:hAnsi="Times New Roman"/>
                <w:b/>
                <w:bCs/>
                <w:noProof/>
              </w:rPr>
              <w:t>Requirements for validity/acceptance/admissibility</w:t>
            </w:r>
          </w:p>
        </w:tc>
      </w:tr>
      <w:tr>
        <w:trPr>
          <w:cnfStyle w:val="000000100000" w:firstRow="0" w:lastRow="0" w:firstColumn="0" w:lastColumn="0" w:oddVBand="0" w:evenVBand="0" w:oddHBand="1" w:evenHBand="0" w:firstRowFirstColumn="0" w:firstRowLastColumn="0" w:lastRowFirstColumn="0" w:lastRowLastColumn="0"/>
          <w:trHeight w:val="288"/>
        </w:trPr>
        <w:tc>
          <w:tcPr>
            <w:tcW w:w="5000" w:type="pct"/>
            <w:tcBorders>
              <w:top w:val="single" w:sz="4" w:space="0" w:color="auto"/>
              <w:left w:val="single" w:sz="4" w:space="0" w:color="auto"/>
              <w:bottom w:val="single" w:sz="4" w:space="0" w:color="auto"/>
              <w:right w:val="single" w:sz="4" w:space="0" w:color="auto"/>
            </w:tcBorders>
            <w:vAlign w:val="top"/>
          </w:tcPr>
          <w:p>
            <w:pPr>
              <w:spacing w:after="60"/>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bCs/>
                <w:noProof/>
                <w:color w:val="000000"/>
              </w:rPr>
              <w:t>Same as PO3</w:t>
            </w:r>
          </w:p>
        </w:tc>
      </w:tr>
      <w:tr>
        <w:trPr>
          <w:cnfStyle w:val="000000010000" w:firstRow="0" w:lastRow="0" w:firstColumn="0" w:lastColumn="0" w:oddVBand="0" w:evenVBand="0" w:oddHBand="0" w:evenHBand="1" w:firstRowFirstColumn="0" w:firstRowLastColumn="0" w:lastRowFirstColumn="0" w:lastRowLastColumn="0"/>
          <w:trHeight w:val="408"/>
        </w:trPr>
        <w:tc>
          <w:tcPr>
            <w:tcW w:w="500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top"/>
          </w:tcPr>
          <w:p>
            <w:pPr>
              <w:spacing w:after="60"/>
              <w:rPr>
                <w:rFonts w:ascii="Times New Roman" w:hAnsi="Times New Roman"/>
                <w:b/>
                <w:bCs/>
                <w:noProof/>
                <w:color w:val="000000"/>
              </w:rPr>
            </w:pPr>
            <w:r>
              <w:rPr>
                <w:rFonts w:ascii="Times New Roman" w:hAnsi="Times New Roman"/>
                <w:b/>
                <w:noProof/>
              </w:rPr>
              <w:t>Alignement of administrative procedures</w:t>
            </w:r>
          </w:p>
        </w:tc>
      </w:tr>
      <w:tr>
        <w:trPr>
          <w:cnfStyle w:val="000000100000" w:firstRow="0" w:lastRow="0" w:firstColumn="0" w:lastColumn="0" w:oddVBand="0" w:evenVBand="0" w:oddHBand="1" w:evenHBand="0" w:firstRowFirstColumn="0" w:firstRowLastColumn="0" w:lastRowFirstColumn="0" w:lastRowLastColumn="0"/>
          <w:trHeight w:val="288"/>
        </w:trPr>
        <w:tc>
          <w:tcPr>
            <w:tcW w:w="5000" w:type="pct"/>
            <w:tcBorders>
              <w:top w:val="single" w:sz="4" w:space="0" w:color="auto"/>
              <w:left w:val="single" w:sz="4" w:space="0" w:color="auto"/>
              <w:bottom w:val="single" w:sz="4" w:space="0" w:color="auto"/>
              <w:right w:val="single" w:sz="4" w:space="0" w:color="auto"/>
            </w:tcBorders>
            <w:vAlign w:val="top"/>
          </w:tcPr>
          <w:p>
            <w:pPr>
              <w:spacing w:after="60"/>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bCs/>
                <w:noProof/>
                <w:color w:val="000000"/>
              </w:rPr>
              <w:t>Same as PO3</w:t>
            </w:r>
          </w:p>
        </w:tc>
      </w:tr>
      <w:tr>
        <w:trPr>
          <w:cnfStyle w:val="000000010000" w:firstRow="0" w:lastRow="0" w:firstColumn="0" w:lastColumn="0" w:oddVBand="0" w:evenVBand="0" w:oddHBand="0" w:evenHBand="1" w:firstRowFirstColumn="0" w:firstRowLastColumn="0" w:lastRowFirstColumn="0" w:lastRowLastColumn="0"/>
          <w:trHeight w:val="288"/>
          <w:tblHeader/>
        </w:trPr>
        <w:tc>
          <w:tcPr>
            <w:tcW w:w="50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pPr>
              <w:spacing w:after="60"/>
              <w:rPr>
                <w:rFonts w:ascii="Times New Roman" w:hAnsi="Times New Roman"/>
                <w:b/>
                <w:bCs/>
                <w:noProof/>
              </w:rPr>
            </w:pPr>
            <w:r>
              <w:rPr>
                <w:rFonts w:ascii="Times New Roman" w:hAnsi="Times New Roman"/>
                <w:b/>
                <w:bCs/>
                <w:noProof/>
              </w:rPr>
              <w:t xml:space="preserve">Technical specifications </w:t>
            </w:r>
          </w:p>
        </w:tc>
      </w:tr>
      <w:tr>
        <w:trPr>
          <w:cnfStyle w:val="000000100000" w:firstRow="0" w:lastRow="0" w:firstColumn="0" w:lastColumn="0" w:oddVBand="0" w:evenVBand="0" w:oddHBand="1" w:evenHBand="0" w:firstRowFirstColumn="0" w:firstRowLastColumn="0" w:lastRowFirstColumn="0" w:lastRowLastColumn="0"/>
          <w:trHeight w:val="288"/>
        </w:trPr>
        <w:tc>
          <w:tcPr>
            <w:tcW w:w="5000" w:type="pct"/>
            <w:tcBorders>
              <w:top w:val="single" w:sz="4" w:space="0" w:color="auto"/>
              <w:left w:val="single" w:sz="4" w:space="0" w:color="auto"/>
              <w:bottom w:val="single" w:sz="4" w:space="0" w:color="auto"/>
              <w:right w:val="single" w:sz="4" w:space="0" w:color="auto"/>
            </w:tcBorders>
            <w:vAlign w:val="top"/>
          </w:tcPr>
          <w:p>
            <w:pPr>
              <w:spacing w:after="60"/>
              <w:rPr>
                <w:rFonts w:ascii="Times New Roman" w:hAnsi="Times New Roman"/>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 xml:space="preserve">Establishment of technical specifications for the implementation of the requirements for validity/admissibility of B2A and A2B electronic information/documentation communication </w:t>
            </w:r>
            <w:r>
              <w:rPr>
                <w:rFonts w:ascii="Times New Roman" w:hAnsi="Times New Roman"/>
                <w:bCs/>
                <w:noProof/>
                <w:color w:val="000000"/>
              </w:rPr>
              <w:t xml:space="preserve">(R) </w:t>
            </w:r>
          </w:p>
          <w:p>
            <w:pPr>
              <w:numPr>
                <w:ilvl w:val="0"/>
                <w:numId w:val="23"/>
              </w:numPr>
              <w:spacing w:after="60"/>
              <w:contextualSpacing/>
              <w:rPr>
                <w:rFonts w:ascii="Times New Roman" w:hAnsi="Times New Roman"/>
                <w:noProof/>
              </w:rPr>
            </w:pPr>
            <w:r>
              <w:rPr>
                <w:rFonts w:ascii="Times New Roman" w:eastAsia="Calibri" w:hAnsi="Times New Roman"/>
                <w:noProof/>
              </w:rPr>
              <w:t xml:space="preserve">Common </w:t>
            </w:r>
            <w:r>
              <w:rPr>
                <w:rFonts w:ascii="Times New Roman" w:hAnsi="Times New Roman"/>
                <w:noProof/>
              </w:rPr>
              <w:t>technical specifications</w:t>
            </w:r>
            <w:r>
              <w:rPr>
                <w:rFonts w:ascii="Times New Roman" w:eastAsia="Calibri" w:hAnsi="Times New Roman"/>
                <w:noProof/>
              </w:rPr>
              <w:t xml:space="preserve"> for requirements implementation for all B2A communication in </w:t>
            </w:r>
            <w:r>
              <w:rPr>
                <w:rFonts w:ascii="Times New Roman" w:eastAsia="Calibri" w:hAnsi="Times New Roman"/>
                <w:b/>
                <w:i/>
                <w:noProof/>
              </w:rPr>
              <w:t>all</w:t>
            </w:r>
            <w:r>
              <w:rPr>
                <w:rFonts w:ascii="Times New Roman" w:eastAsia="Calibri" w:hAnsi="Times New Roman"/>
                <w:noProof/>
              </w:rPr>
              <w:t xml:space="preserve"> transport modes </w:t>
            </w:r>
          </w:p>
          <w:p>
            <w:pPr>
              <w:spacing w:after="60"/>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Certification of IT solutions for B2A information communication (R)</w:t>
            </w:r>
          </w:p>
          <w:p>
            <w:pPr>
              <w:spacing w:after="60"/>
              <w:rPr>
                <w:rFonts w:ascii="Times New Roman" w:hAnsi="Times New Roman"/>
                <w:b/>
                <w:bCs/>
                <w:noProof/>
                <w:color w:val="000000"/>
              </w:rPr>
            </w:pPr>
            <w:r>
              <w:rPr>
                <w:rFonts w:ascii="Times New Roman" w:hAnsi="Times New Roman"/>
                <w:b/>
                <w:bCs/>
                <w:noProof/>
                <w:color w:val="000000"/>
              </w:rPr>
              <w:sym w:font="Wingdings 2" w:char="F050"/>
            </w:r>
            <w:r>
              <w:rPr>
                <w:rFonts w:ascii="Times New Roman" w:hAnsi="Times New Roman"/>
                <w:b/>
                <w:bCs/>
                <w:noProof/>
                <w:color w:val="000000"/>
              </w:rPr>
              <w:t xml:space="preserve"> </w:t>
            </w:r>
            <w:r>
              <w:rPr>
                <w:rFonts w:ascii="Times New Roman" w:hAnsi="Times New Roman"/>
                <w:noProof/>
              </w:rPr>
              <w:t xml:space="preserve">Inclusion of provisions on common technical specifications in relevant EU-third countries bilateral agreements </w:t>
            </w:r>
            <w:r>
              <w:rPr>
                <w:rFonts w:ascii="Times New Roman" w:hAnsi="Times New Roman"/>
                <w:bCs/>
                <w:noProof/>
                <w:color w:val="000000"/>
              </w:rPr>
              <w:t>(S)</w:t>
            </w:r>
          </w:p>
        </w:tc>
      </w:tr>
    </w:tbl>
    <w:p>
      <w:pPr>
        <w:pStyle w:val="ManualHeading2"/>
        <w:rPr>
          <w:noProof/>
        </w:rPr>
      </w:pPr>
      <w:bookmarkStart w:id="89" w:name="_Toc512854920"/>
      <w:r>
        <w:rPr>
          <w:noProof/>
        </w:rPr>
        <w:t>5.3</w:t>
      </w:r>
      <w:r>
        <w:rPr>
          <w:noProof/>
        </w:rPr>
        <w:tab/>
        <w:t>How do the policy options differ</w:t>
      </w:r>
      <w:bookmarkEnd w:id="89"/>
    </w:p>
    <w:p>
      <w:pPr>
        <w:pStyle w:val="Heading3"/>
        <w:rPr>
          <w:noProof/>
        </w:rPr>
      </w:pPr>
      <w:bookmarkStart w:id="90" w:name="_Toc512854921"/>
      <w:r>
        <w:rPr>
          <w:noProof/>
        </w:rPr>
        <w:t>Material scope: transport contracts vs regulatory information evidence</w:t>
      </w:r>
      <w:bookmarkEnd w:id="90"/>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scope of policy intervention is limited in PO1 and PO2 to those transport documents which serve as (international) contracts of carriage. In PO3 and PO4, this scope is enlarged to include any document which, due to its information content, may serve as evidence of compliance of a determined transport operation with the applicable regulatory conditions on the EU Member States' territory.  The justification of limiting the focus of some policy options to the transport contracts lies, on the one hand, in the nature and functions of the document and, on the other hand, in the urge expressed by a good number of stakeholders that there might be merits in "starting small", as it would allow unlocking some immediate potential</w:t>
      </w:r>
      <w:r>
        <w:rPr>
          <w:rStyle w:val="FootnoteReference"/>
          <w:rFonts w:ascii="Times New Roman" w:hAnsi="Times New Roman" w:cs="Times New Roman"/>
          <w:noProof/>
          <w:sz w:val="24"/>
          <w:szCs w:val="24"/>
        </w:rPr>
        <w:footnoteReference w:id="93"/>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transport contracts are the main documents currently used by businesses, and requested by authorities for inspection, to evidence compliance with transport conditions. They contain an important part of the information required by the authorities, and they also constitute proof of the legitimate possession of the goods. Unlike most other documents used to communicate freight transport information, the contracts of carriage are central and indispensable to a transport operation. In addition, not all business stakeholders come in contact with the other transport documents with the same frequency. Shippers (i.e. sellers of the goods) come relatively less frequently in contact with them than the freight forwarders, which come less frequently with them than the carriers. Yet almost all categories of these stakeholders come in contact with the contract of carriage</w:t>
      </w:r>
      <w:r>
        <w:rPr>
          <w:rStyle w:val="FootnoteReference"/>
          <w:rFonts w:ascii="Times New Roman" w:hAnsi="Times New Roman" w:cs="Times New Roman"/>
          <w:noProof/>
          <w:sz w:val="24"/>
          <w:szCs w:val="24"/>
        </w:rPr>
        <w:footnoteReference w:id="94"/>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Most stakeholders initially indicated that the acceptance of these transport documents by the authorities was their main concern, and this was also reflected in the various formal takes of position on the issue of digitalisation of transport documents. The acceptance of the electronic road consignment note, currently characterised by the lowest level of use and acceptance relative to the other mode-specific transport contracts, has been particularly highlighted</w:t>
      </w:r>
      <w:r>
        <w:rPr>
          <w:rStyle w:val="FootnoteReference"/>
          <w:rFonts w:ascii="Times New Roman" w:hAnsi="Times New Roman" w:cs="Times New Roman"/>
          <w:noProof/>
          <w:sz w:val="24"/>
          <w:szCs w:val="24"/>
        </w:rPr>
        <w:footnoteReference w:id="95"/>
      </w:r>
      <w:r>
        <w:rPr>
          <w:rFonts w:ascii="Times New Roman" w:hAnsi="Times New Roman" w:cs="Times New Roman"/>
          <w:noProof/>
          <w:sz w:val="24"/>
          <w:szCs w:val="24"/>
        </w:rPr>
        <w:t>. Consequently, an exclusive focus on the international transport contracts, and particularly as defined by the mode-specific international conventions, was the starting point of this impact assessment. This was clearly indicated in the inception impact assessment (IIA) report. None of the reactions received to the IIA had challenged that focus</w:t>
      </w:r>
      <w:r>
        <w:rPr>
          <w:rStyle w:val="FootnoteReference"/>
          <w:rFonts w:ascii="Times New Roman" w:hAnsi="Times New Roman" w:cs="Times New Roman"/>
          <w:noProof/>
          <w:sz w:val="24"/>
          <w:szCs w:val="24"/>
        </w:rPr>
        <w:footnoteReference w:id="96"/>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shift in focus came as a result of the wider and more in-depth stakeholder consultation. This became clear particularly in discussions with rail and aviation stakeholders, where the degree of digitalisation of the transport contracts is most advanced. According to them, the reason why penetration rates had remained rather low (or at least lower than anticipated), was the fact that the digital solutions developed focused only on the transport contracts. For many companies, that significantly dented the business case for investment in such solutions, if the rest of the documents had to be circulated in paper</w:t>
      </w:r>
      <w:r>
        <w:rPr>
          <w:rStyle w:val="FootnoteReference"/>
          <w:rFonts w:ascii="Times New Roman" w:hAnsi="Times New Roman" w:cs="Times New Roman"/>
          <w:noProof/>
          <w:sz w:val="24"/>
          <w:szCs w:val="24"/>
        </w:rPr>
        <w:footnoteReference w:id="97"/>
      </w:r>
      <w:r>
        <w:rPr>
          <w:rFonts w:ascii="Times New Roman" w:hAnsi="Times New Roman" w:cs="Times New Roman"/>
          <w:noProof/>
          <w:sz w:val="24"/>
          <w:szCs w:val="24"/>
        </w:rPr>
        <w:t>. This was also confirmed by several other stakeholder groups' representatives, including from the maritime sector and those whose business activities span more than one transport mode. In addition, a large number of stakeholders made a strong call to avoid aiming to simply reproduce current paper documents and business processes in a digital environment. Rather, digitalisation opens up important opportunities to rethink and optimise such processes</w:t>
      </w:r>
      <w:r>
        <w:rPr>
          <w:rStyle w:val="FootnoteReference"/>
          <w:rFonts w:ascii="Times New Roman" w:hAnsi="Times New Roman" w:cs="Times New Roman"/>
          <w:noProof/>
          <w:sz w:val="24"/>
          <w:szCs w:val="24"/>
        </w:rPr>
        <w:footnoteReference w:id="98"/>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stakeholder consultation activities also revealed relatively broader support for a wider rather than narrower approach to the scope of the policy intervention. However, the results also highlighted that there would be significant support – about half of the stakeholders consulted – for a more narrowly based intervention. Thus, while 40 of the 100 OPC respondents indicated that electronic means should also be used for the other documents, 54 were undecided. Similarly, 137 of the respondents to the SME panel were not sure whether it was necessary at this stage to pursue also the digitalisation of the other transport documents, against 101 which thought that they should. </w:t>
      </w:r>
    </w:p>
    <w:p>
      <w:pPr>
        <w:pStyle w:val="Heading3"/>
        <w:rPr>
          <w:noProof/>
        </w:rPr>
      </w:pPr>
      <w:bookmarkStart w:id="91" w:name="_Toc512854922"/>
      <w:r>
        <w:rPr>
          <w:noProof/>
        </w:rPr>
        <w:t>The legal equivalence of the electronic transport contracts and the admissibility as proof of regulatory compliance</w:t>
      </w:r>
      <w:bookmarkEnd w:id="91"/>
      <w:r>
        <w:rPr>
          <w:noProof/>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An important difference between the policy options retained for further impact assessment consideration lies in whether the options concern also the validity of the electronic transport contract, as a commercial contract, in addition to the admissibility of the electronic form this document, alongside any other documents/information electronically presented, as evidence (i.e. valid source of information) of compliance with the regulatory requirements. This distinction is closely related to the difference in the material scope of the different options.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Only PO1 addresses, and only partly, the issue of validity of the contracts by a regulatory measure, by ensuring adherence by all Member States to the road e-CMR protocol. As highlighted earlier in the analysis in section 2.2.1, this protocol is the only one among the mode-specific conventions which does not subject the validity of the electronic transport contract to national rules related to the validity of the commercial contracts. As such, both acceptance by authorities, including courts, and by all commercial partners, would be warranted. In all other cases – i.e. of the other mode specific transport contracts under option 1, and of all the other (modal) transport contracts under PO2, PO3 and PO4 – the validity of the transport contract would remain dependable on national rules concerning the validity of the commercial contracts. While the eIDAS Regulation would in principle cover the aspect of acceptance of the electronically evidenced contracts by courts, if national legislation conditions acceptance of the electronic evidence to other requirements, related to aspects such as the authenticity or integrity of the document/information, those national law-specific conditions would need to be complied with in order for the electronic document to be accepted.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By contrast, all options would ensure, though to various degrees, the acceptance of the electronic transport contracts as evidence of compliance with regulatory conditions for the transport of goods in the different Member States. By providing clear requirements, as well as technical specifications for the implementation of these requirements, as regards the conditions for acceptance (such as authenticity, integrity) of the regulatory information made available electronically, PO3 and PO4 would also provide uniform conditions that MS courts could take into account when considering the admissibility of the electronic documents containing this information, including electronic contracts, as evidence (i.e. valid source of information). These two options would ensure admissibility at least in administrative legal proceedings, namely in case of dispute between the authorities and the commercial party which presented them over the admissibility of the electronic document as evidence of compliance with regulatory transport conditions. In civil legal proceedings, namely disputes between private parties, national rules on the validity of the transport/commercial contracts would still impact the extent to which the parties could enforce their rights deriving from that contract in a court of law. </w:t>
      </w:r>
    </w:p>
    <w:p>
      <w:pPr>
        <w:pStyle w:val="Heading3"/>
        <w:rPr>
          <w:noProof/>
        </w:rPr>
      </w:pPr>
      <w:bookmarkStart w:id="92" w:name="_Toc512854923"/>
      <w:r>
        <w:rPr>
          <w:noProof/>
        </w:rPr>
        <w:t>The role of international conventions and bilateral agreements with third parties as policy intervention instruments</w:t>
      </w:r>
      <w:bookmarkEnd w:id="92"/>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international conventions concerned by this initiative, and considered in the context of the policy options, are those governing the mode-specific international contracts of carriage. As highlighted in the analysis in section 2.2.1 above, these conventions concern strictly the conditions of – i.e. the rights and obligations of the parties to – an   international transport contract, and the requirements these contracts need to fulfil in order to trigger the application of these conditions. These conditions relate to the information content of the contract, and to its form, specifically under what conditions the electronic form of a contract is legally equivalent to a paper-based document.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is no provision in these conventions obliging the authorities to accept these documents, either electronically or on paper. Furthermore, no European or Member State</w:t>
      </w:r>
      <w:r>
        <w:rPr>
          <w:rStyle w:val="FootnoteReference"/>
          <w:rFonts w:ascii="Times New Roman" w:hAnsi="Times New Roman" w:cs="Times New Roman"/>
          <w:noProof/>
          <w:sz w:val="24"/>
          <w:szCs w:val="24"/>
        </w:rPr>
        <w:footnoteReference w:id="99"/>
      </w:r>
      <w:r>
        <w:rPr>
          <w:rFonts w:ascii="Times New Roman" w:hAnsi="Times New Roman" w:cs="Times New Roman"/>
          <w:noProof/>
          <w:sz w:val="24"/>
          <w:szCs w:val="24"/>
        </w:rPr>
        <w:t xml:space="preserve"> law obliges businesses to use these specific contracts (as defined by the conventions) and to carry them along in order to have it available for inspection</w:t>
      </w:r>
      <w:r>
        <w:rPr>
          <w:rStyle w:val="FootnoteReference"/>
          <w:rFonts w:ascii="Times New Roman" w:hAnsi="Times New Roman" w:cs="Times New Roman"/>
          <w:noProof/>
          <w:sz w:val="24"/>
          <w:szCs w:val="24"/>
        </w:rPr>
        <w:footnoteReference w:id="100"/>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practice however, contracts concluded according with these conventions are those most often used by the businesses, as they contain clearly defined, standard contract conditions. As highlighted earlier, the transport contract is also the document most frequently requested for vision by the authorities. For this reason, measures concerning adherence to or transposition of the provisions of the international conventions, as well as future amendment of these provisions, are part of all retained policy options. But these measures play different roles, with different impacts, including on the timing, of the implementation of the policy options considered.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context of PO1, international conventions constitute the main instruments for implementation. This option foresees an EU legal act that would require adherence to the international conventions. PO2 would transpose these conventions provisions, by requiring Member States to recognise the legal equivalence of the electronic transport contracts as defined by these conventions but, in addition, would also seek to align and supplement these conventions' requirements related to the electronic form of the document, into a single and common across all modes set of criteria.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Since the timing for the implementation of the related measures would be no different than for ordinary legislation, such options would therefore speed up the process of acceptance by Member States authorities of these transport documents, compared with the baseline scenario. PO2 would also ensure a more uniformly applicable set of rules as regards the acceptance, and the requirements for acceptance of, the electronic form of these documents as legally equivalent to their paper version</w:t>
      </w:r>
      <w:r>
        <w:rPr>
          <w:rStyle w:val="FootnoteReference"/>
          <w:rFonts w:ascii="Times New Roman" w:hAnsi="Times New Roman" w:cs="Times New Roman"/>
          <w:noProof/>
          <w:sz w:val="24"/>
          <w:szCs w:val="24"/>
        </w:rPr>
        <w:footnoteReference w:id="101"/>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context of PO3 and PO4, the international conventions are no longer the reference point. As the scope of the intervention is enlarged to cover any “documents” (or “evidence”) that contain the regulatory information required by the EU and national laws regulating the conditions of freight carriage on the EU Member States' territory, the acceptance by authorities of electronic documents (or rather of the information contained therein) is achieved by dedicated regulatory measures, in the framework of an EU legal act. International conventions are concerned only by support measures, aimed at ensuring voluntary adherence by all Member States to the international conventions. The goal is to ensure a uniform global framework to further facilitate B2B use of these electronic contracts, and particularly in the international transport originating or ending outside the EU.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Measures aimed at the amendment of these conventions are also relevant to all options, in different ways. The purpose of these measures is to align and better specify the various mode specific requirements related to the legal equivalence (validity) of the electronic form of the international transport contracts. Under PO1, it would be the only measure that would ensure alignment of the (technical) requirements concerning the validity of the different mode-specific electronic contracts. Under PO2, PO3 and PO4, this requirements alignment would be achieved through specific regulatory measures. The amendment of the international conventions would however remain a useful instrument to further facilitate the use of electronic contracts in the international transport originating or ending outside the EU, by ensuring their acceptance also by third countries, under similar conditions as by EU Member States.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Experience suggests that the amendment of international conventions may take several years, and their entry into force remains dependent on the ratification of a certain minimum number of Member States. This would particularly impact on the timing for the implementation of PO1, which relies primarily on these conventions to provide a uniform EU framework concerning the validity of the electronic transport contracts. The timing would also vary depending on the transport mode. In rail and aviation sector, the EU itself is party to the respective international conventions. This should facilitate negotiations, at least as regards the EU Member States positions. This is however not the case for the other mode specific international conventions.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Under PO2, PO3 and PO4, the impact on timing would be more limited since, as explained earlier, the amendment of these conventions is not central to the implementation of this initiative. In addition, all these options foresee measures related to the inclusion, in relevant bilateral EU – third countries agreements, as alternative, or "bridge" measure until the international conventions are amended.</w:t>
      </w:r>
      <w:r>
        <w:rPr>
          <w:noProof/>
        </w:rPr>
        <w:t xml:space="preserve"> </w:t>
      </w:r>
      <w:r>
        <w:rPr>
          <w:rFonts w:ascii="Times New Roman" w:hAnsi="Times New Roman" w:cs="Times New Roman"/>
          <w:noProof/>
          <w:sz w:val="24"/>
          <w:szCs w:val="24"/>
        </w:rPr>
        <w:t>These bilateral agreements provisions would also supplement international conventions provisions by (i) ensuring mutual acceptance by the authorities of the Member States and of the third countries concerned of the electronic transport information (when provided by commercial parties established on the others' territory), in the case of PO2, PO3 and PO4; and (ii) agreeing on more detailed technical requirements for implementation (of the obligation of acceptance by authorities), under PO3 and PO4.</w:t>
      </w:r>
    </w:p>
    <w:p>
      <w:pPr>
        <w:pStyle w:val="Heading3"/>
        <w:rPr>
          <w:noProof/>
        </w:rPr>
      </w:pPr>
      <w:bookmarkStart w:id="93" w:name="_Toc512854924"/>
      <w:r>
        <w:rPr>
          <w:noProof/>
        </w:rPr>
        <w:t>Technical specifications for implementation</w:t>
      </w:r>
      <w:bookmarkEnd w:id="93"/>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All options contain measures aimed at providing further technical specifications for the implementation of the requirements for the validity/admissibility of the information or documents made available to the authorities by electronic means. The aim of these measures is to ensure the interoperability of these electronic means, in particular with the Member States' systems for reception and control of the electronic information/documentation, both as currently developed as a result of obligations stemming from other EU legal acts (the UCC and RFD in particular), and as they will be developed in the framework of the implementation of this initiative.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case of PO1 and PO2, these measures would take the form of support measures for voluntary cooperation and coordination among the Member States, including in the implementation of proposed non-binding implementation guidelines by the Commission. In the case of PO3 and PO4, these would take the form of regulatory provisions, in the framework of the proposed EU legal act. More specifically, these are proposed to be adopted by means of implementing or delegated regulations, which would be based on a dedicated impact assessment.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main difference between PO3 and PO4 in this regard is the extent to which these technical specifications will be harmonised across the different transport modes, to ensure interoperability. PO4 proposes that these specifications are fully common, whereas PO3 proposes a middle-ground solution, where only a minimum set of specifications would be fully common, while other specifications would take into account mode-specificities. The aim is to ensure a minimum level of interoperability across the mode-specific technical solutions and which, according to stakeholder feed-back requires, at a minimum, interoperability at data level, while trying to avoid excessive costs for adaptation of current mode-specific solutions to  "one-size-fits-all" specifications, particularly for those modes where well-established solutions are already in place, such as in the rail and aviation sector and, to a lesser extent, maritime (i.e. as related to the maritime single window). Any proposal in this regard would, nonetheless, be based on a specifically dedicated impact assessment.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Under all options, the technical specifications related measures are envisaged to comply with the principle of technological neutrality, i.e. to accommodate any technological solution, currently available or that would be developed in the future, which would comply with the technical specifications which would be established. Under no option, including PO3 and PO4, a preferred technological solution, however promising to address the various requirements, particularly as regards authenticity and integrity of the electronic information/documents, like for example block-chain, would be indicated by the legal provisions. Furthermore, in the case PO3 and PO4, a governance mechanism would also be established, that would allow the regular review of these technical specifications to ensure that they do not exclude possible technological solutions developed by the market following the adoption of these specifications, but which would allow the implementation of the (technical) requirements established by the main legal act.</w:t>
      </w:r>
    </w:p>
    <w:p>
      <w:pPr>
        <w:pStyle w:val="Heading1"/>
        <w:rPr>
          <w:noProof/>
        </w:rPr>
      </w:pPr>
      <w:bookmarkStart w:id="94" w:name="_Toc506397016"/>
      <w:bookmarkStart w:id="95" w:name="_Toc506397593"/>
      <w:bookmarkStart w:id="96" w:name="_Toc512854925"/>
      <w:bookmarkEnd w:id="79"/>
      <w:r>
        <w:rPr>
          <w:noProof/>
        </w:rPr>
        <w:t>What are the impacts of the policy options</w:t>
      </w:r>
      <w:r>
        <w:rPr>
          <w:rStyle w:val="FootnoteReference"/>
          <w:noProof/>
        </w:rPr>
        <w:footnoteReference w:id="102"/>
      </w:r>
      <w:r>
        <w:rPr>
          <w:noProof/>
        </w:rPr>
        <w:t>?</w:t>
      </w:r>
      <w:bookmarkEnd w:id="94"/>
      <w:bookmarkEnd w:id="95"/>
      <w:bookmarkEnd w:id="96"/>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This section summarizes the main expected economic, social and environmental impacts of each policy option. The analysis includes specific assessment of impacts on SMEs. An important assumption for the assessment of administrative costs savings for businesses is that under all policy options we treat the introduction of electronic information and documentation exchange as fully substituting paper-documents (and not complementing it). In practice, the magnitude of relevant effects on costs for businesses might be smaller, given that under no option the use of paper documents is banned. On the other hand, businesses will be given the choice to continue with paper formalities if they consider it more cost-efficient.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An important limitation to the analysis is the scarcity and incompleteness of relevant data, in particular on the distribution of costs between various market players (e.g. operators against shippers/forwarders). Wherever possible, assumptions were made to capture the differences quantitatively. In other instances, to partially compensate for a lack of quantifiable data, multiple sources of qualitative evidence have been used, including stakeholders’ assessments. Nonetheless, the assessment included in this report should provide all key stakeholders, including Member States’ authorities, with information on the main expected impacts.  The results of the quantitative assessment of impacts therefore should be seen </w:t>
      </w:r>
      <w:r>
        <w:rPr>
          <w:rFonts w:ascii="Times New Roman" w:eastAsia="Times New Roman" w:hAnsi="Times New Roman" w:cs="Times New Roman"/>
          <w:b/>
          <w:noProof/>
          <w:sz w:val="24"/>
          <w:szCs w:val="24"/>
        </w:rPr>
        <w:t>as orders of magnitudes rather than precise values</w:t>
      </w:r>
      <w:r>
        <w:rPr>
          <w:rFonts w:ascii="Times New Roman" w:eastAsia="Times New Roman" w:hAnsi="Times New Roman" w:cs="Times New Roman"/>
          <w:noProof/>
          <w:sz w:val="24"/>
          <w:szCs w:val="24"/>
        </w:rPr>
        <w:t xml:space="preserve">. The detailed assumptions, results and modelling used in the analysis of impacts are described in Annex 4.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policy options impact unevenly the different transport modes due to the important differences in the current digitalisation levels and their expected development over time in the baseline scenario (see section 6.1) In particular, the current level of uptake for electronic documents in aviation is much higher than the levels observed for other transport modes, which results in different scales of impacts compared to baseline projections.</w:t>
      </w:r>
    </w:p>
    <w:p>
      <w:pPr>
        <w:pStyle w:val="ListParagraph"/>
        <w:keepNext/>
        <w:spacing w:before="240" w:after="240"/>
        <w:ind w:left="524"/>
        <w:outlineLvl w:val="1"/>
        <w:rPr>
          <w:b/>
          <w:noProof/>
          <w:szCs w:val="20"/>
        </w:rPr>
      </w:pPr>
      <w:bookmarkStart w:id="97" w:name="_Toc506397594"/>
      <w:bookmarkStart w:id="98" w:name="_Toc512854926"/>
      <w:bookmarkStart w:id="99" w:name="_Toc476649617"/>
      <w:bookmarkStart w:id="100" w:name="_Ref476727784"/>
      <w:bookmarkStart w:id="101" w:name="_Toc476755281"/>
      <w:r>
        <w:rPr>
          <w:b/>
          <w:noProof/>
          <w:szCs w:val="20"/>
        </w:rPr>
        <w:t>6.1 Economic impacts</w:t>
      </w:r>
      <w:bookmarkEnd w:id="97"/>
      <w:bookmarkEnd w:id="98"/>
      <w:r>
        <w:rPr>
          <w:b/>
          <w:noProof/>
          <w:szCs w:val="20"/>
        </w:rPr>
        <w:t xml:space="preserve"> </w:t>
      </w:r>
      <w:bookmarkEnd w:id="99"/>
      <w:bookmarkEnd w:id="100"/>
      <w:bookmarkEnd w:id="101"/>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 number of distinct impacts have been identified under this category. Each option is expected to influence to varying degree the extent of uptake of electronic means for transport information and documentation exchange (direct effect), which in turn would affect the main stakeholders by bringing benefits (e.g. reduced administrative costs for the industry) and costs (e.g. costs for public authorities to adjust to the requirements induced by legislation). The uptake level of electronic documents does not only affect the relevant economic impacts (e.g. costs or modal shift), but it is also key for understanding all other related impacts.  </w:t>
      </w:r>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Other economic impacts are also linked to the implementation and application of the policy options – compliance, administrative and enforcement costs – which are born primarily by the main parties to a transport operations – shippers, freight forwarders and transport and logistics operators on the business side, and relevant public sector authorities in the Member States such as ministries or departments responsible for policy, specific authorities responsible for enforcement, and courts. </w:t>
      </w:r>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Finally, there are indirect impacts on modal shift, on costs for transport operators, and on the economic performance of the IT solutions providers. More generally, potential impacts on the internal market and the quality of freight transport services have also been identified and are highlighted in this section. </w:t>
      </w:r>
    </w:p>
    <w:p>
      <w:pPr>
        <w:keepNext/>
        <w:numPr>
          <w:ilvl w:val="2"/>
          <w:numId w:val="0"/>
        </w:numPr>
        <w:spacing w:before="240" w:after="240" w:line="240" w:lineRule="auto"/>
        <w:ind w:left="720" w:hanging="720"/>
        <w:jc w:val="both"/>
        <w:outlineLvl w:val="2"/>
        <w:rPr>
          <w:rFonts w:ascii="Times New Roman" w:eastAsia="Times New Roman" w:hAnsi="Times New Roman" w:cs="Times New Roman"/>
          <w:b/>
          <w:bCs/>
          <w:i/>
          <w:iCs/>
          <w:noProof/>
          <w:sz w:val="24"/>
          <w:szCs w:val="20"/>
        </w:rPr>
      </w:pPr>
      <w:bookmarkStart w:id="102" w:name="_Toc506397047"/>
      <w:bookmarkStart w:id="103" w:name="_Toc506397595"/>
      <w:bookmarkStart w:id="104" w:name="_Toc506397703"/>
      <w:bookmarkStart w:id="105" w:name="_Toc506398526"/>
      <w:bookmarkStart w:id="106" w:name="_Toc506408290"/>
      <w:bookmarkStart w:id="107" w:name="_Toc512589622"/>
      <w:bookmarkStart w:id="108" w:name="_Toc512854927"/>
      <w:r>
        <w:rPr>
          <w:rFonts w:ascii="Times New Roman" w:eastAsia="Times New Roman" w:hAnsi="Times New Roman" w:cs="Times New Roman"/>
          <w:b/>
          <w:bCs/>
          <w:i/>
          <w:iCs/>
          <w:noProof/>
          <w:sz w:val="24"/>
          <w:szCs w:val="20"/>
        </w:rPr>
        <w:t>Use of electronic means for transport information and documentation exchange</w:t>
      </w:r>
      <w:bookmarkEnd w:id="102"/>
      <w:bookmarkEnd w:id="103"/>
      <w:bookmarkEnd w:id="104"/>
      <w:bookmarkEnd w:id="105"/>
      <w:bookmarkEnd w:id="106"/>
      <w:bookmarkEnd w:id="107"/>
      <w:bookmarkEnd w:id="108"/>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level of uptake of electronic means for transport information and documentation exchange varies between PO1, PO2 and PO3/PO4. Table 6.1 below shows that the lowest digitalisation level is projected in PO1, followed by PO2, and PO3 and PO4 with similar levels of digitalisation</w:t>
      </w:r>
      <w:r>
        <w:rPr>
          <w:rStyle w:val="FootnoteReference"/>
          <w:rFonts w:ascii="Times New Roman" w:eastAsia="Times New Roman" w:hAnsi="Times New Roman" w:cs="Times New Roman"/>
          <w:noProof/>
          <w:sz w:val="24"/>
          <w:szCs w:val="24"/>
        </w:rPr>
        <w:footnoteReference w:id="103"/>
      </w:r>
      <w:r>
        <w:rPr>
          <w:rFonts w:ascii="Times New Roman" w:eastAsia="Times New Roman" w:hAnsi="Times New Roman" w:cs="Times New Roman"/>
          <w:noProof/>
          <w:sz w:val="24"/>
          <w:szCs w:val="24"/>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w:t>
      </w:r>
      <w:r>
        <w:rPr>
          <w:rFonts w:ascii="Times New Roman" w:eastAsia="Times New Roman" w:hAnsi="Times New Roman" w:cs="Times New Roman"/>
          <w:b/>
          <w:noProof/>
          <w:sz w:val="24"/>
          <w:szCs w:val="24"/>
        </w:rPr>
        <w:t>PO1,</w:t>
      </w:r>
      <w:r>
        <w:rPr>
          <w:rFonts w:ascii="Times New Roman" w:eastAsia="Times New Roman" w:hAnsi="Times New Roman" w:cs="Times New Roman"/>
          <w:noProof/>
          <w:sz w:val="24"/>
          <w:szCs w:val="24"/>
        </w:rPr>
        <w:t xml:space="preserve"> changes in the digitalisation levels would take place from 2026 onwards. The measures in this policy option, by ensuring the possibility of using the e-CMR across the entire EU, would have a more significant impact on road transport. Somewhat lower impact in terms of level of digitalisation is expected for inland waterways and maritime transport. This is because the two international conventions concerned leave the issue of the legal equivalence of the respective contracts of carriage, and therefore their acceptance by authorities, to the Member States in PO1.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PO2 </w:t>
      </w:r>
      <w:r>
        <w:rPr>
          <w:rFonts w:ascii="Times New Roman" w:eastAsia="Times New Roman" w:hAnsi="Times New Roman" w:cs="Times New Roman"/>
          <w:noProof/>
          <w:sz w:val="24"/>
          <w:szCs w:val="24"/>
        </w:rPr>
        <w:t>would result in higher level of digitalisation than PO1 for all modes of transport starting with 2021, due to the establishment of general obligations for Member State authorities to accept electronic contracts of carriage, including as evidence in administrative legal proceedings. However, PO2 would not allow fully exploiting the benefit of digitalisation because of the restricted scope of application of the obligation of acceptance (i.e. to the electronic contracts of carriage) and lower level of regulatory specification of the requirements for acceptance.</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highest level of digitalisation is projected in </w:t>
      </w:r>
      <w:r>
        <w:rPr>
          <w:rFonts w:ascii="Times New Roman" w:eastAsia="Times New Roman" w:hAnsi="Times New Roman" w:cs="Times New Roman"/>
          <w:b/>
          <w:noProof/>
          <w:sz w:val="24"/>
          <w:szCs w:val="24"/>
        </w:rPr>
        <w:t>PO3 and PO4</w:t>
      </w:r>
      <w:r>
        <w:rPr>
          <w:rFonts w:ascii="Times New Roman" w:eastAsia="Times New Roman" w:hAnsi="Times New Roman" w:cs="Times New Roman"/>
          <w:noProof/>
          <w:sz w:val="24"/>
          <w:szCs w:val="24"/>
        </w:rPr>
        <w:t xml:space="preserve"> for all transport modes starting with 2021, due to the clear obligation of acceptance by authorities and harmonised requirements for admissibility. Moreover, compared to PO1 and PO2, PO3 and PO4 cover all relevant documents/evidence containing the regulatory required information, and not only the contracts of carriage.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uptake of systems/solutions for electronic transport information exchange is not linear over time under the various policy options. Since the use of paper documents is not ruled out, the uptake of electronic information exchange by businesses depends on their overall acceptance by the Member States authorities, and on the availability of interoperable technical solutions, which are highest under PO3 and PO4. In practice, two factors are expected to affect the uptake of electronic documents. These factors work in opposite directions: a) the availability of multimodal solutions (i.e. interoperable/usable solutions across all modes) has positive effects on the willingness to invest in common systems by businesses (which would be fully ensured under PO4, while under PO3 interoperability might create additional costs) and b) the implementation of a common system by businesses would be difficult, in particular for those that have already invested in mode specific solutions, such as in rail and aviation (which would be also higher in PO4). The overall effect of these factors is difficult to estimate before the common specifications are designed; therefore, the digitalisation rates are projected to be similar in PO3 and PO4. </w:t>
      </w:r>
    </w:p>
    <w:p>
      <w:pPr>
        <w:spacing w:after="120" w:line="240" w:lineRule="auto"/>
        <w:jc w:val="both"/>
        <w:rPr>
          <w:rFonts w:ascii="Times New Roman" w:eastAsia="Times New Roman" w:hAnsi="Times New Roman" w:cs="Times New Roman"/>
          <w:b/>
          <w:bCs/>
          <w:noProof/>
          <w:sz w:val="20"/>
          <w:szCs w:val="20"/>
          <w:lang w:eastAsia="nl-NL"/>
        </w:rPr>
      </w:pPr>
      <w:r>
        <w:rPr>
          <w:rFonts w:ascii="Times New Roman" w:eastAsia="Times New Roman" w:hAnsi="Times New Roman" w:cs="Times New Roman"/>
          <w:b/>
          <w:bCs/>
          <w:noProof/>
          <w:sz w:val="20"/>
          <w:szCs w:val="20"/>
          <w:lang w:eastAsia="nl-NL"/>
        </w:rPr>
        <w:t xml:space="preserve">Table 6.1 Levels of uptake of electronic transport information exchange systems/solutions </w:t>
      </w:r>
    </w:p>
    <w:tbl>
      <w:tblPr>
        <w:tblW w:w="5000" w:type="pct"/>
        <w:tblLook w:val="04A0" w:firstRow="1" w:lastRow="0" w:firstColumn="1" w:lastColumn="0" w:noHBand="0" w:noVBand="1"/>
      </w:tblPr>
      <w:tblGrid>
        <w:gridCol w:w="1890"/>
        <w:gridCol w:w="925"/>
        <w:gridCol w:w="925"/>
        <w:gridCol w:w="925"/>
        <w:gridCol w:w="925"/>
        <w:gridCol w:w="925"/>
        <w:gridCol w:w="925"/>
        <w:gridCol w:w="925"/>
        <w:gridCol w:w="923"/>
      </w:tblGrid>
      <w:tr>
        <w:trPr>
          <w:trHeight w:val="499"/>
          <w:tblHeader/>
        </w:trPr>
        <w:tc>
          <w:tcPr>
            <w:tcW w:w="1017" w:type="pct"/>
            <w:tcBorders>
              <w:top w:val="single" w:sz="4" w:space="0" w:color="auto"/>
              <w:left w:val="single" w:sz="4" w:space="0" w:color="auto"/>
              <w:bottom w:val="single" w:sz="4" w:space="0" w:color="auto"/>
              <w:right w:val="single" w:sz="4" w:space="0" w:color="auto"/>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Uptake rates (%) </w:t>
            </w:r>
          </w:p>
        </w:tc>
        <w:tc>
          <w:tcPr>
            <w:tcW w:w="996" w:type="pct"/>
            <w:gridSpan w:val="2"/>
            <w:tcBorders>
              <w:top w:val="single" w:sz="4" w:space="0" w:color="auto"/>
              <w:left w:val="nil"/>
              <w:bottom w:val="single" w:sz="4" w:space="0" w:color="auto"/>
              <w:right w:val="single" w:sz="4" w:space="0" w:color="auto"/>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Baseline</w:t>
            </w:r>
          </w:p>
        </w:tc>
        <w:tc>
          <w:tcPr>
            <w:tcW w:w="996" w:type="pct"/>
            <w:gridSpan w:val="2"/>
            <w:tcBorders>
              <w:top w:val="single" w:sz="4" w:space="0" w:color="auto"/>
              <w:left w:val="nil"/>
              <w:bottom w:val="single" w:sz="4" w:space="0" w:color="auto"/>
              <w:right w:val="single" w:sz="4" w:space="0" w:color="auto"/>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PO1</w:t>
            </w:r>
          </w:p>
        </w:tc>
        <w:tc>
          <w:tcPr>
            <w:tcW w:w="996" w:type="pct"/>
            <w:gridSpan w:val="2"/>
            <w:tcBorders>
              <w:top w:val="single" w:sz="4" w:space="0" w:color="auto"/>
              <w:left w:val="nil"/>
              <w:bottom w:val="single" w:sz="4" w:space="0" w:color="auto"/>
              <w:right w:val="single" w:sz="4" w:space="0" w:color="auto"/>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PO2</w:t>
            </w:r>
          </w:p>
        </w:tc>
        <w:tc>
          <w:tcPr>
            <w:tcW w:w="996" w:type="pct"/>
            <w:gridSpan w:val="2"/>
            <w:tcBorders>
              <w:top w:val="single" w:sz="4" w:space="0" w:color="auto"/>
              <w:left w:val="nil"/>
              <w:bottom w:val="single" w:sz="4" w:space="0" w:color="auto"/>
              <w:right w:val="single" w:sz="4" w:space="0" w:color="auto"/>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PO3 / PO4</w:t>
            </w:r>
          </w:p>
        </w:tc>
      </w:tr>
      <w:tr>
        <w:trPr>
          <w:trHeight w:val="300"/>
        </w:trPr>
        <w:tc>
          <w:tcPr>
            <w:tcW w:w="1017"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 </w:t>
            </w:r>
          </w:p>
        </w:tc>
        <w:tc>
          <w:tcPr>
            <w:tcW w:w="498" w:type="pct"/>
            <w:tcBorders>
              <w:top w:val="nil"/>
              <w:left w:val="nil"/>
              <w:bottom w:val="single" w:sz="4" w:space="0" w:color="auto"/>
              <w:right w:val="single" w:sz="4" w:space="0" w:color="auto"/>
            </w:tcBorders>
            <w:shd w:val="clear" w:color="000000" w:fill="F2F2F2"/>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2025</w:t>
            </w:r>
          </w:p>
        </w:tc>
        <w:tc>
          <w:tcPr>
            <w:tcW w:w="498" w:type="pct"/>
            <w:tcBorders>
              <w:top w:val="nil"/>
              <w:left w:val="nil"/>
              <w:bottom w:val="single" w:sz="4" w:space="0" w:color="auto"/>
              <w:right w:val="single" w:sz="4" w:space="0" w:color="auto"/>
            </w:tcBorders>
            <w:shd w:val="clear" w:color="000000" w:fill="F2F2F2"/>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2030</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2025</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2030</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2025</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2030</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2025</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2030</w:t>
            </w:r>
          </w:p>
        </w:tc>
      </w:tr>
      <w:tr>
        <w:trPr>
          <w:trHeight w:val="300"/>
        </w:trPr>
        <w:tc>
          <w:tcPr>
            <w:tcW w:w="1017"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u w:val="single"/>
                <w:lang w:eastAsia="en-GB"/>
              </w:rPr>
            </w:pPr>
            <w:r>
              <w:rPr>
                <w:rFonts w:ascii="Times New Roman" w:eastAsia="Times New Roman" w:hAnsi="Times New Roman" w:cs="Times New Roman"/>
                <w:b/>
                <w:bCs/>
                <w:noProof/>
                <w:color w:val="000000"/>
                <w:sz w:val="18"/>
                <w:szCs w:val="18"/>
                <w:u w:val="single"/>
                <w:lang w:eastAsia="en-GB"/>
              </w:rPr>
              <w:t>Road</w:t>
            </w:r>
          </w:p>
        </w:tc>
        <w:tc>
          <w:tcPr>
            <w:tcW w:w="498" w:type="pct"/>
            <w:tcBorders>
              <w:top w:val="nil"/>
              <w:left w:val="nil"/>
              <w:bottom w:val="single" w:sz="4" w:space="0" w:color="auto"/>
              <w:right w:val="single" w:sz="4" w:space="0" w:color="auto"/>
            </w:tcBorders>
            <w:shd w:val="clear" w:color="000000" w:fill="F2F2F2"/>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000000" w:fill="F2F2F2"/>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300"/>
        </w:trPr>
        <w:tc>
          <w:tcPr>
            <w:tcW w:w="1017"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Intra MS</w:t>
            </w:r>
          </w:p>
        </w:tc>
        <w:tc>
          <w:tcPr>
            <w:tcW w:w="498" w:type="pct"/>
            <w:vMerge w:val="restart"/>
            <w:tcBorders>
              <w:top w:val="nil"/>
              <w:left w:val="single" w:sz="4" w:space="0" w:color="auto"/>
              <w:bottom w:val="single" w:sz="4" w:space="0" w:color="auto"/>
              <w:right w:val="single" w:sz="4" w:space="0" w:color="auto"/>
            </w:tcBorders>
            <w:shd w:val="clear" w:color="000000" w:fill="F2F2F2"/>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w:t>
            </w:r>
          </w:p>
        </w:tc>
        <w:tc>
          <w:tcPr>
            <w:tcW w:w="498" w:type="pct"/>
            <w:vMerge w:val="restart"/>
            <w:tcBorders>
              <w:top w:val="nil"/>
              <w:left w:val="single" w:sz="4" w:space="0" w:color="auto"/>
              <w:bottom w:val="single" w:sz="4" w:space="0" w:color="auto"/>
              <w:right w:val="single" w:sz="4" w:space="0" w:color="auto"/>
            </w:tcBorders>
            <w:shd w:val="clear" w:color="000000" w:fill="F2F2F2"/>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25%</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40%</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40%</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60%</w:t>
            </w:r>
          </w:p>
        </w:tc>
      </w:tr>
      <w:tr>
        <w:trPr>
          <w:trHeight w:val="300"/>
        </w:trPr>
        <w:tc>
          <w:tcPr>
            <w:tcW w:w="1017"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Cross-border</w:t>
            </w:r>
          </w:p>
        </w:tc>
        <w:tc>
          <w:tcPr>
            <w:tcW w:w="498" w:type="pct"/>
            <w:vMerge/>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noProof/>
                <w:color w:val="000000"/>
                <w:sz w:val="18"/>
                <w:szCs w:val="18"/>
                <w:lang w:eastAsia="en-GB"/>
              </w:rPr>
            </w:pPr>
          </w:p>
        </w:tc>
        <w:tc>
          <w:tcPr>
            <w:tcW w:w="498" w:type="pct"/>
            <w:vMerge/>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noProof/>
                <w:color w:val="000000"/>
                <w:sz w:val="18"/>
                <w:szCs w:val="18"/>
                <w:lang w:eastAsia="en-GB"/>
              </w:rPr>
            </w:pP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20%</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35%</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50%</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60%</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80%</w:t>
            </w:r>
          </w:p>
        </w:tc>
      </w:tr>
      <w:tr>
        <w:trPr>
          <w:trHeight w:val="300"/>
        </w:trPr>
        <w:tc>
          <w:tcPr>
            <w:tcW w:w="1017"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u w:val="single"/>
                <w:lang w:eastAsia="en-GB"/>
              </w:rPr>
            </w:pPr>
            <w:r>
              <w:rPr>
                <w:rFonts w:ascii="Times New Roman" w:eastAsia="Times New Roman" w:hAnsi="Times New Roman" w:cs="Times New Roman"/>
                <w:b/>
                <w:bCs/>
                <w:noProof/>
                <w:color w:val="000000"/>
                <w:sz w:val="18"/>
                <w:szCs w:val="18"/>
                <w:u w:val="single"/>
                <w:lang w:eastAsia="en-GB"/>
              </w:rPr>
              <w:t>Rail</w:t>
            </w:r>
          </w:p>
        </w:tc>
        <w:tc>
          <w:tcPr>
            <w:tcW w:w="498" w:type="pct"/>
            <w:tcBorders>
              <w:top w:val="nil"/>
              <w:left w:val="nil"/>
              <w:bottom w:val="single" w:sz="4" w:space="0" w:color="auto"/>
              <w:right w:val="single" w:sz="4" w:space="0" w:color="auto"/>
            </w:tcBorders>
            <w:shd w:val="clear" w:color="000000" w:fill="F2F2F2"/>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000000" w:fill="F2F2F2"/>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300"/>
        </w:trPr>
        <w:tc>
          <w:tcPr>
            <w:tcW w:w="1017"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Intra MS</w:t>
            </w:r>
          </w:p>
        </w:tc>
        <w:tc>
          <w:tcPr>
            <w:tcW w:w="498" w:type="pct"/>
            <w:vMerge w:val="restart"/>
            <w:tcBorders>
              <w:top w:val="nil"/>
              <w:left w:val="single" w:sz="4" w:space="0" w:color="auto"/>
              <w:bottom w:val="single" w:sz="4" w:space="0" w:color="auto"/>
              <w:right w:val="single" w:sz="4" w:space="0" w:color="auto"/>
            </w:tcBorders>
            <w:shd w:val="clear" w:color="000000" w:fill="F2F2F2"/>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w:t>
            </w:r>
          </w:p>
        </w:tc>
        <w:tc>
          <w:tcPr>
            <w:tcW w:w="498" w:type="pct"/>
            <w:vMerge w:val="restart"/>
            <w:tcBorders>
              <w:top w:val="nil"/>
              <w:left w:val="single" w:sz="4" w:space="0" w:color="auto"/>
              <w:bottom w:val="single" w:sz="4" w:space="0" w:color="auto"/>
              <w:right w:val="single" w:sz="4" w:space="0" w:color="auto"/>
            </w:tcBorders>
            <w:shd w:val="clear" w:color="000000" w:fill="F2F2F2"/>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15%</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25%</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50%</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75%</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70%</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85%</w:t>
            </w:r>
          </w:p>
        </w:tc>
      </w:tr>
      <w:tr>
        <w:trPr>
          <w:trHeight w:val="300"/>
        </w:trPr>
        <w:tc>
          <w:tcPr>
            <w:tcW w:w="1017"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Cross-border</w:t>
            </w:r>
          </w:p>
        </w:tc>
        <w:tc>
          <w:tcPr>
            <w:tcW w:w="498" w:type="pct"/>
            <w:vMerge/>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noProof/>
                <w:color w:val="000000"/>
                <w:sz w:val="18"/>
                <w:szCs w:val="18"/>
                <w:lang w:eastAsia="en-GB"/>
              </w:rPr>
            </w:pPr>
          </w:p>
        </w:tc>
        <w:tc>
          <w:tcPr>
            <w:tcW w:w="498" w:type="pct"/>
            <w:vMerge/>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noProof/>
                <w:color w:val="000000"/>
                <w:sz w:val="18"/>
                <w:szCs w:val="18"/>
                <w:lang w:eastAsia="en-GB"/>
              </w:rPr>
            </w:pP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25%</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60%</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85%</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80%</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95%</w:t>
            </w:r>
          </w:p>
        </w:tc>
      </w:tr>
      <w:tr>
        <w:trPr>
          <w:trHeight w:val="300"/>
        </w:trPr>
        <w:tc>
          <w:tcPr>
            <w:tcW w:w="1017"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u w:val="single"/>
                <w:lang w:eastAsia="en-GB"/>
              </w:rPr>
            </w:pPr>
            <w:r>
              <w:rPr>
                <w:rFonts w:ascii="Times New Roman" w:eastAsia="Times New Roman" w:hAnsi="Times New Roman" w:cs="Times New Roman"/>
                <w:b/>
                <w:bCs/>
                <w:noProof/>
                <w:color w:val="000000"/>
                <w:sz w:val="18"/>
                <w:szCs w:val="18"/>
                <w:u w:val="single"/>
                <w:lang w:eastAsia="en-GB"/>
              </w:rPr>
              <w:t>IWT</w:t>
            </w:r>
          </w:p>
        </w:tc>
        <w:tc>
          <w:tcPr>
            <w:tcW w:w="498" w:type="pct"/>
            <w:tcBorders>
              <w:top w:val="nil"/>
              <w:left w:val="nil"/>
              <w:bottom w:val="single" w:sz="4" w:space="0" w:color="auto"/>
              <w:right w:val="single" w:sz="4" w:space="0" w:color="auto"/>
            </w:tcBorders>
            <w:shd w:val="clear" w:color="000000" w:fill="F2F2F2"/>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000000" w:fill="F2F2F2"/>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300"/>
        </w:trPr>
        <w:tc>
          <w:tcPr>
            <w:tcW w:w="1017"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Intra MS</w:t>
            </w:r>
          </w:p>
        </w:tc>
        <w:tc>
          <w:tcPr>
            <w:tcW w:w="498" w:type="pct"/>
            <w:vMerge w:val="restart"/>
            <w:tcBorders>
              <w:top w:val="nil"/>
              <w:left w:val="single" w:sz="4" w:space="0" w:color="auto"/>
              <w:bottom w:val="single" w:sz="4" w:space="0" w:color="auto"/>
              <w:right w:val="single" w:sz="4" w:space="0" w:color="auto"/>
            </w:tcBorders>
            <w:shd w:val="clear" w:color="000000" w:fill="F2F2F2"/>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w:t>
            </w:r>
          </w:p>
        </w:tc>
        <w:tc>
          <w:tcPr>
            <w:tcW w:w="498" w:type="pct"/>
            <w:vMerge w:val="restart"/>
            <w:tcBorders>
              <w:top w:val="nil"/>
              <w:left w:val="single" w:sz="4" w:space="0" w:color="auto"/>
              <w:bottom w:val="single" w:sz="4" w:space="0" w:color="auto"/>
              <w:right w:val="single" w:sz="4" w:space="0" w:color="auto"/>
            </w:tcBorders>
            <w:shd w:val="clear" w:color="000000" w:fill="F2F2F2"/>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30%</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40%</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50%</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60%</w:t>
            </w:r>
          </w:p>
        </w:tc>
      </w:tr>
      <w:tr>
        <w:trPr>
          <w:trHeight w:val="300"/>
        </w:trPr>
        <w:tc>
          <w:tcPr>
            <w:tcW w:w="1017"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Cross-border</w:t>
            </w:r>
          </w:p>
        </w:tc>
        <w:tc>
          <w:tcPr>
            <w:tcW w:w="498" w:type="pct"/>
            <w:vMerge/>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noProof/>
                <w:color w:val="000000"/>
                <w:sz w:val="18"/>
                <w:szCs w:val="18"/>
                <w:lang w:eastAsia="en-GB"/>
              </w:rPr>
            </w:pPr>
          </w:p>
        </w:tc>
        <w:tc>
          <w:tcPr>
            <w:tcW w:w="498" w:type="pct"/>
            <w:vMerge/>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noProof/>
                <w:color w:val="000000"/>
                <w:sz w:val="18"/>
                <w:szCs w:val="18"/>
                <w:lang w:eastAsia="en-GB"/>
              </w:rPr>
            </w:pP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40%</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50%</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70%</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80%</w:t>
            </w:r>
          </w:p>
        </w:tc>
      </w:tr>
      <w:tr>
        <w:trPr>
          <w:trHeight w:val="300"/>
        </w:trPr>
        <w:tc>
          <w:tcPr>
            <w:tcW w:w="1017"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u w:val="single"/>
                <w:lang w:eastAsia="en-GB"/>
              </w:rPr>
            </w:pPr>
            <w:r>
              <w:rPr>
                <w:rFonts w:ascii="Times New Roman" w:eastAsia="Times New Roman" w:hAnsi="Times New Roman" w:cs="Times New Roman"/>
                <w:b/>
                <w:bCs/>
                <w:noProof/>
                <w:color w:val="000000"/>
                <w:sz w:val="18"/>
                <w:szCs w:val="18"/>
                <w:u w:val="single"/>
                <w:lang w:eastAsia="en-GB"/>
              </w:rPr>
              <w:t>Maritime</w:t>
            </w:r>
          </w:p>
        </w:tc>
        <w:tc>
          <w:tcPr>
            <w:tcW w:w="498" w:type="pct"/>
            <w:tcBorders>
              <w:top w:val="nil"/>
              <w:left w:val="nil"/>
              <w:bottom w:val="single" w:sz="4" w:space="0" w:color="auto"/>
              <w:right w:val="single" w:sz="4" w:space="0" w:color="auto"/>
            </w:tcBorders>
            <w:shd w:val="clear" w:color="000000" w:fill="F2F2F2"/>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000000" w:fill="F2F2F2"/>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300"/>
        </w:trPr>
        <w:tc>
          <w:tcPr>
            <w:tcW w:w="1017"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Intra MS</w:t>
            </w:r>
          </w:p>
        </w:tc>
        <w:tc>
          <w:tcPr>
            <w:tcW w:w="498" w:type="pct"/>
            <w:vMerge w:val="restart"/>
            <w:tcBorders>
              <w:top w:val="nil"/>
              <w:left w:val="single" w:sz="4" w:space="0" w:color="auto"/>
              <w:bottom w:val="single" w:sz="4" w:space="0" w:color="auto"/>
              <w:right w:val="single" w:sz="4" w:space="0" w:color="auto"/>
            </w:tcBorders>
            <w:shd w:val="clear" w:color="000000" w:fill="F2F2F2"/>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w:t>
            </w:r>
          </w:p>
        </w:tc>
        <w:tc>
          <w:tcPr>
            <w:tcW w:w="498" w:type="pct"/>
            <w:vMerge w:val="restart"/>
            <w:tcBorders>
              <w:top w:val="nil"/>
              <w:left w:val="single" w:sz="4" w:space="0" w:color="auto"/>
              <w:bottom w:val="single" w:sz="4" w:space="0" w:color="auto"/>
              <w:right w:val="single" w:sz="4" w:space="0" w:color="auto"/>
            </w:tcBorders>
            <w:shd w:val="clear" w:color="000000" w:fill="F2F2F2"/>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15%</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50%</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70%</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75%</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95%</w:t>
            </w:r>
          </w:p>
        </w:tc>
      </w:tr>
      <w:tr>
        <w:trPr>
          <w:trHeight w:val="300"/>
        </w:trPr>
        <w:tc>
          <w:tcPr>
            <w:tcW w:w="1017"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Cross-border</w:t>
            </w:r>
          </w:p>
        </w:tc>
        <w:tc>
          <w:tcPr>
            <w:tcW w:w="498" w:type="pct"/>
            <w:vMerge/>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noProof/>
                <w:color w:val="000000"/>
                <w:sz w:val="18"/>
                <w:szCs w:val="18"/>
                <w:lang w:eastAsia="en-GB"/>
              </w:rPr>
            </w:pPr>
          </w:p>
        </w:tc>
        <w:tc>
          <w:tcPr>
            <w:tcW w:w="498" w:type="pct"/>
            <w:vMerge/>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noProof/>
                <w:color w:val="000000"/>
                <w:sz w:val="18"/>
                <w:szCs w:val="18"/>
                <w:lang w:eastAsia="en-GB"/>
              </w:rPr>
            </w:pP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15%</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50%</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70%</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75%</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95%</w:t>
            </w:r>
          </w:p>
        </w:tc>
      </w:tr>
      <w:tr>
        <w:trPr>
          <w:trHeight w:val="300"/>
        </w:trPr>
        <w:tc>
          <w:tcPr>
            <w:tcW w:w="1017"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u w:val="single"/>
                <w:lang w:eastAsia="en-GB"/>
              </w:rPr>
            </w:pPr>
            <w:r>
              <w:rPr>
                <w:rFonts w:ascii="Times New Roman" w:eastAsia="Times New Roman" w:hAnsi="Times New Roman" w:cs="Times New Roman"/>
                <w:b/>
                <w:bCs/>
                <w:noProof/>
                <w:color w:val="000000"/>
                <w:sz w:val="18"/>
                <w:szCs w:val="18"/>
                <w:u w:val="single"/>
                <w:lang w:eastAsia="en-GB"/>
              </w:rPr>
              <w:t>Aviation</w:t>
            </w:r>
          </w:p>
        </w:tc>
        <w:tc>
          <w:tcPr>
            <w:tcW w:w="498" w:type="pct"/>
            <w:tcBorders>
              <w:top w:val="nil"/>
              <w:left w:val="nil"/>
              <w:bottom w:val="single" w:sz="4" w:space="0" w:color="auto"/>
              <w:right w:val="single" w:sz="4" w:space="0" w:color="auto"/>
            </w:tcBorders>
            <w:shd w:val="clear" w:color="000000" w:fill="F2F2F2"/>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000000" w:fill="F2F2F2"/>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300"/>
        </w:trPr>
        <w:tc>
          <w:tcPr>
            <w:tcW w:w="1017"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Intra MS</w:t>
            </w:r>
          </w:p>
        </w:tc>
        <w:tc>
          <w:tcPr>
            <w:tcW w:w="498" w:type="pct"/>
            <w:vMerge w:val="restart"/>
            <w:tcBorders>
              <w:top w:val="nil"/>
              <w:left w:val="single" w:sz="4" w:space="0" w:color="auto"/>
              <w:bottom w:val="single" w:sz="4" w:space="0" w:color="auto"/>
              <w:right w:val="single" w:sz="4" w:space="0" w:color="auto"/>
            </w:tcBorders>
            <w:shd w:val="clear" w:color="000000" w:fill="F2F2F2"/>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45%</w:t>
            </w:r>
          </w:p>
        </w:tc>
        <w:tc>
          <w:tcPr>
            <w:tcW w:w="498" w:type="pct"/>
            <w:vMerge w:val="restart"/>
            <w:tcBorders>
              <w:top w:val="nil"/>
              <w:left w:val="single" w:sz="4" w:space="0" w:color="auto"/>
              <w:bottom w:val="single" w:sz="4" w:space="0" w:color="auto"/>
              <w:right w:val="single" w:sz="4" w:space="0" w:color="auto"/>
            </w:tcBorders>
            <w:shd w:val="clear" w:color="000000" w:fill="F2F2F2"/>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50%</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45%</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50%</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60%</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75%</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80%</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95%</w:t>
            </w:r>
          </w:p>
        </w:tc>
      </w:tr>
      <w:tr>
        <w:trPr>
          <w:trHeight w:val="300"/>
        </w:trPr>
        <w:tc>
          <w:tcPr>
            <w:tcW w:w="1017"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Cross-border</w:t>
            </w:r>
          </w:p>
        </w:tc>
        <w:tc>
          <w:tcPr>
            <w:tcW w:w="498" w:type="pct"/>
            <w:vMerge/>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noProof/>
                <w:color w:val="000000"/>
                <w:sz w:val="18"/>
                <w:szCs w:val="18"/>
                <w:lang w:eastAsia="en-GB"/>
              </w:rPr>
            </w:pPr>
          </w:p>
        </w:tc>
        <w:tc>
          <w:tcPr>
            <w:tcW w:w="498" w:type="pct"/>
            <w:vMerge/>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noProof/>
                <w:color w:val="000000"/>
                <w:sz w:val="18"/>
                <w:szCs w:val="18"/>
                <w:lang w:eastAsia="en-GB"/>
              </w:rPr>
            </w:pP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45%</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50%</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60%</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75%</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80%</w:t>
            </w:r>
          </w:p>
        </w:tc>
        <w:tc>
          <w:tcPr>
            <w:tcW w:w="49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95%</w:t>
            </w:r>
          </w:p>
        </w:tc>
      </w:tr>
    </w:tbl>
    <w:p>
      <w:pPr>
        <w:spacing w:after="240" w:line="240" w:lineRule="auto"/>
        <w:jc w:val="both"/>
        <w:rPr>
          <w:rFonts w:ascii="Times New Roman" w:eastAsia="Times New Roman" w:hAnsi="Times New Roman" w:cs="Times New Roman"/>
          <w:i/>
          <w:noProof/>
          <w:sz w:val="18"/>
          <w:szCs w:val="18"/>
        </w:rPr>
      </w:pPr>
      <w:r>
        <w:rPr>
          <w:rFonts w:ascii="Times New Roman" w:eastAsia="Times New Roman" w:hAnsi="Times New Roman" w:cs="Times New Roman"/>
          <w:i/>
          <w:noProof/>
          <w:sz w:val="18"/>
          <w:szCs w:val="18"/>
        </w:rPr>
        <w:t>Source: Ecorys et al. (2018) Impact Assessment support study</w:t>
      </w:r>
    </w:p>
    <w:p>
      <w:pPr>
        <w:keepNext/>
        <w:numPr>
          <w:ilvl w:val="2"/>
          <w:numId w:val="0"/>
        </w:numPr>
        <w:spacing w:before="240" w:after="240" w:line="240" w:lineRule="auto"/>
        <w:ind w:left="720" w:hanging="720"/>
        <w:jc w:val="both"/>
        <w:outlineLvl w:val="2"/>
        <w:rPr>
          <w:rFonts w:ascii="Times New Roman" w:eastAsia="Times New Roman" w:hAnsi="Times New Roman" w:cs="Times New Roman"/>
          <w:b/>
          <w:bCs/>
          <w:i/>
          <w:iCs/>
          <w:noProof/>
          <w:sz w:val="24"/>
          <w:szCs w:val="20"/>
        </w:rPr>
      </w:pPr>
      <w:bookmarkStart w:id="109" w:name="_Toc506397048"/>
      <w:bookmarkStart w:id="110" w:name="_Toc506397596"/>
      <w:bookmarkStart w:id="111" w:name="_Toc506397704"/>
      <w:bookmarkStart w:id="112" w:name="_Toc506398527"/>
      <w:bookmarkStart w:id="113" w:name="_Toc506408291"/>
      <w:bookmarkStart w:id="114" w:name="_Toc512589623"/>
      <w:bookmarkStart w:id="115" w:name="_Toc512854928"/>
      <w:r>
        <w:rPr>
          <w:rFonts w:ascii="Times New Roman" w:eastAsia="Times New Roman" w:hAnsi="Times New Roman" w:cs="Times New Roman"/>
          <w:b/>
          <w:bCs/>
          <w:i/>
          <w:iCs/>
          <w:noProof/>
          <w:sz w:val="24"/>
          <w:szCs w:val="20"/>
        </w:rPr>
        <w:t>Administrative costs for businesses</w:t>
      </w:r>
      <w:r>
        <w:rPr>
          <w:rStyle w:val="FootnoteReference"/>
          <w:rFonts w:ascii="Times New Roman" w:eastAsia="Times New Roman" w:hAnsi="Times New Roman" w:cs="Times New Roman"/>
          <w:b/>
          <w:bCs/>
          <w:i/>
          <w:iCs/>
          <w:noProof/>
          <w:sz w:val="24"/>
          <w:szCs w:val="20"/>
        </w:rPr>
        <w:footnoteReference w:id="104"/>
      </w:r>
      <w:bookmarkEnd w:id="109"/>
      <w:bookmarkEnd w:id="110"/>
      <w:bookmarkEnd w:id="111"/>
      <w:bookmarkEnd w:id="112"/>
      <w:bookmarkEnd w:id="113"/>
      <w:bookmarkEnd w:id="114"/>
      <w:bookmarkEnd w:id="115"/>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Due to the scale effect of the direct impact on the uptake of electronic documents, the magnitude of the reduction of administrative costs (i.e. costs savings) for businesses is significantly different between policy options. Tables 6.2 and 6.3 provide the cost savings relative to the baseline in million euros and in percentage terms for 2025 and 2030</w:t>
      </w:r>
      <w:r>
        <w:rPr>
          <w:rStyle w:val="FootnoteReference"/>
          <w:rFonts w:ascii="Times New Roman" w:eastAsia="Times New Roman" w:hAnsi="Times New Roman" w:cs="Times New Roman"/>
          <w:noProof/>
          <w:sz w:val="24"/>
          <w:szCs w:val="24"/>
        </w:rPr>
        <w:footnoteReference w:id="105"/>
      </w:r>
      <w:r>
        <w:rPr>
          <w:rFonts w:ascii="Times New Roman" w:eastAsia="Times New Roman" w:hAnsi="Times New Roman" w:cs="Times New Roman"/>
          <w:noProof/>
          <w:sz w:val="24"/>
          <w:szCs w:val="24"/>
        </w:rPr>
        <w:t xml:space="preserve">. </w:t>
      </w:r>
    </w:p>
    <w:p>
      <w:pPr>
        <w:spacing w:after="120" w:line="240" w:lineRule="auto"/>
        <w:jc w:val="both"/>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sz w:val="20"/>
          <w:szCs w:val="20"/>
          <w:lang w:eastAsia="nl-NL"/>
        </w:rPr>
        <w:t>Table 6.2 Administrative costs savings for businesses in 2025 and 2030 relative to the Baseline (in EUR million), by transport mode</w:t>
      </w:r>
    </w:p>
    <w:tbl>
      <w:tblPr>
        <w:tblW w:w="5000" w:type="pct"/>
        <w:tblLook w:val="04A0" w:firstRow="1" w:lastRow="0" w:firstColumn="1" w:lastColumn="0" w:noHBand="0" w:noVBand="1"/>
      </w:tblPr>
      <w:tblGrid>
        <w:gridCol w:w="2127"/>
        <w:gridCol w:w="1193"/>
        <w:gridCol w:w="1194"/>
        <w:gridCol w:w="1193"/>
        <w:gridCol w:w="1194"/>
        <w:gridCol w:w="1193"/>
        <w:gridCol w:w="1194"/>
      </w:tblGrid>
      <w:tr>
        <w:trPr>
          <w:trHeight w:val="499"/>
          <w:tblHeader/>
        </w:trPr>
        <w:tc>
          <w:tcPr>
            <w:tcW w:w="1145" w:type="pct"/>
            <w:tcBorders>
              <w:top w:val="single" w:sz="4" w:space="0" w:color="auto"/>
              <w:left w:val="single" w:sz="4" w:space="0" w:color="auto"/>
              <w:bottom w:val="single" w:sz="4" w:space="0" w:color="auto"/>
              <w:right w:val="single" w:sz="4" w:space="0" w:color="auto"/>
            </w:tcBorders>
            <w:shd w:val="clear" w:color="000000" w:fill="0070C0"/>
            <w:vAlign w:val="center"/>
            <w:hideMark/>
          </w:tcPr>
          <w:p>
            <w:pPr>
              <w:spacing w:after="0" w:line="240" w:lineRule="auto"/>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in EUR million</w:t>
            </w:r>
          </w:p>
        </w:tc>
        <w:tc>
          <w:tcPr>
            <w:tcW w:w="1285" w:type="pct"/>
            <w:gridSpan w:val="2"/>
            <w:tcBorders>
              <w:top w:val="single" w:sz="4" w:space="0" w:color="auto"/>
              <w:left w:val="nil"/>
              <w:bottom w:val="single" w:sz="4" w:space="0" w:color="auto"/>
              <w:right w:val="single" w:sz="4" w:space="0" w:color="auto"/>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PO1</w:t>
            </w:r>
          </w:p>
        </w:tc>
        <w:tc>
          <w:tcPr>
            <w:tcW w:w="1285" w:type="pct"/>
            <w:gridSpan w:val="2"/>
            <w:tcBorders>
              <w:top w:val="single" w:sz="4" w:space="0" w:color="auto"/>
              <w:left w:val="nil"/>
              <w:bottom w:val="single" w:sz="4" w:space="0" w:color="auto"/>
              <w:right w:val="single" w:sz="4" w:space="0" w:color="auto"/>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PO2</w:t>
            </w:r>
          </w:p>
        </w:tc>
        <w:tc>
          <w:tcPr>
            <w:tcW w:w="1285" w:type="pct"/>
            <w:gridSpan w:val="2"/>
            <w:tcBorders>
              <w:top w:val="single" w:sz="4" w:space="0" w:color="auto"/>
              <w:left w:val="nil"/>
              <w:bottom w:val="single" w:sz="4" w:space="0" w:color="auto"/>
              <w:right w:val="single" w:sz="4" w:space="0" w:color="auto"/>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PO3 / PO4</w:t>
            </w:r>
          </w:p>
        </w:tc>
      </w:tr>
      <w:tr>
        <w:trPr>
          <w:trHeight w:val="240"/>
        </w:trPr>
        <w:tc>
          <w:tcPr>
            <w:tcW w:w="1145"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 </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2025</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2030</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2025</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2030</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2025</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2030</w:t>
            </w:r>
          </w:p>
        </w:tc>
      </w:tr>
      <w:tr>
        <w:trPr>
          <w:trHeight w:val="240"/>
        </w:trPr>
        <w:tc>
          <w:tcPr>
            <w:tcW w:w="1145" w:type="pct"/>
            <w:tcBorders>
              <w:top w:val="nil"/>
              <w:left w:val="single" w:sz="4" w:space="0" w:color="auto"/>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u w:val="single"/>
                <w:lang w:eastAsia="en-GB"/>
              </w:rPr>
            </w:pPr>
            <w:r>
              <w:rPr>
                <w:rFonts w:ascii="Times New Roman" w:eastAsia="Times New Roman" w:hAnsi="Times New Roman" w:cs="Times New Roman"/>
                <w:b/>
                <w:bCs/>
                <w:noProof/>
                <w:color w:val="000000"/>
                <w:sz w:val="18"/>
                <w:szCs w:val="18"/>
                <w:u w:val="single"/>
                <w:lang w:eastAsia="en-GB"/>
              </w:rPr>
              <w:t>Road</w:t>
            </w:r>
          </w:p>
        </w:tc>
        <w:tc>
          <w:tcPr>
            <w:tcW w:w="642" w:type="pct"/>
            <w:tcBorders>
              <w:top w:val="nil"/>
              <w:left w:val="nil"/>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40"/>
        </w:trPr>
        <w:tc>
          <w:tcPr>
            <w:tcW w:w="1145"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Intra MS</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102-124</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418-511</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711-869</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703-860</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1117-1366</w:t>
            </w:r>
          </w:p>
        </w:tc>
      </w:tr>
      <w:tr>
        <w:trPr>
          <w:trHeight w:val="240"/>
        </w:trPr>
        <w:tc>
          <w:tcPr>
            <w:tcW w:w="1145"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Cross-border</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16-20</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32-40</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49-60</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58-71</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81-99</w:t>
            </w:r>
          </w:p>
        </w:tc>
      </w:tr>
      <w:tr>
        <w:trPr>
          <w:trHeight w:val="240"/>
        </w:trPr>
        <w:tc>
          <w:tcPr>
            <w:tcW w:w="1145" w:type="pct"/>
            <w:tcBorders>
              <w:top w:val="nil"/>
              <w:left w:val="single" w:sz="4" w:space="0" w:color="auto"/>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u w:val="single"/>
                <w:lang w:eastAsia="en-GB"/>
              </w:rPr>
            </w:pPr>
            <w:r>
              <w:rPr>
                <w:rFonts w:ascii="Times New Roman" w:eastAsia="Times New Roman" w:hAnsi="Times New Roman" w:cs="Times New Roman"/>
                <w:b/>
                <w:bCs/>
                <w:noProof/>
                <w:color w:val="000000"/>
                <w:sz w:val="18"/>
                <w:szCs w:val="18"/>
                <w:u w:val="single"/>
                <w:lang w:eastAsia="en-GB"/>
              </w:rPr>
              <w:t>Rail</w:t>
            </w:r>
          </w:p>
        </w:tc>
        <w:tc>
          <w:tcPr>
            <w:tcW w:w="642" w:type="pct"/>
            <w:tcBorders>
              <w:top w:val="nil"/>
              <w:left w:val="nil"/>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40"/>
        </w:trPr>
        <w:tc>
          <w:tcPr>
            <w:tcW w:w="1145"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Intra MS</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13-25</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46-93</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76-153</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70-139</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89-178</w:t>
            </w:r>
          </w:p>
        </w:tc>
      </w:tr>
      <w:tr>
        <w:trPr>
          <w:trHeight w:val="240"/>
        </w:trPr>
        <w:tc>
          <w:tcPr>
            <w:tcW w:w="1145"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Cross-border</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9-18</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41-82</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64-128</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58-115</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73-147</w:t>
            </w:r>
          </w:p>
        </w:tc>
      </w:tr>
      <w:tr>
        <w:trPr>
          <w:trHeight w:val="240"/>
        </w:trPr>
        <w:tc>
          <w:tcPr>
            <w:tcW w:w="1145" w:type="pct"/>
            <w:tcBorders>
              <w:top w:val="nil"/>
              <w:left w:val="single" w:sz="4" w:space="0" w:color="auto"/>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u w:val="single"/>
                <w:lang w:eastAsia="en-GB"/>
              </w:rPr>
            </w:pPr>
            <w:r>
              <w:rPr>
                <w:rFonts w:ascii="Times New Roman" w:eastAsia="Times New Roman" w:hAnsi="Times New Roman" w:cs="Times New Roman"/>
                <w:b/>
                <w:bCs/>
                <w:noProof/>
                <w:color w:val="000000"/>
                <w:sz w:val="18"/>
                <w:szCs w:val="18"/>
                <w:u w:val="single"/>
                <w:lang w:eastAsia="en-GB"/>
              </w:rPr>
              <w:t>IWT</w:t>
            </w:r>
          </w:p>
        </w:tc>
        <w:tc>
          <w:tcPr>
            <w:tcW w:w="642" w:type="pct"/>
            <w:tcBorders>
              <w:top w:val="nil"/>
              <w:left w:val="nil"/>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40"/>
        </w:trPr>
        <w:tc>
          <w:tcPr>
            <w:tcW w:w="1145"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Intra MS</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5-7</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26-36</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34-49</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44-62</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54-77</w:t>
            </w:r>
          </w:p>
        </w:tc>
      </w:tr>
      <w:tr>
        <w:trPr>
          <w:trHeight w:val="240"/>
        </w:trPr>
        <w:tc>
          <w:tcPr>
            <w:tcW w:w="1145"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Cross-border</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11-16</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79-113</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101-144</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141-202</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168-240</w:t>
            </w:r>
          </w:p>
        </w:tc>
      </w:tr>
      <w:tr>
        <w:trPr>
          <w:trHeight w:val="240"/>
        </w:trPr>
        <w:tc>
          <w:tcPr>
            <w:tcW w:w="1145" w:type="pct"/>
            <w:tcBorders>
              <w:top w:val="nil"/>
              <w:left w:val="single" w:sz="4" w:space="0" w:color="auto"/>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u w:val="single"/>
                <w:lang w:eastAsia="en-GB"/>
              </w:rPr>
            </w:pPr>
            <w:r>
              <w:rPr>
                <w:rFonts w:ascii="Times New Roman" w:eastAsia="Times New Roman" w:hAnsi="Times New Roman" w:cs="Times New Roman"/>
                <w:b/>
                <w:bCs/>
                <w:noProof/>
                <w:color w:val="000000"/>
                <w:sz w:val="18"/>
                <w:szCs w:val="18"/>
                <w:u w:val="single"/>
                <w:lang w:eastAsia="en-GB"/>
              </w:rPr>
              <w:t>Maritime</w:t>
            </w:r>
          </w:p>
        </w:tc>
        <w:tc>
          <w:tcPr>
            <w:tcW w:w="642" w:type="pct"/>
            <w:tcBorders>
              <w:top w:val="nil"/>
              <w:left w:val="nil"/>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40"/>
        </w:trPr>
        <w:tc>
          <w:tcPr>
            <w:tcW w:w="1145"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Intra MS</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8-11</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36-51</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51-73</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54-78</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71-102</w:t>
            </w:r>
          </w:p>
        </w:tc>
      </w:tr>
      <w:tr>
        <w:trPr>
          <w:trHeight w:val="240"/>
        </w:trPr>
        <w:tc>
          <w:tcPr>
            <w:tcW w:w="1145" w:type="pct"/>
            <w:tcBorders>
              <w:top w:val="nil"/>
              <w:left w:val="single" w:sz="4" w:space="0" w:color="auto"/>
              <w:bottom w:val="nil"/>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Cross-border</w:t>
            </w:r>
          </w:p>
        </w:tc>
        <w:tc>
          <w:tcPr>
            <w:tcW w:w="642" w:type="pct"/>
            <w:tcBorders>
              <w:top w:val="nil"/>
              <w:left w:val="nil"/>
              <w:bottom w:val="nil"/>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w:t>
            </w:r>
          </w:p>
        </w:tc>
        <w:tc>
          <w:tcPr>
            <w:tcW w:w="642" w:type="pct"/>
            <w:tcBorders>
              <w:top w:val="nil"/>
              <w:left w:val="nil"/>
              <w:bottom w:val="nil"/>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36-52</w:t>
            </w:r>
          </w:p>
        </w:tc>
        <w:tc>
          <w:tcPr>
            <w:tcW w:w="642" w:type="pct"/>
            <w:tcBorders>
              <w:top w:val="nil"/>
              <w:left w:val="nil"/>
              <w:bottom w:val="nil"/>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164-234</w:t>
            </w:r>
          </w:p>
        </w:tc>
        <w:tc>
          <w:tcPr>
            <w:tcW w:w="642" w:type="pct"/>
            <w:tcBorders>
              <w:top w:val="nil"/>
              <w:left w:val="nil"/>
              <w:bottom w:val="nil"/>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236-338</w:t>
            </w:r>
          </w:p>
        </w:tc>
        <w:tc>
          <w:tcPr>
            <w:tcW w:w="642" w:type="pct"/>
            <w:tcBorders>
              <w:top w:val="nil"/>
              <w:left w:val="nil"/>
              <w:bottom w:val="nil"/>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249-356</w:t>
            </w:r>
          </w:p>
        </w:tc>
        <w:tc>
          <w:tcPr>
            <w:tcW w:w="642" w:type="pct"/>
            <w:tcBorders>
              <w:top w:val="nil"/>
              <w:left w:val="nil"/>
              <w:bottom w:val="nil"/>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327-467</w:t>
            </w:r>
          </w:p>
        </w:tc>
      </w:tr>
      <w:tr>
        <w:trPr>
          <w:trHeight w:val="240"/>
        </w:trPr>
        <w:tc>
          <w:tcPr>
            <w:tcW w:w="1145" w:type="pct"/>
            <w:tcBorders>
              <w:top w:val="single" w:sz="4" w:space="0" w:color="auto"/>
              <w:left w:val="single" w:sz="4" w:space="0" w:color="auto"/>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u w:val="single"/>
                <w:lang w:eastAsia="en-GB"/>
              </w:rPr>
            </w:pPr>
            <w:r>
              <w:rPr>
                <w:rFonts w:ascii="Times New Roman" w:eastAsia="Times New Roman" w:hAnsi="Times New Roman" w:cs="Times New Roman"/>
                <w:b/>
                <w:bCs/>
                <w:noProof/>
                <w:color w:val="000000"/>
                <w:sz w:val="18"/>
                <w:szCs w:val="18"/>
                <w:u w:val="single"/>
                <w:lang w:eastAsia="en-GB"/>
              </w:rPr>
              <w:t>Aviation</w:t>
            </w:r>
          </w:p>
        </w:tc>
        <w:tc>
          <w:tcPr>
            <w:tcW w:w="642" w:type="pct"/>
            <w:tcBorders>
              <w:top w:val="single" w:sz="4" w:space="0" w:color="auto"/>
              <w:left w:val="nil"/>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single" w:sz="4" w:space="0" w:color="auto"/>
              <w:left w:val="nil"/>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single" w:sz="4" w:space="0" w:color="auto"/>
              <w:left w:val="nil"/>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single" w:sz="4" w:space="0" w:color="auto"/>
              <w:left w:val="nil"/>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single" w:sz="4" w:space="0" w:color="auto"/>
              <w:left w:val="nil"/>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40"/>
        </w:trPr>
        <w:tc>
          <w:tcPr>
            <w:tcW w:w="1145"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Intra MS</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w:t>
            </w:r>
          </w:p>
        </w:tc>
      </w:tr>
      <w:tr>
        <w:trPr>
          <w:trHeight w:val="240"/>
        </w:trPr>
        <w:tc>
          <w:tcPr>
            <w:tcW w:w="1145"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Cross-border</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1-3</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3-6</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3-8</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5-12</w:t>
            </w:r>
          </w:p>
        </w:tc>
      </w:tr>
      <w:tr>
        <w:trPr>
          <w:trHeight w:val="240"/>
        </w:trPr>
        <w:tc>
          <w:tcPr>
            <w:tcW w:w="1145" w:type="pct"/>
            <w:tcBorders>
              <w:top w:val="nil"/>
              <w:left w:val="single" w:sz="4" w:space="0" w:color="auto"/>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18"/>
                <w:szCs w:val="18"/>
                <w:u w:val="single"/>
                <w:lang w:eastAsia="en-GB"/>
              </w:rPr>
            </w:pPr>
            <w:r>
              <w:rPr>
                <w:rFonts w:ascii="Times New Roman" w:eastAsia="Times New Roman" w:hAnsi="Times New Roman" w:cs="Times New Roman"/>
                <w:b/>
                <w:bCs/>
                <w:noProof/>
                <w:color w:val="000000"/>
                <w:sz w:val="18"/>
                <w:szCs w:val="18"/>
                <w:u w:val="single"/>
                <w:lang w:eastAsia="en-GB"/>
              </w:rPr>
              <w:t>All modes</w:t>
            </w:r>
          </w:p>
        </w:tc>
        <w:tc>
          <w:tcPr>
            <w:tcW w:w="642" w:type="pct"/>
            <w:tcBorders>
              <w:top w:val="nil"/>
              <w:left w:val="nil"/>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40"/>
        </w:trPr>
        <w:tc>
          <w:tcPr>
            <w:tcW w:w="1145"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Intra MS</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127-168</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526-692</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874-1145</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871-1140</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1332-1724</w:t>
            </w:r>
          </w:p>
        </w:tc>
      </w:tr>
      <w:tr>
        <w:trPr>
          <w:trHeight w:val="240"/>
        </w:trPr>
        <w:tc>
          <w:tcPr>
            <w:tcW w:w="1145"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Cross-border</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73-106</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318-472</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453-676</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509-751</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655-965</w:t>
            </w:r>
          </w:p>
        </w:tc>
      </w:tr>
    </w:tbl>
    <w:p>
      <w:pPr>
        <w:spacing w:after="120" w:line="240" w:lineRule="auto"/>
        <w:jc w:val="both"/>
        <w:rPr>
          <w:rFonts w:ascii="Times New Roman" w:eastAsia="Times New Roman" w:hAnsi="Times New Roman" w:cs="Times New Roman"/>
          <w:i/>
          <w:noProof/>
          <w:sz w:val="18"/>
          <w:szCs w:val="18"/>
        </w:rPr>
      </w:pPr>
      <w:r>
        <w:rPr>
          <w:rFonts w:ascii="Times New Roman" w:eastAsia="Times New Roman" w:hAnsi="Times New Roman" w:cs="Times New Roman"/>
          <w:i/>
          <w:noProof/>
          <w:sz w:val="18"/>
          <w:szCs w:val="18"/>
        </w:rPr>
        <w:t xml:space="preserve">Source: Ecorys et al. (2018) Impact Assessment support study  </w:t>
      </w:r>
    </w:p>
    <w:p>
      <w:pPr>
        <w:spacing w:after="120" w:line="240" w:lineRule="auto"/>
        <w:jc w:val="both"/>
        <w:rPr>
          <w:rFonts w:ascii="Times New Roman" w:eastAsia="Times New Roman" w:hAnsi="Times New Roman" w:cs="Times New Roman"/>
          <w:noProof/>
          <w:sz w:val="24"/>
          <w:szCs w:val="24"/>
        </w:rPr>
      </w:pPr>
      <w:bookmarkStart w:id="116" w:name="_Toc506397049"/>
      <w:bookmarkStart w:id="117" w:name="_Toc506397597"/>
      <w:bookmarkStart w:id="118" w:name="_Toc506397705"/>
      <w:bookmarkStart w:id="119" w:name="_Toc506398528"/>
      <w:bookmarkStart w:id="120" w:name="_Toc506408292"/>
      <w:r>
        <w:rPr>
          <w:rFonts w:ascii="Times New Roman" w:eastAsia="Times New Roman" w:hAnsi="Times New Roman" w:cs="Times New Roman"/>
          <w:noProof/>
          <w:sz w:val="24"/>
          <w:szCs w:val="24"/>
        </w:rPr>
        <w:t xml:space="preserve">PO3 and PO4 show the highest administrative cost savings relative to the baseline (EUR 1.3-1.7 billion for intra Member State shipments, equivalent to 18-23% reduction in 2030; EUR 0.7-1 billion for cross-border shipments, equivalent to 35-52% reduction in 2030), followed by PO2 (EUR 0.9-1.1 billion for intra Member State shipments, equivalent to 12-16% reduction in 2030; EUR 0.5-0.7 billion for cross-border shipments, equivalent to 24-37% reduction in 2030) and PO1 (EUR 0.1-0.2 billion for intra Member State shipments, equivalent to around 2% reduction in 2030; EUR 0.07-0.1 billion for cross-border shipments, equivalent to 4-6% reduction in 2030). Overall, the impacts on cost savings relative to the baseline are higher in percentage terms for cross-border shipments, despite their lower impact in absolute terms. This is because of the larger share of intra Member State shipments in road and rail transport. On the contrary, inland waterways, maritime and aviation show higher cost savings for cross-border shipments in absolute terms (see Table 6.2 and Table 6.3).    </w:t>
      </w:r>
    </w:p>
    <w:p>
      <w:pPr>
        <w:spacing w:after="120" w:line="240" w:lineRule="auto"/>
        <w:jc w:val="both"/>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sz w:val="20"/>
          <w:szCs w:val="20"/>
          <w:lang w:eastAsia="nl-NL"/>
        </w:rPr>
        <w:t>Table 6.3 Percentage reduction in administrative costs for businesses in 2025 and 2030 relative to the Baseline, by transport mode</w:t>
      </w:r>
      <w:r>
        <w:rPr>
          <w:rFonts w:ascii="Times New Roman" w:eastAsia="Times New Roman" w:hAnsi="Times New Roman" w:cs="Times New Roman"/>
          <w:b/>
          <w:bCs/>
          <w:noProof/>
          <w:color w:val="FFFFFF"/>
          <w:sz w:val="18"/>
          <w:szCs w:val="18"/>
          <w:lang w:eastAsia="en-GB"/>
        </w:rPr>
        <w:t xml:space="preserve"> </w:t>
      </w:r>
    </w:p>
    <w:tbl>
      <w:tblPr>
        <w:tblW w:w="5000" w:type="pct"/>
        <w:tblLook w:val="04A0" w:firstRow="1" w:lastRow="0" w:firstColumn="1" w:lastColumn="0" w:noHBand="0" w:noVBand="1"/>
      </w:tblPr>
      <w:tblGrid>
        <w:gridCol w:w="2128"/>
        <w:gridCol w:w="1193"/>
        <w:gridCol w:w="1194"/>
        <w:gridCol w:w="1193"/>
        <w:gridCol w:w="1194"/>
        <w:gridCol w:w="1193"/>
        <w:gridCol w:w="1193"/>
      </w:tblGrid>
      <w:tr>
        <w:trPr>
          <w:trHeight w:val="720"/>
          <w:tblHeader/>
        </w:trPr>
        <w:tc>
          <w:tcPr>
            <w:tcW w:w="1146" w:type="pct"/>
            <w:tcBorders>
              <w:top w:val="single" w:sz="4" w:space="0" w:color="auto"/>
              <w:left w:val="single" w:sz="4" w:space="0" w:color="auto"/>
              <w:bottom w:val="single" w:sz="4" w:space="0" w:color="auto"/>
              <w:right w:val="single" w:sz="4" w:space="0" w:color="auto"/>
            </w:tcBorders>
            <w:shd w:val="clear" w:color="000000" w:fill="0070C0"/>
            <w:vAlign w:val="center"/>
            <w:hideMark/>
          </w:tcPr>
          <w:p>
            <w:pPr>
              <w:spacing w:after="0" w:line="240" w:lineRule="auto"/>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 reduction relative to the Baseline</w:t>
            </w:r>
          </w:p>
        </w:tc>
        <w:tc>
          <w:tcPr>
            <w:tcW w:w="1285" w:type="pct"/>
            <w:gridSpan w:val="2"/>
            <w:tcBorders>
              <w:top w:val="single" w:sz="4" w:space="0" w:color="auto"/>
              <w:left w:val="nil"/>
              <w:bottom w:val="single" w:sz="4" w:space="0" w:color="auto"/>
              <w:right w:val="single" w:sz="4" w:space="0" w:color="auto"/>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PO1</w:t>
            </w:r>
          </w:p>
        </w:tc>
        <w:tc>
          <w:tcPr>
            <w:tcW w:w="1285" w:type="pct"/>
            <w:gridSpan w:val="2"/>
            <w:tcBorders>
              <w:top w:val="single" w:sz="4" w:space="0" w:color="auto"/>
              <w:left w:val="nil"/>
              <w:bottom w:val="single" w:sz="4" w:space="0" w:color="auto"/>
              <w:right w:val="single" w:sz="4" w:space="0" w:color="auto"/>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PO2</w:t>
            </w:r>
          </w:p>
        </w:tc>
        <w:tc>
          <w:tcPr>
            <w:tcW w:w="1285" w:type="pct"/>
            <w:gridSpan w:val="2"/>
            <w:tcBorders>
              <w:top w:val="single" w:sz="4" w:space="0" w:color="auto"/>
              <w:left w:val="nil"/>
              <w:bottom w:val="single" w:sz="4" w:space="0" w:color="auto"/>
              <w:right w:val="single" w:sz="4" w:space="0" w:color="auto"/>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PO3 / PO4</w:t>
            </w:r>
          </w:p>
        </w:tc>
      </w:tr>
      <w:tr>
        <w:trPr>
          <w:trHeight w:val="240"/>
        </w:trPr>
        <w:tc>
          <w:tcPr>
            <w:tcW w:w="1146" w:type="pct"/>
            <w:tcBorders>
              <w:top w:val="nil"/>
              <w:left w:val="single" w:sz="4" w:space="0" w:color="auto"/>
              <w:bottom w:val="nil"/>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 </w:t>
            </w:r>
          </w:p>
        </w:tc>
        <w:tc>
          <w:tcPr>
            <w:tcW w:w="642" w:type="pct"/>
            <w:tcBorders>
              <w:top w:val="nil"/>
              <w:left w:val="nil"/>
              <w:bottom w:val="nil"/>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2025</w:t>
            </w:r>
          </w:p>
        </w:tc>
        <w:tc>
          <w:tcPr>
            <w:tcW w:w="643" w:type="pct"/>
            <w:tcBorders>
              <w:top w:val="nil"/>
              <w:left w:val="nil"/>
              <w:bottom w:val="nil"/>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2030</w:t>
            </w:r>
          </w:p>
        </w:tc>
        <w:tc>
          <w:tcPr>
            <w:tcW w:w="642" w:type="pct"/>
            <w:tcBorders>
              <w:top w:val="nil"/>
              <w:left w:val="nil"/>
              <w:bottom w:val="nil"/>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2025</w:t>
            </w:r>
          </w:p>
        </w:tc>
        <w:tc>
          <w:tcPr>
            <w:tcW w:w="643" w:type="pct"/>
            <w:tcBorders>
              <w:top w:val="nil"/>
              <w:left w:val="nil"/>
              <w:bottom w:val="nil"/>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2030</w:t>
            </w:r>
          </w:p>
        </w:tc>
        <w:tc>
          <w:tcPr>
            <w:tcW w:w="642" w:type="pct"/>
            <w:tcBorders>
              <w:top w:val="nil"/>
              <w:left w:val="nil"/>
              <w:bottom w:val="nil"/>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2025</w:t>
            </w:r>
          </w:p>
        </w:tc>
        <w:tc>
          <w:tcPr>
            <w:tcW w:w="643" w:type="pct"/>
            <w:tcBorders>
              <w:top w:val="nil"/>
              <w:left w:val="nil"/>
              <w:bottom w:val="nil"/>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2030</w:t>
            </w:r>
          </w:p>
        </w:tc>
      </w:tr>
      <w:tr>
        <w:trPr>
          <w:trHeight w:val="240"/>
        </w:trPr>
        <w:tc>
          <w:tcPr>
            <w:tcW w:w="1146" w:type="pct"/>
            <w:tcBorders>
              <w:top w:val="single" w:sz="4" w:space="0" w:color="auto"/>
              <w:left w:val="single" w:sz="4" w:space="0" w:color="auto"/>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u w:val="single"/>
                <w:lang w:eastAsia="en-GB"/>
              </w:rPr>
            </w:pPr>
            <w:r>
              <w:rPr>
                <w:rFonts w:ascii="Times New Roman" w:eastAsia="Times New Roman" w:hAnsi="Times New Roman" w:cs="Times New Roman"/>
                <w:b/>
                <w:bCs/>
                <w:noProof/>
                <w:color w:val="000000"/>
                <w:sz w:val="18"/>
                <w:szCs w:val="18"/>
                <w:u w:val="single"/>
                <w:lang w:eastAsia="en-GB"/>
              </w:rPr>
              <w:t>Road</w:t>
            </w:r>
          </w:p>
        </w:tc>
        <w:tc>
          <w:tcPr>
            <w:tcW w:w="642" w:type="pc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3" w:type="pc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3" w:type="pc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3" w:type="pct"/>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40"/>
        </w:trPr>
        <w:tc>
          <w:tcPr>
            <w:tcW w:w="1146"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Intra MS</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2-2%</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7-8%</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11-13%</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11-14%</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17-21%</w:t>
            </w:r>
          </w:p>
        </w:tc>
      </w:tr>
      <w:tr>
        <w:trPr>
          <w:trHeight w:val="240"/>
        </w:trPr>
        <w:tc>
          <w:tcPr>
            <w:tcW w:w="1146"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Cross-border</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5-6%</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10-12%</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14-17%</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17-21%</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23-28%</w:t>
            </w:r>
          </w:p>
        </w:tc>
      </w:tr>
      <w:tr>
        <w:trPr>
          <w:trHeight w:val="240"/>
        </w:trPr>
        <w:tc>
          <w:tcPr>
            <w:tcW w:w="1146" w:type="pct"/>
            <w:tcBorders>
              <w:top w:val="nil"/>
              <w:left w:val="single" w:sz="4" w:space="0" w:color="auto"/>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u w:val="single"/>
                <w:lang w:eastAsia="en-GB"/>
              </w:rPr>
            </w:pPr>
            <w:r>
              <w:rPr>
                <w:rFonts w:ascii="Times New Roman" w:eastAsia="Times New Roman" w:hAnsi="Times New Roman" w:cs="Times New Roman"/>
                <w:b/>
                <w:bCs/>
                <w:noProof/>
                <w:color w:val="000000"/>
                <w:sz w:val="18"/>
                <w:szCs w:val="18"/>
                <w:u w:val="single"/>
                <w:lang w:eastAsia="en-GB"/>
              </w:rPr>
              <w:t>Rail</w:t>
            </w:r>
          </w:p>
        </w:tc>
        <w:tc>
          <w:tcPr>
            <w:tcW w:w="642" w:type="pct"/>
            <w:tcBorders>
              <w:top w:val="nil"/>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3" w:type="pct"/>
            <w:tcBorders>
              <w:top w:val="nil"/>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3" w:type="pct"/>
            <w:tcBorders>
              <w:top w:val="nil"/>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40"/>
        </w:trPr>
        <w:tc>
          <w:tcPr>
            <w:tcW w:w="1146"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Intra MS</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4-7%</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14-29%</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21-44%</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21-43%</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25-52%</w:t>
            </w:r>
          </w:p>
        </w:tc>
      </w:tr>
      <w:tr>
        <w:trPr>
          <w:trHeight w:val="240"/>
        </w:trPr>
        <w:tc>
          <w:tcPr>
            <w:tcW w:w="1146"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Cross-border</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4-7%</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17-36%</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25-52%</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24-50%</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28-59%</w:t>
            </w:r>
          </w:p>
        </w:tc>
      </w:tr>
      <w:tr>
        <w:trPr>
          <w:trHeight w:val="240"/>
        </w:trPr>
        <w:tc>
          <w:tcPr>
            <w:tcW w:w="1146" w:type="pct"/>
            <w:tcBorders>
              <w:top w:val="nil"/>
              <w:left w:val="single" w:sz="4" w:space="0" w:color="auto"/>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u w:val="single"/>
                <w:lang w:eastAsia="en-GB"/>
              </w:rPr>
            </w:pPr>
            <w:r>
              <w:rPr>
                <w:rFonts w:ascii="Times New Roman" w:eastAsia="Times New Roman" w:hAnsi="Times New Roman" w:cs="Times New Roman"/>
                <w:b/>
                <w:bCs/>
                <w:noProof/>
                <w:color w:val="000000"/>
                <w:sz w:val="18"/>
                <w:szCs w:val="18"/>
                <w:u w:val="single"/>
                <w:lang w:eastAsia="en-GB"/>
              </w:rPr>
              <w:t>IWT</w:t>
            </w:r>
          </w:p>
        </w:tc>
        <w:tc>
          <w:tcPr>
            <w:tcW w:w="642" w:type="pct"/>
            <w:tcBorders>
              <w:top w:val="nil"/>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3" w:type="pct"/>
            <w:tcBorders>
              <w:top w:val="nil"/>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3" w:type="pct"/>
            <w:tcBorders>
              <w:top w:val="nil"/>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40"/>
        </w:trPr>
        <w:tc>
          <w:tcPr>
            <w:tcW w:w="1146"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Intra MS</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2-3%</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13-19%</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17-24%</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23-32%</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26-38%</w:t>
            </w:r>
          </w:p>
        </w:tc>
      </w:tr>
      <w:tr>
        <w:trPr>
          <w:trHeight w:val="240"/>
        </w:trPr>
        <w:tc>
          <w:tcPr>
            <w:tcW w:w="1146"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Cross-border</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2-3%</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18-26%</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22-31%</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32-46%</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36-52%</w:t>
            </w:r>
          </w:p>
        </w:tc>
      </w:tr>
      <w:tr>
        <w:trPr>
          <w:trHeight w:val="240"/>
        </w:trPr>
        <w:tc>
          <w:tcPr>
            <w:tcW w:w="1146" w:type="pct"/>
            <w:tcBorders>
              <w:top w:val="nil"/>
              <w:left w:val="single" w:sz="4" w:space="0" w:color="auto"/>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u w:val="single"/>
                <w:lang w:eastAsia="en-GB"/>
              </w:rPr>
            </w:pPr>
            <w:r>
              <w:rPr>
                <w:rFonts w:ascii="Times New Roman" w:eastAsia="Times New Roman" w:hAnsi="Times New Roman" w:cs="Times New Roman"/>
                <w:b/>
                <w:bCs/>
                <w:noProof/>
                <w:color w:val="000000"/>
                <w:sz w:val="18"/>
                <w:szCs w:val="18"/>
                <w:u w:val="single"/>
                <w:lang w:eastAsia="en-GB"/>
              </w:rPr>
              <w:t>Maritime</w:t>
            </w:r>
          </w:p>
        </w:tc>
        <w:tc>
          <w:tcPr>
            <w:tcW w:w="642" w:type="pct"/>
            <w:tcBorders>
              <w:top w:val="nil"/>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3" w:type="pct"/>
            <w:tcBorders>
              <w:top w:val="nil"/>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3" w:type="pct"/>
            <w:tcBorders>
              <w:top w:val="nil"/>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40"/>
        </w:trPr>
        <w:tc>
          <w:tcPr>
            <w:tcW w:w="1146"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Intra MS</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5-7%</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23-32%</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31-45%</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34-49%</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43-62%</w:t>
            </w:r>
          </w:p>
        </w:tc>
      </w:tr>
      <w:tr>
        <w:trPr>
          <w:trHeight w:val="240"/>
        </w:trPr>
        <w:tc>
          <w:tcPr>
            <w:tcW w:w="1146"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Cross-border</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5-7%</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23-32%</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31-45%</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34-49%</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43-62%</w:t>
            </w:r>
          </w:p>
        </w:tc>
      </w:tr>
      <w:tr>
        <w:trPr>
          <w:trHeight w:val="240"/>
        </w:trPr>
        <w:tc>
          <w:tcPr>
            <w:tcW w:w="1146"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u w:val="single"/>
                <w:lang w:eastAsia="en-GB"/>
              </w:rPr>
            </w:pPr>
            <w:r>
              <w:rPr>
                <w:rFonts w:ascii="Times New Roman" w:eastAsia="Times New Roman" w:hAnsi="Times New Roman" w:cs="Times New Roman"/>
                <w:b/>
                <w:bCs/>
                <w:noProof/>
                <w:color w:val="000000"/>
                <w:sz w:val="18"/>
                <w:szCs w:val="18"/>
                <w:u w:val="single"/>
                <w:lang w:eastAsia="en-GB"/>
              </w:rPr>
              <w:t>Aviation</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40"/>
        </w:trPr>
        <w:tc>
          <w:tcPr>
            <w:tcW w:w="1146"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Intra MS</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5-14%</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9-25%</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12-33%</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16-45%</w:t>
            </w:r>
          </w:p>
        </w:tc>
      </w:tr>
      <w:tr>
        <w:trPr>
          <w:trHeight w:val="240"/>
        </w:trPr>
        <w:tc>
          <w:tcPr>
            <w:tcW w:w="1146"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Cross-border</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5-14%</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9-25%</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12-33%</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16-45%</w:t>
            </w:r>
          </w:p>
        </w:tc>
      </w:tr>
      <w:tr>
        <w:trPr>
          <w:trHeight w:val="240"/>
        </w:trPr>
        <w:tc>
          <w:tcPr>
            <w:tcW w:w="1146" w:type="pct"/>
            <w:tcBorders>
              <w:top w:val="nil"/>
              <w:left w:val="single" w:sz="4" w:space="0" w:color="auto"/>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u w:val="single"/>
                <w:lang w:eastAsia="en-GB"/>
              </w:rPr>
            </w:pPr>
            <w:r>
              <w:rPr>
                <w:rFonts w:ascii="Times New Roman" w:eastAsia="Times New Roman" w:hAnsi="Times New Roman" w:cs="Times New Roman"/>
                <w:b/>
                <w:bCs/>
                <w:noProof/>
                <w:color w:val="000000"/>
                <w:sz w:val="18"/>
                <w:szCs w:val="18"/>
                <w:u w:val="single"/>
                <w:lang w:eastAsia="en-GB"/>
              </w:rPr>
              <w:t>All modes</w:t>
            </w:r>
          </w:p>
        </w:tc>
        <w:tc>
          <w:tcPr>
            <w:tcW w:w="642" w:type="pct"/>
            <w:tcBorders>
              <w:top w:val="nil"/>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3" w:type="pct"/>
            <w:tcBorders>
              <w:top w:val="nil"/>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3" w:type="pct"/>
            <w:tcBorders>
              <w:top w:val="nil"/>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2" w:type="pct"/>
            <w:tcBorders>
              <w:top w:val="nil"/>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40"/>
        </w:trPr>
        <w:tc>
          <w:tcPr>
            <w:tcW w:w="1146"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Intra MS</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2-2%</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8-10%</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12-16%</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13-16%</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18-23%</w:t>
            </w:r>
          </w:p>
        </w:tc>
      </w:tr>
      <w:tr>
        <w:trPr>
          <w:trHeight w:val="240"/>
        </w:trPr>
        <w:tc>
          <w:tcPr>
            <w:tcW w:w="1146"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Cross-border</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4-6%</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18-27%</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24-37%</w:t>
            </w:r>
          </w:p>
        </w:tc>
        <w:tc>
          <w:tcPr>
            <w:tcW w:w="64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29-43%</w:t>
            </w:r>
          </w:p>
        </w:tc>
        <w:tc>
          <w:tcPr>
            <w:tcW w:w="643"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35-52%</w:t>
            </w:r>
          </w:p>
        </w:tc>
      </w:tr>
    </w:tbl>
    <w:p>
      <w:pPr>
        <w:spacing w:after="120" w:line="240" w:lineRule="auto"/>
        <w:jc w:val="both"/>
        <w:rPr>
          <w:rFonts w:ascii="Times New Roman" w:eastAsia="Times New Roman" w:hAnsi="Times New Roman" w:cs="Times New Roman"/>
          <w:i/>
          <w:noProof/>
          <w:sz w:val="18"/>
          <w:szCs w:val="18"/>
        </w:rPr>
      </w:pPr>
      <w:r>
        <w:rPr>
          <w:rFonts w:ascii="Times New Roman" w:eastAsia="Times New Roman" w:hAnsi="Times New Roman" w:cs="Times New Roman"/>
          <w:i/>
          <w:noProof/>
          <w:sz w:val="18"/>
          <w:szCs w:val="18"/>
        </w:rPr>
        <w:t xml:space="preserve">Source: Ecorys et al. (2018) Impact Assessment support study  </w:t>
      </w:r>
    </w:p>
    <w:p>
      <w:pPr>
        <w:spacing w:after="120" w:line="240" w:lineRule="auto"/>
        <w:jc w:val="both"/>
        <w:rPr>
          <w:rFonts w:ascii="Times New Roman" w:eastAsia="Times New Roman" w:hAnsi="Times New Roman" w:cs="Times New Roman"/>
          <w:b/>
          <w:bCs/>
          <w:noProof/>
          <w:sz w:val="20"/>
          <w:szCs w:val="20"/>
          <w:lang w:eastAsia="nl-NL"/>
        </w:rPr>
      </w:pPr>
      <w:r>
        <w:rPr>
          <w:rFonts w:ascii="Times New Roman" w:eastAsia="Times New Roman" w:hAnsi="Times New Roman" w:cs="Times New Roman"/>
          <w:noProof/>
          <w:sz w:val="24"/>
          <w:szCs w:val="24"/>
        </w:rPr>
        <w:t xml:space="preserve">Over the full deployment horizon of electronic transport documents, expressed as present value over 2018-2040, PO3 and PO4 show total administrative cost savings of EUR 19.7-26.8 billion (or 14.3-19.5% of the baseline values). The lower reduction levels are projected in PO1 (EUR 1.5-2 billion or 1.1-1.5% reduction compared to the baseline), followed by PO2 (EUR 12.9-17.7 billion or 9.3-12.9% reduction compared to the baseline), expressed as present value over 2018-2040 (see Table 6.4). </w:t>
      </w:r>
    </w:p>
    <w:p>
      <w:pPr>
        <w:spacing w:after="120" w:line="240" w:lineRule="auto"/>
        <w:jc w:val="both"/>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sz w:val="20"/>
          <w:szCs w:val="20"/>
          <w:lang w:eastAsia="nl-NL"/>
        </w:rPr>
        <w:t>Table 6.4 Administrative costs savings for businesses relative to the baseline over 2018-2040</w:t>
      </w:r>
      <w:r>
        <w:rPr>
          <w:rFonts w:ascii="Times New Roman" w:eastAsia="Times New Roman" w:hAnsi="Times New Roman" w:cs="Times New Roman"/>
          <w:b/>
          <w:bCs/>
          <w:noProof/>
          <w:sz w:val="20"/>
          <w:szCs w:val="20"/>
          <w:lang w:eastAsia="en-GB"/>
        </w:rPr>
        <w:t xml:space="preserve"> (present value)</w:t>
      </w:r>
    </w:p>
    <w:tbl>
      <w:tblPr>
        <w:tblW w:w="5000" w:type="pct"/>
        <w:tblLook w:val="04A0" w:firstRow="1" w:lastRow="0" w:firstColumn="1" w:lastColumn="0" w:noHBand="0" w:noVBand="1"/>
      </w:tblPr>
      <w:tblGrid>
        <w:gridCol w:w="1873"/>
        <w:gridCol w:w="1142"/>
        <w:gridCol w:w="907"/>
        <w:gridCol w:w="1174"/>
        <w:gridCol w:w="953"/>
        <w:gridCol w:w="1144"/>
        <w:gridCol w:w="953"/>
        <w:gridCol w:w="1142"/>
      </w:tblGrid>
      <w:tr>
        <w:trPr>
          <w:trHeight w:val="240"/>
          <w:tblHeader/>
        </w:trPr>
        <w:tc>
          <w:tcPr>
            <w:tcW w:w="1008" w:type="pct"/>
            <w:vMerge w:val="restart"/>
            <w:tcBorders>
              <w:top w:val="single" w:sz="4" w:space="0" w:color="auto"/>
              <w:left w:val="single" w:sz="4" w:space="0" w:color="auto"/>
              <w:bottom w:val="single" w:sz="4" w:space="0" w:color="000000"/>
              <w:right w:val="nil"/>
            </w:tcBorders>
            <w:shd w:val="clear" w:color="000000" w:fill="0070C0"/>
            <w:vAlign w:val="center"/>
            <w:hideMark/>
          </w:tcPr>
          <w:p>
            <w:pPr>
              <w:spacing w:after="0" w:line="240" w:lineRule="auto"/>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in EUR billion (present value)</w:t>
            </w:r>
          </w:p>
        </w:tc>
        <w:tc>
          <w:tcPr>
            <w:tcW w:w="615" w:type="pct"/>
            <w:vMerge w:val="restart"/>
            <w:tcBorders>
              <w:top w:val="single" w:sz="4" w:space="0" w:color="auto"/>
              <w:left w:val="single" w:sz="4" w:space="0" w:color="auto"/>
              <w:bottom w:val="nil"/>
              <w:right w:val="single" w:sz="4" w:space="0" w:color="auto"/>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Baseline</w:t>
            </w:r>
          </w:p>
        </w:tc>
        <w:tc>
          <w:tcPr>
            <w:tcW w:w="1120" w:type="pct"/>
            <w:gridSpan w:val="2"/>
            <w:tcBorders>
              <w:top w:val="single" w:sz="4" w:space="0" w:color="auto"/>
              <w:left w:val="nil"/>
              <w:bottom w:val="single" w:sz="4" w:space="0" w:color="auto"/>
              <w:right w:val="nil"/>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PO1</w:t>
            </w:r>
          </w:p>
        </w:tc>
        <w:tc>
          <w:tcPr>
            <w:tcW w:w="1129" w:type="pct"/>
            <w:gridSpan w:val="2"/>
            <w:tcBorders>
              <w:top w:val="single" w:sz="4" w:space="0" w:color="auto"/>
              <w:left w:val="single" w:sz="4" w:space="0" w:color="auto"/>
              <w:bottom w:val="single" w:sz="4" w:space="0" w:color="auto"/>
              <w:right w:val="single" w:sz="4" w:space="0" w:color="000000"/>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PO2</w:t>
            </w:r>
          </w:p>
        </w:tc>
        <w:tc>
          <w:tcPr>
            <w:tcW w:w="1128" w:type="pct"/>
            <w:gridSpan w:val="2"/>
            <w:tcBorders>
              <w:top w:val="single" w:sz="4" w:space="0" w:color="auto"/>
              <w:left w:val="nil"/>
              <w:bottom w:val="single" w:sz="4" w:space="0" w:color="auto"/>
              <w:right w:val="single" w:sz="4" w:space="0" w:color="000000"/>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PO3/PO4</w:t>
            </w:r>
          </w:p>
        </w:tc>
      </w:tr>
      <w:tr>
        <w:trPr>
          <w:trHeight w:val="240"/>
        </w:trPr>
        <w:tc>
          <w:tcPr>
            <w:tcW w:w="1008" w:type="pct"/>
            <w:vMerge/>
            <w:tcBorders>
              <w:top w:val="single" w:sz="4" w:space="0" w:color="auto"/>
              <w:left w:val="single" w:sz="4" w:space="0" w:color="auto"/>
              <w:bottom w:val="single" w:sz="4" w:space="0" w:color="000000"/>
              <w:right w:val="nil"/>
            </w:tcBorders>
            <w:vAlign w:val="center"/>
            <w:hideMark/>
          </w:tcPr>
          <w:p>
            <w:pPr>
              <w:spacing w:after="0" w:line="240" w:lineRule="auto"/>
              <w:rPr>
                <w:rFonts w:ascii="Times New Roman" w:eastAsia="Times New Roman" w:hAnsi="Times New Roman" w:cs="Times New Roman"/>
                <w:b/>
                <w:bCs/>
                <w:noProof/>
                <w:color w:val="FFFFFF"/>
                <w:sz w:val="18"/>
                <w:szCs w:val="18"/>
                <w:lang w:eastAsia="en-GB"/>
              </w:rPr>
            </w:pPr>
          </w:p>
        </w:tc>
        <w:tc>
          <w:tcPr>
            <w:tcW w:w="615" w:type="pct"/>
            <w:vMerge/>
            <w:tcBorders>
              <w:top w:val="single" w:sz="4" w:space="0" w:color="auto"/>
              <w:left w:val="single" w:sz="4" w:space="0" w:color="auto"/>
              <w:bottom w:val="nil"/>
              <w:right w:val="single" w:sz="4" w:space="0" w:color="auto"/>
            </w:tcBorders>
            <w:vAlign w:val="center"/>
            <w:hideMark/>
          </w:tcPr>
          <w:p>
            <w:pPr>
              <w:spacing w:after="0" w:line="240" w:lineRule="auto"/>
              <w:rPr>
                <w:rFonts w:ascii="Times New Roman" w:eastAsia="Times New Roman" w:hAnsi="Times New Roman" w:cs="Times New Roman"/>
                <w:b/>
                <w:bCs/>
                <w:noProof/>
                <w:color w:val="FFFFFF"/>
                <w:sz w:val="18"/>
                <w:szCs w:val="18"/>
                <w:lang w:eastAsia="en-GB"/>
              </w:rPr>
            </w:pPr>
          </w:p>
        </w:tc>
        <w:tc>
          <w:tcPr>
            <w:tcW w:w="3377" w:type="pct"/>
            <w:gridSpan w:val="6"/>
            <w:tcBorders>
              <w:top w:val="single" w:sz="4" w:space="0" w:color="auto"/>
              <w:left w:val="nil"/>
              <w:bottom w:val="nil"/>
              <w:right w:val="single" w:sz="4" w:space="0" w:color="000000"/>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difference to the Baseline in EUR billion and % difference to the Baseline</w:t>
            </w:r>
          </w:p>
        </w:tc>
      </w:tr>
      <w:tr>
        <w:trPr>
          <w:trHeight w:val="240"/>
        </w:trPr>
        <w:tc>
          <w:tcPr>
            <w:tcW w:w="1008" w:type="pct"/>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Total</w:t>
            </w:r>
          </w:p>
        </w:tc>
        <w:tc>
          <w:tcPr>
            <w:tcW w:w="615" w:type="pct"/>
            <w:tcBorders>
              <w:top w:val="single" w:sz="4" w:space="0" w:color="auto"/>
              <w:left w:val="single" w:sz="4" w:space="0" w:color="auto"/>
              <w:bottom w:val="nil"/>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137.4-138.2</w:t>
            </w:r>
          </w:p>
        </w:tc>
        <w:tc>
          <w:tcPr>
            <w:tcW w:w="488" w:type="pct"/>
            <w:tcBorders>
              <w:top w:val="single" w:sz="4" w:space="0" w:color="auto"/>
              <w:left w:val="single" w:sz="4"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1.5-2</w:t>
            </w:r>
          </w:p>
        </w:tc>
        <w:tc>
          <w:tcPr>
            <w:tcW w:w="632" w:type="pct"/>
            <w:tcBorders>
              <w:top w:val="single" w:sz="4" w:space="0" w:color="auto"/>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1.1-1.5%</w:t>
            </w:r>
          </w:p>
        </w:tc>
        <w:tc>
          <w:tcPr>
            <w:tcW w:w="513" w:type="pct"/>
            <w:tcBorders>
              <w:top w:val="single" w:sz="4" w:space="0" w:color="auto"/>
              <w:left w:val="single" w:sz="4"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12.9-17.7</w:t>
            </w:r>
          </w:p>
        </w:tc>
        <w:tc>
          <w:tcPr>
            <w:tcW w:w="616" w:type="pct"/>
            <w:tcBorders>
              <w:top w:val="single" w:sz="4" w:space="0" w:color="auto"/>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9.3-12.9%</w:t>
            </w:r>
          </w:p>
        </w:tc>
        <w:tc>
          <w:tcPr>
            <w:tcW w:w="513" w:type="pct"/>
            <w:tcBorders>
              <w:top w:val="single" w:sz="4" w:space="0" w:color="auto"/>
              <w:left w:val="single" w:sz="4"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19.7-26.8</w:t>
            </w:r>
          </w:p>
        </w:tc>
        <w:tc>
          <w:tcPr>
            <w:tcW w:w="615" w:type="pct"/>
            <w:tcBorders>
              <w:top w:val="single" w:sz="4" w:space="0" w:color="auto"/>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14.3-19.5%</w:t>
            </w:r>
          </w:p>
        </w:tc>
      </w:tr>
      <w:tr>
        <w:trPr>
          <w:trHeight w:val="240"/>
        </w:trPr>
        <w:tc>
          <w:tcPr>
            <w:tcW w:w="1008" w:type="pct"/>
            <w:tcBorders>
              <w:top w:val="nil"/>
              <w:left w:val="single" w:sz="4" w:space="0" w:color="auto"/>
              <w:bottom w:val="nil"/>
              <w:right w:val="nil"/>
            </w:tcBorders>
            <w:shd w:val="clear" w:color="000000" w:fill="FFFFFF"/>
            <w:noWrap/>
            <w:vAlign w:val="bottom"/>
            <w:hideMark/>
          </w:tcPr>
          <w:p>
            <w:pPr>
              <w:spacing w:after="0" w:line="240" w:lineRule="auto"/>
              <w:ind w:firstLineChars="100" w:firstLine="18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Intra-MS</w:t>
            </w:r>
          </w:p>
        </w:tc>
        <w:tc>
          <w:tcPr>
            <w:tcW w:w="615" w:type="pct"/>
            <w:tcBorders>
              <w:top w:val="nil"/>
              <w:left w:val="single" w:sz="4" w:space="0" w:color="auto"/>
              <w:bottom w:val="nil"/>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109.6-110.1</w:t>
            </w:r>
          </w:p>
        </w:tc>
        <w:tc>
          <w:tcPr>
            <w:tcW w:w="488" w:type="pct"/>
            <w:tcBorders>
              <w:top w:val="nil"/>
              <w:left w:val="single" w:sz="4"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0.9-1.2</w:t>
            </w:r>
          </w:p>
        </w:tc>
        <w:tc>
          <w:tcPr>
            <w:tcW w:w="63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0.8-1.1%</w:t>
            </w:r>
          </w:p>
        </w:tc>
        <w:tc>
          <w:tcPr>
            <w:tcW w:w="513" w:type="pct"/>
            <w:tcBorders>
              <w:top w:val="nil"/>
              <w:left w:val="single" w:sz="4"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8.3-10.9</w:t>
            </w:r>
          </w:p>
        </w:tc>
        <w:tc>
          <w:tcPr>
            <w:tcW w:w="616"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7.6-10%</w:t>
            </w:r>
          </w:p>
        </w:tc>
        <w:tc>
          <w:tcPr>
            <w:tcW w:w="513" w:type="pct"/>
            <w:tcBorders>
              <w:top w:val="nil"/>
              <w:left w:val="single" w:sz="4"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13-16.8</w:t>
            </w:r>
          </w:p>
        </w:tc>
        <w:tc>
          <w:tcPr>
            <w:tcW w:w="615"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11.8-15.4%</w:t>
            </w:r>
          </w:p>
        </w:tc>
      </w:tr>
      <w:tr>
        <w:trPr>
          <w:trHeight w:val="240"/>
        </w:trPr>
        <w:tc>
          <w:tcPr>
            <w:tcW w:w="1008" w:type="pct"/>
            <w:tcBorders>
              <w:top w:val="nil"/>
              <w:left w:val="single" w:sz="4" w:space="0" w:color="auto"/>
              <w:bottom w:val="single" w:sz="4" w:space="0" w:color="auto"/>
              <w:right w:val="nil"/>
            </w:tcBorders>
            <w:shd w:val="clear" w:color="000000" w:fill="FFFFFF"/>
            <w:noWrap/>
            <w:vAlign w:val="bottom"/>
            <w:hideMark/>
          </w:tcPr>
          <w:p>
            <w:pPr>
              <w:spacing w:after="0" w:line="240" w:lineRule="auto"/>
              <w:ind w:firstLineChars="100" w:firstLine="18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Cross border</w:t>
            </w:r>
          </w:p>
        </w:tc>
        <w:tc>
          <w:tcPr>
            <w:tcW w:w="615" w:type="pct"/>
            <w:tcBorders>
              <w:top w:val="nil"/>
              <w:left w:val="single" w:sz="4" w:space="0" w:color="auto"/>
              <w:bottom w:val="single" w:sz="4" w:space="0" w:color="auto"/>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27.7-28.1</w:t>
            </w:r>
          </w:p>
        </w:tc>
        <w:tc>
          <w:tcPr>
            <w:tcW w:w="488" w:type="pct"/>
            <w:tcBorders>
              <w:top w:val="nil"/>
              <w:left w:val="single" w:sz="4" w:space="0" w:color="auto"/>
              <w:bottom w:val="single" w:sz="4" w:space="0" w:color="auto"/>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0.5-0.8</w:t>
            </w:r>
          </w:p>
        </w:tc>
        <w:tc>
          <w:tcPr>
            <w:tcW w:w="632" w:type="pct"/>
            <w:tcBorders>
              <w:top w:val="nil"/>
              <w:left w:val="nil"/>
              <w:bottom w:val="single" w:sz="4" w:space="0" w:color="auto"/>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1.9-2.8%</w:t>
            </w:r>
          </w:p>
        </w:tc>
        <w:tc>
          <w:tcPr>
            <w:tcW w:w="513" w:type="pct"/>
            <w:tcBorders>
              <w:top w:val="nil"/>
              <w:left w:val="single" w:sz="4" w:space="0" w:color="auto"/>
              <w:bottom w:val="single" w:sz="4" w:space="0" w:color="auto"/>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4.5-6.8</w:t>
            </w:r>
          </w:p>
        </w:tc>
        <w:tc>
          <w:tcPr>
            <w:tcW w:w="616" w:type="pct"/>
            <w:tcBorders>
              <w:top w:val="nil"/>
              <w:left w:val="nil"/>
              <w:bottom w:val="single" w:sz="4" w:space="0" w:color="auto"/>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16.1-24.4%</w:t>
            </w:r>
          </w:p>
        </w:tc>
        <w:tc>
          <w:tcPr>
            <w:tcW w:w="513" w:type="pct"/>
            <w:tcBorders>
              <w:top w:val="nil"/>
              <w:left w:val="single" w:sz="4" w:space="0" w:color="auto"/>
              <w:bottom w:val="single" w:sz="4" w:space="0" w:color="auto"/>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6.7-9.9</w:t>
            </w:r>
          </w:p>
        </w:tc>
        <w:tc>
          <w:tcPr>
            <w:tcW w:w="615"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24-35.8%</w:t>
            </w:r>
          </w:p>
        </w:tc>
      </w:tr>
    </w:tbl>
    <w:p>
      <w:pPr>
        <w:spacing w:after="120" w:line="240" w:lineRule="auto"/>
        <w:jc w:val="both"/>
        <w:rPr>
          <w:rFonts w:ascii="Times New Roman" w:eastAsia="Times New Roman" w:hAnsi="Times New Roman" w:cs="Times New Roman"/>
          <w:i/>
          <w:noProof/>
          <w:sz w:val="18"/>
          <w:szCs w:val="18"/>
        </w:rPr>
      </w:pPr>
      <w:r>
        <w:rPr>
          <w:rFonts w:ascii="Times New Roman" w:eastAsia="Times New Roman" w:hAnsi="Times New Roman" w:cs="Times New Roman"/>
          <w:i/>
          <w:noProof/>
          <w:sz w:val="18"/>
          <w:szCs w:val="18"/>
        </w:rPr>
        <w:t xml:space="preserve">Source: Ecorys et al. (2018) Impact Assessment support study  </w:t>
      </w:r>
    </w:p>
    <w:p>
      <w:pPr>
        <w:keepNext/>
        <w:numPr>
          <w:ilvl w:val="2"/>
          <w:numId w:val="0"/>
        </w:numPr>
        <w:spacing w:before="240" w:after="120" w:line="240" w:lineRule="auto"/>
        <w:ind w:left="720" w:hanging="720"/>
        <w:jc w:val="both"/>
        <w:outlineLvl w:val="2"/>
        <w:rPr>
          <w:rFonts w:ascii="Times New Roman" w:eastAsia="Times New Roman" w:hAnsi="Times New Roman" w:cs="Times New Roman"/>
          <w:b/>
          <w:bCs/>
          <w:i/>
          <w:iCs/>
          <w:noProof/>
          <w:sz w:val="24"/>
          <w:szCs w:val="20"/>
        </w:rPr>
      </w:pPr>
      <w:bookmarkStart w:id="121" w:name="_Toc512589624"/>
      <w:bookmarkStart w:id="122" w:name="_Toc512854929"/>
      <w:r>
        <w:rPr>
          <w:rFonts w:ascii="Times New Roman" w:eastAsia="Times New Roman" w:hAnsi="Times New Roman" w:cs="Times New Roman"/>
          <w:b/>
          <w:bCs/>
          <w:i/>
          <w:iCs/>
          <w:noProof/>
          <w:sz w:val="24"/>
          <w:szCs w:val="20"/>
        </w:rPr>
        <w:t>Compliance costs for business</w:t>
      </w:r>
      <w:bookmarkEnd w:id="116"/>
      <w:bookmarkEnd w:id="117"/>
      <w:bookmarkEnd w:id="118"/>
      <w:bookmarkEnd w:id="119"/>
      <w:bookmarkEnd w:id="120"/>
      <w:r>
        <w:rPr>
          <w:rFonts w:ascii="Times New Roman" w:eastAsia="Times New Roman" w:hAnsi="Times New Roman" w:cs="Times New Roman"/>
          <w:b/>
          <w:bCs/>
          <w:i/>
          <w:iCs/>
          <w:noProof/>
          <w:sz w:val="24"/>
          <w:szCs w:val="20"/>
        </w:rPr>
        <w:t>es</w:t>
      </w:r>
      <w:bookmarkEnd w:id="121"/>
      <w:bookmarkEnd w:id="122"/>
      <w:r>
        <w:rPr>
          <w:rFonts w:ascii="Times New Roman" w:eastAsia="Times New Roman" w:hAnsi="Times New Roman" w:cs="Times New Roman"/>
          <w:b/>
          <w:bCs/>
          <w:i/>
          <w:iCs/>
          <w:noProof/>
          <w:sz w:val="24"/>
          <w:szCs w:val="20"/>
        </w:rPr>
        <w:t xml:space="preserve"> </w:t>
      </w:r>
    </w:p>
    <w:p>
      <w:pPr>
        <w:keepNext/>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All policy options would bring additional costs for businesses to adjust their working practices to the new digitalised business environment. These one-off costs would cover both hardware and software systems. Cost levels will depend however on the company size. According to stakeholders' feedback, small market players will face lower cost levels as they handle limited numbers of transport operations, and therefore related information exchanges. Thus, the adjustment of their working practices (including through deployment of IT solutions and hardware) would not be as demanding as for bigger market players. The assumptions regarding the compliance costs per company are provided in Table 6.5, differentiated by company size.</w:t>
      </w:r>
    </w:p>
    <w:p>
      <w:pPr>
        <w:keepNext/>
        <w:keepLines/>
        <w:spacing w:after="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Table 6.5: Compliance costs for electronic transport document per size of company</w:t>
      </w:r>
    </w:p>
    <w:tbl>
      <w:tblPr>
        <w:tblStyle w:val="table-style-blauw-100-outline"/>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945"/>
        <w:gridCol w:w="1945"/>
        <w:gridCol w:w="1945"/>
        <w:gridCol w:w="1945"/>
      </w:tblGrid>
      <w:tr>
        <w:trPr>
          <w:cnfStyle w:val="100000000000" w:firstRow="1" w:lastRow="0" w:firstColumn="0" w:lastColumn="0" w:oddVBand="0" w:evenVBand="0" w:oddHBand="0" w:evenHBand="0" w:firstRowFirstColumn="0" w:firstRowLastColumn="0" w:lastRowFirstColumn="0" w:lastRowLastColumn="0"/>
          <w:trHeight w:val="699"/>
          <w:tblHeader/>
        </w:trPr>
        <w:tc>
          <w:tcPr>
            <w:tcW w:w="787" w:type="pct"/>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Company size</w:t>
            </w:r>
          </w:p>
        </w:tc>
        <w:tc>
          <w:tcPr>
            <w:tcW w:w="1053" w:type="pct"/>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Number of trucks / Mobiles</w:t>
            </w:r>
          </w:p>
        </w:tc>
        <w:tc>
          <w:tcPr>
            <w:tcW w:w="1053" w:type="pct"/>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Total mobile costs per company in EUR*</w:t>
            </w:r>
          </w:p>
        </w:tc>
        <w:tc>
          <w:tcPr>
            <w:tcW w:w="1053" w:type="pct"/>
          </w:tcPr>
          <w:p>
            <w:pPr>
              <w:pStyle w:val="table-text"/>
              <w:jc w:val="center"/>
              <w:rPr>
                <w:rFonts w:ascii="Times New Roman" w:hAnsi="Times New Roman"/>
                <w:b w:val="0"/>
                <w:noProof/>
                <w:sz w:val="18"/>
                <w:szCs w:val="18"/>
                <w:lang w:val="en-GB"/>
              </w:rPr>
            </w:pPr>
            <w:r>
              <w:rPr>
                <w:rFonts w:ascii="Times New Roman" w:hAnsi="Times New Roman"/>
                <w:noProof/>
                <w:sz w:val="18"/>
                <w:szCs w:val="18"/>
                <w:lang w:val="en-GB"/>
              </w:rPr>
              <w:t>Total software costs per company in EUR</w:t>
            </w:r>
          </w:p>
        </w:tc>
        <w:tc>
          <w:tcPr>
            <w:tcW w:w="1053" w:type="pct"/>
          </w:tcPr>
          <w:p>
            <w:pPr>
              <w:pStyle w:val="table-text"/>
              <w:jc w:val="center"/>
              <w:rPr>
                <w:rFonts w:ascii="Times New Roman" w:hAnsi="Times New Roman"/>
                <w:b w:val="0"/>
                <w:noProof/>
                <w:sz w:val="18"/>
                <w:szCs w:val="18"/>
                <w:lang w:val="en-GB"/>
              </w:rPr>
            </w:pPr>
            <w:r>
              <w:rPr>
                <w:rFonts w:ascii="Times New Roman" w:hAnsi="Times New Roman"/>
                <w:noProof/>
                <w:sz w:val="18"/>
                <w:szCs w:val="18"/>
                <w:lang w:val="en-GB"/>
              </w:rPr>
              <w:t>Total costs per company in EUR</w:t>
            </w:r>
          </w:p>
        </w:tc>
      </w:tr>
      <w:tr>
        <w:trPr>
          <w:cnfStyle w:val="000000100000" w:firstRow="0" w:lastRow="0" w:firstColumn="0" w:lastColumn="0" w:oddVBand="0" w:evenVBand="0" w:oddHBand="1" w:evenHBand="0" w:firstRowFirstColumn="0" w:firstRowLastColumn="0" w:lastRowFirstColumn="0" w:lastRowLastColumn="0"/>
        </w:trPr>
        <w:tc>
          <w:tcPr>
            <w:tcW w:w="787" w:type="pct"/>
            <w:tcBorders>
              <w:top w:val="none" w:sz="0" w:space="0" w:color="auto"/>
            </w:tcBorders>
          </w:tcPr>
          <w:p>
            <w:pPr>
              <w:pStyle w:val="table-text"/>
              <w:rPr>
                <w:rFonts w:ascii="Times New Roman" w:hAnsi="Times New Roman"/>
                <w:noProof/>
                <w:sz w:val="18"/>
                <w:szCs w:val="18"/>
                <w:lang w:val="en-GB"/>
              </w:rPr>
            </w:pPr>
            <w:r>
              <w:rPr>
                <w:rFonts w:ascii="Times New Roman" w:hAnsi="Times New Roman"/>
                <w:noProof/>
                <w:sz w:val="18"/>
                <w:szCs w:val="18"/>
                <w:lang w:val="en-GB"/>
              </w:rPr>
              <w:t xml:space="preserve">Micro </w:t>
            </w:r>
            <w:r>
              <w:rPr>
                <w:rFonts w:ascii="Times New Roman" w:hAnsi="Times New Roman"/>
                <w:noProof/>
                <w:sz w:val="18"/>
                <w:szCs w:val="18"/>
                <w:lang w:val="en-GB" w:eastAsia="en-GB"/>
              </w:rPr>
              <w:t>(0-9 employees)</w:t>
            </w:r>
          </w:p>
        </w:tc>
        <w:tc>
          <w:tcPr>
            <w:tcW w:w="1053" w:type="pct"/>
            <w:tcBorders>
              <w:top w:val="none" w:sz="0" w:space="0" w:color="auto"/>
            </w:tcBorders>
          </w:tcPr>
          <w:p>
            <w:pPr>
              <w:pStyle w:val="table-text"/>
              <w:jc w:val="center"/>
              <w:rPr>
                <w:rFonts w:ascii="Times New Roman" w:hAnsi="Times New Roman"/>
                <w:b/>
                <w:noProof/>
                <w:sz w:val="18"/>
                <w:szCs w:val="18"/>
                <w:lang w:val="en-GB"/>
              </w:rPr>
            </w:pPr>
            <w:r>
              <w:rPr>
                <w:rFonts w:ascii="Times New Roman" w:hAnsi="Times New Roman"/>
                <w:b/>
                <w:noProof/>
                <w:sz w:val="18"/>
                <w:szCs w:val="18"/>
                <w:lang w:val="en-GB"/>
              </w:rPr>
              <w:t>-</w:t>
            </w:r>
          </w:p>
        </w:tc>
        <w:tc>
          <w:tcPr>
            <w:tcW w:w="1053" w:type="pct"/>
            <w:tcBorders>
              <w:top w:val="none" w:sz="0" w:space="0" w:color="auto"/>
            </w:tcBorders>
          </w:tcPr>
          <w:p>
            <w:pPr>
              <w:pStyle w:val="table-text"/>
              <w:jc w:val="center"/>
              <w:rPr>
                <w:rFonts w:ascii="Times New Roman" w:hAnsi="Times New Roman"/>
                <w:b/>
                <w:noProof/>
                <w:sz w:val="18"/>
                <w:szCs w:val="18"/>
                <w:lang w:val="en-GB"/>
              </w:rPr>
            </w:pPr>
            <w:r>
              <w:rPr>
                <w:rFonts w:ascii="Times New Roman" w:hAnsi="Times New Roman"/>
                <w:b/>
                <w:noProof/>
                <w:sz w:val="18"/>
                <w:szCs w:val="18"/>
                <w:lang w:val="en-GB"/>
              </w:rPr>
              <w:t>-</w:t>
            </w:r>
          </w:p>
        </w:tc>
        <w:tc>
          <w:tcPr>
            <w:tcW w:w="1053" w:type="pct"/>
            <w:tcBorders>
              <w:top w:val="none" w:sz="0" w:space="0" w:color="auto"/>
            </w:tcBorders>
          </w:tcPr>
          <w:p>
            <w:pPr>
              <w:pStyle w:val="table-text"/>
              <w:jc w:val="center"/>
              <w:rPr>
                <w:rFonts w:ascii="Times New Roman" w:hAnsi="Times New Roman"/>
                <w:b/>
                <w:noProof/>
                <w:sz w:val="18"/>
                <w:szCs w:val="18"/>
                <w:lang w:val="en-GB"/>
              </w:rPr>
            </w:pPr>
            <w:r>
              <w:rPr>
                <w:rFonts w:ascii="Times New Roman" w:hAnsi="Times New Roman"/>
                <w:b/>
                <w:noProof/>
                <w:sz w:val="18"/>
                <w:szCs w:val="18"/>
                <w:lang w:val="en-GB"/>
              </w:rPr>
              <w:t>-</w:t>
            </w:r>
          </w:p>
        </w:tc>
        <w:tc>
          <w:tcPr>
            <w:tcW w:w="1053" w:type="pct"/>
            <w:tcBorders>
              <w:top w:val="none" w:sz="0" w:space="0" w:color="auto"/>
            </w:tcBorders>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w:t>
            </w:r>
          </w:p>
        </w:tc>
      </w:tr>
      <w:tr>
        <w:trPr>
          <w:cnfStyle w:val="000000010000" w:firstRow="0" w:lastRow="0" w:firstColumn="0" w:lastColumn="0" w:oddVBand="0" w:evenVBand="0" w:oddHBand="0" w:evenHBand="1" w:firstRowFirstColumn="0" w:firstRowLastColumn="0" w:lastRowFirstColumn="0" w:lastRowLastColumn="0"/>
        </w:trPr>
        <w:tc>
          <w:tcPr>
            <w:tcW w:w="787" w:type="pct"/>
            <w:tcBorders>
              <w:top w:val="none" w:sz="0" w:space="0" w:color="auto"/>
            </w:tcBorders>
          </w:tcPr>
          <w:p>
            <w:pPr>
              <w:pStyle w:val="table-text"/>
              <w:rPr>
                <w:rFonts w:ascii="Times New Roman" w:hAnsi="Times New Roman"/>
                <w:noProof/>
                <w:sz w:val="18"/>
                <w:szCs w:val="18"/>
                <w:lang w:val="en-GB"/>
              </w:rPr>
            </w:pPr>
            <w:r>
              <w:rPr>
                <w:rFonts w:ascii="Times New Roman" w:hAnsi="Times New Roman"/>
                <w:noProof/>
                <w:sz w:val="18"/>
                <w:szCs w:val="18"/>
                <w:lang w:val="en-GB"/>
              </w:rPr>
              <w:t xml:space="preserve">Small </w:t>
            </w:r>
            <w:r>
              <w:rPr>
                <w:rFonts w:ascii="Times New Roman" w:hAnsi="Times New Roman"/>
                <w:noProof/>
                <w:sz w:val="18"/>
                <w:szCs w:val="18"/>
                <w:lang w:val="en-GB" w:eastAsia="en-GB"/>
              </w:rPr>
              <w:t>(10-49 employees)</w:t>
            </w:r>
          </w:p>
        </w:tc>
        <w:tc>
          <w:tcPr>
            <w:tcW w:w="1053" w:type="pct"/>
            <w:tcBorders>
              <w:top w:val="none" w:sz="0" w:space="0" w:color="auto"/>
            </w:tcBorders>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10</w:t>
            </w:r>
          </w:p>
        </w:tc>
        <w:tc>
          <w:tcPr>
            <w:tcW w:w="1053" w:type="pct"/>
            <w:tcBorders>
              <w:top w:val="none" w:sz="0" w:space="0" w:color="auto"/>
            </w:tcBorders>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3.000</w:t>
            </w:r>
          </w:p>
        </w:tc>
        <w:tc>
          <w:tcPr>
            <w:tcW w:w="1053" w:type="pct"/>
            <w:tcBorders>
              <w:top w:val="none" w:sz="0" w:space="0" w:color="auto"/>
            </w:tcBorders>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5,000</w:t>
            </w:r>
          </w:p>
        </w:tc>
        <w:tc>
          <w:tcPr>
            <w:tcW w:w="1053" w:type="pct"/>
            <w:tcBorders>
              <w:top w:val="none" w:sz="0" w:space="0" w:color="auto"/>
            </w:tcBorders>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8,000</w:t>
            </w:r>
          </w:p>
        </w:tc>
      </w:tr>
      <w:tr>
        <w:trPr>
          <w:cnfStyle w:val="000000100000" w:firstRow="0" w:lastRow="0" w:firstColumn="0" w:lastColumn="0" w:oddVBand="0" w:evenVBand="0" w:oddHBand="1" w:evenHBand="0" w:firstRowFirstColumn="0" w:firstRowLastColumn="0" w:lastRowFirstColumn="0" w:lastRowLastColumn="0"/>
        </w:trPr>
        <w:tc>
          <w:tcPr>
            <w:tcW w:w="787" w:type="pct"/>
            <w:tcBorders>
              <w:top w:val="none" w:sz="0" w:space="0" w:color="auto"/>
            </w:tcBorders>
          </w:tcPr>
          <w:p>
            <w:pPr>
              <w:pStyle w:val="table-text"/>
              <w:rPr>
                <w:rFonts w:ascii="Times New Roman" w:hAnsi="Times New Roman"/>
                <w:noProof/>
                <w:sz w:val="18"/>
                <w:szCs w:val="18"/>
                <w:lang w:val="en-GB"/>
              </w:rPr>
            </w:pPr>
            <w:r>
              <w:rPr>
                <w:rFonts w:ascii="Times New Roman" w:hAnsi="Times New Roman"/>
                <w:noProof/>
                <w:sz w:val="18"/>
                <w:szCs w:val="18"/>
                <w:lang w:val="en-GB"/>
              </w:rPr>
              <w:t xml:space="preserve">Medium </w:t>
            </w:r>
            <w:r>
              <w:rPr>
                <w:rFonts w:ascii="Times New Roman" w:hAnsi="Times New Roman"/>
                <w:noProof/>
                <w:sz w:val="18"/>
                <w:szCs w:val="18"/>
                <w:lang w:val="en-GB" w:eastAsia="en-GB"/>
              </w:rPr>
              <w:t>(50-249 employees)</w:t>
            </w:r>
          </w:p>
        </w:tc>
        <w:tc>
          <w:tcPr>
            <w:tcW w:w="1053" w:type="pct"/>
            <w:tcBorders>
              <w:top w:val="none" w:sz="0" w:space="0" w:color="auto"/>
            </w:tcBorders>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50</w:t>
            </w:r>
          </w:p>
        </w:tc>
        <w:tc>
          <w:tcPr>
            <w:tcW w:w="1053" w:type="pct"/>
            <w:tcBorders>
              <w:top w:val="none" w:sz="0" w:space="0" w:color="auto"/>
            </w:tcBorders>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15,000</w:t>
            </w:r>
          </w:p>
        </w:tc>
        <w:tc>
          <w:tcPr>
            <w:tcW w:w="1053" w:type="pct"/>
            <w:tcBorders>
              <w:top w:val="none" w:sz="0" w:space="0" w:color="auto"/>
            </w:tcBorders>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€10,000</w:t>
            </w:r>
          </w:p>
        </w:tc>
        <w:tc>
          <w:tcPr>
            <w:tcW w:w="1053" w:type="pct"/>
            <w:tcBorders>
              <w:top w:val="none" w:sz="0" w:space="0" w:color="auto"/>
            </w:tcBorders>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25,000</w:t>
            </w:r>
          </w:p>
        </w:tc>
      </w:tr>
      <w:tr>
        <w:trPr>
          <w:cnfStyle w:val="000000010000" w:firstRow="0" w:lastRow="0" w:firstColumn="0" w:lastColumn="0" w:oddVBand="0" w:evenVBand="0" w:oddHBand="0" w:evenHBand="1" w:firstRowFirstColumn="0" w:firstRowLastColumn="0" w:lastRowFirstColumn="0" w:lastRowLastColumn="0"/>
        </w:trPr>
        <w:tc>
          <w:tcPr>
            <w:tcW w:w="787" w:type="pct"/>
            <w:tcBorders>
              <w:top w:val="none" w:sz="0" w:space="0" w:color="auto"/>
            </w:tcBorders>
          </w:tcPr>
          <w:p>
            <w:pPr>
              <w:pStyle w:val="table-text"/>
              <w:rPr>
                <w:rFonts w:ascii="Times New Roman" w:hAnsi="Times New Roman"/>
                <w:noProof/>
                <w:sz w:val="18"/>
                <w:szCs w:val="18"/>
                <w:lang w:val="en-GB"/>
              </w:rPr>
            </w:pPr>
            <w:r>
              <w:rPr>
                <w:rFonts w:ascii="Times New Roman" w:hAnsi="Times New Roman"/>
                <w:noProof/>
                <w:sz w:val="18"/>
                <w:szCs w:val="18"/>
                <w:lang w:val="en-GB"/>
              </w:rPr>
              <w:t xml:space="preserve">Large </w:t>
            </w:r>
            <w:r>
              <w:rPr>
                <w:rFonts w:ascii="Times New Roman" w:hAnsi="Times New Roman"/>
                <w:noProof/>
                <w:sz w:val="18"/>
                <w:szCs w:val="18"/>
                <w:lang w:val="en-GB" w:eastAsia="en-GB"/>
              </w:rPr>
              <w:t>(above 250 employees)</w:t>
            </w:r>
          </w:p>
        </w:tc>
        <w:tc>
          <w:tcPr>
            <w:tcW w:w="1053" w:type="pct"/>
            <w:tcBorders>
              <w:top w:val="none" w:sz="0" w:space="0" w:color="auto"/>
            </w:tcBorders>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300</w:t>
            </w:r>
          </w:p>
        </w:tc>
        <w:tc>
          <w:tcPr>
            <w:tcW w:w="1053" w:type="pct"/>
            <w:tcBorders>
              <w:top w:val="none" w:sz="0" w:space="0" w:color="auto"/>
            </w:tcBorders>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90,000</w:t>
            </w:r>
          </w:p>
        </w:tc>
        <w:tc>
          <w:tcPr>
            <w:tcW w:w="1053" w:type="pct"/>
            <w:tcBorders>
              <w:top w:val="none" w:sz="0" w:space="0" w:color="auto"/>
            </w:tcBorders>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€60,000</w:t>
            </w:r>
          </w:p>
        </w:tc>
        <w:tc>
          <w:tcPr>
            <w:tcW w:w="1053" w:type="pct"/>
            <w:tcBorders>
              <w:top w:val="none" w:sz="0" w:space="0" w:color="auto"/>
            </w:tcBorders>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150,000</w:t>
            </w:r>
          </w:p>
        </w:tc>
      </w:tr>
    </w:tbl>
    <w:p>
      <w:pPr>
        <w:spacing w:after="120" w:line="240" w:lineRule="auto"/>
        <w:jc w:val="both"/>
        <w:rPr>
          <w:rFonts w:ascii="Times New Roman" w:eastAsia="Times New Roman" w:hAnsi="Times New Roman" w:cs="Times New Roman"/>
          <w:i/>
          <w:noProof/>
          <w:sz w:val="18"/>
          <w:szCs w:val="18"/>
        </w:rPr>
      </w:pPr>
      <w:r>
        <w:rPr>
          <w:rFonts w:ascii="Times New Roman" w:eastAsia="Times New Roman" w:hAnsi="Times New Roman" w:cs="Times New Roman"/>
          <w:i/>
          <w:noProof/>
          <w:sz w:val="18"/>
          <w:szCs w:val="18"/>
        </w:rPr>
        <w:t xml:space="preserve">Source: Ecorys et al. (2018) Impact Assessment support study; Note: </w:t>
      </w:r>
      <w:r>
        <w:rPr>
          <w:rFonts w:ascii="Times New Roman" w:hAnsi="Times New Roman" w:cs="Times New Roman"/>
          <w:i/>
          <w:noProof/>
          <w:sz w:val="18"/>
          <w:szCs w:val="18"/>
        </w:rPr>
        <w:t>*Total mobile costs per company are calculated assuming a price of EUR 300/ smartphone</w:t>
      </w:r>
    </w:p>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Some investments into digital solutions are likely to already occur under the baseline scenario. They are linked to the uptake of electronic documents in the baseline, provided in section 2.3. They are estimated at EUR 213 million for small companies over the full deployment horizon of electronic transport documents, expressed as present value over 2018-2040. For medium size companies they are estimated at EUR 103 million and for large size companies at EUR 80 million over the same time horizon. In total, the compliance costs in the baseline would amount to EUR 396 million (see Table 6.6). </w:t>
      </w:r>
    </w:p>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Total compliance costs for businesses (see Table 6.6) are estimated at EUR 4.4 billion in PO3 and PO4 (EUR 4 billion higher relative to the baseline over 2018-2040), followed by PO2 with EUR 2.7 billion (EUR 2.3 billion higher relative to the baseline over 2018-2040) and PO1 with EUR 0.5 billion (almost EUR 0.1 billion higher relative to the baseline over 2018-2040). The compliance costs are estimated to be higher in PO3 and PO4 as businesses are likely to invest more when the overall regulatory framework is clearer. Because of this reason, it could also be expected that investments would be anticipated in time in PO3 and PO4 compared to PO2 and PO1.</w:t>
      </w:r>
    </w:p>
    <w:p>
      <w:pPr>
        <w:keepNext/>
        <w:keepLines/>
        <w:spacing w:after="0" w:line="240" w:lineRule="auto"/>
        <w:jc w:val="both"/>
        <w:rPr>
          <w:rFonts w:ascii="Times New Roman" w:eastAsia="Times New Roman" w:hAnsi="Times New Roman" w:cs="Times New Roman"/>
          <w:b/>
          <w:bCs/>
          <w:noProof/>
          <w:sz w:val="20"/>
          <w:szCs w:val="20"/>
          <w:lang w:eastAsia="nl-NL"/>
        </w:rPr>
      </w:pPr>
      <w:r>
        <w:rPr>
          <w:rFonts w:ascii="Times New Roman" w:eastAsia="Times New Roman" w:hAnsi="Times New Roman" w:cs="Times New Roman"/>
          <w:b/>
          <w:bCs/>
          <w:noProof/>
          <w:sz w:val="20"/>
          <w:szCs w:val="20"/>
          <w:lang w:eastAsia="nl-NL"/>
        </w:rPr>
        <w:t xml:space="preserve">Table 6.6: Total compliance costs per size of company over the full deployment horizon of electronic transport documents (2018-2040), expressed as present value </w:t>
      </w:r>
    </w:p>
    <w:tbl>
      <w:tblPr>
        <w:tblW w:w="5000" w:type="pct"/>
        <w:tblLook w:val="04A0" w:firstRow="1" w:lastRow="0" w:firstColumn="1" w:lastColumn="0" w:noHBand="0" w:noVBand="1"/>
      </w:tblPr>
      <w:tblGrid>
        <w:gridCol w:w="3952"/>
        <w:gridCol w:w="1334"/>
        <w:gridCol w:w="1334"/>
        <w:gridCol w:w="1334"/>
        <w:gridCol w:w="1334"/>
      </w:tblGrid>
      <w:tr>
        <w:trPr>
          <w:trHeight w:val="499"/>
        </w:trPr>
        <w:tc>
          <w:tcPr>
            <w:tcW w:w="2128" w:type="pct"/>
            <w:tcBorders>
              <w:top w:val="single" w:sz="4" w:space="0" w:color="auto"/>
              <w:left w:val="single" w:sz="4" w:space="0" w:color="auto"/>
              <w:bottom w:val="single" w:sz="4" w:space="0" w:color="auto"/>
              <w:right w:val="single" w:sz="4" w:space="0" w:color="auto"/>
            </w:tcBorders>
            <w:shd w:val="clear" w:color="000000" w:fill="006BB7"/>
            <w:vAlign w:val="center"/>
            <w:hideMark/>
          </w:tcPr>
          <w:p>
            <w:pPr>
              <w:spacing w:after="0" w:line="240" w:lineRule="auto"/>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Compliance costs (EUR million for EU28) by company size</w:t>
            </w:r>
          </w:p>
        </w:tc>
        <w:tc>
          <w:tcPr>
            <w:tcW w:w="718" w:type="pct"/>
            <w:tcBorders>
              <w:top w:val="single" w:sz="4" w:space="0" w:color="auto"/>
              <w:left w:val="nil"/>
              <w:bottom w:val="single" w:sz="4" w:space="0" w:color="auto"/>
              <w:right w:val="single" w:sz="4" w:space="0" w:color="auto"/>
            </w:tcBorders>
            <w:shd w:val="clear" w:color="000000" w:fill="006BB7"/>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Baseline</w:t>
            </w:r>
          </w:p>
        </w:tc>
        <w:tc>
          <w:tcPr>
            <w:tcW w:w="718" w:type="pct"/>
            <w:tcBorders>
              <w:top w:val="single" w:sz="4" w:space="0" w:color="auto"/>
              <w:left w:val="nil"/>
              <w:bottom w:val="single" w:sz="4" w:space="0" w:color="auto"/>
              <w:right w:val="single" w:sz="4" w:space="0" w:color="auto"/>
            </w:tcBorders>
            <w:shd w:val="clear" w:color="000000" w:fill="006BB7"/>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PO1</w:t>
            </w:r>
          </w:p>
        </w:tc>
        <w:tc>
          <w:tcPr>
            <w:tcW w:w="718" w:type="pct"/>
            <w:tcBorders>
              <w:top w:val="single" w:sz="4" w:space="0" w:color="auto"/>
              <w:left w:val="nil"/>
              <w:bottom w:val="single" w:sz="4" w:space="0" w:color="auto"/>
              <w:right w:val="single" w:sz="4" w:space="0" w:color="auto"/>
            </w:tcBorders>
            <w:shd w:val="clear" w:color="000000" w:fill="006BB7"/>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PO2</w:t>
            </w:r>
          </w:p>
        </w:tc>
        <w:tc>
          <w:tcPr>
            <w:tcW w:w="718" w:type="pct"/>
            <w:tcBorders>
              <w:top w:val="single" w:sz="4" w:space="0" w:color="auto"/>
              <w:left w:val="nil"/>
              <w:bottom w:val="single" w:sz="4" w:space="0" w:color="auto"/>
              <w:right w:val="single" w:sz="4" w:space="0" w:color="auto"/>
            </w:tcBorders>
            <w:shd w:val="clear" w:color="000000" w:fill="006BB7"/>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PO3/PO4</w:t>
            </w:r>
          </w:p>
        </w:tc>
      </w:tr>
      <w:tr>
        <w:trPr>
          <w:trHeight w:val="300"/>
        </w:trPr>
        <w:tc>
          <w:tcPr>
            <w:tcW w:w="2128"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Micro (0-9 employees)</w:t>
            </w:r>
          </w:p>
        </w:tc>
        <w:tc>
          <w:tcPr>
            <w:tcW w:w="71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w:t>
            </w:r>
          </w:p>
        </w:tc>
        <w:tc>
          <w:tcPr>
            <w:tcW w:w="71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w:t>
            </w:r>
          </w:p>
        </w:tc>
        <w:tc>
          <w:tcPr>
            <w:tcW w:w="71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w:t>
            </w:r>
          </w:p>
        </w:tc>
        <w:tc>
          <w:tcPr>
            <w:tcW w:w="71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w:t>
            </w:r>
          </w:p>
        </w:tc>
      </w:tr>
      <w:tr>
        <w:trPr>
          <w:trHeight w:val="300"/>
        </w:trPr>
        <w:tc>
          <w:tcPr>
            <w:tcW w:w="2128"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Small (10-49 employees)</w:t>
            </w:r>
          </w:p>
        </w:tc>
        <w:tc>
          <w:tcPr>
            <w:tcW w:w="71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213</w:t>
            </w:r>
          </w:p>
        </w:tc>
        <w:tc>
          <w:tcPr>
            <w:tcW w:w="71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274</w:t>
            </w:r>
          </w:p>
        </w:tc>
        <w:tc>
          <w:tcPr>
            <w:tcW w:w="71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1,517</w:t>
            </w:r>
          </w:p>
        </w:tc>
        <w:tc>
          <w:tcPr>
            <w:tcW w:w="71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2,501</w:t>
            </w:r>
          </w:p>
        </w:tc>
      </w:tr>
      <w:tr>
        <w:trPr>
          <w:trHeight w:val="300"/>
        </w:trPr>
        <w:tc>
          <w:tcPr>
            <w:tcW w:w="2128"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Medium (50-249 employees)</w:t>
            </w:r>
          </w:p>
        </w:tc>
        <w:tc>
          <w:tcPr>
            <w:tcW w:w="71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103</w:t>
            </w:r>
          </w:p>
        </w:tc>
        <w:tc>
          <w:tcPr>
            <w:tcW w:w="71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125</w:t>
            </w:r>
          </w:p>
        </w:tc>
        <w:tc>
          <w:tcPr>
            <w:tcW w:w="71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707</w:t>
            </w:r>
          </w:p>
        </w:tc>
        <w:tc>
          <w:tcPr>
            <w:tcW w:w="71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1,157</w:t>
            </w:r>
          </w:p>
        </w:tc>
      </w:tr>
      <w:tr>
        <w:trPr>
          <w:trHeight w:val="300"/>
        </w:trPr>
        <w:tc>
          <w:tcPr>
            <w:tcW w:w="2128"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Large (above 250 employees)</w:t>
            </w:r>
          </w:p>
        </w:tc>
        <w:tc>
          <w:tcPr>
            <w:tcW w:w="71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80</w:t>
            </w:r>
          </w:p>
        </w:tc>
        <w:tc>
          <w:tcPr>
            <w:tcW w:w="71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75</w:t>
            </w:r>
          </w:p>
        </w:tc>
        <w:tc>
          <w:tcPr>
            <w:tcW w:w="71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452</w:t>
            </w:r>
          </w:p>
        </w:tc>
        <w:tc>
          <w:tcPr>
            <w:tcW w:w="71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718</w:t>
            </w:r>
          </w:p>
        </w:tc>
      </w:tr>
      <w:tr>
        <w:trPr>
          <w:trHeight w:val="300"/>
        </w:trPr>
        <w:tc>
          <w:tcPr>
            <w:tcW w:w="2128" w:type="pct"/>
            <w:tcBorders>
              <w:top w:val="nil"/>
              <w:left w:val="single" w:sz="4" w:space="0" w:color="auto"/>
              <w:bottom w:val="single" w:sz="4" w:space="0" w:color="auto"/>
              <w:right w:val="single" w:sz="4" w:space="0" w:color="auto"/>
            </w:tcBorders>
            <w:shd w:val="clear" w:color="auto" w:fill="auto"/>
            <w:vAlign w:val="center"/>
            <w:hideMark/>
          </w:tcPr>
          <w:p>
            <w:pPr>
              <w:keepLines/>
              <w:spacing w:after="0" w:line="240" w:lineRule="auto"/>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Total</w:t>
            </w:r>
          </w:p>
        </w:tc>
        <w:tc>
          <w:tcPr>
            <w:tcW w:w="718" w:type="pct"/>
            <w:tcBorders>
              <w:top w:val="nil"/>
              <w:left w:val="nil"/>
              <w:bottom w:val="single" w:sz="4" w:space="0" w:color="auto"/>
              <w:right w:val="single" w:sz="4" w:space="0" w:color="auto"/>
            </w:tcBorders>
            <w:shd w:val="clear" w:color="auto" w:fill="auto"/>
            <w:vAlign w:val="center"/>
            <w:hideMark/>
          </w:tcPr>
          <w:p>
            <w:pPr>
              <w:keepLines/>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396</w:t>
            </w:r>
          </w:p>
        </w:tc>
        <w:tc>
          <w:tcPr>
            <w:tcW w:w="718" w:type="pct"/>
            <w:tcBorders>
              <w:top w:val="nil"/>
              <w:left w:val="nil"/>
              <w:bottom w:val="single" w:sz="4" w:space="0" w:color="auto"/>
              <w:right w:val="single" w:sz="4" w:space="0" w:color="auto"/>
            </w:tcBorders>
            <w:shd w:val="clear" w:color="auto" w:fill="auto"/>
            <w:vAlign w:val="center"/>
            <w:hideMark/>
          </w:tcPr>
          <w:p>
            <w:pPr>
              <w:keepLines/>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473</w:t>
            </w:r>
          </w:p>
        </w:tc>
        <w:tc>
          <w:tcPr>
            <w:tcW w:w="718" w:type="pct"/>
            <w:tcBorders>
              <w:top w:val="nil"/>
              <w:left w:val="nil"/>
              <w:bottom w:val="single" w:sz="4" w:space="0" w:color="auto"/>
              <w:right w:val="single" w:sz="4" w:space="0" w:color="auto"/>
            </w:tcBorders>
            <w:shd w:val="clear" w:color="auto" w:fill="auto"/>
            <w:vAlign w:val="center"/>
            <w:hideMark/>
          </w:tcPr>
          <w:p>
            <w:pPr>
              <w:keepLines/>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2,676</w:t>
            </w:r>
          </w:p>
        </w:tc>
        <w:tc>
          <w:tcPr>
            <w:tcW w:w="718" w:type="pct"/>
            <w:tcBorders>
              <w:top w:val="nil"/>
              <w:left w:val="nil"/>
              <w:bottom w:val="single" w:sz="4" w:space="0" w:color="auto"/>
              <w:right w:val="single" w:sz="4" w:space="0" w:color="auto"/>
            </w:tcBorders>
            <w:shd w:val="clear" w:color="auto" w:fill="auto"/>
            <w:vAlign w:val="center"/>
            <w:hideMark/>
          </w:tcPr>
          <w:p>
            <w:pPr>
              <w:keepLines/>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4,375</w:t>
            </w:r>
          </w:p>
        </w:tc>
      </w:tr>
    </w:tbl>
    <w:p>
      <w:pPr>
        <w:keepLines/>
        <w:spacing w:after="120" w:line="240" w:lineRule="auto"/>
        <w:jc w:val="both"/>
        <w:rPr>
          <w:rFonts w:ascii="Times New Roman" w:eastAsia="Times New Roman" w:hAnsi="Times New Roman" w:cs="Times New Roman"/>
          <w:i/>
          <w:noProof/>
          <w:sz w:val="18"/>
          <w:szCs w:val="18"/>
        </w:rPr>
      </w:pPr>
      <w:r>
        <w:rPr>
          <w:rFonts w:ascii="Times New Roman" w:eastAsia="Times New Roman" w:hAnsi="Times New Roman" w:cs="Times New Roman"/>
          <w:i/>
          <w:noProof/>
          <w:sz w:val="18"/>
          <w:szCs w:val="18"/>
        </w:rPr>
        <w:t xml:space="preserve">Source: Ecorys et al. (2018) Impact Assessment support study </w:t>
      </w:r>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These compliance costs should be regarded as maximum levels that are likely to be reached when the digitalisation potential is exploited and no paper transport documents are in use anymore. These investments are likely to occur over time, as none of the options foresees banning the paper transport documents. Businesses will be able to adjust their practices and decide on investments according to needs and overall acceptance level in the sector. Additional details on the estimated compliance costs by transport mode are provided in Table 6.7.</w:t>
      </w:r>
    </w:p>
    <w:p>
      <w:pPr>
        <w:tabs>
          <w:tab w:val="left" w:pos="960"/>
        </w:tabs>
        <w:spacing w:after="0" w:line="240" w:lineRule="auto"/>
        <w:jc w:val="both"/>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sz w:val="20"/>
          <w:szCs w:val="20"/>
          <w:lang w:eastAsia="nl-NL"/>
        </w:rPr>
        <w:t xml:space="preserve">Table 6.7: Total compliance costs by transport mode over the full deployment horizon of electronic transport documents (2018-2040), expressed as present value </w:t>
      </w:r>
      <w:r>
        <w:rPr>
          <w:rFonts w:ascii="Times New Roman" w:eastAsia="Times New Roman" w:hAnsi="Times New Roman" w:cs="Times New Roman"/>
          <w:b/>
          <w:bCs/>
          <w:noProof/>
          <w:color w:val="FFFFFF"/>
          <w:sz w:val="18"/>
          <w:szCs w:val="18"/>
          <w:lang w:eastAsia="en-GB"/>
        </w:rPr>
        <w:t>(ne</w:t>
      </w:r>
    </w:p>
    <w:tbl>
      <w:tblPr>
        <w:tblW w:w="5000" w:type="pct"/>
        <w:tblLook w:val="04A0" w:firstRow="1" w:lastRow="0" w:firstColumn="1" w:lastColumn="0" w:noHBand="0" w:noVBand="1"/>
      </w:tblPr>
      <w:tblGrid>
        <w:gridCol w:w="3787"/>
        <w:gridCol w:w="1376"/>
        <w:gridCol w:w="1376"/>
        <w:gridCol w:w="1376"/>
        <w:gridCol w:w="1373"/>
      </w:tblGrid>
      <w:tr>
        <w:trPr>
          <w:trHeight w:val="499"/>
        </w:trPr>
        <w:tc>
          <w:tcPr>
            <w:tcW w:w="2038" w:type="pct"/>
            <w:tcBorders>
              <w:top w:val="single" w:sz="4" w:space="0" w:color="auto"/>
              <w:left w:val="single" w:sz="4" w:space="0" w:color="auto"/>
              <w:bottom w:val="single" w:sz="4" w:space="0" w:color="auto"/>
              <w:right w:val="single" w:sz="4" w:space="0" w:color="auto"/>
            </w:tcBorders>
            <w:shd w:val="clear" w:color="000000" w:fill="006BB7"/>
            <w:vAlign w:val="center"/>
            <w:hideMark/>
          </w:tcPr>
          <w:p>
            <w:pPr>
              <w:spacing w:after="0" w:line="240" w:lineRule="auto"/>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Compliance costs (EUR million for EU28) by mode</w:t>
            </w:r>
          </w:p>
        </w:tc>
        <w:tc>
          <w:tcPr>
            <w:tcW w:w="741" w:type="pct"/>
            <w:tcBorders>
              <w:top w:val="single" w:sz="4" w:space="0" w:color="auto"/>
              <w:left w:val="nil"/>
              <w:bottom w:val="single" w:sz="4" w:space="0" w:color="auto"/>
              <w:right w:val="single" w:sz="4" w:space="0" w:color="auto"/>
            </w:tcBorders>
            <w:shd w:val="clear" w:color="000000" w:fill="006BB7"/>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Baseline</w:t>
            </w:r>
          </w:p>
        </w:tc>
        <w:tc>
          <w:tcPr>
            <w:tcW w:w="741" w:type="pct"/>
            <w:tcBorders>
              <w:top w:val="single" w:sz="4" w:space="0" w:color="auto"/>
              <w:left w:val="nil"/>
              <w:bottom w:val="single" w:sz="4" w:space="0" w:color="auto"/>
              <w:right w:val="single" w:sz="4" w:space="0" w:color="auto"/>
            </w:tcBorders>
            <w:shd w:val="clear" w:color="000000" w:fill="006BB7"/>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PO1</w:t>
            </w:r>
          </w:p>
        </w:tc>
        <w:tc>
          <w:tcPr>
            <w:tcW w:w="741" w:type="pct"/>
            <w:tcBorders>
              <w:top w:val="single" w:sz="4" w:space="0" w:color="auto"/>
              <w:left w:val="nil"/>
              <w:bottom w:val="single" w:sz="4" w:space="0" w:color="auto"/>
              <w:right w:val="single" w:sz="4" w:space="0" w:color="auto"/>
            </w:tcBorders>
            <w:shd w:val="clear" w:color="000000" w:fill="006BB7"/>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PO2</w:t>
            </w:r>
          </w:p>
        </w:tc>
        <w:tc>
          <w:tcPr>
            <w:tcW w:w="740" w:type="pct"/>
            <w:tcBorders>
              <w:top w:val="single" w:sz="4" w:space="0" w:color="auto"/>
              <w:left w:val="nil"/>
              <w:bottom w:val="single" w:sz="4" w:space="0" w:color="auto"/>
              <w:right w:val="single" w:sz="4" w:space="0" w:color="auto"/>
            </w:tcBorders>
            <w:shd w:val="clear" w:color="000000" w:fill="006BB7"/>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PO3/PO4</w:t>
            </w:r>
          </w:p>
        </w:tc>
      </w:tr>
      <w:tr>
        <w:trPr>
          <w:trHeight w:val="300"/>
        </w:trPr>
        <w:tc>
          <w:tcPr>
            <w:tcW w:w="2038"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Road</w:t>
            </w:r>
          </w:p>
        </w:tc>
        <w:tc>
          <w:tcPr>
            <w:tcW w:w="741"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339</w:t>
            </w:r>
          </w:p>
        </w:tc>
        <w:tc>
          <w:tcPr>
            <w:tcW w:w="741"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451</w:t>
            </w:r>
          </w:p>
        </w:tc>
        <w:tc>
          <w:tcPr>
            <w:tcW w:w="741"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2,462</w:t>
            </w:r>
          </w:p>
        </w:tc>
        <w:tc>
          <w:tcPr>
            <w:tcW w:w="740"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4,077</w:t>
            </w:r>
          </w:p>
        </w:tc>
      </w:tr>
      <w:tr>
        <w:trPr>
          <w:trHeight w:val="300"/>
        </w:trPr>
        <w:tc>
          <w:tcPr>
            <w:tcW w:w="2038"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Rail</w:t>
            </w:r>
          </w:p>
        </w:tc>
        <w:tc>
          <w:tcPr>
            <w:tcW w:w="741"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20</w:t>
            </w:r>
          </w:p>
        </w:tc>
        <w:tc>
          <w:tcPr>
            <w:tcW w:w="741"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8</w:t>
            </w:r>
          </w:p>
        </w:tc>
        <w:tc>
          <w:tcPr>
            <w:tcW w:w="741"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72</w:t>
            </w:r>
          </w:p>
        </w:tc>
        <w:tc>
          <w:tcPr>
            <w:tcW w:w="740"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89</w:t>
            </w:r>
          </w:p>
        </w:tc>
      </w:tr>
      <w:tr>
        <w:trPr>
          <w:trHeight w:val="300"/>
        </w:trPr>
        <w:tc>
          <w:tcPr>
            <w:tcW w:w="2038"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Inland waterways</w:t>
            </w:r>
          </w:p>
        </w:tc>
        <w:tc>
          <w:tcPr>
            <w:tcW w:w="741"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w:t>
            </w:r>
          </w:p>
        </w:tc>
        <w:tc>
          <w:tcPr>
            <w:tcW w:w="741"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w:t>
            </w:r>
          </w:p>
        </w:tc>
        <w:tc>
          <w:tcPr>
            <w:tcW w:w="741"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14</w:t>
            </w:r>
          </w:p>
        </w:tc>
        <w:tc>
          <w:tcPr>
            <w:tcW w:w="740"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24</w:t>
            </w:r>
          </w:p>
        </w:tc>
      </w:tr>
      <w:tr>
        <w:trPr>
          <w:trHeight w:val="300"/>
        </w:trPr>
        <w:tc>
          <w:tcPr>
            <w:tcW w:w="2038"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Maritime</w:t>
            </w:r>
          </w:p>
        </w:tc>
        <w:tc>
          <w:tcPr>
            <w:tcW w:w="741"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8</w:t>
            </w:r>
          </w:p>
        </w:tc>
        <w:tc>
          <w:tcPr>
            <w:tcW w:w="741"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13</w:t>
            </w:r>
          </w:p>
        </w:tc>
        <w:tc>
          <w:tcPr>
            <w:tcW w:w="741"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118</w:t>
            </w:r>
          </w:p>
        </w:tc>
        <w:tc>
          <w:tcPr>
            <w:tcW w:w="740"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168</w:t>
            </w:r>
          </w:p>
        </w:tc>
      </w:tr>
      <w:tr>
        <w:trPr>
          <w:trHeight w:val="300"/>
        </w:trPr>
        <w:tc>
          <w:tcPr>
            <w:tcW w:w="2038"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Aviation</w:t>
            </w:r>
          </w:p>
        </w:tc>
        <w:tc>
          <w:tcPr>
            <w:tcW w:w="741"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27</w:t>
            </w:r>
          </w:p>
        </w:tc>
        <w:tc>
          <w:tcPr>
            <w:tcW w:w="741"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9</w:t>
            </w:r>
          </w:p>
        </w:tc>
        <w:tc>
          <w:tcPr>
            <w:tcW w:w="740"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17</w:t>
            </w:r>
          </w:p>
        </w:tc>
      </w:tr>
      <w:tr>
        <w:trPr>
          <w:trHeight w:val="300"/>
        </w:trPr>
        <w:tc>
          <w:tcPr>
            <w:tcW w:w="2038"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Total</w:t>
            </w:r>
          </w:p>
        </w:tc>
        <w:tc>
          <w:tcPr>
            <w:tcW w:w="741"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396</w:t>
            </w:r>
          </w:p>
        </w:tc>
        <w:tc>
          <w:tcPr>
            <w:tcW w:w="741"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473</w:t>
            </w:r>
          </w:p>
        </w:tc>
        <w:tc>
          <w:tcPr>
            <w:tcW w:w="741"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2,676</w:t>
            </w:r>
          </w:p>
        </w:tc>
        <w:tc>
          <w:tcPr>
            <w:tcW w:w="740"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4,375</w:t>
            </w:r>
          </w:p>
        </w:tc>
      </w:tr>
    </w:tbl>
    <w:p>
      <w:pPr>
        <w:spacing w:after="120" w:line="240" w:lineRule="auto"/>
        <w:jc w:val="both"/>
        <w:rPr>
          <w:rFonts w:ascii="Times New Roman" w:eastAsia="Times New Roman" w:hAnsi="Times New Roman" w:cs="Times New Roman"/>
          <w:i/>
          <w:noProof/>
          <w:sz w:val="18"/>
          <w:szCs w:val="18"/>
        </w:rPr>
      </w:pPr>
      <w:r>
        <w:rPr>
          <w:rFonts w:ascii="Times New Roman" w:eastAsia="Times New Roman" w:hAnsi="Times New Roman" w:cs="Times New Roman"/>
          <w:i/>
          <w:noProof/>
          <w:sz w:val="18"/>
          <w:szCs w:val="18"/>
        </w:rPr>
        <w:t>Source: Ecorys et al. (2018) Impact Assessment support study</w:t>
      </w:r>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assessment above is also conditional on a) the scope of the initiative in terms of documents covered, which is restricted to the contracts of carriage in PO1 and PO2 and b) on the additional costs to the industry (in particular in the rail and aviation sector) under PO4 linked to the need of a full readjustment of the IT solutions already in place. However, these elements could not be covered in the analysis.</w:t>
      </w:r>
    </w:p>
    <w:p>
      <w:pPr>
        <w:spacing w:after="240" w:line="240" w:lineRule="auto"/>
        <w:jc w:val="both"/>
        <w:rPr>
          <w:rFonts w:ascii="Times New Roman" w:eastAsia="Times New Roman" w:hAnsi="Times New Roman" w:cs="Times New Roman"/>
          <w:b/>
          <w:bCs/>
          <w:i/>
          <w:iCs/>
          <w:noProof/>
          <w:sz w:val="24"/>
          <w:szCs w:val="20"/>
        </w:rPr>
      </w:pPr>
      <w:bookmarkStart w:id="123" w:name="_Toc506397050"/>
      <w:bookmarkStart w:id="124" w:name="_Toc506397598"/>
      <w:bookmarkStart w:id="125" w:name="_Toc506397706"/>
      <w:bookmarkStart w:id="126" w:name="_Toc506398529"/>
      <w:bookmarkStart w:id="127" w:name="_Toc506408293"/>
      <w:r>
        <w:rPr>
          <w:rFonts w:ascii="Times New Roman" w:eastAsia="Times New Roman" w:hAnsi="Times New Roman" w:cs="Times New Roman"/>
          <w:b/>
          <w:bCs/>
          <w:i/>
          <w:iCs/>
          <w:noProof/>
          <w:sz w:val="24"/>
          <w:szCs w:val="20"/>
        </w:rPr>
        <w:t>Overall effects on SMEs</w:t>
      </w:r>
      <w:bookmarkEnd w:id="123"/>
      <w:bookmarkEnd w:id="124"/>
      <w:bookmarkEnd w:id="125"/>
      <w:bookmarkEnd w:id="126"/>
      <w:bookmarkEnd w:id="127"/>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For SMEs, just like for the other businesses, the total economic impact can be divided into two main components: the reduction of the administrative costs and the compliance costs. </w:t>
      </w:r>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About 80% of the SME Panel respondents expect significant or at least some benefits due to lower administrative costs as a result of reduced operational time and simplified business processes. The level of administrative cost savings stemming from digitalisation will vary, depending on the modal composition of the transport operations performed and the overall level of savings per mode. Higher benefits are expected in particular in the road sector, where 90% of enterprises have fewer than 10 employees and account for close to 30% of turnover (including self-employed). </w:t>
      </w:r>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Stakeholders’ feedback indicates that compliance costs will depend on the company’s size – bigger companies are expected to invest more than small or micro enterprises. At the same time, these one-off outlays are expected to bring net benefits, already in the first year, as demonstrated in the example below. The example relates to a bigger company, but the logic applies to any SME.</w:t>
      </w:r>
    </w:p>
    <w:p>
      <w:pPr>
        <w:spacing w:after="24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noProof/>
          <w:sz w:val="24"/>
          <w:szCs w:val="20"/>
          <w:lang w:val="en-US"/>
        </w:rPr>
        <mc:AlternateContent>
          <mc:Choice Requires="wps">
            <w:drawing>
              <wp:anchor distT="0" distB="0" distL="114300" distR="114300" simplePos="0" relativeHeight="251658240" behindDoc="0" locked="0" layoutInCell="1" allowOverlap="1">
                <wp:simplePos x="0" y="0"/>
                <wp:positionH relativeFrom="column">
                  <wp:posOffset>-140970</wp:posOffset>
                </wp:positionH>
                <wp:positionV relativeFrom="paragraph">
                  <wp:posOffset>182880</wp:posOffset>
                </wp:positionV>
                <wp:extent cx="5562600" cy="7334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733425"/>
                        </a:xfrm>
                        <a:prstGeom prst="rect">
                          <a:avLst/>
                        </a:prstGeom>
                        <a:solidFill>
                          <a:schemeClr val="bg1">
                            <a:lumMod val="75000"/>
                          </a:schemeClr>
                        </a:solidFill>
                        <a:ln w="9525">
                          <a:solidFill>
                            <a:srgbClr val="000000"/>
                          </a:solidFill>
                          <a:miter lim="800000"/>
                          <a:headEnd/>
                          <a:tailEnd/>
                        </a:ln>
                      </wps:spPr>
                      <wps:txbx>
                        <w:txbxContent>
                          <w:p>
                            <w:pPr>
                              <w:spacing w:after="12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Breewel Logistiek is operating over 200 trucks employing 360 employees. The company estimates that the overall cost of equipping their fleet (e.g. with smartphones) would amount to about 70-75,000 euro. To put this number into context, the same company issues 200,000 CMRs annually. The expected net benefit of the e-CMR for would be 150,000 euro per year.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1pt;margin-top:14.4pt;width:438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oNQIAAGcEAAAOAAAAZHJzL2Uyb0RvYy54bWysVNtu2zAMfR+wfxD0vjhJk7Q14hRdug4D&#10;ugvQ7gNoWY6FSaInKbGzry8lp6mxvg17EUSRPjw8JL2+6Y1mB+m8Qlvw2WTKmbQCK2V3Bf/5dP/h&#10;ijMfwFag0cqCH6XnN5v379Zdm8s5Nqgr6RiBWJ93bcGbENo8y7xopAE/wVZactboDAQy3S6rHHSE&#10;bnQ2n05XWYeuah0K6T293g1Ovkn4dS1F+F7XXgamC07cQjpdOst4Zps15DsHbaPEiQb8AwsDylLS&#10;M9QdBGB7p95AGSUceqzDRKDJsK6VkKkGqmY2/auaxwZamWohcXx7lsn/P1jx7fDDMVVR7zizYKhF&#10;T7IP7CP2bB7V6VqfU9BjS2Ghp+cYGSv17QOKX55Z3DZgd/LWOewaCRWxm8Uvs9GnA46PIGX3FStK&#10;A/uACaivnYmAJAYjdOrS8dyZSEXQ43K5mq+m5BLku7y4WMyXKQXkL1+3zofPEg2Ll4I76nxCh8OD&#10;D5EN5C8hiT1qVd0rrZMRp01utWMHoDkpd0OFem+I6vB2uZxS+gEnDWcMT6h+jKQt6wp+vSR6b7O4&#10;XXnOQWgjwDGEUYE2QitT8KtzEORR2U+2IgaQB1B6uFNV2p6kjuoOOoe+7Ckw6l9idSTRHQ6TT5tK&#10;lwbdH846mvqC+997cJIz/cVS465ni0Vck2QslpdzMtzYU449YAVBFTxwNly3Ia1W5Gjxlhpcq6T9&#10;K5MTV5rmJN5p8+K6jO0U9fp/2DwDAAD//wMAUEsDBBQABgAIAAAAIQDKBx593wAAAAoBAAAPAAAA&#10;ZHJzL2Rvd25yZXYueG1sTI/LTsMwEEX3SPyDNUhsUOvgplUU4lSAlE0XSLR8gBtPHiIeR7HbpH/P&#10;sILdjObozrnFfnGDuOIUek8antcJCKTa255aDV+napWBCNGQNYMn1HDDAPvy/q4wufUzfeL1GFvB&#10;IRRyo6GLccylDHWHzoS1H5H41vjJmcjr1Eo7mZnD3SBVkuykMz3xh86M+N5h/X28OA2HnVfzx9Ot&#10;OTVZ1b9VqUsOndL68WF5fQERcYl/MPzqszqU7HT2F7JBDBpWSilGNaiMKzCQbTc8nJlM0w3IspD/&#10;K5Q/AAAA//8DAFBLAQItABQABgAIAAAAIQC2gziS/gAAAOEBAAATAAAAAAAAAAAAAAAAAAAAAABb&#10;Q29udGVudF9UeXBlc10ueG1sUEsBAi0AFAAGAAgAAAAhADj9If/WAAAAlAEAAAsAAAAAAAAAAAAA&#10;AAAALwEAAF9yZWxzLy5yZWxzUEsBAi0AFAAGAAgAAAAhAAF/9ug1AgAAZwQAAA4AAAAAAAAAAAAA&#10;AAAALgIAAGRycy9lMm9Eb2MueG1sUEsBAi0AFAAGAAgAAAAhAMoHHn3fAAAACgEAAA8AAAAAAAAA&#10;AAAAAAAAjwQAAGRycy9kb3ducmV2LnhtbFBLBQYAAAAABAAEAPMAAACbBQAAAAA=&#10;" fillcolor="#bfbfbf [2412]">
                <v:textbox>
                  <w:txbxContent>
                    <w:p>
                      <w:pPr>
                        <w:spacing w:after="12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Breewel Logistiek is operating over 200 trucks employing 360 employees. The company estimates that the overall cost of equipping their fleet (e.g. with smartphones) would amount to about 70-75,000 euro. To put this number into context, the same company issues 200,000 CMRs annually. The expected net benefit of the e-CMR for would be 150,000 euro per year.  </w:t>
                      </w:r>
                    </w:p>
                  </w:txbxContent>
                </v:textbox>
              </v:shape>
            </w:pict>
          </mc:Fallback>
        </mc:AlternateContent>
      </w:r>
      <w:r>
        <w:rPr>
          <w:rFonts w:ascii="Times New Roman" w:eastAsia="Times New Roman" w:hAnsi="Times New Roman" w:cs="Times New Roman"/>
          <w:b/>
          <w:noProof/>
          <w:sz w:val="20"/>
          <w:szCs w:val="20"/>
        </w:rPr>
        <w:t>Textbox 6.1: Example of business compliance costs</w:t>
      </w:r>
    </w:p>
    <w:p>
      <w:pPr>
        <w:spacing w:after="24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Providing a clear blueprint for the development of electronic documents (in PO3 and PO4) is also likely to have positive impact on the SMEs in the sector of the IT system providers. </w:t>
      </w:r>
    </w:p>
    <w:p>
      <w:pPr>
        <w:keepNext/>
        <w:numPr>
          <w:ilvl w:val="2"/>
          <w:numId w:val="0"/>
        </w:numPr>
        <w:spacing w:before="240" w:after="240" w:line="240" w:lineRule="auto"/>
        <w:ind w:left="720" w:hanging="720"/>
        <w:jc w:val="both"/>
        <w:outlineLvl w:val="2"/>
        <w:rPr>
          <w:rFonts w:ascii="Times New Roman" w:eastAsia="Times New Roman" w:hAnsi="Times New Roman" w:cs="Times New Roman"/>
          <w:b/>
          <w:bCs/>
          <w:i/>
          <w:iCs/>
          <w:noProof/>
          <w:sz w:val="24"/>
          <w:szCs w:val="20"/>
        </w:rPr>
      </w:pPr>
      <w:bookmarkStart w:id="128" w:name="_Toc506397051"/>
      <w:bookmarkStart w:id="129" w:name="_Toc506397599"/>
      <w:bookmarkStart w:id="130" w:name="_Toc506397707"/>
      <w:bookmarkStart w:id="131" w:name="_Toc506398530"/>
      <w:bookmarkStart w:id="132" w:name="_Toc506408294"/>
      <w:bookmarkStart w:id="133" w:name="_Toc512589625"/>
      <w:bookmarkStart w:id="134" w:name="_Toc512854930"/>
      <w:r>
        <w:rPr>
          <w:rFonts w:ascii="Times New Roman" w:eastAsia="Times New Roman" w:hAnsi="Times New Roman" w:cs="Times New Roman"/>
          <w:b/>
          <w:bCs/>
          <w:i/>
          <w:iCs/>
          <w:noProof/>
          <w:sz w:val="24"/>
          <w:szCs w:val="20"/>
        </w:rPr>
        <w:t>Modal shift and congestion costs</w:t>
      </w:r>
      <w:bookmarkEnd w:id="128"/>
      <w:bookmarkEnd w:id="129"/>
      <w:bookmarkEnd w:id="130"/>
      <w:bookmarkEnd w:id="131"/>
      <w:bookmarkEnd w:id="132"/>
      <w:bookmarkEnd w:id="133"/>
      <w:bookmarkEnd w:id="134"/>
    </w:p>
    <w:p>
      <w:pPr>
        <w:tabs>
          <w:tab w:val="left" w:pos="2302"/>
        </w:tabs>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All policy options would lead to shift of traffic from road to rail and waterborne transport</w:t>
      </w:r>
      <w:r>
        <w:rPr>
          <w:rStyle w:val="FootnoteReference"/>
          <w:rFonts w:ascii="Times New Roman" w:eastAsia="Times New Roman" w:hAnsi="Times New Roman" w:cs="Times New Roman"/>
          <w:noProof/>
          <w:sz w:val="24"/>
          <w:szCs w:val="20"/>
        </w:rPr>
        <w:footnoteReference w:id="106"/>
      </w:r>
      <w:r>
        <w:rPr>
          <w:rFonts w:ascii="Times New Roman" w:eastAsia="Times New Roman" w:hAnsi="Times New Roman" w:cs="Times New Roman"/>
          <w:noProof/>
          <w:sz w:val="24"/>
          <w:szCs w:val="20"/>
        </w:rPr>
        <w:t>. PO2 would result in 0.2 percentage points decrease in road modal share in 2030 relative to the baseline (around 1,200 million tonnes-kilometres shifted away from road), while PO3 and PO4 would have slightly higher impact (0.3 percentage points difference, about 1,300 million tonnes-kilometres shifted). Overall, the total freight transport activity is expected to increase by around 0.3% in 2030 relative to the baseline in PO2 and by 0.4% in PO3 and PO4. This is due to the reduction in the administrative costs of all modes that leads to rebound effects. PO1 would not have significant impacts on modal shares and overall freight transport activity.</w:t>
      </w:r>
    </w:p>
    <w:p>
      <w:pPr>
        <w:spacing w:after="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Table 6.8: Changes in freight transport activity and model shares in 2030 relative to the baseline</w:t>
      </w:r>
    </w:p>
    <w:tbl>
      <w:tblPr>
        <w:tblW w:w="5000" w:type="pct"/>
        <w:tblLook w:val="04A0" w:firstRow="1" w:lastRow="0" w:firstColumn="1" w:lastColumn="0" w:noHBand="0" w:noVBand="1"/>
      </w:tblPr>
      <w:tblGrid>
        <w:gridCol w:w="2567"/>
        <w:gridCol w:w="1622"/>
        <w:gridCol w:w="847"/>
        <w:gridCol w:w="849"/>
        <w:gridCol w:w="847"/>
        <w:gridCol w:w="849"/>
        <w:gridCol w:w="860"/>
        <w:gridCol w:w="847"/>
      </w:tblGrid>
      <w:tr>
        <w:trPr>
          <w:trHeight w:val="758"/>
        </w:trPr>
        <w:tc>
          <w:tcPr>
            <w:tcW w:w="1382" w:type="pct"/>
            <w:tcBorders>
              <w:top w:val="single" w:sz="4" w:space="0" w:color="auto"/>
              <w:left w:val="single" w:sz="4" w:space="0" w:color="auto"/>
              <w:bottom w:val="single" w:sz="4" w:space="0" w:color="auto"/>
              <w:right w:val="nil"/>
            </w:tcBorders>
            <w:shd w:val="clear" w:color="000000" w:fill="006BB7"/>
            <w:vAlign w:val="center"/>
            <w:hideMark/>
          </w:tcPr>
          <w:p>
            <w:pPr>
              <w:spacing w:after="0" w:line="240" w:lineRule="auto"/>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 </w:t>
            </w:r>
          </w:p>
        </w:tc>
        <w:tc>
          <w:tcPr>
            <w:tcW w:w="873" w:type="pct"/>
            <w:tcBorders>
              <w:top w:val="single" w:sz="4" w:space="0" w:color="auto"/>
              <w:left w:val="single" w:sz="4" w:space="0" w:color="auto"/>
              <w:bottom w:val="single" w:sz="4" w:space="0" w:color="auto"/>
              <w:right w:val="single" w:sz="4" w:space="0" w:color="auto"/>
            </w:tcBorders>
            <w:shd w:val="clear" w:color="000000" w:fill="006BB7"/>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Baseline</w:t>
            </w:r>
          </w:p>
        </w:tc>
        <w:tc>
          <w:tcPr>
            <w:tcW w:w="913" w:type="pct"/>
            <w:gridSpan w:val="2"/>
            <w:tcBorders>
              <w:top w:val="single" w:sz="4" w:space="0" w:color="auto"/>
              <w:left w:val="nil"/>
              <w:bottom w:val="single" w:sz="4" w:space="0" w:color="auto"/>
              <w:right w:val="single" w:sz="4" w:space="0" w:color="000000"/>
            </w:tcBorders>
            <w:shd w:val="clear" w:color="000000" w:fill="006BB7"/>
            <w:noWrap/>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PO1</w:t>
            </w:r>
          </w:p>
        </w:tc>
        <w:tc>
          <w:tcPr>
            <w:tcW w:w="913" w:type="pct"/>
            <w:gridSpan w:val="2"/>
            <w:tcBorders>
              <w:top w:val="single" w:sz="4" w:space="0" w:color="auto"/>
              <w:left w:val="nil"/>
              <w:bottom w:val="single" w:sz="4" w:space="0" w:color="auto"/>
              <w:right w:val="single" w:sz="4" w:space="0" w:color="000000"/>
            </w:tcBorders>
            <w:shd w:val="clear" w:color="000000" w:fill="006BB7"/>
            <w:noWrap/>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PO2</w:t>
            </w:r>
          </w:p>
        </w:tc>
        <w:tc>
          <w:tcPr>
            <w:tcW w:w="919" w:type="pct"/>
            <w:gridSpan w:val="2"/>
            <w:tcBorders>
              <w:top w:val="single" w:sz="4" w:space="0" w:color="auto"/>
              <w:left w:val="nil"/>
              <w:bottom w:val="single" w:sz="4" w:space="0" w:color="auto"/>
              <w:right w:val="single" w:sz="4" w:space="0" w:color="auto"/>
            </w:tcBorders>
            <w:shd w:val="clear" w:color="000000" w:fill="006BB7"/>
            <w:noWrap/>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PO3/PO4</w:t>
            </w:r>
          </w:p>
        </w:tc>
      </w:tr>
      <w:tr>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000000" w:fill="006BB7"/>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Changes in freight transport activity (in millions tkm and % change to the baseline)</w:t>
            </w:r>
          </w:p>
        </w:tc>
      </w:tr>
      <w:tr>
        <w:trPr>
          <w:trHeight w:val="240"/>
        </w:trPr>
        <w:tc>
          <w:tcPr>
            <w:tcW w:w="1382" w:type="pct"/>
            <w:tcBorders>
              <w:top w:val="nil"/>
              <w:left w:val="single" w:sz="4" w:space="0" w:color="auto"/>
              <w:bottom w:val="nil"/>
              <w:right w:val="nil"/>
            </w:tcBorders>
            <w:shd w:val="clear" w:color="000000" w:fill="FFFFFF"/>
            <w:vAlign w:val="center"/>
            <w:hideMark/>
          </w:tcPr>
          <w:p>
            <w:pPr>
              <w:spacing w:after="0" w:line="240"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xml:space="preserve">Total freight transport </w:t>
            </w:r>
          </w:p>
        </w:tc>
        <w:tc>
          <w:tcPr>
            <w:tcW w:w="873" w:type="pct"/>
            <w:tcBorders>
              <w:top w:val="nil"/>
              <w:left w:val="single" w:sz="4" w:space="0" w:color="auto"/>
              <w:bottom w:val="nil"/>
              <w:right w:val="nil"/>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3,473,674</w:t>
            </w:r>
          </w:p>
        </w:tc>
        <w:tc>
          <w:tcPr>
            <w:tcW w:w="456" w:type="pct"/>
            <w:tcBorders>
              <w:top w:val="nil"/>
              <w:left w:val="single" w:sz="4" w:space="0" w:color="auto"/>
              <w:bottom w:val="nil"/>
              <w:right w:val="nil"/>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1,130</w:t>
            </w:r>
          </w:p>
        </w:tc>
        <w:tc>
          <w:tcPr>
            <w:tcW w:w="457" w:type="pct"/>
            <w:tcBorders>
              <w:top w:val="nil"/>
              <w:left w:val="nil"/>
              <w:bottom w:val="nil"/>
              <w:right w:val="nil"/>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0.0%</w:t>
            </w:r>
          </w:p>
        </w:tc>
        <w:tc>
          <w:tcPr>
            <w:tcW w:w="456" w:type="pct"/>
            <w:tcBorders>
              <w:top w:val="nil"/>
              <w:left w:val="single" w:sz="4" w:space="0" w:color="auto"/>
              <w:bottom w:val="nil"/>
              <w:right w:val="nil"/>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8,877</w:t>
            </w:r>
          </w:p>
        </w:tc>
        <w:tc>
          <w:tcPr>
            <w:tcW w:w="457" w:type="pct"/>
            <w:tcBorders>
              <w:top w:val="nil"/>
              <w:left w:val="nil"/>
              <w:bottom w:val="nil"/>
              <w:right w:val="nil"/>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0.3%</w:t>
            </w:r>
          </w:p>
        </w:tc>
        <w:tc>
          <w:tcPr>
            <w:tcW w:w="463" w:type="pct"/>
            <w:tcBorders>
              <w:top w:val="nil"/>
              <w:left w:val="single" w:sz="4" w:space="0" w:color="auto"/>
              <w:bottom w:val="nil"/>
              <w:right w:val="nil"/>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12,654</w:t>
            </w:r>
          </w:p>
        </w:tc>
        <w:tc>
          <w:tcPr>
            <w:tcW w:w="456" w:type="pct"/>
            <w:tcBorders>
              <w:top w:val="nil"/>
              <w:left w:val="nil"/>
              <w:bottom w:val="nil"/>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0.4%</w:t>
            </w:r>
          </w:p>
        </w:tc>
      </w:tr>
      <w:tr>
        <w:trPr>
          <w:trHeight w:val="240"/>
        </w:trPr>
        <w:tc>
          <w:tcPr>
            <w:tcW w:w="1382" w:type="pct"/>
            <w:tcBorders>
              <w:top w:val="nil"/>
              <w:left w:val="single" w:sz="4" w:space="0" w:color="auto"/>
              <w:bottom w:val="nil"/>
              <w:right w:val="nil"/>
            </w:tcBorders>
            <w:shd w:val="clear" w:color="000000" w:fill="FFFFFF"/>
            <w:noWrap/>
            <w:vAlign w:val="bottom"/>
            <w:hideMark/>
          </w:tcPr>
          <w:p>
            <w:pPr>
              <w:spacing w:after="0" w:line="240" w:lineRule="auto"/>
              <w:ind w:firstLineChars="100" w:firstLine="180"/>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Road freight</w:t>
            </w:r>
          </w:p>
        </w:tc>
        <w:tc>
          <w:tcPr>
            <w:tcW w:w="873" w:type="pct"/>
            <w:tcBorders>
              <w:top w:val="nil"/>
              <w:left w:val="single" w:sz="4" w:space="0" w:color="auto"/>
              <w:bottom w:val="nil"/>
              <w:right w:val="nil"/>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2,433,615</w:t>
            </w:r>
          </w:p>
        </w:tc>
        <w:tc>
          <w:tcPr>
            <w:tcW w:w="456" w:type="pct"/>
            <w:tcBorders>
              <w:top w:val="nil"/>
              <w:left w:val="single" w:sz="4" w:space="0" w:color="auto"/>
              <w:bottom w:val="nil"/>
              <w:right w:val="nil"/>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-505</w:t>
            </w:r>
          </w:p>
        </w:tc>
        <w:tc>
          <w:tcPr>
            <w:tcW w:w="457" w:type="pct"/>
            <w:tcBorders>
              <w:top w:val="nil"/>
              <w:left w:val="nil"/>
              <w:bottom w:val="nil"/>
              <w:right w:val="nil"/>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0.0%</w:t>
            </w:r>
          </w:p>
        </w:tc>
        <w:tc>
          <w:tcPr>
            <w:tcW w:w="456" w:type="pct"/>
            <w:tcBorders>
              <w:top w:val="nil"/>
              <w:left w:val="single" w:sz="4" w:space="0" w:color="auto"/>
              <w:bottom w:val="nil"/>
              <w:right w:val="nil"/>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-1,244</w:t>
            </w:r>
          </w:p>
        </w:tc>
        <w:tc>
          <w:tcPr>
            <w:tcW w:w="457" w:type="pct"/>
            <w:tcBorders>
              <w:top w:val="nil"/>
              <w:left w:val="nil"/>
              <w:bottom w:val="nil"/>
              <w:right w:val="nil"/>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-0.1%</w:t>
            </w:r>
          </w:p>
        </w:tc>
        <w:tc>
          <w:tcPr>
            <w:tcW w:w="463" w:type="pct"/>
            <w:tcBorders>
              <w:top w:val="nil"/>
              <w:left w:val="single" w:sz="4" w:space="0" w:color="auto"/>
              <w:bottom w:val="nil"/>
              <w:right w:val="nil"/>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-1,299</w:t>
            </w:r>
          </w:p>
        </w:tc>
        <w:tc>
          <w:tcPr>
            <w:tcW w:w="456" w:type="pct"/>
            <w:tcBorders>
              <w:top w:val="nil"/>
              <w:left w:val="nil"/>
              <w:bottom w:val="nil"/>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-0.1%</w:t>
            </w:r>
          </w:p>
        </w:tc>
      </w:tr>
      <w:tr>
        <w:trPr>
          <w:trHeight w:val="240"/>
        </w:trPr>
        <w:tc>
          <w:tcPr>
            <w:tcW w:w="1382" w:type="pct"/>
            <w:tcBorders>
              <w:top w:val="nil"/>
              <w:left w:val="single" w:sz="4" w:space="0" w:color="auto"/>
              <w:bottom w:val="nil"/>
              <w:right w:val="nil"/>
            </w:tcBorders>
            <w:shd w:val="clear" w:color="000000" w:fill="FFFFFF"/>
            <w:noWrap/>
            <w:vAlign w:val="bottom"/>
            <w:hideMark/>
          </w:tcPr>
          <w:p>
            <w:pPr>
              <w:spacing w:after="0" w:line="240" w:lineRule="auto"/>
              <w:ind w:firstLineChars="100" w:firstLine="180"/>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Rail</w:t>
            </w:r>
          </w:p>
        </w:tc>
        <w:tc>
          <w:tcPr>
            <w:tcW w:w="873" w:type="pct"/>
            <w:tcBorders>
              <w:top w:val="nil"/>
              <w:left w:val="single" w:sz="4" w:space="0" w:color="auto"/>
              <w:bottom w:val="nil"/>
              <w:right w:val="nil"/>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593,485</w:t>
            </w:r>
          </w:p>
        </w:tc>
        <w:tc>
          <w:tcPr>
            <w:tcW w:w="456" w:type="pct"/>
            <w:tcBorders>
              <w:top w:val="nil"/>
              <w:left w:val="single" w:sz="4" w:space="0" w:color="auto"/>
              <w:bottom w:val="nil"/>
              <w:right w:val="nil"/>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679</w:t>
            </w:r>
          </w:p>
        </w:tc>
        <w:tc>
          <w:tcPr>
            <w:tcW w:w="457" w:type="pct"/>
            <w:tcBorders>
              <w:top w:val="nil"/>
              <w:left w:val="nil"/>
              <w:bottom w:val="nil"/>
              <w:right w:val="nil"/>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0.1%</w:t>
            </w:r>
          </w:p>
        </w:tc>
        <w:tc>
          <w:tcPr>
            <w:tcW w:w="456" w:type="pct"/>
            <w:tcBorders>
              <w:top w:val="nil"/>
              <w:left w:val="single" w:sz="4" w:space="0" w:color="auto"/>
              <w:bottom w:val="nil"/>
              <w:right w:val="nil"/>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3,914</w:t>
            </w:r>
          </w:p>
        </w:tc>
        <w:tc>
          <w:tcPr>
            <w:tcW w:w="457" w:type="pct"/>
            <w:tcBorders>
              <w:top w:val="nil"/>
              <w:left w:val="nil"/>
              <w:bottom w:val="nil"/>
              <w:right w:val="nil"/>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0.7%</w:t>
            </w:r>
          </w:p>
        </w:tc>
        <w:tc>
          <w:tcPr>
            <w:tcW w:w="463" w:type="pct"/>
            <w:tcBorders>
              <w:top w:val="nil"/>
              <w:left w:val="single" w:sz="4" w:space="0" w:color="auto"/>
              <w:bottom w:val="nil"/>
              <w:right w:val="nil"/>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4,742</w:t>
            </w:r>
          </w:p>
        </w:tc>
        <w:tc>
          <w:tcPr>
            <w:tcW w:w="456" w:type="pct"/>
            <w:tcBorders>
              <w:top w:val="nil"/>
              <w:left w:val="nil"/>
              <w:bottom w:val="nil"/>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0.8%</w:t>
            </w:r>
          </w:p>
        </w:tc>
      </w:tr>
      <w:tr>
        <w:trPr>
          <w:trHeight w:val="240"/>
        </w:trPr>
        <w:tc>
          <w:tcPr>
            <w:tcW w:w="1382" w:type="pct"/>
            <w:tcBorders>
              <w:top w:val="nil"/>
              <w:left w:val="single" w:sz="4" w:space="0" w:color="auto"/>
              <w:bottom w:val="single" w:sz="4" w:space="0" w:color="auto"/>
              <w:right w:val="nil"/>
            </w:tcBorders>
            <w:shd w:val="clear" w:color="000000" w:fill="FFFFFF"/>
            <w:noWrap/>
            <w:vAlign w:val="bottom"/>
            <w:hideMark/>
          </w:tcPr>
          <w:p>
            <w:pPr>
              <w:spacing w:after="0" w:line="240" w:lineRule="auto"/>
              <w:ind w:firstLineChars="100" w:firstLine="180"/>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Waterborne transport*</w:t>
            </w:r>
          </w:p>
        </w:tc>
        <w:tc>
          <w:tcPr>
            <w:tcW w:w="873" w:type="pct"/>
            <w:tcBorders>
              <w:top w:val="nil"/>
              <w:left w:val="single" w:sz="4" w:space="0" w:color="auto"/>
              <w:bottom w:val="single" w:sz="4" w:space="0" w:color="auto"/>
              <w:right w:val="nil"/>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446,575</w:t>
            </w:r>
          </w:p>
        </w:tc>
        <w:tc>
          <w:tcPr>
            <w:tcW w:w="456" w:type="pct"/>
            <w:tcBorders>
              <w:top w:val="nil"/>
              <w:left w:val="single" w:sz="4" w:space="0" w:color="auto"/>
              <w:bottom w:val="single" w:sz="4" w:space="0" w:color="auto"/>
              <w:right w:val="nil"/>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956</w:t>
            </w:r>
          </w:p>
        </w:tc>
        <w:tc>
          <w:tcPr>
            <w:tcW w:w="457" w:type="pct"/>
            <w:tcBorders>
              <w:top w:val="nil"/>
              <w:left w:val="nil"/>
              <w:bottom w:val="single" w:sz="4" w:space="0" w:color="auto"/>
              <w:right w:val="nil"/>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0.2%</w:t>
            </w:r>
          </w:p>
        </w:tc>
        <w:tc>
          <w:tcPr>
            <w:tcW w:w="456" w:type="pct"/>
            <w:tcBorders>
              <w:top w:val="nil"/>
              <w:left w:val="single" w:sz="4" w:space="0" w:color="auto"/>
              <w:bottom w:val="single" w:sz="4" w:space="0" w:color="auto"/>
              <w:right w:val="nil"/>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6,207</w:t>
            </w:r>
          </w:p>
        </w:tc>
        <w:tc>
          <w:tcPr>
            <w:tcW w:w="457" w:type="pct"/>
            <w:tcBorders>
              <w:top w:val="nil"/>
              <w:left w:val="nil"/>
              <w:bottom w:val="single" w:sz="4" w:space="0" w:color="auto"/>
              <w:right w:val="nil"/>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1.4%</w:t>
            </w:r>
          </w:p>
        </w:tc>
        <w:tc>
          <w:tcPr>
            <w:tcW w:w="463" w:type="pct"/>
            <w:tcBorders>
              <w:top w:val="nil"/>
              <w:left w:val="single" w:sz="4" w:space="0" w:color="auto"/>
              <w:bottom w:val="single" w:sz="4" w:space="0" w:color="auto"/>
              <w:right w:val="nil"/>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9,211</w:t>
            </w:r>
          </w:p>
        </w:tc>
        <w:tc>
          <w:tcPr>
            <w:tcW w:w="456" w:type="pct"/>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2.1%</w:t>
            </w:r>
          </w:p>
        </w:tc>
      </w:tr>
      <w:tr>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000000" w:fill="006BB7"/>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Modal shares in 2030 (in % and p.p. difference to the baseline)</w:t>
            </w:r>
          </w:p>
        </w:tc>
      </w:tr>
      <w:tr>
        <w:trPr>
          <w:trHeight w:val="240"/>
        </w:trPr>
        <w:tc>
          <w:tcPr>
            <w:tcW w:w="1382" w:type="pct"/>
            <w:tcBorders>
              <w:top w:val="nil"/>
              <w:left w:val="single" w:sz="4" w:space="0" w:color="auto"/>
              <w:bottom w:val="nil"/>
              <w:right w:val="nil"/>
            </w:tcBorders>
            <w:shd w:val="clear" w:color="000000" w:fill="FFFFFF"/>
            <w:noWrap/>
            <w:vAlign w:val="bottom"/>
            <w:hideMark/>
          </w:tcPr>
          <w:p>
            <w:pPr>
              <w:spacing w:after="0" w:line="240" w:lineRule="auto"/>
              <w:ind w:firstLineChars="100" w:firstLine="180"/>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Road freight</w:t>
            </w:r>
          </w:p>
        </w:tc>
        <w:tc>
          <w:tcPr>
            <w:tcW w:w="87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70.1%</w:t>
            </w:r>
          </w:p>
        </w:tc>
        <w:tc>
          <w:tcPr>
            <w:tcW w:w="456" w:type="pct"/>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5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456" w:type="pct"/>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57"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463" w:type="pct"/>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56"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r>
      <w:tr>
        <w:trPr>
          <w:trHeight w:val="240"/>
        </w:trPr>
        <w:tc>
          <w:tcPr>
            <w:tcW w:w="1382" w:type="pct"/>
            <w:tcBorders>
              <w:top w:val="nil"/>
              <w:left w:val="single" w:sz="4" w:space="0" w:color="auto"/>
              <w:bottom w:val="nil"/>
              <w:right w:val="nil"/>
            </w:tcBorders>
            <w:shd w:val="clear" w:color="000000" w:fill="FFFFFF"/>
            <w:noWrap/>
            <w:vAlign w:val="bottom"/>
            <w:hideMark/>
          </w:tcPr>
          <w:p>
            <w:pPr>
              <w:spacing w:after="0" w:line="240" w:lineRule="auto"/>
              <w:ind w:firstLineChars="100" w:firstLine="180"/>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Rail</w:t>
            </w:r>
          </w:p>
        </w:tc>
        <w:tc>
          <w:tcPr>
            <w:tcW w:w="87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17.1%</w:t>
            </w:r>
          </w:p>
        </w:tc>
        <w:tc>
          <w:tcPr>
            <w:tcW w:w="456" w:type="pct"/>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5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456" w:type="pct"/>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57"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463" w:type="pct"/>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56"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r>
      <w:tr>
        <w:trPr>
          <w:trHeight w:val="240"/>
        </w:trPr>
        <w:tc>
          <w:tcPr>
            <w:tcW w:w="1382" w:type="pct"/>
            <w:tcBorders>
              <w:top w:val="nil"/>
              <w:left w:val="single" w:sz="4" w:space="0" w:color="auto"/>
              <w:bottom w:val="single" w:sz="4" w:space="0" w:color="auto"/>
              <w:right w:val="nil"/>
            </w:tcBorders>
            <w:shd w:val="clear" w:color="000000" w:fill="FFFFFF"/>
            <w:noWrap/>
            <w:vAlign w:val="bottom"/>
            <w:hideMark/>
          </w:tcPr>
          <w:p>
            <w:pPr>
              <w:spacing w:after="0" w:line="240" w:lineRule="auto"/>
              <w:ind w:firstLineChars="100" w:firstLine="180"/>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Waterborne transport*</w:t>
            </w:r>
          </w:p>
        </w:tc>
        <w:tc>
          <w:tcPr>
            <w:tcW w:w="87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12.9%</w:t>
            </w:r>
          </w:p>
        </w:tc>
        <w:tc>
          <w:tcPr>
            <w:tcW w:w="456" w:type="pct"/>
            <w:tcBorders>
              <w:top w:val="nil"/>
              <w:left w:val="nil"/>
              <w:bottom w:val="single" w:sz="4" w:space="0" w:color="auto"/>
              <w:right w:val="nil"/>
            </w:tcBorders>
            <w:shd w:val="clear" w:color="000000" w:fill="FFFFFF"/>
            <w:noWrap/>
            <w:vAlign w:val="bottom"/>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57" w:type="pct"/>
            <w:tcBorders>
              <w:top w:val="nil"/>
              <w:left w:val="nil"/>
              <w:bottom w:val="single" w:sz="4" w:space="0" w:color="auto"/>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456" w:type="pct"/>
            <w:tcBorders>
              <w:top w:val="nil"/>
              <w:left w:val="single" w:sz="4" w:space="0" w:color="auto"/>
              <w:bottom w:val="single" w:sz="4" w:space="0" w:color="auto"/>
              <w:right w:val="nil"/>
            </w:tcBorders>
            <w:shd w:val="clear" w:color="000000" w:fill="FFFFFF"/>
            <w:noWrap/>
            <w:vAlign w:val="bottom"/>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57"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463" w:type="pct"/>
            <w:tcBorders>
              <w:top w:val="nil"/>
              <w:left w:val="nil"/>
              <w:bottom w:val="single" w:sz="4" w:space="0" w:color="auto"/>
              <w:right w:val="nil"/>
            </w:tcBorders>
            <w:shd w:val="clear" w:color="000000" w:fill="FFFFFF"/>
            <w:noWrap/>
            <w:vAlign w:val="bottom"/>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456"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r>
    </w:tbl>
    <w:p>
      <w:pPr>
        <w:spacing w:after="0" w:line="240" w:lineRule="auto"/>
        <w:jc w:val="both"/>
        <w:rPr>
          <w:rFonts w:ascii="Times New Roman" w:eastAsia="Times New Roman" w:hAnsi="Times New Roman" w:cs="Times New Roman"/>
          <w:i/>
          <w:noProof/>
          <w:sz w:val="18"/>
          <w:szCs w:val="18"/>
        </w:rPr>
      </w:pPr>
      <w:r>
        <w:rPr>
          <w:rFonts w:ascii="Times New Roman" w:eastAsia="Times New Roman" w:hAnsi="Times New Roman" w:cs="Times New Roman"/>
          <w:i/>
          <w:noProof/>
          <w:sz w:val="18"/>
          <w:szCs w:val="18"/>
        </w:rPr>
        <w:t>Note: * Waterborne transport covers inland waterways and national maritime.</w:t>
      </w:r>
    </w:p>
    <w:p>
      <w:pPr>
        <w:spacing w:after="120" w:line="240" w:lineRule="auto"/>
        <w:jc w:val="both"/>
        <w:rPr>
          <w:rFonts w:ascii="Times New Roman" w:eastAsia="Times New Roman" w:hAnsi="Times New Roman" w:cs="Times New Roman"/>
          <w:i/>
          <w:noProof/>
          <w:sz w:val="18"/>
          <w:szCs w:val="18"/>
        </w:rPr>
      </w:pPr>
      <w:r>
        <w:rPr>
          <w:rFonts w:ascii="Times New Roman" w:eastAsia="Times New Roman" w:hAnsi="Times New Roman" w:cs="Times New Roman"/>
          <w:i/>
          <w:noProof/>
          <w:sz w:val="18"/>
          <w:szCs w:val="18"/>
        </w:rPr>
        <w:t>Source: PRIMES-TREMOVE Transport Model (ICCS-E3MLab)</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External costs of congestion would slightly go down in PO1 (EUR 88 million), PO2 (EUR 261 million) and in PO3 and PO4 (EUR 299 million) relative to the baseline, driven by the shift in traffic away from road, despite the higher overall transport activity (see Table 6.9).</w:t>
      </w:r>
    </w:p>
    <w:p>
      <w:pPr>
        <w:keepNext/>
        <w:spacing w:after="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Table 6.9: Impacts on external costs of congestion relative to the baseline over the full deployment horizon of electronic transport documents (2018-2040), expressed as present value</w:t>
      </w:r>
    </w:p>
    <w:tbl>
      <w:tblPr>
        <w:tblW w:w="5000" w:type="pct"/>
        <w:tblLook w:val="04A0" w:firstRow="1" w:lastRow="0" w:firstColumn="1" w:lastColumn="0" w:noHBand="0" w:noVBand="1"/>
      </w:tblPr>
      <w:tblGrid>
        <w:gridCol w:w="2978"/>
        <w:gridCol w:w="1577"/>
        <w:gridCol w:w="1577"/>
        <w:gridCol w:w="1577"/>
        <w:gridCol w:w="1579"/>
      </w:tblGrid>
      <w:tr>
        <w:trPr>
          <w:trHeight w:val="240"/>
        </w:trPr>
        <w:tc>
          <w:tcPr>
            <w:tcW w:w="1603" w:type="pct"/>
            <w:tcBorders>
              <w:top w:val="single" w:sz="4" w:space="0" w:color="auto"/>
              <w:left w:val="single" w:sz="4" w:space="0" w:color="auto"/>
              <w:bottom w:val="single" w:sz="4" w:space="0" w:color="auto"/>
              <w:right w:val="nil"/>
            </w:tcBorders>
            <w:shd w:val="clear" w:color="000000" w:fill="0070C0"/>
            <w:vAlign w:val="center"/>
            <w:hideMark/>
          </w:tcPr>
          <w:p>
            <w:pPr>
              <w:keepNext/>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 </w:t>
            </w:r>
          </w:p>
        </w:tc>
        <w:tc>
          <w:tcPr>
            <w:tcW w:w="849" w:type="pct"/>
            <w:tcBorders>
              <w:top w:val="single" w:sz="4" w:space="0" w:color="auto"/>
              <w:left w:val="single" w:sz="4" w:space="0" w:color="auto"/>
              <w:bottom w:val="single" w:sz="4" w:space="0" w:color="auto"/>
              <w:right w:val="single" w:sz="4" w:space="0" w:color="auto"/>
            </w:tcBorders>
            <w:shd w:val="clear" w:color="000000" w:fill="0070C0"/>
            <w:vAlign w:val="center"/>
            <w:hideMark/>
          </w:tcPr>
          <w:p>
            <w:pPr>
              <w:keepNext/>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Baseline</w:t>
            </w:r>
          </w:p>
        </w:tc>
        <w:tc>
          <w:tcPr>
            <w:tcW w:w="849" w:type="pct"/>
            <w:tcBorders>
              <w:top w:val="single" w:sz="4" w:space="0" w:color="auto"/>
              <w:left w:val="nil"/>
              <w:bottom w:val="single" w:sz="4" w:space="0" w:color="auto"/>
              <w:right w:val="nil"/>
            </w:tcBorders>
            <w:shd w:val="clear" w:color="000000" w:fill="0070C0"/>
            <w:noWrap/>
            <w:vAlign w:val="center"/>
            <w:hideMark/>
          </w:tcPr>
          <w:p>
            <w:pPr>
              <w:keepNext/>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PO1</w:t>
            </w:r>
          </w:p>
        </w:tc>
        <w:tc>
          <w:tcPr>
            <w:tcW w:w="849" w:type="pct"/>
            <w:tcBorders>
              <w:top w:val="single" w:sz="4" w:space="0" w:color="auto"/>
              <w:left w:val="single" w:sz="4" w:space="0" w:color="auto"/>
              <w:bottom w:val="single" w:sz="4" w:space="0" w:color="auto"/>
              <w:right w:val="single" w:sz="4" w:space="0" w:color="auto"/>
            </w:tcBorders>
            <w:shd w:val="clear" w:color="000000" w:fill="0070C0"/>
            <w:noWrap/>
            <w:vAlign w:val="center"/>
            <w:hideMark/>
          </w:tcPr>
          <w:p>
            <w:pPr>
              <w:keepNext/>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PO2</w:t>
            </w:r>
          </w:p>
        </w:tc>
        <w:tc>
          <w:tcPr>
            <w:tcW w:w="849" w:type="pct"/>
            <w:tcBorders>
              <w:top w:val="single" w:sz="4" w:space="0" w:color="auto"/>
              <w:left w:val="nil"/>
              <w:bottom w:val="single" w:sz="4" w:space="0" w:color="auto"/>
              <w:right w:val="single" w:sz="4" w:space="0" w:color="auto"/>
            </w:tcBorders>
            <w:shd w:val="clear" w:color="000000" w:fill="0070C0"/>
            <w:noWrap/>
            <w:vAlign w:val="center"/>
            <w:hideMark/>
          </w:tcPr>
          <w:p>
            <w:pPr>
              <w:keepNext/>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PO3/PO4</w:t>
            </w:r>
          </w:p>
        </w:tc>
      </w:tr>
      <w:tr>
        <w:trPr>
          <w:trHeight w:val="499"/>
        </w:trPr>
        <w:tc>
          <w:tcPr>
            <w:tcW w:w="5000" w:type="pct"/>
            <w:gridSpan w:val="5"/>
            <w:tcBorders>
              <w:top w:val="single" w:sz="4" w:space="0" w:color="auto"/>
              <w:left w:val="single" w:sz="4" w:space="0" w:color="auto"/>
              <w:bottom w:val="single" w:sz="4" w:space="0" w:color="auto"/>
              <w:right w:val="single" w:sz="4" w:space="0" w:color="000000"/>
            </w:tcBorders>
            <w:shd w:val="clear" w:color="000000" w:fill="0070C0"/>
            <w:vAlign w:val="center"/>
            <w:hideMark/>
          </w:tcPr>
          <w:p>
            <w:pPr>
              <w:keepNext/>
              <w:spacing w:after="0" w:line="240" w:lineRule="auto"/>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External costs of congestion (present value in EUR million) in the Baseline and difference to the Baseline</w:t>
            </w:r>
          </w:p>
        </w:tc>
      </w:tr>
      <w:tr>
        <w:trPr>
          <w:trHeight w:val="240"/>
        </w:trPr>
        <w:tc>
          <w:tcPr>
            <w:tcW w:w="1603" w:type="pct"/>
            <w:tcBorders>
              <w:top w:val="nil"/>
              <w:left w:val="single" w:sz="4" w:space="0" w:color="auto"/>
              <w:bottom w:val="single" w:sz="4" w:space="0" w:color="auto"/>
              <w:right w:val="single" w:sz="4" w:space="0" w:color="auto"/>
            </w:tcBorders>
            <w:shd w:val="clear" w:color="auto" w:fill="auto"/>
            <w:vAlign w:val="center"/>
            <w:hideMark/>
          </w:tcPr>
          <w:p>
            <w:pPr>
              <w:keepNext/>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Freight transport</w:t>
            </w:r>
          </w:p>
        </w:tc>
        <w:tc>
          <w:tcPr>
            <w:tcW w:w="849" w:type="pct"/>
            <w:tcBorders>
              <w:top w:val="nil"/>
              <w:left w:val="nil"/>
              <w:bottom w:val="single" w:sz="4" w:space="0" w:color="auto"/>
              <w:right w:val="single" w:sz="4" w:space="0" w:color="auto"/>
            </w:tcBorders>
            <w:shd w:val="clear" w:color="auto" w:fill="auto"/>
            <w:vAlign w:val="center"/>
            <w:hideMark/>
          </w:tcPr>
          <w:p>
            <w:pPr>
              <w:keepNext/>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994,230</w:t>
            </w:r>
          </w:p>
        </w:tc>
        <w:tc>
          <w:tcPr>
            <w:tcW w:w="849" w:type="pct"/>
            <w:tcBorders>
              <w:top w:val="nil"/>
              <w:left w:val="nil"/>
              <w:bottom w:val="single" w:sz="4" w:space="0" w:color="auto"/>
              <w:right w:val="single" w:sz="4" w:space="0" w:color="auto"/>
            </w:tcBorders>
            <w:shd w:val="clear" w:color="auto" w:fill="auto"/>
            <w:noWrap/>
            <w:vAlign w:val="center"/>
            <w:hideMark/>
          </w:tcPr>
          <w:p>
            <w:pPr>
              <w:keepNext/>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-88</w:t>
            </w:r>
          </w:p>
        </w:tc>
        <w:tc>
          <w:tcPr>
            <w:tcW w:w="849" w:type="pct"/>
            <w:tcBorders>
              <w:top w:val="nil"/>
              <w:left w:val="nil"/>
              <w:bottom w:val="single" w:sz="4" w:space="0" w:color="auto"/>
              <w:right w:val="single" w:sz="4" w:space="0" w:color="auto"/>
            </w:tcBorders>
            <w:shd w:val="clear" w:color="auto" w:fill="auto"/>
            <w:noWrap/>
            <w:vAlign w:val="center"/>
            <w:hideMark/>
          </w:tcPr>
          <w:p>
            <w:pPr>
              <w:keepNext/>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-261</w:t>
            </w:r>
          </w:p>
        </w:tc>
        <w:tc>
          <w:tcPr>
            <w:tcW w:w="849" w:type="pct"/>
            <w:tcBorders>
              <w:top w:val="nil"/>
              <w:left w:val="nil"/>
              <w:bottom w:val="single" w:sz="4" w:space="0" w:color="auto"/>
              <w:right w:val="single" w:sz="4" w:space="0" w:color="auto"/>
            </w:tcBorders>
            <w:shd w:val="clear" w:color="auto" w:fill="auto"/>
            <w:noWrap/>
            <w:vAlign w:val="center"/>
            <w:hideMark/>
          </w:tcPr>
          <w:p>
            <w:pPr>
              <w:keepNext/>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-299</w:t>
            </w:r>
          </w:p>
        </w:tc>
      </w:tr>
    </w:tbl>
    <w:p>
      <w:pPr>
        <w:spacing w:after="120" w:line="240" w:lineRule="auto"/>
        <w:jc w:val="both"/>
        <w:rPr>
          <w:rFonts w:ascii="Times New Roman" w:eastAsia="Times New Roman" w:hAnsi="Times New Roman" w:cs="Times New Roman"/>
          <w:i/>
          <w:noProof/>
          <w:sz w:val="18"/>
          <w:szCs w:val="18"/>
        </w:rPr>
      </w:pPr>
      <w:r>
        <w:rPr>
          <w:rFonts w:ascii="Times New Roman" w:eastAsia="Times New Roman" w:hAnsi="Times New Roman" w:cs="Times New Roman"/>
          <w:i/>
          <w:noProof/>
          <w:sz w:val="18"/>
          <w:szCs w:val="18"/>
        </w:rPr>
        <w:t>Source: PRIMES-TREMOVE Transport Model (ICCS-E3MLab)</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Impacts on modal shift and congestion have been quantified with the PRIMES-TREMOVE model by ICCS-E3MLab. This is the same model that has been used for developing the baseline scenario. The main driver for modal shift and reduced costs of congestion in this context relates to changes in the relative costs between transport modes, and thus between their relative competitiveness. The changes in costs are induced by the lower administrative costs for businesses due to the uptake of electronic documents. </w:t>
      </w:r>
    </w:p>
    <w:p>
      <w:pPr>
        <w:keepNext/>
        <w:numPr>
          <w:ilvl w:val="2"/>
          <w:numId w:val="0"/>
        </w:numPr>
        <w:spacing w:after="240" w:line="240" w:lineRule="auto"/>
        <w:ind w:left="720" w:hanging="720"/>
        <w:jc w:val="both"/>
        <w:outlineLvl w:val="2"/>
        <w:rPr>
          <w:rFonts w:ascii="Times New Roman" w:eastAsia="Times New Roman" w:hAnsi="Times New Roman" w:cs="Times New Roman"/>
          <w:b/>
          <w:bCs/>
          <w:i/>
          <w:iCs/>
          <w:noProof/>
          <w:sz w:val="24"/>
          <w:szCs w:val="20"/>
        </w:rPr>
      </w:pPr>
      <w:bookmarkStart w:id="135" w:name="_Toc506397600"/>
      <w:bookmarkStart w:id="136" w:name="_Toc506397708"/>
      <w:bookmarkStart w:id="137" w:name="_Toc506398531"/>
      <w:bookmarkStart w:id="138" w:name="_Toc506408295"/>
      <w:bookmarkStart w:id="139" w:name="_Toc512589626"/>
      <w:bookmarkStart w:id="140" w:name="_Toc512854931"/>
      <w:r>
        <w:rPr>
          <w:rFonts w:ascii="Times New Roman" w:eastAsia="Times New Roman" w:hAnsi="Times New Roman" w:cs="Times New Roman"/>
          <w:b/>
          <w:bCs/>
          <w:i/>
          <w:iCs/>
          <w:noProof/>
          <w:sz w:val="24"/>
          <w:szCs w:val="20"/>
        </w:rPr>
        <w:t>Compliance costs for authorities</w:t>
      </w:r>
      <w:bookmarkEnd w:id="135"/>
      <w:bookmarkEnd w:id="136"/>
      <w:bookmarkEnd w:id="137"/>
      <w:bookmarkEnd w:id="138"/>
      <w:bookmarkEnd w:id="139"/>
      <w:bookmarkEnd w:id="140"/>
      <w:r>
        <w:rPr>
          <w:rFonts w:ascii="Times New Roman" w:eastAsia="Times New Roman" w:hAnsi="Times New Roman" w:cs="Times New Roman"/>
          <w:b/>
          <w:bCs/>
          <w:i/>
          <w:iCs/>
          <w:noProof/>
          <w:sz w:val="24"/>
          <w:szCs w:val="20"/>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public authorities will also face some adjustment costs to comply with the measures included in the policy options. These costs cover: a) investments into IT systems to deal with electronic information and documentation exchanges, and b) costs related to the certification of solution providers.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terms of investments into IT systems, PO1 will bring limited costs, as it does not affect the A2B or A2A operations. PO2, PO3 and PO4 will involve higher levels of investments into IT systems to deal with electronic information and documentation exchanges. PO3 and PO4 will cover higher range of information and documentation, which will inevitably involve relatively higher level of investments for the Member States. However, in PO4, where interoperability requirements would be common, the costs for authorities are expected to be lower than in PO3, as they would need a single system to electronically communicate with all relevant actors, both in the public and the private sector.</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These costs are likely to vary per Member States, depending on current levels of digitalisation of their eGovernment administrative processes. The Commission eGovernment benchmark for 2016, while not covering the transport sector specifically, provides nonetheless an overview of the divergences among the Member States in offering e-government solutions, such as prefilled forms or possibility to communicate with the authorities online.</w:t>
      </w:r>
      <w:r>
        <w:rPr>
          <w:noProof/>
        </w:rPr>
        <w:t xml:space="preserve"> </w:t>
      </w:r>
      <w:r>
        <w:rPr>
          <w:rFonts w:ascii="Times New Roman" w:eastAsia="Times New Roman" w:hAnsi="Times New Roman" w:cs="Times New Roman"/>
          <w:noProof/>
          <w:sz w:val="24"/>
          <w:szCs w:val="24"/>
        </w:rPr>
        <w:t>Five EU countries are very close to having a fully developed digital channel for public services with scores above 95%: MT, Austria, Estonia, Portugal and Denmark. Investments into IT systems in these countries to cover transport operations are expected to be lower. Countries at the bottom of the range are (mostly) catching up, but seven of them still have one out of four services not available online (Romania, Croatia, Hungary, Greece, Slovakia, Bulgaria, Cyprus)</w:t>
      </w:r>
      <w:r>
        <w:rPr>
          <w:rStyle w:val="FootnoteReference"/>
          <w:rFonts w:ascii="Times New Roman" w:eastAsia="Times New Roman" w:hAnsi="Times New Roman" w:cs="Times New Roman"/>
          <w:noProof/>
          <w:sz w:val="24"/>
          <w:szCs w:val="24"/>
        </w:rPr>
        <w:footnoteReference w:id="107"/>
      </w:r>
      <w:r>
        <w:rPr>
          <w:rFonts w:ascii="Times New Roman" w:eastAsia="Times New Roman" w:hAnsi="Times New Roman" w:cs="Times New Roman"/>
          <w:noProof/>
          <w:sz w:val="24"/>
          <w:szCs w:val="24"/>
        </w:rPr>
        <w:t>. Investments into IT systems in these countries to cover transport operations are expected to be higher. A more specific example of Hungary introducing Electronic Public Road Trade Control System (EKAER) reveals that such systems may require calibration and run-up time. While the system produced visible results and reduced substantially the VAT gap, its introduction also created administrative burden as regards intra-EU trade. This highlights the trade-off between tax collection efficiency and compliance costs</w:t>
      </w:r>
      <w:r>
        <w:rPr>
          <w:rStyle w:val="FootnoteReference"/>
          <w:rFonts w:ascii="Times New Roman" w:eastAsia="Times New Roman" w:hAnsi="Times New Roman" w:cs="Times New Roman"/>
          <w:noProof/>
          <w:sz w:val="24"/>
          <w:szCs w:val="24"/>
        </w:rPr>
        <w:footnoteReference w:id="108"/>
      </w:r>
      <w:r>
        <w:rPr>
          <w:rFonts w:ascii="Times New Roman" w:eastAsia="Times New Roman" w:hAnsi="Times New Roman" w:cs="Times New Roman"/>
          <w:noProof/>
          <w:sz w:val="24"/>
          <w:szCs w:val="24"/>
        </w:rPr>
        <w:t xml:space="preserve"> and points to the need of close coordination at the EU level.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costs related to the certification of solution providers will depend on the requirements that will be actually set. Indicatively, drawing on the experience of the Belgian e-CMR pilot, setting-up such system may imply about 1,050 hours for the relevant authority for the initial set-up plus recurrent costs estimated at 20-40 hours per week</w:t>
      </w:r>
      <w:r>
        <w:rPr>
          <w:rStyle w:val="FootnoteReference"/>
          <w:rFonts w:ascii="Times New Roman" w:eastAsia="Times New Roman" w:hAnsi="Times New Roman" w:cs="Times New Roman"/>
          <w:noProof/>
          <w:sz w:val="24"/>
          <w:szCs w:val="24"/>
        </w:rPr>
        <w:footnoteReference w:id="109"/>
      </w:r>
      <w:r>
        <w:rPr>
          <w:rFonts w:ascii="Times New Roman" w:eastAsia="Times New Roman" w:hAnsi="Times New Roman" w:cs="Times New Roman"/>
          <w:noProof/>
          <w:sz w:val="24"/>
          <w:szCs w:val="24"/>
        </w:rPr>
        <w:t>. Drawing on this example, the set-up of the system would imply one-off certification costs of about EUR 30,000 per Member State and recurrent costs of about EUR 45,000 per year per Member State. Certification costs of solution providers would be limited in PO1 and PO2. In PO3 and PO4, certification costs of solution providers are estimated at EUR 17 million over the full deployment horizon of electronic transport documents (2018-2040), expressed as present value.</w:t>
      </w:r>
    </w:p>
    <w:p>
      <w:pPr>
        <w:spacing w:after="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Table 6.10: Certification costs of solution providers over the full deployment horizon of electronic transport documents (2018-2040), expressed as present value</w:t>
      </w:r>
    </w:p>
    <w:tbl>
      <w:tblPr>
        <w:tblW w:w="5000" w:type="pct"/>
        <w:tblLook w:val="04A0" w:firstRow="1" w:lastRow="0" w:firstColumn="1" w:lastColumn="0" w:noHBand="0" w:noVBand="1"/>
      </w:tblPr>
      <w:tblGrid>
        <w:gridCol w:w="4395"/>
        <w:gridCol w:w="1631"/>
        <w:gridCol w:w="1631"/>
        <w:gridCol w:w="1631"/>
      </w:tblGrid>
      <w:tr>
        <w:trPr>
          <w:trHeight w:val="499"/>
        </w:trPr>
        <w:tc>
          <w:tcPr>
            <w:tcW w:w="2366" w:type="pct"/>
            <w:tcBorders>
              <w:top w:val="single" w:sz="4" w:space="0" w:color="auto"/>
              <w:left w:val="single" w:sz="4" w:space="0" w:color="auto"/>
              <w:bottom w:val="single" w:sz="4" w:space="0" w:color="auto"/>
              <w:right w:val="single" w:sz="4" w:space="0" w:color="auto"/>
            </w:tcBorders>
            <w:shd w:val="clear" w:color="000000" w:fill="006DB6"/>
            <w:vAlign w:val="center"/>
            <w:hideMark/>
          </w:tcPr>
          <w:p>
            <w:pPr>
              <w:spacing w:after="0" w:line="240" w:lineRule="auto"/>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Certification costs of solution providers (in EUR million for EU28)</w:t>
            </w:r>
          </w:p>
        </w:tc>
        <w:tc>
          <w:tcPr>
            <w:tcW w:w="878" w:type="pct"/>
            <w:tcBorders>
              <w:top w:val="single" w:sz="4" w:space="0" w:color="auto"/>
              <w:left w:val="nil"/>
              <w:bottom w:val="single" w:sz="4" w:space="0" w:color="auto"/>
              <w:right w:val="single" w:sz="4" w:space="0" w:color="auto"/>
            </w:tcBorders>
            <w:shd w:val="clear" w:color="000000" w:fill="006DB6"/>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PO1</w:t>
            </w:r>
          </w:p>
        </w:tc>
        <w:tc>
          <w:tcPr>
            <w:tcW w:w="878" w:type="pct"/>
            <w:tcBorders>
              <w:top w:val="single" w:sz="4" w:space="0" w:color="auto"/>
              <w:left w:val="nil"/>
              <w:bottom w:val="single" w:sz="4" w:space="0" w:color="auto"/>
              <w:right w:val="single" w:sz="4" w:space="0" w:color="auto"/>
            </w:tcBorders>
            <w:shd w:val="clear" w:color="000000" w:fill="006DB6"/>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PO2</w:t>
            </w:r>
          </w:p>
        </w:tc>
        <w:tc>
          <w:tcPr>
            <w:tcW w:w="878" w:type="pct"/>
            <w:tcBorders>
              <w:top w:val="single" w:sz="4" w:space="0" w:color="auto"/>
              <w:left w:val="nil"/>
              <w:bottom w:val="single" w:sz="4" w:space="0" w:color="auto"/>
              <w:right w:val="single" w:sz="4" w:space="0" w:color="auto"/>
            </w:tcBorders>
            <w:shd w:val="clear" w:color="000000" w:fill="006DB6"/>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PO3/PO4</w:t>
            </w:r>
          </w:p>
        </w:tc>
      </w:tr>
      <w:tr>
        <w:trPr>
          <w:trHeight w:val="240"/>
        </w:trPr>
        <w:tc>
          <w:tcPr>
            <w:tcW w:w="2366"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Certification costs</w:t>
            </w:r>
          </w:p>
        </w:tc>
        <w:tc>
          <w:tcPr>
            <w:tcW w:w="87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w:t>
            </w:r>
          </w:p>
        </w:tc>
        <w:tc>
          <w:tcPr>
            <w:tcW w:w="87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w:t>
            </w:r>
          </w:p>
        </w:tc>
        <w:tc>
          <w:tcPr>
            <w:tcW w:w="87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17</w:t>
            </w:r>
          </w:p>
        </w:tc>
      </w:tr>
    </w:tbl>
    <w:p>
      <w:pPr>
        <w:spacing w:after="120" w:line="240" w:lineRule="auto"/>
        <w:jc w:val="both"/>
        <w:rPr>
          <w:rFonts w:ascii="Times New Roman" w:eastAsia="Times New Roman" w:hAnsi="Times New Roman" w:cs="Times New Roman"/>
          <w:i/>
          <w:noProof/>
          <w:sz w:val="18"/>
          <w:szCs w:val="18"/>
        </w:rPr>
      </w:pPr>
      <w:r>
        <w:rPr>
          <w:rFonts w:ascii="Times New Roman" w:eastAsia="Times New Roman" w:hAnsi="Times New Roman" w:cs="Times New Roman"/>
          <w:i/>
          <w:noProof/>
          <w:sz w:val="18"/>
          <w:szCs w:val="18"/>
        </w:rPr>
        <w:t>Source: Ecorys et al. (2018) Impact Assessment support study</w:t>
      </w:r>
    </w:p>
    <w:p>
      <w:pPr>
        <w:keepNext/>
        <w:numPr>
          <w:ilvl w:val="2"/>
          <w:numId w:val="0"/>
        </w:numPr>
        <w:spacing w:after="240" w:line="240" w:lineRule="auto"/>
        <w:ind w:left="720" w:hanging="720"/>
        <w:jc w:val="both"/>
        <w:outlineLvl w:val="2"/>
        <w:rPr>
          <w:rFonts w:ascii="Times New Roman" w:eastAsia="Times New Roman" w:hAnsi="Times New Roman" w:cs="Times New Roman"/>
          <w:b/>
          <w:bCs/>
          <w:i/>
          <w:iCs/>
          <w:noProof/>
          <w:sz w:val="24"/>
          <w:szCs w:val="20"/>
        </w:rPr>
      </w:pPr>
      <w:bookmarkStart w:id="141" w:name="_Toc506397601"/>
      <w:bookmarkStart w:id="142" w:name="_Toc506397709"/>
      <w:bookmarkStart w:id="143" w:name="_Toc506398532"/>
      <w:bookmarkStart w:id="144" w:name="_Toc506408296"/>
      <w:bookmarkStart w:id="145" w:name="_Toc512589627"/>
      <w:bookmarkStart w:id="146" w:name="_Toc512854932"/>
      <w:r>
        <w:rPr>
          <w:rFonts w:ascii="Times New Roman" w:eastAsia="Times New Roman" w:hAnsi="Times New Roman" w:cs="Times New Roman"/>
          <w:b/>
          <w:bCs/>
          <w:i/>
          <w:iCs/>
          <w:noProof/>
          <w:sz w:val="24"/>
          <w:szCs w:val="20"/>
        </w:rPr>
        <w:t>Enforcement costs for authorities</w:t>
      </w:r>
      <w:bookmarkEnd w:id="141"/>
      <w:bookmarkEnd w:id="142"/>
      <w:bookmarkEnd w:id="143"/>
      <w:bookmarkEnd w:id="144"/>
      <w:bookmarkEnd w:id="145"/>
      <w:bookmarkEnd w:id="146"/>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Regarding the time spent on inspections, the availability of all relevant cargo information before inspections will facilitate the processes and allow more and better targeted (risk-based) controls. This does not only increase the efficiency and effectiveness of enforcement but could also reward businesses with a tracking record of compliance. Interviews with national authorities show that they do not expect the increased information availability to change the number of inspections they are performing, but rather to allow better targeting.</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total level of enforcement costs would be highly dependent on the actual system architecture, which will depend on the choice of a Member State or specific authority. Nevertheless, the experience of EUCARIS</w:t>
      </w:r>
      <w:r>
        <w:rPr>
          <w:rStyle w:val="FootnoteReference"/>
          <w:rFonts w:ascii="Times New Roman" w:eastAsia="Times New Roman" w:hAnsi="Times New Roman" w:cs="Times New Roman"/>
          <w:noProof/>
          <w:sz w:val="24"/>
          <w:szCs w:val="24"/>
        </w:rPr>
        <w:footnoteReference w:id="110"/>
      </w:r>
      <w:r>
        <w:rPr>
          <w:rFonts w:ascii="Times New Roman" w:eastAsia="Times New Roman" w:hAnsi="Times New Roman" w:cs="Times New Roman"/>
          <w:noProof/>
          <w:sz w:val="24"/>
          <w:szCs w:val="24"/>
        </w:rPr>
        <w:t xml:space="preserve">, where the basic subscription is set at EUR 16,000 and additional functionalities add to this cost between EUR 20,000-40,000 yearly, sets the scene to understand the potential order of magnitude of potential additional costs for authorities. In total, the EUCARIS system costs slightly less than EUR 1 million annually and handles 75 million transactions annually. Considering a proportional cost approach, a system that would need to handle more than 1.5 billion documents a year could cost in the range of EUR 20 million annually. If divided proportionally between the authorities of all 28 EU MS this is slightly more than EUR 700,000 per Member State yearly.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0"/>
        </w:rPr>
        <w:t>There is no expectation of a significant impact on the enforcement costs in PO1. For PO2, PO3 and PO4 the enforcement costs, drawing on the experience of EUCARIS, are estimated at EUR 251 million over the full deployment horizon of electronic transport documents (2018-2040), expressed as present value.</w:t>
      </w:r>
    </w:p>
    <w:p>
      <w:pPr>
        <w:spacing w:after="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Table 6.11: Enforcement costs over the full deployment horizon of electronic transport documents (2018-2040), expressed as present value</w:t>
      </w:r>
    </w:p>
    <w:tbl>
      <w:tblPr>
        <w:tblW w:w="5000" w:type="pct"/>
        <w:tblLook w:val="04A0" w:firstRow="1" w:lastRow="0" w:firstColumn="1" w:lastColumn="0" w:noHBand="0" w:noVBand="1"/>
      </w:tblPr>
      <w:tblGrid>
        <w:gridCol w:w="4395"/>
        <w:gridCol w:w="1631"/>
        <w:gridCol w:w="1631"/>
        <w:gridCol w:w="1631"/>
      </w:tblGrid>
      <w:tr>
        <w:trPr>
          <w:trHeight w:val="499"/>
        </w:trPr>
        <w:tc>
          <w:tcPr>
            <w:tcW w:w="2366" w:type="pct"/>
            <w:tcBorders>
              <w:top w:val="single" w:sz="4" w:space="0" w:color="auto"/>
              <w:left w:val="single" w:sz="4" w:space="0" w:color="auto"/>
              <w:bottom w:val="single" w:sz="4" w:space="0" w:color="auto"/>
              <w:right w:val="single" w:sz="4" w:space="0" w:color="auto"/>
            </w:tcBorders>
            <w:shd w:val="clear" w:color="000000" w:fill="006DB6"/>
            <w:vAlign w:val="center"/>
            <w:hideMark/>
          </w:tcPr>
          <w:p>
            <w:pPr>
              <w:spacing w:after="0" w:line="240" w:lineRule="auto"/>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Enforcement costs for authorities (in EUR million for EU28)</w:t>
            </w:r>
          </w:p>
        </w:tc>
        <w:tc>
          <w:tcPr>
            <w:tcW w:w="878" w:type="pct"/>
            <w:tcBorders>
              <w:top w:val="single" w:sz="4" w:space="0" w:color="auto"/>
              <w:left w:val="nil"/>
              <w:bottom w:val="single" w:sz="4" w:space="0" w:color="auto"/>
              <w:right w:val="single" w:sz="4" w:space="0" w:color="auto"/>
            </w:tcBorders>
            <w:shd w:val="clear" w:color="000000" w:fill="006DB6"/>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PO1</w:t>
            </w:r>
          </w:p>
        </w:tc>
        <w:tc>
          <w:tcPr>
            <w:tcW w:w="878" w:type="pct"/>
            <w:tcBorders>
              <w:top w:val="single" w:sz="4" w:space="0" w:color="auto"/>
              <w:left w:val="nil"/>
              <w:bottom w:val="single" w:sz="4" w:space="0" w:color="auto"/>
              <w:right w:val="single" w:sz="4" w:space="0" w:color="auto"/>
            </w:tcBorders>
            <w:shd w:val="clear" w:color="000000" w:fill="006DB6"/>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PO2</w:t>
            </w:r>
          </w:p>
        </w:tc>
        <w:tc>
          <w:tcPr>
            <w:tcW w:w="878" w:type="pct"/>
            <w:tcBorders>
              <w:top w:val="single" w:sz="4" w:space="0" w:color="auto"/>
              <w:left w:val="nil"/>
              <w:bottom w:val="single" w:sz="4" w:space="0" w:color="auto"/>
              <w:right w:val="single" w:sz="4" w:space="0" w:color="auto"/>
            </w:tcBorders>
            <w:shd w:val="clear" w:color="000000" w:fill="006DB6"/>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PO3/PO4</w:t>
            </w:r>
          </w:p>
        </w:tc>
      </w:tr>
      <w:tr>
        <w:trPr>
          <w:trHeight w:val="240"/>
        </w:trPr>
        <w:tc>
          <w:tcPr>
            <w:tcW w:w="2366"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Enforcement costs</w:t>
            </w:r>
          </w:p>
        </w:tc>
        <w:tc>
          <w:tcPr>
            <w:tcW w:w="87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w:t>
            </w:r>
          </w:p>
        </w:tc>
        <w:tc>
          <w:tcPr>
            <w:tcW w:w="87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251</w:t>
            </w:r>
          </w:p>
        </w:tc>
        <w:tc>
          <w:tcPr>
            <w:tcW w:w="878"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251</w:t>
            </w:r>
          </w:p>
        </w:tc>
      </w:tr>
    </w:tbl>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i/>
          <w:noProof/>
          <w:sz w:val="18"/>
          <w:szCs w:val="18"/>
        </w:rPr>
        <w:t>Source: Ecorys et al. (2018) Impact Assessment support study</w:t>
      </w:r>
    </w:p>
    <w:p>
      <w:pPr>
        <w:keepNext/>
        <w:numPr>
          <w:ilvl w:val="2"/>
          <w:numId w:val="0"/>
        </w:numPr>
        <w:spacing w:after="240" w:line="240" w:lineRule="auto"/>
        <w:ind w:left="720" w:hanging="720"/>
        <w:jc w:val="both"/>
        <w:outlineLvl w:val="2"/>
        <w:rPr>
          <w:rFonts w:ascii="Times New Roman" w:eastAsia="Times New Roman" w:hAnsi="Times New Roman" w:cs="Times New Roman"/>
          <w:b/>
          <w:bCs/>
          <w:i/>
          <w:iCs/>
          <w:noProof/>
          <w:sz w:val="24"/>
          <w:szCs w:val="20"/>
        </w:rPr>
      </w:pPr>
      <w:bookmarkStart w:id="147" w:name="_Toc512589628"/>
      <w:bookmarkStart w:id="148" w:name="_Toc512854933"/>
      <w:r>
        <w:rPr>
          <w:rFonts w:ascii="Times New Roman" w:eastAsia="Times New Roman" w:hAnsi="Times New Roman" w:cs="Times New Roman"/>
          <w:b/>
          <w:bCs/>
          <w:i/>
          <w:iCs/>
          <w:noProof/>
          <w:sz w:val="24"/>
          <w:szCs w:val="20"/>
        </w:rPr>
        <w:t>Transport costs for transport operators</w:t>
      </w:r>
      <w:bookmarkEnd w:id="147"/>
      <w:bookmarkEnd w:id="148"/>
      <w:r>
        <w:rPr>
          <w:rFonts w:ascii="Times New Roman" w:eastAsia="Times New Roman" w:hAnsi="Times New Roman" w:cs="Times New Roman"/>
          <w:b/>
          <w:bCs/>
          <w:i/>
          <w:iCs/>
          <w:noProof/>
          <w:sz w:val="24"/>
          <w:szCs w:val="20"/>
        </w:rPr>
        <w:t xml:space="preserve"> </w:t>
      </w:r>
    </w:p>
    <w:p>
      <w:pPr>
        <w:keepNext/>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increased uptake of electronic transmission of the information currently contained in paper transport documents is expected to lead to significant operational cost savings for transport operators. In PO1 these are estimated at almost EUR 1 billion over the full deployment horizon of electronic transport documents (2018-2040), expressed as present value. They are higher in PO2 (EUR 8.4 billion) and significantly higher in PO3/PO4 (EUR 11.9 billion), due to the higher uptake of electronic documents in all modes. They steam from a reduction in operation costs due to elements such as fewer errors and corrections, faster invoicing and a range of other elements (e.g. higher efficiency in the transport operations management), as highlighted by the majority of the industry representatives consulted</w:t>
      </w:r>
      <w:r>
        <w:rPr>
          <w:rStyle w:val="FootnoteReference"/>
          <w:rFonts w:ascii="Times New Roman" w:eastAsia="Times New Roman" w:hAnsi="Times New Roman" w:cs="Times New Roman"/>
          <w:noProof/>
          <w:sz w:val="24"/>
          <w:szCs w:val="20"/>
        </w:rPr>
        <w:footnoteReference w:id="111"/>
      </w:r>
      <w:r>
        <w:rPr>
          <w:rFonts w:ascii="Times New Roman" w:eastAsia="Times New Roman" w:hAnsi="Times New Roman" w:cs="Times New Roman"/>
          <w:noProof/>
          <w:sz w:val="24"/>
          <w:szCs w:val="20"/>
        </w:rPr>
        <w:t>.</w:t>
      </w:r>
    </w:p>
    <w:p>
      <w:pPr>
        <w:keepNext/>
        <w:keepLines/>
        <w:spacing w:after="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Table 6.12: Impacts on transport operators costs relative to the baseline over the full deployment horizon of electronic transport documents (2018-2040)</w:t>
      </w:r>
    </w:p>
    <w:tbl>
      <w:tblPr>
        <w:tblW w:w="5000" w:type="pct"/>
        <w:tblLook w:val="04A0" w:firstRow="1" w:lastRow="0" w:firstColumn="1" w:lastColumn="0" w:noHBand="0" w:noVBand="1"/>
      </w:tblPr>
      <w:tblGrid>
        <w:gridCol w:w="2978"/>
        <w:gridCol w:w="1577"/>
        <w:gridCol w:w="1577"/>
        <w:gridCol w:w="1577"/>
        <w:gridCol w:w="1579"/>
      </w:tblGrid>
      <w:tr>
        <w:trPr>
          <w:trHeight w:val="240"/>
        </w:trPr>
        <w:tc>
          <w:tcPr>
            <w:tcW w:w="1603" w:type="pct"/>
            <w:tcBorders>
              <w:top w:val="single" w:sz="4" w:space="0" w:color="auto"/>
              <w:left w:val="single" w:sz="4" w:space="0" w:color="auto"/>
              <w:bottom w:val="single" w:sz="4" w:space="0" w:color="auto"/>
              <w:right w:val="nil"/>
            </w:tcBorders>
            <w:shd w:val="clear" w:color="000000" w:fill="0070C0"/>
            <w:vAlign w:val="center"/>
            <w:hideMark/>
          </w:tcPr>
          <w:p>
            <w:pPr>
              <w:keepNext/>
              <w:keepLines/>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 </w:t>
            </w:r>
          </w:p>
        </w:tc>
        <w:tc>
          <w:tcPr>
            <w:tcW w:w="849" w:type="pct"/>
            <w:tcBorders>
              <w:top w:val="single" w:sz="4" w:space="0" w:color="auto"/>
              <w:left w:val="single" w:sz="4" w:space="0" w:color="auto"/>
              <w:bottom w:val="single" w:sz="4" w:space="0" w:color="auto"/>
              <w:right w:val="single" w:sz="4" w:space="0" w:color="auto"/>
            </w:tcBorders>
            <w:shd w:val="clear" w:color="000000" w:fill="0070C0"/>
            <w:vAlign w:val="center"/>
            <w:hideMark/>
          </w:tcPr>
          <w:p>
            <w:pPr>
              <w:keepNext/>
              <w:keepLines/>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Baseline</w:t>
            </w:r>
          </w:p>
        </w:tc>
        <w:tc>
          <w:tcPr>
            <w:tcW w:w="849" w:type="pct"/>
            <w:tcBorders>
              <w:top w:val="single" w:sz="4" w:space="0" w:color="auto"/>
              <w:left w:val="nil"/>
              <w:bottom w:val="single" w:sz="4" w:space="0" w:color="auto"/>
              <w:right w:val="nil"/>
            </w:tcBorders>
            <w:shd w:val="clear" w:color="000000" w:fill="0070C0"/>
            <w:noWrap/>
            <w:vAlign w:val="center"/>
            <w:hideMark/>
          </w:tcPr>
          <w:p>
            <w:pPr>
              <w:keepNext/>
              <w:keepLines/>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PO1</w:t>
            </w:r>
          </w:p>
        </w:tc>
        <w:tc>
          <w:tcPr>
            <w:tcW w:w="849" w:type="pct"/>
            <w:tcBorders>
              <w:top w:val="single" w:sz="4" w:space="0" w:color="auto"/>
              <w:left w:val="single" w:sz="4" w:space="0" w:color="auto"/>
              <w:bottom w:val="single" w:sz="4" w:space="0" w:color="auto"/>
              <w:right w:val="single" w:sz="4" w:space="0" w:color="auto"/>
            </w:tcBorders>
            <w:shd w:val="clear" w:color="000000" w:fill="0070C0"/>
            <w:noWrap/>
            <w:vAlign w:val="center"/>
            <w:hideMark/>
          </w:tcPr>
          <w:p>
            <w:pPr>
              <w:keepNext/>
              <w:keepLines/>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PO2</w:t>
            </w:r>
          </w:p>
        </w:tc>
        <w:tc>
          <w:tcPr>
            <w:tcW w:w="850" w:type="pct"/>
            <w:tcBorders>
              <w:top w:val="single" w:sz="4" w:space="0" w:color="auto"/>
              <w:left w:val="nil"/>
              <w:bottom w:val="single" w:sz="4" w:space="0" w:color="auto"/>
              <w:right w:val="single" w:sz="4" w:space="0" w:color="auto"/>
            </w:tcBorders>
            <w:shd w:val="clear" w:color="000000" w:fill="0070C0"/>
            <w:noWrap/>
            <w:vAlign w:val="center"/>
            <w:hideMark/>
          </w:tcPr>
          <w:p>
            <w:pPr>
              <w:keepNext/>
              <w:keepLines/>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PO3/PO4</w:t>
            </w:r>
          </w:p>
        </w:tc>
      </w:tr>
      <w:tr>
        <w:trPr>
          <w:trHeight w:val="240"/>
        </w:trPr>
        <w:tc>
          <w:tcPr>
            <w:tcW w:w="5000" w:type="pct"/>
            <w:gridSpan w:val="5"/>
            <w:tcBorders>
              <w:top w:val="single" w:sz="4" w:space="0" w:color="auto"/>
              <w:left w:val="single" w:sz="4" w:space="0" w:color="auto"/>
              <w:bottom w:val="single" w:sz="4" w:space="0" w:color="auto"/>
              <w:right w:val="nil"/>
            </w:tcBorders>
            <w:shd w:val="clear" w:color="000000" w:fill="0070C0"/>
            <w:vAlign w:val="center"/>
            <w:hideMark/>
          </w:tcPr>
          <w:p>
            <w:pPr>
              <w:keepNext/>
              <w:keepLines/>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Total transport operators costs (present value in EUR million)</w:t>
            </w:r>
          </w:p>
        </w:tc>
      </w:tr>
      <w:tr>
        <w:trPr>
          <w:trHeight w:val="240"/>
        </w:trPr>
        <w:tc>
          <w:tcPr>
            <w:tcW w:w="1603" w:type="pct"/>
            <w:vMerge w:val="restart"/>
            <w:tcBorders>
              <w:top w:val="nil"/>
              <w:left w:val="single" w:sz="4" w:space="0" w:color="auto"/>
              <w:bottom w:val="single" w:sz="4" w:space="0" w:color="auto"/>
              <w:right w:val="single" w:sz="4" w:space="0" w:color="auto"/>
            </w:tcBorders>
            <w:shd w:val="clear" w:color="auto" w:fill="auto"/>
            <w:vAlign w:val="center"/>
            <w:hideMark/>
          </w:tcPr>
          <w:p>
            <w:pPr>
              <w:keepNext/>
              <w:keepLines/>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Freight transport</w:t>
            </w:r>
          </w:p>
        </w:tc>
        <w:tc>
          <w:tcPr>
            <w:tcW w:w="849" w:type="pct"/>
            <w:vMerge w:val="restart"/>
            <w:tcBorders>
              <w:top w:val="nil"/>
              <w:left w:val="single" w:sz="4" w:space="0" w:color="auto"/>
              <w:bottom w:val="single" w:sz="4" w:space="0" w:color="000000"/>
              <w:right w:val="single" w:sz="4" w:space="0" w:color="auto"/>
            </w:tcBorders>
            <w:shd w:val="clear" w:color="auto" w:fill="auto"/>
            <w:vAlign w:val="center"/>
            <w:hideMark/>
          </w:tcPr>
          <w:p>
            <w:pPr>
              <w:keepNext/>
              <w:keepLines/>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8,307,648</w:t>
            </w:r>
          </w:p>
        </w:tc>
        <w:tc>
          <w:tcPr>
            <w:tcW w:w="849" w:type="pct"/>
            <w:tcBorders>
              <w:top w:val="nil"/>
              <w:left w:val="nil"/>
              <w:bottom w:val="single" w:sz="4" w:space="0" w:color="auto"/>
              <w:right w:val="single" w:sz="4" w:space="0" w:color="auto"/>
            </w:tcBorders>
            <w:shd w:val="clear" w:color="auto" w:fill="auto"/>
            <w:noWrap/>
            <w:vAlign w:val="center"/>
            <w:hideMark/>
          </w:tcPr>
          <w:p>
            <w:pPr>
              <w:keepNext/>
              <w:keepLines/>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-953</w:t>
            </w:r>
          </w:p>
        </w:tc>
        <w:tc>
          <w:tcPr>
            <w:tcW w:w="849" w:type="pct"/>
            <w:tcBorders>
              <w:top w:val="nil"/>
              <w:left w:val="nil"/>
              <w:bottom w:val="single" w:sz="4" w:space="0" w:color="auto"/>
              <w:right w:val="single" w:sz="4" w:space="0" w:color="auto"/>
            </w:tcBorders>
            <w:shd w:val="clear" w:color="auto" w:fill="auto"/>
            <w:noWrap/>
            <w:vAlign w:val="center"/>
            <w:hideMark/>
          </w:tcPr>
          <w:p>
            <w:pPr>
              <w:keepNext/>
              <w:keepLines/>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-8,411</w:t>
            </w:r>
          </w:p>
        </w:tc>
        <w:tc>
          <w:tcPr>
            <w:tcW w:w="850" w:type="pct"/>
            <w:tcBorders>
              <w:top w:val="nil"/>
              <w:left w:val="nil"/>
              <w:bottom w:val="single" w:sz="4" w:space="0" w:color="auto"/>
              <w:right w:val="single" w:sz="4" w:space="0" w:color="auto"/>
            </w:tcBorders>
            <w:shd w:val="clear" w:color="auto" w:fill="auto"/>
            <w:noWrap/>
            <w:vAlign w:val="center"/>
            <w:hideMark/>
          </w:tcPr>
          <w:p>
            <w:pPr>
              <w:keepNext/>
              <w:keepLines/>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-11,945</w:t>
            </w:r>
          </w:p>
        </w:tc>
      </w:tr>
      <w:tr>
        <w:trPr>
          <w:trHeight w:val="240"/>
        </w:trPr>
        <w:tc>
          <w:tcPr>
            <w:tcW w:w="1603" w:type="pct"/>
            <w:vMerge/>
            <w:tcBorders>
              <w:top w:val="nil"/>
              <w:left w:val="single" w:sz="4" w:space="0" w:color="auto"/>
              <w:bottom w:val="single" w:sz="4" w:space="0" w:color="auto"/>
              <w:right w:val="single" w:sz="4" w:space="0" w:color="auto"/>
            </w:tcBorders>
            <w:vAlign w:val="center"/>
            <w:hideMark/>
          </w:tcPr>
          <w:p>
            <w:pPr>
              <w:keepLines/>
              <w:spacing w:after="0" w:line="240" w:lineRule="auto"/>
              <w:rPr>
                <w:rFonts w:ascii="Times New Roman" w:eastAsia="Times New Roman" w:hAnsi="Times New Roman" w:cs="Times New Roman"/>
                <w:noProof/>
                <w:color w:val="000000"/>
                <w:sz w:val="18"/>
                <w:szCs w:val="18"/>
                <w:lang w:eastAsia="en-GB"/>
              </w:rPr>
            </w:pPr>
          </w:p>
        </w:tc>
        <w:tc>
          <w:tcPr>
            <w:tcW w:w="849" w:type="pct"/>
            <w:vMerge/>
            <w:tcBorders>
              <w:top w:val="nil"/>
              <w:left w:val="single" w:sz="4" w:space="0" w:color="auto"/>
              <w:bottom w:val="single" w:sz="4" w:space="0" w:color="000000"/>
              <w:right w:val="single" w:sz="4" w:space="0" w:color="auto"/>
            </w:tcBorders>
            <w:vAlign w:val="center"/>
            <w:hideMark/>
          </w:tcPr>
          <w:p>
            <w:pPr>
              <w:keepLines/>
              <w:spacing w:after="0" w:line="240" w:lineRule="auto"/>
              <w:rPr>
                <w:rFonts w:ascii="Times New Roman" w:eastAsia="Times New Roman" w:hAnsi="Times New Roman" w:cs="Times New Roman"/>
                <w:noProof/>
                <w:color w:val="000000"/>
                <w:sz w:val="18"/>
                <w:szCs w:val="18"/>
                <w:lang w:eastAsia="en-GB"/>
              </w:rPr>
            </w:pPr>
          </w:p>
        </w:tc>
        <w:tc>
          <w:tcPr>
            <w:tcW w:w="849" w:type="pct"/>
            <w:tcBorders>
              <w:top w:val="nil"/>
              <w:left w:val="nil"/>
              <w:bottom w:val="single" w:sz="4" w:space="0" w:color="auto"/>
              <w:right w:val="single" w:sz="4" w:space="0" w:color="auto"/>
            </w:tcBorders>
            <w:shd w:val="clear" w:color="auto" w:fill="auto"/>
            <w:noWrap/>
            <w:vAlign w:val="center"/>
            <w:hideMark/>
          </w:tcPr>
          <w:p>
            <w:pPr>
              <w:keepLines/>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849" w:type="pct"/>
            <w:tcBorders>
              <w:top w:val="nil"/>
              <w:left w:val="nil"/>
              <w:bottom w:val="single" w:sz="4" w:space="0" w:color="auto"/>
              <w:right w:val="single" w:sz="4" w:space="0" w:color="auto"/>
            </w:tcBorders>
            <w:shd w:val="clear" w:color="auto" w:fill="auto"/>
            <w:noWrap/>
            <w:vAlign w:val="center"/>
            <w:hideMark/>
          </w:tcPr>
          <w:p>
            <w:pPr>
              <w:keepLines/>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850" w:type="pct"/>
            <w:tcBorders>
              <w:top w:val="nil"/>
              <w:left w:val="nil"/>
              <w:bottom w:val="single" w:sz="4" w:space="0" w:color="auto"/>
              <w:right w:val="single" w:sz="4" w:space="0" w:color="auto"/>
            </w:tcBorders>
            <w:shd w:val="clear" w:color="auto" w:fill="auto"/>
            <w:noWrap/>
            <w:vAlign w:val="center"/>
            <w:hideMark/>
          </w:tcPr>
          <w:p>
            <w:pPr>
              <w:keepLines/>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r>
    </w:tbl>
    <w:p>
      <w:pPr>
        <w:keepLines/>
        <w:spacing w:after="240" w:line="240" w:lineRule="auto"/>
        <w:jc w:val="both"/>
        <w:rPr>
          <w:rFonts w:ascii="Times New Roman" w:eastAsia="Times New Roman" w:hAnsi="Times New Roman" w:cs="Times New Roman"/>
          <w:i/>
          <w:noProof/>
          <w:sz w:val="18"/>
          <w:szCs w:val="18"/>
        </w:rPr>
      </w:pPr>
      <w:r>
        <w:rPr>
          <w:rFonts w:ascii="Times New Roman" w:eastAsia="Times New Roman" w:hAnsi="Times New Roman" w:cs="Times New Roman"/>
          <w:i/>
          <w:noProof/>
          <w:sz w:val="18"/>
          <w:szCs w:val="18"/>
        </w:rPr>
        <w:t>Source: PRIMES-TREMOVE Transport Model (ICCS-E3MLab)</w:t>
      </w:r>
    </w:p>
    <w:p>
      <w:pPr>
        <w:keepNext/>
        <w:numPr>
          <w:ilvl w:val="2"/>
          <w:numId w:val="0"/>
        </w:numPr>
        <w:spacing w:after="120" w:line="240" w:lineRule="auto"/>
        <w:ind w:left="720" w:hanging="720"/>
        <w:jc w:val="both"/>
        <w:outlineLvl w:val="2"/>
        <w:rPr>
          <w:rFonts w:ascii="Times New Roman" w:eastAsia="Times New Roman" w:hAnsi="Times New Roman" w:cs="Times New Roman"/>
          <w:b/>
          <w:bCs/>
          <w:i/>
          <w:iCs/>
          <w:noProof/>
          <w:sz w:val="24"/>
          <w:szCs w:val="20"/>
        </w:rPr>
      </w:pPr>
      <w:bookmarkStart w:id="149" w:name="_Toc506397602"/>
      <w:bookmarkStart w:id="150" w:name="_Toc506397710"/>
      <w:bookmarkStart w:id="151" w:name="_Toc506398533"/>
      <w:bookmarkStart w:id="152" w:name="_Toc506408297"/>
      <w:bookmarkStart w:id="153" w:name="_Toc512589629"/>
      <w:bookmarkStart w:id="154" w:name="_Toc512854934"/>
      <w:r>
        <w:rPr>
          <w:rFonts w:ascii="Times New Roman" w:eastAsia="Times New Roman" w:hAnsi="Times New Roman" w:cs="Times New Roman"/>
          <w:b/>
          <w:bCs/>
          <w:i/>
          <w:iCs/>
          <w:noProof/>
          <w:sz w:val="24"/>
          <w:szCs w:val="20"/>
        </w:rPr>
        <w:t>Internal market impacts</w:t>
      </w:r>
      <w:bookmarkEnd w:id="149"/>
      <w:bookmarkEnd w:id="150"/>
      <w:bookmarkEnd w:id="151"/>
      <w:bookmarkEnd w:id="152"/>
      <w:bookmarkEnd w:id="153"/>
      <w:bookmarkEnd w:id="154"/>
      <w:r>
        <w:rPr>
          <w:rFonts w:ascii="Times New Roman" w:eastAsia="Times New Roman" w:hAnsi="Times New Roman" w:cs="Times New Roman"/>
          <w:b/>
          <w:bCs/>
          <w:i/>
          <w:iCs/>
          <w:noProof/>
          <w:sz w:val="24"/>
          <w:szCs w:val="20"/>
        </w:rPr>
        <w:t xml:space="preserve"> </w:t>
      </w:r>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wide use of electronic-only transport information and documentation exchange, and the obligation for the relevant authorities to accept them, are expected to make shipment of freight across the borders and modes much easier and cheaper. In some cases, this may translate into faster delivery times and lower prices for consumers. These effects will occur in all policy options. </w:t>
      </w:r>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However, replacing paper documents with electronic exchange without ensuring interoperability across the modes (i.e. in PO1 and PO2) is unlikely to bring significant benefits for the IT providers. Providing a clear blueprint (in PO3 and PO4) for the development of the IT solutions is expected to increase the number of IT providers. Over time, this is expected to increase the competition and lead to a decrease of IT system costs for the transport operators, and possibly to the authorities.  </w:t>
      </w:r>
    </w:p>
    <w:p>
      <w:pPr>
        <w:keepNext/>
        <w:numPr>
          <w:ilvl w:val="2"/>
          <w:numId w:val="0"/>
        </w:numPr>
        <w:spacing w:after="120" w:line="240" w:lineRule="auto"/>
        <w:ind w:left="720" w:hanging="720"/>
        <w:jc w:val="both"/>
        <w:outlineLvl w:val="2"/>
        <w:rPr>
          <w:rFonts w:ascii="Times New Roman" w:eastAsia="Times New Roman" w:hAnsi="Times New Roman" w:cs="Times New Roman"/>
          <w:b/>
          <w:bCs/>
          <w:i/>
          <w:iCs/>
          <w:noProof/>
          <w:sz w:val="24"/>
          <w:szCs w:val="20"/>
        </w:rPr>
      </w:pPr>
      <w:bookmarkStart w:id="155" w:name="_Toc512589630"/>
      <w:bookmarkStart w:id="156" w:name="_Toc512854935"/>
      <w:r>
        <w:rPr>
          <w:rFonts w:ascii="Times New Roman" w:eastAsia="Times New Roman" w:hAnsi="Times New Roman" w:cs="Times New Roman"/>
          <w:b/>
          <w:bCs/>
          <w:i/>
          <w:iCs/>
          <w:noProof/>
          <w:sz w:val="24"/>
          <w:szCs w:val="20"/>
        </w:rPr>
        <w:t>Innovation impacts</w:t>
      </w:r>
      <w:bookmarkEnd w:id="155"/>
      <w:bookmarkEnd w:id="156"/>
    </w:p>
    <w:p>
      <w:pPr>
        <w:pStyle w:val="Text2"/>
        <w:spacing w:after="120"/>
        <w:ind w:left="0"/>
        <w:rPr>
          <w:noProof/>
        </w:rPr>
      </w:pPr>
      <w:r>
        <w:rPr>
          <w:noProof/>
        </w:rPr>
        <w:t xml:space="preserve">Electronic information exchanges offer a large potential to improve the efficiency and reliability of both B2A and B2B communication processes, but also requires close attention to concerns and risks related to the security and confidentiality of the data registration and communication systems. Cybersecurity and privacy technologies should become complementary enablers of the EU digital economy, ensuring a trusted IT network environment for governments, businesses and individuals. The EU ambition is to become a world leader in a secure digital economy. The prevention of and protection against cyberattacks, as well as ensuring continued operation, remain difficult tasks. This concern applies to all considered options. Ensuring cybersecurity and privacy of commercially sensitive data is one of the main underlying principles for the establishment of requirements under PO2, PO3 and PO4. </w:t>
      </w:r>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Measures under all options leave room for adjustment and, in PO3 and PO4, also foresee mechanisms for adaptation to the continued evolution of innovative solutions in the implementation of the technical requirements. The guiding principle for the design of the policy options has been technology neutrality, i.e. to avoid lock-in to one particular technology solution or technique that may change in the future. </w:t>
      </w:r>
    </w:p>
    <w:p>
      <w:pPr>
        <w:keepNext/>
        <w:spacing w:before="240" w:after="240" w:line="240" w:lineRule="auto"/>
        <w:ind w:left="578"/>
        <w:jc w:val="both"/>
        <w:outlineLvl w:val="1"/>
        <w:rPr>
          <w:rFonts w:ascii="Times New Roman" w:eastAsia="Times New Roman" w:hAnsi="Times New Roman" w:cs="Times New Roman"/>
          <w:b/>
          <w:noProof/>
          <w:sz w:val="24"/>
          <w:szCs w:val="20"/>
        </w:rPr>
      </w:pPr>
      <w:bookmarkStart w:id="157" w:name="_Toc506397603"/>
      <w:bookmarkStart w:id="158" w:name="_Toc512854936"/>
      <w:r>
        <w:rPr>
          <w:rFonts w:ascii="Times New Roman" w:eastAsia="Times New Roman" w:hAnsi="Times New Roman" w:cs="Times New Roman"/>
          <w:b/>
          <w:noProof/>
          <w:sz w:val="24"/>
          <w:szCs w:val="20"/>
        </w:rPr>
        <w:t>6.2 Social impacts – impacts on employment</w:t>
      </w:r>
      <w:bookmarkEnd w:id="157"/>
      <w:bookmarkEnd w:id="158"/>
      <w:r>
        <w:rPr>
          <w:rFonts w:ascii="Times New Roman" w:eastAsia="Times New Roman" w:hAnsi="Times New Roman" w:cs="Times New Roman"/>
          <w:b/>
          <w:noProof/>
          <w:sz w:val="24"/>
          <w:szCs w:val="20"/>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main expected social impacts are linked to changes in the employment structure and possible impacts on the level of employment. Full implementation of the electronic documentation is expected to make redundant over time a large number of jobs that today are linked to processing of paper documents. However, according to stakeholders' feedback,</w:t>
      </w:r>
      <w:r>
        <w:rPr>
          <w:rStyle w:val="FootnoteReference"/>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these employees will be more efficiently redeployed in higher-value tasks. Nevertheless, the exact mechanism for this remains unclear and it will largely differ depending on the organisational structure and internal processes of each company.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Should the expected operational cost savings (mostly estimated as time savings) materialise, a combination of less overtime work and reduction of workload is expected. The magnitude of the changes in employment could be roughly assessed based on the expected costs savings considered above.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negative impact is expected to be offset to a large extent by the overall sector growth that is expected under all policy options for all transport modes. Greater demand for IT solutions and systems is likely to bring more opportunities for the IT providers, leading to an increase in high-skilled employment. The employment in public administrations is unlikely to change significantly since, as highlighted earlier, authorities do not expect to significantly reduce the absolute number of inspections, but rather improve their effectiveness. The overall employment effect is therefore expected not to be different from the baseline, under any option.</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One can note the reduction in workload expected will lead to improvements in working conditions via the reduction of workload equal to around 75-102 million hours yearly (equivalent to around 36-49 thousand full time equivalents per year) on average in PO3 and PO4 over the full deployment horizon of electronic transport documents (2018-2040) across the whole sector. The impact would be lower in PO2, estimated at 49-68 million hours saved per year (equivalent to around 24-33 thousand full time equivalents per year) and PO1 (6-9 million hours saved per year; equivalent to around 3-4 thousand full time equivalents per year). Also, it is expected that there will be the possibility to focus on more creative and added-value tasks and reduce the overtime work.</w:t>
      </w:r>
    </w:p>
    <w:p>
      <w:pPr>
        <w:keepNext/>
        <w:keepLines/>
        <w:spacing w:after="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Table 6.13: Average million hours saved relative to the baseline over the full deployment horizon of electronic transport documents (2018-2040)</w:t>
      </w:r>
    </w:p>
    <w:tbl>
      <w:tblPr>
        <w:tblW w:w="5000" w:type="pct"/>
        <w:tblLook w:val="04A0" w:firstRow="1" w:lastRow="0" w:firstColumn="1" w:lastColumn="0" w:noHBand="0" w:noVBand="1"/>
      </w:tblPr>
      <w:tblGrid>
        <w:gridCol w:w="1486"/>
        <w:gridCol w:w="1115"/>
        <w:gridCol w:w="854"/>
        <w:gridCol w:w="1375"/>
        <w:gridCol w:w="947"/>
        <w:gridCol w:w="1282"/>
        <w:gridCol w:w="1053"/>
        <w:gridCol w:w="1176"/>
      </w:tblGrid>
      <w:tr>
        <w:trPr>
          <w:trHeight w:val="300"/>
        </w:trPr>
        <w:tc>
          <w:tcPr>
            <w:tcW w:w="800" w:type="pct"/>
            <w:vMerge w:val="restart"/>
            <w:tcBorders>
              <w:top w:val="single" w:sz="4" w:space="0" w:color="auto"/>
              <w:left w:val="single" w:sz="4" w:space="0" w:color="auto"/>
              <w:bottom w:val="single" w:sz="4" w:space="0" w:color="000000"/>
              <w:right w:val="nil"/>
            </w:tcBorders>
            <w:shd w:val="clear" w:color="000000" w:fill="0070C0"/>
            <w:vAlign w:val="center"/>
            <w:hideMark/>
          </w:tcPr>
          <w:p>
            <w:pPr>
              <w:spacing w:after="0" w:line="240" w:lineRule="auto"/>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 xml:space="preserve">in million hours </w:t>
            </w:r>
          </w:p>
        </w:tc>
        <w:tc>
          <w:tcPr>
            <w:tcW w:w="600" w:type="pct"/>
            <w:vMerge w:val="restart"/>
            <w:tcBorders>
              <w:top w:val="single" w:sz="4" w:space="0" w:color="auto"/>
              <w:left w:val="single" w:sz="4" w:space="0" w:color="auto"/>
              <w:bottom w:val="nil"/>
              <w:right w:val="single" w:sz="4" w:space="0" w:color="auto"/>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Baseline</w:t>
            </w:r>
          </w:p>
        </w:tc>
        <w:tc>
          <w:tcPr>
            <w:tcW w:w="1200" w:type="pct"/>
            <w:gridSpan w:val="2"/>
            <w:tcBorders>
              <w:top w:val="single" w:sz="4" w:space="0" w:color="auto"/>
              <w:left w:val="nil"/>
              <w:bottom w:val="single" w:sz="4" w:space="0" w:color="auto"/>
              <w:right w:val="nil"/>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PO1</w:t>
            </w:r>
          </w:p>
        </w:tc>
        <w:tc>
          <w:tcPr>
            <w:tcW w:w="1200" w:type="pct"/>
            <w:gridSpan w:val="2"/>
            <w:tcBorders>
              <w:top w:val="single" w:sz="4" w:space="0" w:color="auto"/>
              <w:left w:val="single" w:sz="4" w:space="0" w:color="auto"/>
              <w:bottom w:val="single" w:sz="4" w:space="0" w:color="auto"/>
              <w:right w:val="single" w:sz="4" w:space="0" w:color="000000"/>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PO2</w:t>
            </w:r>
          </w:p>
        </w:tc>
        <w:tc>
          <w:tcPr>
            <w:tcW w:w="1200" w:type="pct"/>
            <w:gridSpan w:val="2"/>
            <w:tcBorders>
              <w:top w:val="single" w:sz="4" w:space="0" w:color="auto"/>
              <w:left w:val="nil"/>
              <w:bottom w:val="single" w:sz="4" w:space="0" w:color="auto"/>
              <w:right w:val="single" w:sz="4" w:space="0" w:color="000000"/>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PO3/PO4</w:t>
            </w:r>
          </w:p>
        </w:tc>
      </w:tr>
      <w:tr>
        <w:trPr>
          <w:trHeight w:val="300"/>
        </w:trPr>
        <w:tc>
          <w:tcPr>
            <w:tcW w:w="800" w:type="pct"/>
            <w:vMerge/>
            <w:tcBorders>
              <w:top w:val="single" w:sz="4" w:space="0" w:color="auto"/>
              <w:left w:val="single" w:sz="4" w:space="0" w:color="auto"/>
              <w:bottom w:val="single" w:sz="4" w:space="0" w:color="000000"/>
              <w:right w:val="nil"/>
            </w:tcBorders>
            <w:vAlign w:val="center"/>
            <w:hideMark/>
          </w:tcPr>
          <w:p>
            <w:pPr>
              <w:spacing w:after="0" w:line="240" w:lineRule="auto"/>
              <w:rPr>
                <w:rFonts w:ascii="Times New Roman" w:eastAsia="Times New Roman" w:hAnsi="Times New Roman" w:cs="Times New Roman"/>
                <w:b/>
                <w:bCs/>
                <w:noProof/>
                <w:color w:val="FFFFFF"/>
                <w:sz w:val="18"/>
                <w:szCs w:val="18"/>
                <w:lang w:eastAsia="en-GB"/>
              </w:rPr>
            </w:pPr>
          </w:p>
        </w:tc>
        <w:tc>
          <w:tcPr>
            <w:tcW w:w="600" w:type="pct"/>
            <w:vMerge/>
            <w:tcBorders>
              <w:top w:val="single" w:sz="4" w:space="0" w:color="auto"/>
              <w:left w:val="single" w:sz="4" w:space="0" w:color="auto"/>
              <w:bottom w:val="nil"/>
              <w:right w:val="single" w:sz="4" w:space="0" w:color="auto"/>
            </w:tcBorders>
            <w:vAlign w:val="center"/>
            <w:hideMark/>
          </w:tcPr>
          <w:p>
            <w:pPr>
              <w:spacing w:after="0" w:line="240" w:lineRule="auto"/>
              <w:rPr>
                <w:rFonts w:ascii="Times New Roman" w:eastAsia="Times New Roman" w:hAnsi="Times New Roman" w:cs="Times New Roman"/>
                <w:b/>
                <w:bCs/>
                <w:noProof/>
                <w:color w:val="FFFFFF"/>
                <w:sz w:val="18"/>
                <w:szCs w:val="18"/>
                <w:lang w:eastAsia="en-GB"/>
              </w:rPr>
            </w:pPr>
          </w:p>
        </w:tc>
        <w:tc>
          <w:tcPr>
            <w:tcW w:w="3600" w:type="pct"/>
            <w:gridSpan w:val="6"/>
            <w:tcBorders>
              <w:top w:val="single" w:sz="4" w:space="0" w:color="auto"/>
              <w:left w:val="nil"/>
              <w:bottom w:val="nil"/>
              <w:right w:val="single" w:sz="4" w:space="0" w:color="000000"/>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difference to the Baseline in million hours and % difference to the Baseline</w:t>
            </w:r>
          </w:p>
        </w:tc>
      </w:tr>
      <w:tr>
        <w:trPr>
          <w:trHeight w:val="240"/>
        </w:trPr>
        <w:tc>
          <w:tcPr>
            <w:tcW w:w="800" w:type="pct"/>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Total</w:t>
            </w:r>
          </w:p>
        </w:tc>
        <w:tc>
          <w:tcPr>
            <w:tcW w:w="600" w:type="pct"/>
            <w:tcBorders>
              <w:top w:val="single" w:sz="4" w:space="0" w:color="auto"/>
              <w:left w:val="single" w:sz="4" w:space="0" w:color="auto"/>
              <w:bottom w:val="nil"/>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467-470</w:t>
            </w:r>
          </w:p>
        </w:tc>
        <w:tc>
          <w:tcPr>
            <w:tcW w:w="460" w:type="pct"/>
            <w:tcBorders>
              <w:top w:val="single" w:sz="4" w:space="0" w:color="auto"/>
              <w:left w:val="single" w:sz="4"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6-9</w:t>
            </w:r>
          </w:p>
        </w:tc>
        <w:tc>
          <w:tcPr>
            <w:tcW w:w="740" w:type="pct"/>
            <w:tcBorders>
              <w:top w:val="single" w:sz="4" w:space="0" w:color="auto"/>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1-2%</w:t>
            </w:r>
          </w:p>
        </w:tc>
        <w:tc>
          <w:tcPr>
            <w:tcW w:w="510" w:type="pct"/>
            <w:tcBorders>
              <w:top w:val="single" w:sz="4" w:space="0" w:color="auto"/>
              <w:left w:val="single" w:sz="4"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49-68</w:t>
            </w:r>
          </w:p>
        </w:tc>
        <w:tc>
          <w:tcPr>
            <w:tcW w:w="690" w:type="pct"/>
            <w:tcBorders>
              <w:top w:val="single" w:sz="4" w:space="0" w:color="auto"/>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10-15%</w:t>
            </w:r>
          </w:p>
        </w:tc>
        <w:tc>
          <w:tcPr>
            <w:tcW w:w="567" w:type="pct"/>
            <w:tcBorders>
              <w:top w:val="single" w:sz="4" w:space="0" w:color="auto"/>
              <w:left w:val="single" w:sz="4"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75-102</w:t>
            </w:r>
          </w:p>
        </w:tc>
        <w:tc>
          <w:tcPr>
            <w:tcW w:w="633" w:type="pct"/>
            <w:tcBorders>
              <w:top w:val="single" w:sz="4" w:space="0" w:color="auto"/>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16-22%</w:t>
            </w:r>
          </w:p>
        </w:tc>
      </w:tr>
      <w:tr>
        <w:trPr>
          <w:trHeight w:val="240"/>
        </w:trPr>
        <w:tc>
          <w:tcPr>
            <w:tcW w:w="800" w:type="pct"/>
            <w:tcBorders>
              <w:top w:val="nil"/>
              <w:left w:val="single" w:sz="4" w:space="0" w:color="auto"/>
              <w:bottom w:val="nil"/>
              <w:right w:val="nil"/>
            </w:tcBorders>
            <w:shd w:val="clear" w:color="000000" w:fill="FFFFFF"/>
            <w:noWrap/>
            <w:vAlign w:val="bottom"/>
            <w:hideMark/>
          </w:tcPr>
          <w:p>
            <w:pPr>
              <w:spacing w:after="0" w:line="240" w:lineRule="auto"/>
              <w:ind w:firstLineChars="100" w:firstLine="18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Intra-MS</w:t>
            </w:r>
          </w:p>
        </w:tc>
        <w:tc>
          <w:tcPr>
            <w:tcW w:w="600" w:type="pct"/>
            <w:tcBorders>
              <w:top w:val="nil"/>
              <w:left w:val="single" w:sz="4" w:space="0" w:color="auto"/>
              <w:bottom w:val="nil"/>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373-375</w:t>
            </w:r>
          </w:p>
        </w:tc>
        <w:tc>
          <w:tcPr>
            <w:tcW w:w="460" w:type="pct"/>
            <w:tcBorders>
              <w:top w:val="nil"/>
              <w:left w:val="single" w:sz="4"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4-5</w:t>
            </w:r>
          </w:p>
        </w:tc>
        <w:tc>
          <w:tcPr>
            <w:tcW w:w="74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w:t>
            </w:r>
          </w:p>
        </w:tc>
        <w:tc>
          <w:tcPr>
            <w:tcW w:w="510" w:type="pct"/>
            <w:tcBorders>
              <w:top w:val="nil"/>
              <w:left w:val="single" w:sz="4"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32-43</w:t>
            </w:r>
          </w:p>
        </w:tc>
        <w:tc>
          <w:tcPr>
            <w:tcW w:w="69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9-11%</w:t>
            </w:r>
          </w:p>
        </w:tc>
        <w:tc>
          <w:tcPr>
            <w:tcW w:w="567" w:type="pct"/>
            <w:tcBorders>
              <w:top w:val="nil"/>
              <w:left w:val="single" w:sz="4"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50-65</w:t>
            </w:r>
          </w:p>
        </w:tc>
        <w:tc>
          <w:tcPr>
            <w:tcW w:w="633"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13-17%</w:t>
            </w:r>
          </w:p>
        </w:tc>
      </w:tr>
      <w:tr>
        <w:trPr>
          <w:trHeight w:val="240"/>
        </w:trPr>
        <w:tc>
          <w:tcPr>
            <w:tcW w:w="800" w:type="pct"/>
            <w:tcBorders>
              <w:top w:val="nil"/>
              <w:left w:val="single" w:sz="4" w:space="0" w:color="auto"/>
              <w:bottom w:val="single" w:sz="4" w:space="0" w:color="auto"/>
              <w:right w:val="nil"/>
            </w:tcBorders>
            <w:shd w:val="clear" w:color="000000" w:fill="FFFFFF"/>
            <w:noWrap/>
            <w:vAlign w:val="bottom"/>
            <w:hideMark/>
          </w:tcPr>
          <w:p>
            <w:pPr>
              <w:spacing w:after="0" w:line="240" w:lineRule="auto"/>
              <w:ind w:firstLineChars="100" w:firstLine="18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Cross border</w:t>
            </w:r>
          </w:p>
        </w:tc>
        <w:tc>
          <w:tcPr>
            <w:tcW w:w="600" w:type="pct"/>
            <w:tcBorders>
              <w:top w:val="nil"/>
              <w:left w:val="single" w:sz="4" w:space="0" w:color="auto"/>
              <w:bottom w:val="single" w:sz="4" w:space="0" w:color="auto"/>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94-95</w:t>
            </w:r>
          </w:p>
        </w:tc>
        <w:tc>
          <w:tcPr>
            <w:tcW w:w="460" w:type="pct"/>
            <w:tcBorders>
              <w:top w:val="nil"/>
              <w:left w:val="single" w:sz="4" w:space="0" w:color="auto"/>
              <w:bottom w:val="single" w:sz="4" w:space="0" w:color="auto"/>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2-3</w:t>
            </w:r>
          </w:p>
        </w:tc>
        <w:tc>
          <w:tcPr>
            <w:tcW w:w="740" w:type="pct"/>
            <w:tcBorders>
              <w:top w:val="nil"/>
              <w:left w:val="nil"/>
              <w:bottom w:val="single" w:sz="4" w:space="0" w:color="auto"/>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2-4%</w:t>
            </w:r>
          </w:p>
        </w:tc>
        <w:tc>
          <w:tcPr>
            <w:tcW w:w="510" w:type="pct"/>
            <w:tcBorders>
              <w:top w:val="nil"/>
              <w:left w:val="single" w:sz="4" w:space="0" w:color="auto"/>
              <w:bottom w:val="single" w:sz="4" w:space="0" w:color="auto"/>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17-25</w:t>
            </w:r>
          </w:p>
        </w:tc>
        <w:tc>
          <w:tcPr>
            <w:tcW w:w="690" w:type="pct"/>
            <w:tcBorders>
              <w:top w:val="nil"/>
              <w:left w:val="nil"/>
              <w:bottom w:val="single" w:sz="4" w:space="0" w:color="auto"/>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18-27%</w:t>
            </w:r>
          </w:p>
        </w:tc>
        <w:tc>
          <w:tcPr>
            <w:tcW w:w="567" w:type="pct"/>
            <w:tcBorders>
              <w:top w:val="nil"/>
              <w:left w:val="single" w:sz="4" w:space="0" w:color="auto"/>
              <w:bottom w:val="single" w:sz="4" w:space="0" w:color="auto"/>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25-37</w:t>
            </w:r>
          </w:p>
        </w:tc>
        <w:tc>
          <w:tcPr>
            <w:tcW w:w="63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26-39%</w:t>
            </w:r>
          </w:p>
        </w:tc>
      </w:tr>
    </w:tbl>
    <w:p>
      <w:pPr>
        <w:spacing w:after="120" w:line="240" w:lineRule="auto"/>
        <w:jc w:val="both"/>
        <w:rPr>
          <w:rFonts w:ascii="Times New Roman" w:eastAsia="Times New Roman" w:hAnsi="Times New Roman" w:cs="Times New Roman"/>
          <w:i/>
          <w:noProof/>
          <w:sz w:val="18"/>
          <w:szCs w:val="18"/>
        </w:rPr>
      </w:pPr>
      <w:r>
        <w:rPr>
          <w:rFonts w:ascii="Times New Roman" w:eastAsia="Times New Roman" w:hAnsi="Times New Roman" w:cs="Times New Roman"/>
          <w:i/>
          <w:noProof/>
          <w:sz w:val="18"/>
          <w:szCs w:val="18"/>
        </w:rPr>
        <w:t>Source: Ecorys et al. (2018) Impact Assessment support study</w:t>
      </w:r>
    </w:p>
    <w:p>
      <w:pPr>
        <w:keepNext/>
        <w:spacing w:before="240" w:after="240" w:line="240" w:lineRule="auto"/>
        <w:ind w:left="578"/>
        <w:jc w:val="both"/>
        <w:outlineLvl w:val="1"/>
        <w:rPr>
          <w:rFonts w:ascii="Times New Roman" w:eastAsia="Times New Roman" w:hAnsi="Times New Roman" w:cs="Times New Roman"/>
          <w:b/>
          <w:noProof/>
          <w:sz w:val="24"/>
          <w:szCs w:val="20"/>
        </w:rPr>
      </w:pPr>
      <w:bookmarkStart w:id="159" w:name="_Toc506397604"/>
      <w:bookmarkStart w:id="160" w:name="_Toc512854937"/>
      <w:r>
        <w:rPr>
          <w:rFonts w:ascii="Times New Roman" w:eastAsia="Times New Roman" w:hAnsi="Times New Roman" w:cs="Times New Roman"/>
          <w:b/>
          <w:noProof/>
          <w:sz w:val="24"/>
          <w:szCs w:val="20"/>
        </w:rPr>
        <w:t>6.3 Environmental impacts</w:t>
      </w:r>
      <w:bookmarkEnd w:id="159"/>
      <w:bookmarkEnd w:id="160"/>
    </w:p>
    <w:p>
      <w:pPr>
        <w:keepNext/>
        <w:numPr>
          <w:ilvl w:val="2"/>
          <w:numId w:val="0"/>
        </w:numPr>
        <w:spacing w:after="120" w:line="240" w:lineRule="auto"/>
        <w:ind w:left="720" w:hanging="720"/>
        <w:jc w:val="both"/>
        <w:outlineLvl w:val="2"/>
        <w:rPr>
          <w:rFonts w:ascii="Times New Roman" w:eastAsia="Times New Roman" w:hAnsi="Times New Roman" w:cs="Times New Roman"/>
          <w:b/>
          <w:bCs/>
          <w:i/>
          <w:iCs/>
          <w:noProof/>
          <w:sz w:val="24"/>
          <w:szCs w:val="20"/>
        </w:rPr>
      </w:pPr>
      <w:bookmarkStart w:id="161" w:name="_Toc506397605"/>
      <w:bookmarkStart w:id="162" w:name="_Toc506397713"/>
      <w:bookmarkStart w:id="163" w:name="_Toc506398536"/>
      <w:bookmarkStart w:id="164" w:name="_Toc506408300"/>
      <w:bookmarkStart w:id="165" w:name="_Toc512589633"/>
      <w:bookmarkStart w:id="166" w:name="_Toc512854938"/>
      <w:r>
        <w:rPr>
          <w:rFonts w:ascii="Times New Roman" w:eastAsia="Times New Roman" w:hAnsi="Times New Roman" w:cs="Times New Roman"/>
          <w:b/>
          <w:bCs/>
          <w:i/>
          <w:iCs/>
          <w:noProof/>
          <w:sz w:val="24"/>
          <w:szCs w:val="20"/>
        </w:rPr>
        <w:t>Emissions</w:t>
      </w:r>
      <w:bookmarkEnd w:id="161"/>
      <w:bookmarkEnd w:id="162"/>
      <w:bookmarkEnd w:id="163"/>
      <w:bookmarkEnd w:id="164"/>
      <w:bookmarkEnd w:id="165"/>
      <w:bookmarkEnd w:id="166"/>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w:t>
      </w:r>
      <w:r>
        <w:rPr>
          <w:rFonts w:ascii="Times New Roman" w:eastAsia="Times New Roman" w:hAnsi="Times New Roman" w:cs="Times New Roman"/>
          <w:noProof/>
          <w:sz w:val="24"/>
          <w:szCs w:val="24"/>
          <w:vertAlign w:val="subscript"/>
        </w:rPr>
        <w:t>2</w:t>
      </w:r>
      <w:r>
        <w:rPr>
          <w:rFonts w:ascii="Times New Roman" w:eastAsia="Times New Roman" w:hAnsi="Times New Roman" w:cs="Times New Roman"/>
          <w:noProof/>
          <w:sz w:val="24"/>
          <w:szCs w:val="24"/>
        </w:rPr>
        <w:t xml:space="preserve"> emissions savings related to overall changes in volumes and patterns in traffic, as a result of the uptake of electronic transport information and documentation exchange, would be relatively similar for all options over the full deployment horizon (2018-2040), estimated at around 1,091-1,588 thousand tonnes cumulatively relative to the baseline. The associated external cost savings would amount to EUR 56-89 million over the same time horizon, expressed as present value. The limited positive impacts are explained by the slight increase in the overall traffic relative to the baseline (i.e. rebound effects), despite shifts taking place towards rail and waterborne transport. The rebound effects are driven by the lower costs for transport operators.</w:t>
      </w:r>
    </w:p>
    <w:p>
      <w:pPr>
        <w:keepNext/>
        <w:keepLines/>
        <w:spacing w:after="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Table 6.14: Impacts on CO2 emissions and costs relative to the baseline over the full deployment horizon of electronic transport documents (2018-2040)</w:t>
      </w:r>
    </w:p>
    <w:tbl>
      <w:tblPr>
        <w:tblW w:w="5000" w:type="pct"/>
        <w:tblLook w:val="04A0" w:firstRow="1" w:lastRow="0" w:firstColumn="1" w:lastColumn="0" w:noHBand="0" w:noVBand="1"/>
      </w:tblPr>
      <w:tblGrid>
        <w:gridCol w:w="2978"/>
        <w:gridCol w:w="1577"/>
        <w:gridCol w:w="1577"/>
        <w:gridCol w:w="1577"/>
        <w:gridCol w:w="1579"/>
      </w:tblGrid>
      <w:tr>
        <w:trPr>
          <w:trHeight w:val="240"/>
        </w:trPr>
        <w:tc>
          <w:tcPr>
            <w:tcW w:w="1603" w:type="pct"/>
            <w:tcBorders>
              <w:top w:val="single" w:sz="4" w:space="0" w:color="auto"/>
              <w:left w:val="single" w:sz="4" w:space="0" w:color="auto"/>
              <w:bottom w:val="single" w:sz="4" w:space="0" w:color="auto"/>
              <w:right w:val="nil"/>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 </w:t>
            </w:r>
          </w:p>
        </w:tc>
        <w:tc>
          <w:tcPr>
            <w:tcW w:w="849" w:type="pct"/>
            <w:tcBorders>
              <w:top w:val="single" w:sz="4" w:space="0" w:color="auto"/>
              <w:left w:val="single" w:sz="4" w:space="0" w:color="auto"/>
              <w:bottom w:val="single" w:sz="4" w:space="0" w:color="auto"/>
              <w:right w:val="single" w:sz="4" w:space="0" w:color="auto"/>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Baseline</w:t>
            </w:r>
          </w:p>
        </w:tc>
        <w:tc>
          <w:tcPr>
            <w:tcW w:w="849" w:type="pct"/>
            <w:tcBorders>
              <w:top w:val="single" w:sz="4" w:space="0" w:color="auto"/>
              <w:left w:val="nil"/>
              <w:bottom w:val="single" w:sz="4" w:space="0" w:color="auto"/>
              <w:right w:val="nil"/>
            </w:tcBorders>
            <w:shd w:val="clear" w:color="000000" w:fill="0070C0"/>
            <w:noWrap/>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PO1</w:t>
            </w:r>
          </w:p>
        </w:tc>
        <w:tc>
          <w:tcPr>
            <w:tcW w:w="849" w:type="pct"/>
            <w:tcBorders>
              <w:top w:val="single" w:sz="4" w:space="0" w:color="auto"/>
              <w:left w:val="single" w:sz="4" w:space="0" w:color="auto"/>
              <w:bottom w:val="single" w:sz="4" w:space="0" w:color="auto"/>
              <w:right w:val="single" w:sz="4" w:space="0" w:color="auto"/>
            </w:tcBorders>
            <w:shd w:val="clear" w:color="000000" w:fill="0070C0"/>
            <w:noWrap/>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PO2</w:t>
            </w:r>
          </w:p>
        </w:tc>
        <w:tc>
          <w:tcPr>
            <w:tcW w:w="849" w:type="pct"/>
            <w:tcBorders>
              <w:top w:val="single" w:sz="4" w:space="0" w:color="auto"/>
              <w:left w:val="nil"/>
              <w:bottom w:val="single" w:sz="4" w:space="0" w:color="auto"/>
              <w:right w:val="single" w:sz="4" w:space="0" w:color="auto"/>
            </w:tcBorders>
            <w:shd w:val="clear" w:color="000000" w:fill="0070C0"/>
            <w:noWrap/>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PO3/PO4</w:t>
            </w:r>
          </w:p>
        </w:tc>
      </w:tr>
      <w:tr>
        <w:trPr>
          <w:trHeight w:val="278"/>
        </w:trPr>
        <w:tc>
          <w:tcPr>
            <w:tcW w:w="5000" w:type="pct"/>
            <w:gridSpan w:val="5"/>
            <w:tcBorders>
              <w:top w:val="single" w:sz="4" w:space="0" w:color="auto"/>
              <w:left w:val="single" w:sz="4" w:space="0" w:color="auto"/>
              <w:bottom w:val="single" w:sz="4" w:space="0" w:color="auto"/>
              <w:right w:val="nil"/>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CO</w:t>
            </w:r>
            <w:r>
              <w:rPr>
                <w:rFonts w:ascii="Times New Roman" w:eastAsia="Times New Roman" w:hAnsi="Times New Roman" w:cs="Times New Roman"/>
                <w:b/>
                <w:bCs/>
                <w:noProof/>
                <w:color w:val="FFFFFF"/>
                <w:sz w:val="18"/>
                <w:szCs w:val="18"/>
                <w:vertAlign w:val="subscript"/>
                <w:lang w:eastAsia="en-GB"/>
              </w:rPr>
              <w:t>2</w:t>
            </w:r>
            <w:r>
              <w:rPr>
                <w:rFonts w:ascii="Times New Roman" w:eastAsia="Times New Roman" w:hAnsi="Times New Roman" w:cs="Times New Roman"/>
                <w:b/>
                <w:bCs/>
                <w:noProof/>
                <w:color w:val="FFFFFF"/>
                <w:sz w:val="18"/>
                <w:szCs w:val="18"/>
                <w:lang w:eastAsia="en-GB"/>
              </w:rPr>
              <w:t xml:space="preserve"> emissions (thousand tonnes CO</w:t>
            </w:r>
            <w:r>
              <w:rPr>
                <w:rFonts w:ascii="Times New Roman" w:eastAsia="Times New Roman" w:hAnsi="Times New Roman" w:cs="Times New Roman"/>
                <w:b/>
                <w:bCs/>
                <w:noProof/>
                <w:color w:val="FFFFFF"/>
                <w:sz w:val="18"/>
                <w:szCs w:val="18"/>
                <w:vertAlign w:val="subscript"/>
                <w:lang w:eastAsia="en-GB"/>
              </w:rPr>
              <w:t>2</w:t>
            </w:r>
            <w:r>
              <w:rPr>
                <w:rFonts w:ascii="Times New Roman" w:eastAsia="Times New Roman" w:hAnsi="Times New Roman" w:cs="Times New Roman"/>
                <w:b/>
                <w:bCs/>
                <w:noProof/>
                <w:color w:val="FFFFFF"/>
                <w:sz w:val="18"/>
                <w:szCs w:val="18"/>
                <w:lang w:eastAsia="en-GB"/>
              </w:rPr>
              <w:t>) in the Baseline and difference to the Baseline</w:t>
            </w:r>
          </w:p>
        </w:tc>
      </w:tr>
      <w:tr>
        <w:trPr>
          <w:trHeight w:val="240"/>
        </w:trPr>
        <w:tc>
          <w:tcPr>
            <w:tcW w:w="1603" w:type="pct"/>
            <w:tcBorders>
              <w:top w:val="nil"/>
              <w:left w:val="single" w:sz="4" w:space="0" w:color="auto"/>
              <w:bottom w:val="nil"/>
              <w:right w:val="single" w:sz="4" w:space="0" w:color="auto"/>
            </w:tcBorders>
            <w:shd w:val="clear" w:color="000000" w:fill="FFFFFF"/>
            <w:vAlign w:val="center"/>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Freight transport</w:t>
            </w:r>
          </w:p>
        </w:tc>
        <w:tc>
          <w:tcPr>
            <w:tcW w:w="849" w:type="pct"/>
            <w:tcBorders>
              <w:top w:val="nil"/>
              <w:left w:val="nil"/>
              <w:bottom w:val="nil"/>
              <w:right w:val="single" w:sz="4" w:space="0" w:color="auto"/>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5,447,764</w:t>
            </w:r>
          </w:p>
        </w:tc>
        <w:tc>
          <w:tcPr>
            <w:tcW w:w="849"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-1,091</w:t>
            </w:r>
          </w:p>
        </w:tc>
        <w:tc>
          <w:tcPr>
            <w:tcW w:w="849"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-1,588</w:t>
            </w:r>
          </w:p>
        </w:tc>
        <w:tc>
          <w:tcPr>
            <w:tcW w:w="849"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-1,332</w:t>
            </w:r>
          </w:p>
        </w:tc>
      </w:tr>
      <w:tr>
        <w:trPr>
          <w:trHeight w:val="240"/>
        </w:trPr>
        <w:tc>
          <w:tcPr>
            <w:tcW w:w="5000" w:type="pct"/>
            <w:gridSpan w:val="5"/>
            <w:tcBorders>
              <w:top w:val="nil"/>
              <w:left w:val="single" w:sz="4" w:space="0" w:color="auto"/>
              <w:bottom w:val="single" w:sz="4" w:space="0" w:color="auto"/>
              <w:right w:val="nil"/>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Costs (net present value in EUR million) in the Baseline and difference to the Baseline</w:t>
            </w:r>
          </w:p>
        </w:tc>
      </w:tr>
      <w:tr>
        <w:trPr>
          <w:trHeight w:val="240"/>
        </w:trPr>
        <w:tc>
          <w:tcPr>
            <w:tcW w:w="1603" w:type="pct"/>
            <w:tcBorders>
              <w:top w:val="nil"/>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Freight transport</w:t>
            </w:r>
          </w:p>
        </w:tc>
        <w:tc>
          <w:tcPr>
            <w:tcW w:w="849" w:type="pct"/>
            <w:tcBorders>
              <w:top w:val="nil"/>
              <w:left w:val="nil"/>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384,324</w:t>
            </w:r>
          </w:p>
        </w:tc>
        <w:tc>
          <w:tcPr>
            <w:tcW w:w="849"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-56</w:t>
            </w:r>
          </w:p>
        </w:tc>
        <w:tc>
          <w:tcPr>
            <w:tcW w:w="849"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-88</w:t>
            </w:r>
          </w:p>
        </w:tc>
        <w:tc>
          <w:tcPr>
            <w:tcW w:w="849"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-74</w:t>
            </w:r>
          </w:p>
        </w:tc>
      </w:tr>
    </w:tbl>
    <w:p>
      <w:pPr>
        <w:spacing w:after="120" w:line="240" w:lineRule="auto"/>
        <w:jc w:val="both"/>
        <w:rPr>
          <w:rFonts w:ascii="Times New Roman" w:eastAsia="Times New Roman" w:hAnsi="Times New Roman"/>
          <w:i/>
          <w:noProof/>
          <w:sz w:val="18"/>
          <w:szCs w:val="18"/>
        </w:rPr>
      </w:pPr>
      <w:r>
        <w:rPr>
          <w:rFonts w:ascii="Times New Roman" w:eastAsia="Times New Roman" w:hAnsi="Times New Roman" w:cs="Times New Roman"/>
          <w:i/>
          <w:noProof/>
          <w:sz w:val="18"/>
          <w:szCs w:val="18"/>
        </w:rPr>
        <w:t>Source: PRIMES-TREMOVE Transport Model (ICCS-E3MLab)</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external costs of air pollution are projected to decrease in PO1 and PO2 relative to the baseline (EUR 12-41 million) and slightly increase in PO3 and PO4 (EUR 41 million). The slight increase in PO3/PO4 relative to the baseline is driven by the significant increase in the waterborne transport activity, whereas the emissions factors per tonne-kilometre for air pollutants like NOx and particulate matter for waterborne transport are higher than for road and rail transport</w:t>
      </w:r>
      <w:r>
        <w:rPr>
          <w:rStyle w:val="FootnoteReference"/>
          <w:rFonts w:ascii="Times New Roman" w:eastAsia="Times New Roman" w:hAnsi="Times New Roman" w:cs="Times New Roman"/>
          <w:noProof/>
          <w:sz w:val="24"/>
          <w:szCs w:val="24"/>
        </w:rPr>
        <w:footnoteReference w:id="112"/>
      </w:r>
      <w:r>
        <w:rPr>
          <w:rFonts w:ascii="Times New Roman" w:eastAsia="Times New Roman" w:hAnsi="Times New Roman" w:cs="Times New Roman"/>
          <w:noProof/>
          <w:sz w:val="24"/>
          <w:szCs w:val="24"/>
        </w:rPr>
        <w:t xml:space="preserve">. </w:t>
      </w:r>
    </w:p>
    <w:p>
      <w:pPr>
        <w:keepNext/>
        <w:keepLines/>
        <w:spacing w:after="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Table 6.15: Impacts on external costs of air pollution relative to the baseline over the full deployment horizon of electronic transport documents (2018-2040)</w:t>
      </w:r>
    </w:p>
    <w:tbl>
      <w:tblPr>
        <w:tblW w:w="5000" w:type="pct"/>
        <w:tblLook w:val="04A0" w:firstRow="1" w:lastRow="0" w:firstColumn="1" w:lastColumn="0" w:noHBand="0" w:noVBand="1"/>
      </w:tblPr>
      <w:tblGrid>
        <w:gridCol w:w="2978"/>
        <w:gridCol w:w="1577"/>
        <w:gridCol w:w="1577"/>
        <w:gridCol w:w="1577"/>
        <w:gridCol w:w="1579"/>
      </w:tblGrid>
      <w:tr>
        <w:trPr>
          <w:trHeight w:val="240"/>
        </w:trPr>
        <w:tc>
          <w:tcPr>
            <w:tcW w:w="1603" w:type="pct"/>
            <w:tcBorders>
              <w:top w:val="single" w:sz="4" w:space="0" w:color="auto"/>
              <w:left w:val="single" w:sz="4" w:space="0" w:color="auto"/>
              <w:bottom w:val="single" w:sz="4" w:space="0" w:color="auto"/>
              <w:right w:val="nil"/>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 </w:t>
            </w:r>
          </w:p>
        </w:tc>
        <w:tc>
          <w:tcPr>
            <w:tcW w:w="849" w:type="pct"/>
            <w:tcBorders>
              <w:top w:val="single" w:sz="4" w:space="0" w:color="auto"/>
              <w:left w:val="single" w:sz="4" w:space="0" w:color="auto"/>
              <w:bottom w:val="single" w:sz="4" w:space="0" w:color="auto"/>
              <w:right w:val="single" w:sz="4" w:space="0" w:color="auto"/>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Baseline</w:t>
            </w:r>
          </w:p>
        </w:tc>
        <w:tc>
          <w:tcPr>
            <w:tcW w:w="849" w:type="pct"/>
            <w:tcBorders>
              <w:top w:val="single" w:sz="4" w:space="0" w:color="auto"/>
              <w:left w:val="nil"/>
              <w:bottom w:val="single" w:sz="4" w:space="0" w:color="auto"/>
              <w:right w:val="nil"/>
            </w:tcBorders>
            <w:shd w:val="clear" w:color="000000" w:fill="0070C0"/>
            <w:noWrap/>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PO1</w:t>
            </w:r>
          </w:p>
        </w:tc>
        <w:tc>
          <w:tcPr>
            <w:tcW w:w="849" w:type="pct"/>
            <w:tcBorders>
              <w:top w:val="single" w:sz="4" w:space="0" w:color="auto"/>
              <w:left w:val="single" w:sz="4" w:space="0" w:color="auto"/>
              <w:bottom w:val="single" w:sz="4" w:space="0" w:color="auto"/>
              <w:right w:val="single" w:sz="4" w:space="0" w:color="auto"/>
            </w:tcBorders>
            <w:shd w:val="clear" w:color="000000" w:fill="0070C0"/>
            <w:noWrap/>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PO2</w:t>
            </w:r>
          </w:p>
        </w:tc>
        <w:tc>
          <w:tcPr>
            <w:tcW w:w="849" w:type="pct"/>
            <w:tcBorders>
              <w:top w:val="single" w:sz="4" w:space="0" w:color="auto"/>
              <w:left w:val="nil"/>
              <w:bottom w:val="single" w:sz="4" w:space="0" w:color="auto"/>
              <w:right w:val="single" w:sz="4" w:space="0" w:color="auto"/>
            </w:tcBorders>
            <w:shd w:val="clear" w:color="000000" w:fill="0070C0"/>
            <w:noWrap/>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PO3/PO4</w:t>
            </w:r>
          </w:p>
        </w:tc>
      </w:tr>
      <w:tr>
        <w:trPr>
          <w:trHeight w:val="262"/>
        </w:trPr>
        <w:tc>
          <w:tcPr>
            <w:tcW w:w="5000" w:type="pct"/>
            <w:gridSpan w:val="5"/>
            <w:tcBorders>
              <w:top w:val="single" w:sz="4" w:space="0" w:color="auto"/>
              <w:left w:val="single" w:sz="4" w:space="0" w:color="auto"/>
              <w:bottom w:val="single" w:sz="4" w:space="0" w:color="auto"/>
              <w:right w:val="single" w:sz="4" w:space="0" w:color="000000"/>
            </w:tcBorders>
            <w:shd w:val="clear" w:color="000000" w:fill="0070C0"/>
            <w:vAlign w:val="center"/>
            <w:hideMark/>
          </w:tcPr>
          <w:p>
            <w:pPr>
              <w:spacing w:after="0" w:line="240" w:lineRule="auto"/>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External costs of air pollution (present value in EUR million) in the Baseline and difference to the Baseline</w:t>
            </w:r>
          </w:p>
        </w:tc>
      </w:tr>
      <w:tr>
        <w:trPr>
          <w:trHeight w:val="240"/>
        </w:trPr>
        <w:tc>
          <w:tcPr>
            <w:tcW w:w="1603" w:type="pct"/>
            <w:tcBorders>
              <w:top w:val="nil"/>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Freight transport</w:t>
            </w:r>
          </w:p>
        </w:tc>
        <w:tc>
          <w:tcPr>
            <w:tcW w:w="849" w:type="pct"/>
            <w:tcBorders>
              <w:top w:val="nil"/>
              <w:left w:val="nil"/>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119,592</w:t>
            </w:r>
          </w:p>
        </w:tc>
        <w:tc>
          <w:tcPr>
            <w:tcW w:w="849"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-41</w:t>
            </w:r>
          </w:p>
        </w:tc>
        <w:tc>
          <w:tcPr>
            <w:tcW w:w="849"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-12</w:t>
            </w:r>
          </w:p>
        </w:tc>
        <w:tc>
          <w:tcPr>
            <w:tcW w:w="849"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41</w:t>
            </w:r>
          </w:p>
        </w:tc>
      </w:tr>
    </w:tbl>
    <w:p>
      <w:pPr>
        <w:keepNext/>
        <w:keepLines/>
        <w:spacing w:after="240" w:line="240" w:lineRule="auto"/>
        <w:jc w:val="both"/>
        <w:rPr>
          <w:rFonts w:ascii="Times New Roman" w:eastAsia="Times New Roman" w:hAnsi="Times New Roman" w:cs="Times New Roman"/>
          <w:i/>
          <w:noProof/>
          <w:sz w:val="18"/>
          <w:szCs w:val="18"/>
        </w:rPr>
      </w:pPr>
      <w:r>
        <w:rPr>
          <w:rFonts w:ascii="Times New Roman" w:eastAsia="Times New Roman" w:hAnsi="Times New Roman" w:cs="Times New Roman"/>
          <w:i/>
          <w:noProof/>
          <w:sz w:val="18"/>
          <w:szCs w:val="18"/>
        </w:rPr>
        <w:t>Source: PRIMES-TREMOVE Transport Model (ICCS-E3MLab)</w:t>
      </w:r>
    </w:p>
    <w:p>
      <w:pPr>
        <w:keepNext/>
        <w:numPr>
          <w:ilvl w:val="2"/>
          <w:numId w:val="0"/>
        </w:numPr>
        <w:spacing w:after="240" w:line="240" w:lineRule="auto"/>
        <w:ind w:left="720" w:hanging="720"/>
        <w:jc w:val="both"/>
        <w:outlineLvl w:val="2"/>
        <w:rPr>
          <w:b/>
          <w:bCs/>
          <w:iCs/>
          <w:noProof/>
          <w:szCs w:val="20"/>
        </w:rPr>
      </w:pPr>
      <w:bookmarkStart w:id="167" w:name="_Toc506397606"/>
      <w:bookmarkStart w:id="168" w:name="_Toc506397714"/>
      <w:bookmarkStart w:id="169" w:name="_Toc506398537"/>
      <w:bookmarkStart w:id="170" w:name="_Toc506408301"/>
      <w:bookmarkStart w:id="171" w:name="_Toc512589634"/>
      <w:bookmarkStart w:id="172" w:name="_Toc512854939"/>
      <w:r>
        <w:rPr>
          <w:rFonts w:ascii="Times New Roman" w:eastAsia="Times New Roman" w:hAnsi="Times New Roman" w:cs="Times New Roman"/>
          <w:b/>
          <w:bCs/>
          <w:i/>
          <w:iCs/>
          <w:noProof/>
          <w:sz w:val="24"/>
          <w:szCs w:val="20"/>
        </w:rPr>
        <w:t>Use of natural resources and energy use efficiency</w:t>
      </w:r>
      <w:bookmarkEnd w:id="167"/>
      <w:bookmarkEnd w:id="168"/>
      <w:bookmarkEnd w:id="169"/>
      <w:bookmarkEnd w:id="170"/>
      <w:bookmarkEnd w:id="171"/>
      <w:bookmarkEnd w:id="172"/>
    </w:p>
    <w:p>
      <w:pPr>
        <w:spacing w:after="120" w:line="240" w:lineRule="auto"/>
        <w:jc w:val="both"/>
        <w:rPr>
          <w:rFonts w:ascii="Times New Roman" w:hAnsi="Times New Roman" w:cs="Times New Roman"/>
          <w:noProof/>
          <w:sz w:val="24"/>
          <w:szCs w:val="24"/>
          <w:lang w:eastAsia="nl-NL"/>
        </w:rPr>
      </w:pPr>
      <w:r>
        <w:rPr>
          <w:rFonts w:ascii="Times New Roman" w:hAnsi="Times New Roman" w:cs="Times New Roman"/>
          <w:noProof/>
          <w:sz w:val="24"/>
          <w:szCs w:val="24"/>
          <w:lang w:eastAsia="nl-NL"/>
        </w:rPr>
        <w:t>The single most important efficiency gain in the use of natural resources is expected to derive from the more efficient transport value chain, as a result of digitalisation of transport-related information exchanges. Nevertheless, the extent to which this will happen is very difficult to estimate. The small modal shift identified earlier would only result in a limited reduction in energy consumption (316-425 thousands of tonnes of oil equivalent) relative to the baseline over the full deployment horizon of electronic transport documents (2018-2040) in all policy options</w:t>
      </w:r>
      <w:r>
        <w:rPr>
          <w:rStyle w:val="FootnoteReference"/>
          <w:rFonts w:ascii="Times New Roman" w:hAnsi="Times New Roman" w:cs="Times New Roman"/>
          <w:noProof/>
          <w:sz w:val="24"/>
          <w:szCs w:val="24"/>
          <w:lang w:eastAsia="nl-NL"/>
        </w:rPr>
        <w:footnoteReference w:id="113"/>
      </w:r>
      <w:r>
        <w:rPr>
          <w:rFonts w:ascii="Times New Roman" w:hAnsi="Times New Roman" w:cs="Times New Roman"/>
          <w:noProof/>
          <w:sz w:val="24"/>
          <w:szCs w:val="24"/>
          <w:lang w:eastAsia="nl-NL"/>
        </w:rPr>
        <w:t xml:space="preserve">. </w:t>
      </w:r>
    </w:p>
    <w:p>
      <w:pPr>
        <w:spacing w:after="120" w:line="240" w:lineRule="auto"/>
        <w:jc w:val="both"/>
        <w:rPr>
          <w:noProof/>
        </w:rPr>
      </w:pPr>
      <w:r>
        <w:rPr>
          <w:rFonts w:ascii="Times New Roman" w:hAnsi="Times New Roman" w:cs="Times New Roman"/>
          <w:noProof/>
          <w:sz w:val="24"/>
          <w:szCs w:val="24"/>
          <w:lang w:eastAsia="nl-NL"/>
        </w:rPr>
        <w:t>Another source of savings of natural resources relates to the reduction in the amount of paper used. More than 70% of the stakeholders consulted expect more than 10% reduction of annual paper consumption. The experience of Rheneus Logistcs shows that a single company going digital can save 8-9 trees annually. Assuming that over 1.5 billion transport shipments have the potential to become paperless, with an average of 1-5 copies of each document per shipment not printed anymore - would result in about 2-8 billion sheets of paper saved. This corresponds to 180-900 thousand trees saved annually</w:t>
      </w:r>
      <w:r>
        <w:rPr>
          <w:rStyle w:val="FootnoteReference"/>
          <w:rFonts w:ascii="Times New Roman" w:hAnsi="Times New Roman" w:cs="Times New Roman"/>
          <w:noProof/>
          <w:sz w:val="24"/>
          <w:szCs w:val="24"/>
          <w:lang w:eastAsia="nl-NL"/>
        </w:rPr>
        <w:footnoteReference w:id="114"/>
      </w:r>
      <w:r>
        <w:rPr>
          <w:rFonts w:ascii="Times New Roman" w:hAnsi="Times New Roman" w:cs="Times New Roman"/>
          <w:noProof/>
          <w:sz w:val="24"/>
          <w:szCs w:val="24"/>
          <w:lang w:eastAsia="nl-NL"/>
        </w:rPr>
        <w:t xml:space="preserve">. This assessment concerns only the printing of the main transport document – the contract of carriage – and thus corresponds to PO1 and PO2. Assuming the digitalisation of all other accompanying documents, as enabled by PO3 and PO4, such savings would be even higher. </w:t>
      </w:r>
    </w:p>
    <w:p>
      <w:pPr>
        <w:pStyle w:val="Heading1"/>
        <w:keepLines/>
        <w:rPr>
          <w:noProof/>
        </w:rPr>
      </w:pPr>
      <w:bookmarkStart w:id="173" w:name="_Toc506397017"/>
      <w:bookmarkStart w:id="174" w:name="_Toc506397607"/>
      <w:bookmarkStart w:id="175" w:name="_Toc512854940"/>
      <w:r>
        <w:rPr>
          <w:noProof/>
        </w:rPr>
        <w:t>How do the options compare?</w:t>
      </w:r>
      <w:bookmarkEnd w:id="173"/>
      <w:bookmarkEnd w:id="174"/>
      <w:bookmarkEnd w:id="175"/>
    </w:p>
    <w:p>
      <w:pPr>
        <w:keepNext/>
        <w:keepLines/>
        <w:spacing w:line="240" w:lineRule="auto"/>
        <w:jc w:val="both"/>
        <w:rPr>
          <w:rFonts w:ascii="Times New Roman" w:eastAsia="Times New Roman" w:hAnsi="Times New Roman" w:cs="Times New Roman"/>
          <w:b/>
          <w:noProof/>
          <w:sz w:val="24"/>
          <w:szCs w:val="24"/>
          <w:u w:val="single"/>
          <w:lang w:eastAsia="de-DE"/>
        </w:rPr>
      </w:pPr>
      <w:r>
        <w:rPr>
          <w:rFonts w:ascii="Times New Roman" w:eastAsia="Times New Roman" w:hAnsi="Times New Roman" w:cs="Times New Roman"/>
          <w:b/>
          <w:noProof/>
          <w:sz w:val="24"/>
          <w:szCs w:val="24"/>
          <w:u w:val="single"/>
          <w:lang w:eastAsia="de-DE"/>
        </w:rPr>
        <w:t xml:space="preserve">Effectiveness </w:t>
      </w:r>
    </w:p>
    <w:p>
      <w:pPr>
        <w:keepNext/>
        <w:keepLines/>
        <w:spacing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The effectiveness of the options is examined against the policy objectives identified in section 4.1. The criteria presented below are used to help assess the effectiveness. </w:t>
      </w:r>
    </w:p>
    <w:p>
      <w:pPr>
        <w:keepNext/>
        <w:spacing w:before="120" w:after="12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bCs/>
          <w:noProof/>
          <w:sz w:val="20"/>
          <w:szCs w:val="20"/>
          <w:lang w:eastAsia="de-DE"/>
        </w:rPr>
        <w:t>Table 7.1</w:t>
      </w:r>
      <w:r>
        <w:rPr>
          <w:rFonts w:ascii="Times New Roman" w:eastAsia="Times New Roman" w:hAnsi="Times New Roman" w:cs="Times New Roman"/>
          <w:b/>
          <w:noProof/>
          <w:sz w:val="20"/>
          <w:szCs w:val="20"/>
        </w:rPr>
        <w:t>: Objectives and assessment criteria related to the effectiveness of policy options</w:t>
      </w:r>
    </w:p>
    <w:tbl>
      <w:tblPr>
        <w:tblStyle w:val="DocumentTable1"/>
        <w:tblW w:w="5000" w:type="pct"/>
        <w:tblLook w:val="04A0" w:firstRow="1" w:lastRow="0" w:firstColumn="1" w:lastColumn="0" w:noHBand="0" w:noVBand="1"/>
      </w:tblPr>
      <w:tblGrid>
        <w:gridCol w:w="1809"/>
        <w:gridCol w:w="2835"/>
        <w:gridCol w:w="4644"/>
      </w:tblGrid>
      <w:tr>
        <w:trPr>
          <w:tblHeader/>
        </w:trPr>
        <w:tc>
          <w:tcPr>
            <w:tcW w:w="974" w:type="pct"/>
            <w:tcBorders>
              <w:bottom w:val="single" w:sz="4" w:space="0" w:color="000000"/>
            </w:tcBorders>
            <w:vAlign w:val="center"/>
          </w:tcPr>
          <w:p>
            <w:pPr>
              <w:keepNext/>
              <w:spacing w:before="40" w:after="40"/>
              <w:rPr>
                <w:rFonts w:ascii="Times New Roman" w:hAnsi="Times New Roman" w:cs="Times New Roman"/>
                <w:b/>
                <w:noProof/>
                <w:sz w:val="20"/>
                <w:lang w:eastAsia="de-DE"/>
              </w:rPr>
            </w:pPr>
            <w:r>
              <w:rPr>
                <w:rFonts w:ascii="Times New Roman" w:hAnsi="Times New Roman" w:cs="Times New Roman"/>
                <w:b/>
                <w:noProof/>
                <w:sz w:val="20"/>
                <w:lang w:eastAsia="de-DE"/>
              </w:rPr>
              <w:t>General objectives</w:t>
            </w:r>
          </w:p>
        </w:tc>
        <w:tc>
          <w:tcPr>
            <w:tcW w:w="1526" w:type="pct"/>
            <w:tcBorders>
              <w:bottom w:val="single" w:sz="4" w:space="0" w:color="000000"/>
            </w:tcBorders>
            <w:vAlign w:val="center"/>
          </w:tcPr>
          <w:p>
            <w:pPr>
              <w:keepNext/>
              <w:spacing w:before="40" w:after="40"/>
              <w:rPr>
                <w:rFonts w:ascii="Times New Roman" w:hAnsi="Times New Roman" w:cs="Times New Roman"/>
                <w:b/>
                <w:noProof/>
                <w:sz w:val="20"/>
                <w:lang w:eastAsia="de-DE"/>
              </w:rPr>
            </w:pPr>
            <w:r>
              <w:rPr>
                <w:rFonts w:ascii="Times New Roman" w:hAnsi="Times New Roman" w:cs="Times New Roman"/>
                <w:b/>
                <w:noProof/>
                <w:sz w:val="20"/>
                <w:lang w:eastAsia="de-DE"/>
              </w:rPr>
              <w:t>Specific objectives</w:t>
            </w:r>
          </w:p>
        </w:tc>
        <w:tc>
          <w:tcPr>
            <w:tcW w:w="2500" w:type="pct"/>
            <w:tcBorders>
              <w:bottom w:val="single" w:sz="4" w:space="0" w:color="000000"/>
            </w:tcBorders>
            <w:vAlign w:val="center"/>
          </w:tcPr>
          <w:p>
            <w:pPr>
              <w:keepNext/>
              <w:spacing w:before="40" w:after="40"/>
              <w:rPr>
                <w:rFonts w:ascii="Times New Roman" w:hAnsi="Times New Roman" w:cs="Times New Roman"/>
                <w:b/>
                <w:noProof/>
                <w:sz w:val="20"/>
                <w:lang w:eastAsia="de-DE"/>
              </w:rPr>
            </w:pPr>
            <w:r>
              <w:rPr>
                <w:rFonts w:ascii="Times New Roman" w:hAnsi="Times New Roman" w:cs="Times New Roman"/>
                <w:b/>
                <w:noProof/>
                <w:sz w:val="20"/>
                <w:lang w:eastAsia="de-DE"/>
              </w:rPr>
              <w:t>Assessment criteria</w:t>
            </w:r>
          </w:p>
        </w:tc>
      </w:tr>
      <w:tr>
        <w:tc>
          <w:tcPr>
            <w:tcW w:w="974" w:type="pct"/>
            <w:vMerge w:val="restart"/>
            <w:tcBorders>
              <w:top w:val="single" w:sz="4" w:space="0" w:color="000000"/>
              <w:left w:val="single" w:sz="4" w:space="0" w:color="000000"/>
              <w:bottom w:val="single" w:sz="4" w:space="0" w:color="000000"/>
              <w:right w:val="single" w:sz="4" w:space="0" w:color="000000"/>
            </w:tcBorders>
            <w:vAlign w:val="center"/>
          </w:tcPr>
          <w:p>
            <w:pPr>
              <w:spacing w:before="40" w:after="40"/>
              <w:rPr>
                <w:rFonts w:ascii="Times New Roman" w:hAnsi="Times New Roman" w:cs="Times New Roman"/>
                <w:noProof/>
                <w:sz w:val="20"/>
                <w:lang w:eastAsia="de-DE"/>
              </w:rPr>
            </w:pPr>
            <w:r>
              <w:rPr>
                <w:rFonts w:ascii="Times New Roman" w:hAnsi="Times New Roman" w:cs="Times New Roman"/>
                <w:noProof/>
                <w:sz w:val="20"/>
                <w:szCs w:val="20"/>
              </w:rPr>
              <w:t>Contribute to removing barriers to the smooth functioning of the Internal Market, to the modernisation of the economy and to the greater efficiency of the transport sector, through enabling wider use of digital technologies.</w:t>
            </w:r>
          </w:p>
        </w:tc>
        <w:tc>
          <w:tcPr>
            <w:tcW w:w="1526" w:type="pct"/>
            <w:tcBorders>
              <w:top w:val="single" w:sz="4" w:space="0" w:color="000000"/>
              <w:left w:val="single" w:sz="4" w:space="0" w:color="000000"/>
              <w:bottom w:val="single" w:sz="4" w:space="0" w:color="000000"/>
              <w:right w:val="single" w:sz="4" w:space="0" w:color="000000"/>
            </w:tcBorders>
            <w:vAlign w:val="center"/>
          </w:tcPr>
          <w:p>
            <w:pPr>
              <w:keepNext/>
              <w:spacing w:before="40" w:after="40"/>
              <w:contextualSpacing/>
              <w:rPr>
                <w:rFonts w:ascii="Times New Roman" w:hAnsi="Times New Roman" w:cs="Times New Roman"/>
                <w:noProof/>
                <w:sz w:val="20"/>
                <w:szCs w:val="20"/>
                <w:lang w:eastAsia="de-DE"/>
              </w:rPr>
            </w:pPr>
            <w:r>
              <w:rPr>
                <w:rFonts w:ascii="Times New Roman" w:hAnsi="Times New Roman" w:cs="Times New Roman"/>
                <w:noProof/>
                <w:sz w:val="20"/>
                <w:szCs w:val="20"/>
                <w:lang w:eastAsia="de-DE"/>
              </w:rPr>
              <w:t>Ensure a legal framework uniformly established in all EU Member States, the obligation of acceptance by all relevant public authorities of cargo transport information and documentation made available by electronic means</w:t>
            </w:r>
          </w:p>
        </w:tc>
        <w:tc>
          <w:tcPr>
            <w:tcW w:w="2500" w:type="pct"/>
            <w:tcBorders>
              <w:top w:val="single" w:sz="4" w:space="0" w:color="000000"/>
              <w:left w:val="single" w:sz="4" w:space="0" w:color="000000"/>
              <w:bottom w:val="single" w:sz="4" w:space="0" w:color="000000"/>
              <w:right w:val="single" w:sz="4" w:space="0" w:color="000000"/>
            </w:tcBorders>
            <w:vAlign w:val="center"/>
          </w:tcPr>
          <w:p>
            <w:pPr>
              <w:keepNext/>
              <w:numPr>
                <w:ilvl w:val="0"/>
                <w:numId w:val="7"/>
              </w:numPr>
              <w:spacing w:before="40" w:after="40"/>
              <w:contextualSpacing/>
              <w:jc w:val="both"/>
              <w:rPr>
                <w:rFonts w:ascii="Times New Roman" w:hAnsi="Times New Roman" w:cs="Times New Roman"/>
                <w:noProof/>
                <w:sz w:val="20"/>
                <w:lang w:eastAsia="de-DE"/>
              </w:rPr>
            </w:pPr>
            <w:r>
              <w:rPr>
                <w:rFonts w:ascii="Times New Roman" w:hAnsi="Times New Roman" w:cs="Times New Roman"/>
                <w:noProof/>
                <w:sz w:val="20"/>
                <w:lang w:eastAsia="de-DE"/>
              </w:rPr>
              <w:t xml:space="preserve">Expected improvement in acceptance level by public authorities (including courts) and commercial parties </w:t>
            </w:r>
          </w:p>
          <w:p>
            <w:pPr>
              <w:keepNext/>
              <w:spacing w:before="40" w:after="40"/>
              <w:contextualSpacing/>
              <w:jc w:val="both"/>
              <w:rPr>
                <w:rFonts w:ascii="Times New Roman" w:hAnsi="Times New Roman" w:cs="Times New Roman"/>
                <w:noProof/>
                <w:sz w:val="20"/>
                <w:lang w:eastAsia="de-DE"/>
              </w:rPr>
            </w:pPr>
          </w:p>
        </w:tc>
      </w:tr>
      <w:tr>
        <w:tc>
          <w:tcPr>
            <w:tcW w:w="974" w:type="pct"/>
            <w:vMerge/>
            <w:tcBorders>
              <w:top w:val="single" w:sz="4" w:space="0" w:color="000000"/>
              <w:left w:val="single" w:sz="4" w:space="0" w:color="000000"/>
              <w:bottom w:val="single" w:sz="4" w:space="0" w:color="000000"/>
              <w:right w:val="single" w:sz="4" w:space="0" w:color="000000"/>
            </w:tcBorders>
            <w:vAlign w:val="center"/>
          </w:tcPr>
          <w:p>
            <w:pPr>
              <w:spacing w:before="40" w:after="40"/>
              <w:rPr>
                <w:rFonts w:ascii="Times New Roman" w:hAnsi="Times New Roman" w:cs="Times New Roman"/>
                <w:noProof/>
                <w:sz w:val="20"/>
                <w:lang w:eastAsia="de-DE"/>
              </w:rPr>
            </w:pPr>
          </w:p>
        </w:tc>
        <w:tc>
          <w:tcPr>
            <w:tcW w:w="1526" w:type="pct"/>
            <w:tcBorders>
              <w:top w:val="single" w:sz="4" w:space="0" w:color="000000"/>
              <w:left w:val="single" w:sz="4" w:space="0" w:color="000000"/>
              <w:bottom w:val="single" w:sz="4" w:space="0" w:color="000000"/>
              <w:right w:val="single" w:sz="4" w:space="0" w:color="000000"/>
            </w:tcBorders>
            <w:vAlign w:val="center"/>
          </w:tcPr>
          <w:p>
            <w:pPr>
              <w:keepNext/>
              <w:spacing w:before="40" w:after="40"/>
              <w:contextualSpacing/>
              <w:rPr>
                <w:rFonts w:ascii="Times New Roman" w:hAnsi="Times New Roman" w:cs="Times New Roman"/>
                <w:noProof/>
                <w:sz w:val="20"/>
                <w:szCs w:val="20"/>
                <w:lang w:eastAsia="de-DE"/>
              </w:rPr>
            </w:pPr>
            <w:r>
              <w:rPr>
                <w:rFonts w:ascii="Times New Roman" w:hAnsi="Times New Roman" w:cs="Times New Roman"/>
                <w:noProof/>
                <w:sz w:val="20"/>
                <w:szCs w:val="20"/>
                <w:lang w:eastAsia="de-DE"/>
              </w:rPr>
              <w:t>Ensure uniform implementation by authorities of the obligation of acceptance</w:t>
            </w:r>
          </w:p>
        </w:tc>
        <w:tc>
          <w:tcPr>
            <w:tcW w:w="2500" w:type="pct"/>
            <w:tcBorders>
              <w:top w:val="single" w:sz="4" w:space="0" w:color="000000"/>
              <w:left w:val="single" w:sz="4" w:space="0" w:color="000000"/>
              <w:bottom w:val="single" w:sz="4" w:space="0" w:color="000000"/>
              <w:right w:val="single" w:sz="4" w:space="0" w:color="000000"/>
            </w:tcBorders>
            <w:vAlign w:val="center"/>
          </w:tcPr>
          <w:p>
            <w:pPr>
              <w:numPr>
                <w:ilvl w:val="0"/>
                <w:numId w:val="7"/>
              </w:numPr>
              <w:spacing w:before="40" w:after="40"/>
              <w:jc w:val="both"/>
              <w:rPr>
                <w:rFonts w:ascii="Times New Roman" w:hAnsi="Times New Roman" w:cs="Times New Roman"/>
                <w:noProof/>
                <w:sz w:val="20"/>
                <w:lang w:eastAsia="de-DE"/>
              </w:rPr>
            </w:pPr>
            <w:r>
              <w:rPr>
                <w:rFonts w:ascii="Times New Roman" w:hAnsi="Times New Roman" w:cs="Times New Roman"/>
                <w:noProof/>
                <w:sz w:val="20"/>
                <w:lang w:eastAsia="de-DE"/>
              </w:rPr>
              <w:t xml:space="preserve">Changes to administrative costs for businesses </w:t>
            </w:r>
          </w:p>
        </w:tc>
      </w:tr>
      <w:tr>
        <w:trPr>
          <w:trHeight w:val="786"/>
        </w:trPr>
        <w:tc>
          <w:tcPr>
            <w:tcW w:w="974" w:type="pct"/>
            <w:vMerge/>
            <w:tcBorders>
              <w:top w:val="single" w:sz="4" w:space="0" w:color="000000"/>
              <w:left w:val="single" w:sz="4" w:space="0" w:color="000000"/>
              <w:bottom w:val="single" w:sz="4" w:space="0" w:color="000000"/>
              <w:right w:val="single" w:sz="4" w:space="0" w:color="000000"/>
            </w:tcBorders>
            <w:vAlign w:val="center"/>
          </w:tcPr>
          <w:p>
            <w:pPr>
              <w:spacing w:before="40" w:after="40"/>
              <w:rPr>
                <w:rFonts w:ascii="Times New Roman" w:hAnsi="Times New Roman" w:cs="Times New Roman"/>
                <w:noProof/>
                <w:sz w:val="20"/>
                <w:lang w:eastAsia="de-DE"/>
              </w:rPr>
            </w:pPr>
          </w:p>
        </w:tc>
        <w:tc>
          <w:tcPr>
            <w:tcW w:w="1526" w:type="pct"/>
            <w:tcBorders>
              <w:top w:val="single" w:sz="4" w:space="0" w:color="000000"/>
              <w:left w:val="single" w:sz="4" w:space="0" w:color="000000"/>
              <w:bottom w:val="single" w:sz="4" w:space="0" w:color="000000"/>
              <w:right w:val="single" w:sz="4" w:space="0" w:color="000000"/>
            </w:tcBorders>
            <w:vAlign w:val="center"/>
          </w:tcPr>
          <w:p>
            <w:pPr>
              <w:spacing w:before="40" w:after="40"/>
              <w:rPr>
                <w:rFonts w:ascii="Times New Roman" w:hAnsi="Times New Roman" w:cs="Times New Roman"/>
                <w:noProof/>
                <w:sz w:val="20"/>
                <w:lang w:eastAsia="de-DE"/>
              </w:rPr>
            </w:pPr>
            <w:r>
              <w:rPr>
                <w:rFonts w:ascii="Times New Roman" w:hAnsi="Times New Roman" w:cs="Times New Roman"/>
                <w:noProof/>
                <w:sz w:val="20"/>
                <w:lang w:eastAsia="de-DE"/>
              </w:rPr>
              <w:t xml:space="preserve">Ensure the interoperability of the IT systems and solutions used for the </w:t>
            </w:r>
            <w:r>
              <w:rPr>
                <w:rFonts w:ascii="Times New Roman" w:hAnsi="Times New Roman" w:cs="Times New Roman"/>
                <w:noProof/>
                <w:sz w:val="20"/>
                <w:szCs w:val="20"/>
                <w:lang w:eastAsia="de-DE"/>
              </w:rPr>
              <w:t xml:space="preserve">electronic exchange of cargo transport information, and for B2A regulatory information and documentation in particular </w:t>
            </w:r>
          </w:p>
        </w:tc>
        <w:tc>
          <w:tcPr>
            <w:tcW w:w="2500" w:type="pct"/>
            <w:tcBorders>
              <w:top w:val="single" w:sz="4" w:space="0" w:color="000000"/>
              <w:left w:val="single" w:sz="4" w:space="0" w:color="000000"/>
              <w:bottom w:val="single" w:sz="4" w:space="0" w:color="000000"/>
              <w:right w:val="single" w:sz="4" w:space="0" w:color="000000"/>
            </w:tcBorders>
            <w:vAlign w:val="center"/>
          </w:tcPr>
          <w:p>
            <w:pPr>
              <w:numPr>
                <w:ilvl w:val="0"/>
                <w:numId w:val="7"/>
              </w:numPr>
              <w:spacing w:before="40" w:after="40"/>
              <w:jc w:val="both"/>
              <w:rPr>
                <w:rFonts w:ascii="Times New Roman" w:hAnsi="Times New Roman" w:cs="Times New Roman"/>
                <w:noProof/>
                <w:sz w:val="20"/>
                <w:lang w:eastAsia="de-DE"/>
              </w:rPr>
            </w:pPr>
            <w:r>
              <w:rPr>
                <w:rFonts w:ascii="Times New Roman" w:hAnsi="Times New Roman" w:cs="Times New Roman"/>
                <w:noProof/>
                <w:sz w:val="20"/>
                <w:lang w:eastAsia="de-DE"/>
              </w:rPr>
              <w:t xml:space="preserve">Changes to compliance costs for businesses </w:t>
            </w:r>
          </w:p>
          <w:p>
            <w:pPr>
              <w:numPr>
                <w:ilvl w:val="0"/>
                <w:numId w:val="7"/>
              </w:numPr>
              <w:spacing w:before="40" w:after="40"/>
              <w:jc w:val="both"/>
              <w:rPr>
                <w:rFonts w:ascii="Times New Roman" w:hAnsi="Times New Roman" w:cs="Times New Roman"/>
                <w:noProof/>
                <w:sz w:val="20"/>
                <w:lang w:eastAsia="de-DE"/>
              </w:rPr>
            </w:pPr>
            <w:r>
              <w:rPr>
                <w:rFonts w:ascii="Times New Roman" w:hAnsi="Times New Roman" w:cs="Times New Roman"/>
                <w:noProof/>
                <w:sz w:val="20"/>
                <w:lang w:eastAsia="de-DE"/>
              </w:rPr>
              <w:t xml:space="preserve">Changes in costs for authorities for implementation and enforcement </w:t>
            </w:r>
          </w:p>
          <w:p>
            <w:pPr>
              <w:numPr>
                <w:ilvl w:val="0"/>
                <w:numId w:val="7"/>
              </w:numPr>
              <w:spacing w:before="40" w:after="40"/>
              <w:jc w:val="both"/>
              <w:rPr>
                <w:rFonts w:ascii="Times New Roman" w:hAnsi="Times New Roman" w:cs="Times New Roman"/>
                <w:noProof/>
                <w:sz w:val="20"/>
                <w:lang w:eastAsia="de-DE"/>
              </w:rPr>
            </w:pPr>
            <w:r>
              <w:rPr>
                <w:rFonts w:ascii="Times New Roman" w:hAnsi="Times New Roman" w:cs="Times New Roman"/>
                <w:noProof/>
                <w:sz w:val="20"/>
                <w:lang w:eastAsia="de-DE"/>
              </w:rPr>
              <w:t>Expected improvement in the uptake level of electronic transport information and exchange solutions</w:t>
            </w:r>
          </w:p>
        </w:tc>
      </w:tr>
    </w:tbl>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4"/>
          <w:lang w:eastAsia="de-DE"/>
        </w:rPr>
        <w:t xml:space="preserve">All policy options are also assessed against the criterion of balance between social protection of workers and freedom to provide cross-border services, due to the cross-cutting goal of the legal framework. The results of the analysis of impacts are summarised in </w:t>
      </w:r>
      <w:r>
        <w:rPr>
          <w:rFonts w:ascii="Times New Roman" w:eastAsia="Times New Roman" w:hAnsi="Times New Roman" w:cs="Times New Roman"/>
          <w:noProof/>
          <w:sz w:val="24"/>
          <w:szCs w:val="24"/>
        </w:rPr>
        <w:t>Table 7.2.</w:t>
      </w:r>
      <w:r>
        <w:rPr>
          <w:rFonts w:ascii="Times New Roman" w:eastAsia="Times New Roman" w:hAnsi="Times New Roman" w:cs="Times New Roman"/>
          <w:noProof/>
          <w:sz w:val="24"/>
          <w:szCs w:val="20"/>
        </w:rPr>
        <w:t xml:space="preserve"> </w:t>
      </w:r>
    </w:p>
    <w:p>
      <w:pPr>
        <w:keepNext/>
        <w:spacing w:before="120" w:after="120" w:line="240" w:lineRule="auto"/>
        <w:jc w:val="both"/>
        <w:rPr>
          <w:rFonts w:ascii="Times New Roman" w:eastAsia="Times New Roman" w:hAnsi="Times New Roman" w:cs="Times New Roman"/>
          <w:b/>
          <w:noProof/>
          <w:sz w:val="20"/>
          <w:szCs w:val="20"/>
        </w:rPr>
      </w:pPr>
      <w:bookmarkStart w:id="176" w:name="_Ref475721352"/>
      <w:r>
        <w:rPr>
          <w:rFonts w:ascii="Times New Roman" w:eastAsia="Times New Roman" w:hAnsi="Times New Roman" w:cs="Times New Roman"/>
          <w:b/>
          <w:bCs/>
          <w:noProof/>
          <w:sz w:val="20"/>
          <w:szCs w:val="20"/>
          <w:lang w:eastAsia="de-DE"/>
        </w:rPr>
        <w:t xml:space="preserve">Table </w:t>
      </w:r>
      <w:bookmarkEnd w:id="176"/>
      <w:r>
        <w:rPr>
          <w:rFonts w:ascii="Times New Roman" w:eastAsia="Times New Roman" w:hAnsi="Times New Roman" w:cs="Times New Roman"/>
          <w:b/>
          <w:bCs/>
          <w:noProof/>
          <w:sz w:val="20"/>
          <w:szCs w:val="20"/>
          <w:lang w:eastAsia="de-DE"/>
        </w:rPr>
        <w:t>7.2</w:t>
      </w:r>
      <w:r>
        <w:rPr>
          <w:rFonts w:ascii="Times New Roman" w:eastAsia="Times New Roman" w:hAnsi="Times New Roman" w:cs="Times New Roman"/>
          <w:b/>
          <w:noProof/>
          <w:sz w:val="20"/>
          <w:szCs w:val="20"/>
        </w:rPr>
        <w:t xml:space="preserve">: Comparison of impacts of policy option in terms of objectives (relative to the baseline) </w:t>
      </w:r>
    </w:p>
    <w:p>
      <w:pPr>
        <w:keepNext/>
        <w:spacing w:before="120" w:after="0" w:line="240" w:lineRule="auto"/>
        <w:jc w:val="both"/>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Key: (+) = positive effects</w:t>
      </w:r>
      <w:r>
        <w:rPr>
          <w:rStyle w:val="FootnoteReference"/>
          <w:rFonts w:ascii="Times New Roman" w:hAnsi="Times New Roman" w:cs="Times New Roman"/>
          <w:b/>
          <w:noProof/>
          <w:sz w:val="18"/>
          <w:szCs w:val="18"/>
          <w:lang w:eastAsia="de-DE"/>
        </w:rPr>
        <w:footnoteReference w:id="115"/>
      </w:r>
      <w:r>
        <w:rPr>
          <w:rFonts w:ascii="Times New Roman" w:eastAsia="Times New Roman" w:hAnsi="Times New Roman" w:cs="Times New Roman"/>
          <w:noProof/>
          <w:sz w:val="16"/>
          <w:szCs w:val="16"/>
        </w:rPr>
        <w:t>; (-) = negative effects; 0 = no effects; V = variant</w:t>
      </w:r>
    </w:p>
    <w:p>
      <w:pPr>
        <w:keepNext/>
        <w:spacing w:before="120" w:after="120" w:line="240" w:lineRule="auto"/>
        <w:jc w:val="both"/>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lang w:val="en-US"/>
        </w:rPr>
        <mc:AlternateContent>
          <mc:Choice Requires="wps">
            <w:drawing>
              <wp:anchor distT="0" distB="0" distL="114300" distR="114300" simplePos="0" relativeHeight="251659264" behindDoc="0" locked="0" layoutInCell="1" allowOverlap="1">
                <wp:simplePos x="0" y="0"/>
                <wp:positionH relativeFrom="column">
                  <wp:posOffset>-86995</wp:posOffset>
                </wp:positionH>
                <wp:positionV relativeFrom="paragraph">
                  <wp:posOffset>-1270</wp:posOffset>
                </wp:positionV>
                <wp:extent cx="5032375" cy="2559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2375" cy="255905"/>
                        </a:xfrm>
                        <a:prstGeom prst="rect">
                          <a:avLst/>
                        </a:prstGeom>
                        <a:noFill/>
                        <a:ln w="9525">
                          <a:noFill/>
                          <a:miter lim="800000"/>
                          <a:headEnd/>
                          <a:tailEnd/>
                        </a:ln>
                      </wps:spPr>
                      <wps:txbx>
                        <w:txbx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472"/>
                              <w:gridCol w:w="1629"/>
                              <w:gridCol w:w="1451"/>
                              <w:gridCol w:w="1634"/>
                            </w:tblGrid>
                            <w:tr>
                              <w:trPr>
                                <w:trHeight w:val="274"/>
                                <w:jc w:val="center"/>
                              </w:trPr>
                              <w:tc>
                                <w:tcPr>
                                  <w:tcW w:w="1062" w:type="pct"/>
                                  <w:tcBorders>
                                    <w:top w:val="single" w:sz="4" w:space="0" w:color="auto"/>
                                    <w:left w:val="single" w:sz="4" w:space="0" w:color="auto"/>
                                    <w:bottom w:val="single" w:sz="4" w:space="0" w:color="auto"/>
                                    <w:right w:val="single" w:sz="4" w:space="0" w:color="auto"/>
                                  </w:tcBorders>
                                  <w:shd w:val="clear" w:color="auto" w:fill="FF0000"/>
                                  <w:hideMark/>
                                </w:tcPr>
                                <w:p>
                                  <w:pPr>
                                    <w:keepNext/>
                                    <w:spacing w:before="20" w:after="20" w:line="240" w:lineRule="auto"/>
                                    <w:ind w:left="136" w:hanging="136"/>
                                    <w:jc w:val="center"/>
                                    <w:rPr>
                                      <w:rFonts w:ascii="Times New Roman" w:eastAsia="Times New Roman" w:hAnsi="Times New Roman" w:cs="Times New Roman"/>
                                      <w:sz w:val="18"/>
                                      <w:szCs w:val="18"/>
                                      <w:lang w:eastAsia="de-DE"/>
                                    </w:rPr>
                                  </w:pPr>
                                  <w:r>
                                    <w:rPr>
                                      <w:rFonts w:ascii="Times New Roman" w:eastAsia="Times New Roman" w:hAnsi="Times New Roman" w:cs="Times New Roman"/>
                                      <w:sz w:val="18"/>
                                      <w:szCs w:val="18"/>
                                      <w:lang w:eastAsia="de-DE"/>
                                    </w:rPr>
                                    <w:t>Strongly negative</w:t>
                                  </w:r>
                                </w:p>
                              </w:tc>
                              <w:tc>
                                <w:tcPr>
                                  <w:tcW w:w="937" w:type="pct"/>
                                  <w:tcBorders>
                                    <w:top w:val="single" w:sz="4" w:space="0" w:color="auto"/>
                                    <w:left w:val="single" w:sz="4" w:space="0" w:color="auto"/>
                                    <w:bottom w:val="single" w:sz="4" w:space="0" w:color="auto"/>
                                    <w:right w:val="single" w:sz="4" w:space="0" w:color="auto"/>
                                  </w:tcBorders>
                                  <w:shd w:val="clear" w:color="auto" w:fill="FFC000"/>
                                  <w:hideMark/>
                                </w:tcPr>
                                <w:p>
                                  <w:pPr>
                                    <w:keepNext/>
                                    <w:spacing w:before="20" w:after="20" w:line="240" w:lineRule="auto"/>
                                    <w:jc w:val="center"/>
                                    <w:rPr>
                                      <w:rFonts w:ascii="Times New Roman" w:eastAsia="Times New Roman" w:hAnsi="Times New Roman" w:cs="Times New Roman"/>
                                      <w:sz w:val="18"/>
                                      <w:szCs w:val="18"/>
                                      <w:lang w:eastAsia="de-DE"/>
                                    </w:rPr>
                                  </w:pPr>
                                  <w:r>
                                    <w:rPr>
                                      <w:rFonts w:ascii="Times New Roman" w:eastAsia="Times New Roman" w:hAnsi="Times New Roman" w:cs="Times New Roman"/>
                                      <w:sz w:val="18"/>
                                      <w:szCs w:val="18"/>
                                      <w:lang w:eastAsia="de-DE"/>
                                    </w:rPr>
                                    <w:t>Weakly negative</w:t>
                                  </w:r>
                                </w:p>
                              </w:tc>
                              <w:tc>
                                <w:tcPr>
                                  <w:tcW w:w="1037" w:type="pct"/>
                                  <w:tcBorders>
                                    <w:top w:val="single" w:sz="4" w:space="0" w:color="auto"/>
                                    <w:left w:val="single" w:sz="4" w:space="0" w:color="auto"/>
                                    <w:bottom w:val="single" w:sz="4" w:space="0" w:color="auto"/>
                                    <w:right w:val="single" w:sz="4" w:space="0" w:color="auto"/>
                                  </w:tcBorders>
                                  <w:shd w:val="clear" w:color="auto" w:fill="EEECE1" w:themeFill="background2"/>
                                  <w:hideMark/>
                                </w:tcPr>
                                <w:p>
                                  <w:pPr>
                                    <w:keepNext/>
                                    <w:spacing w:before="20" w:after="20" w:line="240" w:lineRule="auto"/>
                                    <w:jc w:val="center"/>
                                    <w:rPr>
                                      <w:rFonts w:ascii="Times New Roman" w:eastAsia="Times New Roman" w:hAnsi="Times New Roman" w:cs="Times New Roman"/>
                                      <w:sz w:val="18"/>
                                      <w:szCs w:val="18"/>
                                      <w:lang w:eastAsia="de-DE"/>
                                    </w:rPr>
                                  </w:pPr>
                                  <w:r>
                                    <w:rPr>
                                      <w:rFonts w:ascii="Times New Roman" w:eastAsia="Times New Roman" w:hAnsi="Times New Roman" w:cs="Times New Roman"/>
                                      <w:sz w:val="18"/>
                                      <w:szCs w:val="18"/>
                                      <w:lang w:eastAsia="de-DE"/>
                                    </w:rPr>
                                    <w:t>No or limited impact</w:t>
                                  </w:r>
                                </w:p>
                              </w:tc>
                              <w:tc>
                                <w:tcPr>
                                  <w:tcW w:w="924" w:type="pct"/>
                                  <w:tcBorders>
                                    <w:top w:val="single" w:sz="4" w:space="0" w:color="auto"/>
                                    <w:left w:val="single" w:sz="4" w:space="0" w:color="auto"/>
                                    <w:bottom w:val="single" w:sz="4" w:space="0" w:color="auto"/>
                                    <w:right w:val="single" w:sz="4" w:space="0" w:color="auto"/>
                                  </w:tcBorders>
                                  <w:shd w:val="clear" w:color="auto" w:fill="92D050"/>
                                  <w:hideMark/>
                                </w:tcPr>
                                <w:p>
                                  <w:pPr>
                                    <w:keepNext/>
                                    <w:tabs>
                                      <w:tab w:val="left" w:pos="469"/>
                                      <w:tab w:val="center" w:pos="671"/>
                                    </w:tabs>
                                    <w:spacing w:before="20" w:after="20" w:line="240" w:lineRule="auto"/>
                                    <w:jc w:val="center"/>
                                    <w:rPr>
                                      <w:rFonts w:ascii="Times New Roman" w:eastAsia="Times New Roman" w:hAnsi="Times New Roman" w:cs="Times New Roman"/>
                                      <w:sz w:val="18"/>
                                      <w:szCs w:val="18"/>
                                      <w:lang w:eastAsia="de-DE"/>
                                    </w:rPr>
                                  </w:pPr>
                                  <w:r>
                                    <w:rPr>
                                      <w:rFonts w:ascii="Times New Roman" w:eastAsia="Times New Roman" w:hAnsi="Times New Roman" w:cs="Times New Roman"/>
                                      <w:sz w:val="18"/>
                                      <w:szCs w:val="18"/>
                                      <w:lang w:eastAsia="de-DE"/>
                                    </w:rPr>
                                    <w:t>Weakly positive</w:t>
                                  </w:r>
                                </w:p>
                              </w:tc>
                              <w:tc>
                                <w:tcPr>
                                  <w:tcW w:w="1040" w:type="pct"/>
                                  <w:tcBorders>
                                    <w:top w:val="single" w:sz="4" w:space="0" w:color="auto"/>
                                    <w:left w:val="single" w:sz="4" w:space="0" w:color="auto"/>
                                    <w:bottom w:val="single" w:sz="4" w:space="0" w:color="auto"/>
                                    <w:right w:val="single" w:sz="4" w:space="0" w:color="auto"/>
                                  </w:tcBorders>
                                  <w:shd w:val="clear" w:color="auto" w:fill="00B050"/>
                                  <w:hideMark/>
                                </w:tcPr>
                                <w:p>
                                  <w:pPr>
                                    <w:keepNext/>
                                    <w:spacing w:before="20" w:after="20" w:line="240" w:lineRule="auto"/>
                                    <w:jc w:val="center"/>
                                    <w:rPr>
                                      <w:rFonts w:ascii="Times New Roman" w:eastAsia="Times New Roman" w:hAnsi="Times New Roman" w:cs="Times New Roman"/>
                                      <w:sz w:val="18"/>
                                      <w:szCs w:val="18"/>
                                      <w:lang w:eastAsia="de-DE"/>
                                    </w:rPr>
                                  </w:pPr>
                                  <w:r>
                                    <w:rPr>
                                      <w:rFonts w:ascii="Times New Roman" w:eastAsia="Times New Roman" w:hAnsi="Times New Roman" w:cs="Times New Roman"/>
                                      <w:sz w:val="18"/>
                                      <w:szCs w:val="18"/>
                                      <w:lang w:eastAsia="de-DE"/>
                                    </w:rPr>
                                    <w:t>Strongly positive</w:t>
                                  </w:r>
                                </w:p>
                              </w:tc>
                            </w:tr>
                          </w:tbl>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85pt;margin-top:-.1pt;width:396.25pt;height: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tTDwIAAPsDAAAOAAAAZHJzL2Uyb0RvYy54bWysU21v2yAQ/j5p/wHxfbHjxEtjxam6dp0m&#10;dS9Sux+AMY7RgGNAYme/vgdO02j7No0PiOO45+557thcj1qRg3BegqnpfJZTIgyHVppdTX883b+7&#10;osQHZlqmwIiaHoWn19u3bzaDrUQBPahWOIIgxleDrWkfgq2yzPNeaOZnYIVBZwdOs4Cm22WtYwOi&#10;a5UVef4+G8C11gEX3uPt3eSk24TfdYKHb13nRSCqplhbSLtLexP3bLth1c4x20t+KoP9QxWaSYNJ&#10;z1B3LDCyd/IvKC25Aw9dmHHQGXSd5CJxQDbz/A82jz2zInFBcbw9y+T/Hyz/evjuiGxrushXlBim&#10;sUlPYgzkA4ykiPoM1lf47NHiwzDiNfY5cfX2AfhPTwzc9szsxI1zMPSCtVjfPEZmF6ETjo8gzfAF&#10;WkzD9gES0Ng5HcVDOQiiY5+O597EUjhelvmiWKxKSjj6irJc52VKwaqXaOt8+CRAk3ioqcPeJ3R2&#10;ePAhVsOqlycxmYF7qVTqvzJkqOm6LMoUcOHRMuB4KqlrepXHNQ1MJPnRtCk4MKmmMyZQ5sQ6Ep0o&#10;h7EZk8BJkqhIA+0RZXAwTSP+Hjz04H5TMuAk1tT/2jMnKFGfDUq5ni+XcXSTsSxXBRru0tNcepjh&#10;CFXTQMl0vA1p3CfKNyh5J5Mar5WcSsYJSyKdfkMc4Us7vXr9s9tnAAAA//8DAFBLAwQUAAYACAAA&#10;ACEAt9CE+90AAAAIAQAADwAAAGRycy9kb3ducmV2LnhtbEyPwU7DMBBE70j8g7WVuLV2SiEljVMh&#10;EFdQC63EzY23SUS8jmK3CX/f7QluO5rR7Jt8PbpWnLEPjScNyUyBQCq9bajS8PX5Nl2CCNGQNa0n&#10;1PCLAdbF7U1uMusH2uB5GyvBJRQyo6GOscukDGWNzoSZ75DYO/remciyr6TtzcDlrpVzpR6lMw3x&#10;h9p0+FJj+bM9OQ279+P3fqE+qlf30A1+VJLck9T6bjI+r0BEHONfGK74jA4FMx38iWwQrYZpcp9y&#10;lI85CPbTdMlTDhoWKgFZ5PL/gOICAAD//wMAUEsBAi0AFAAGAAgAAAAhALaDOJL+AAAA4QEAABMA&#10;AAAAAAAAAAAAAAAAAAAAAFtDb250ZW50X1R5cGVzXS54bWxQSwECLQAUAAYACAAAACEAOP0h/9YA&#10;AACUAQAACwAAAAAAAAAAAAAAAAAvAQAAX3JlbHMvLnJlbHNQSwECLQAUAAYACAAAACEAnY07Uw8C&#10;AAD7AwAADgAAAAAAAAAAAAAAAAAuAgAAZHJzL2Uyb0RvYy54bWxQSwECLQAUAAYACAAAACEAt9CE&#10;+90AAAAIAQAADwAAAAAAAAAAAAAAAABpBAAAZHJzL2Rvd25yZXYueG1sUEsFBgAAAAAEAAQA8wAA&#10;AHMFAAAAAA==&#10;" filled="f" stroked="f">
                <v:textbox>
                  <w:txbx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472"/>
                        <w:gridCol w:w="1629"/>
                        <w:gridCol w:w="1451"/>
                        <w:gridCol w:w="1634"/>
                      </w:tblGrid>
                      <w:tr>
                        <w:trPr>
                          <w:trHeight w:val="274"/>
                          <w:jc w:val="center"/>
                        </w:trPr>
                        <w:tc>
                          <w:tcPr>
                            <w:tcW w:w="1062" w:type="pct"/>
                            <w:tcBorders>
                              <w:top w:val="single" w:sz="4" w:space="0" w:color="auto"/>
                              <w:left w:val="single" w:sz="4" w:space="0" w:color="auto"/>
                              <w:bottom w:val="single" w:sz="4" w:space="0" w:color="auto"/>
                              <w:right w:val="single" w:sz="4" w:space="0" w:color="auto"/>
                            </w:tcBorders>
                            <w:shd w:val="clear" w:color="auto" w:fill="FF0000"/>
                            <w:hideMark/>
                          </w:tcPr>
                          <w:p>
                            <w:pPr>
                              <w:keepNext/>
                              <w:spacing w:before="20" w:after="20" w:line="240" w:lineRule="auto"/>
                              <w:ind w:left="136" w:hanging="136"/>
                              <w:jc w:val="center"/>
                              <w:rPr>
                                <w:rFonts w:ascii="Times New Roman" w:eastAsia="Times New Roman" w:hAnsi="Times New Roman" w:cs="Times New Roman"/>
                                <w:sz w:val="18"/>
                                <w:szCs w:val="18"/>
                                <w:lang w:eastAsia="de-DE"/>
                              </w:rPr>
                            </w:pPr>
                            <w:r>
                              <w:rPr>
                                <w:rFonts w:ascii="Times New Roman" w:eastAsia="Times New Roman" w:hAnsi="Times New Roman" w:cs="Times New Roman"/>
                                <w:sz w:val="18"/>
                                <w:szCs w:val="18"/>
                                <w:lang w:eastAsia="de-DE"/>
                              </w:rPr>
                              <w:t>Strongly negative</w:t>
                            </w:r>
                          </w:p>
                        </w:tc>
                        <w:tc>
                          <w:tcPr>
                            <w:tcW w:w="937" w:type="pct"/>
                            <w:tcBorders>
                              <w:top w:val="single" w:sz="4" w:space="0" w:color="auto"/>
                              <w:left w:val="single" w:sz="4" w:space="0" w:color="auto"/>
                              <w:bottom w:val="single" w:sz="4" w:space="0" w:color="auto"/>
                              <w:right w:val="single" w:sz="4" w:space="0" w:color="auto"/>
                            </w:tcBorders>
                            <w:shd w:val="clear" w:color="auto" w:fill="FFC000"/>
                            <w:hideMark/>
                          </w:tcPr>
                          <w:p>
                            <w:pPr>
                              <w:keepNext/>
                              <w:spacing w:before="20" w:after="20" w:line="240" w:lineRule="auto"/>
                              <w:jc w:val="center"/>
                              <w:rPr>
                                <w:rFonts w:ascii="Times New Roman" w:eastAsia="Times New Roman" w:hAnsi="Times New Roman" w:cs="Times New Roman"/>
                                <w:sz w:val="18"/>
                                <w:szCs w:val="18"/>
                                <w:lang w:eastAsia="de-DE"/>
                              </w:rPr>
                            </w:pPr>
                            <w:r>
                              <w:rPr>
                                <w:rFonts w:ascii="Times New Roman" w:eastAsia="Times New Roman" w:hAnsi="Times New Roman" w:cs="Times New Roman"/>
                                <w:sz w:val="18"/>
                                <w:szCs w:val="18"/>
                                <w:lang w:eastAsia="de-DE"/>
                              </w:rPr>
                              <w:t>Weakly negative</w:t>
                            </w:r>
                          </w:p>
                        </w:tc>
                        <w:tc>
                          <w:tcPr>
                            <w:tcW w:w="1037" w:type="pct"/>
                            <w:tcBorders>
                              <w:top w:val="single" w:sz="4" w:space="0" w:color="auto"/>
                              <w:left w:val="single" w:sz="4" w:space="0" w:color="auto"/>
                              <w:bottom w:val="single" w:sz="4" w:space="0" w:color="auto"/>
                              <w:right w:val="single" w:sz="4" w:space="0" w:color="auto"/>
                            </w:tcBorders>
                            <w:shd w:val="clear" w:color="auto" w:fill="EEECE1" w:themeFill="background2"/>
                            <w:hideMark/>
                          </w:tcPr>
                          <w:p>
                            <w:pPr>
                              <w:keepNext/>
                              <w:spacing w:before="20" w:after="20" w:line="240" w:lineRule="auto"/>
                              <w:jc w:val="center"/>
                              <w:rPr>
                                <w:rFonts w:ascii="Times New Roman" w:eastAsia="Times New Roman" w:hAnsi="Times New Roman" w:cs="Times New Roman"/>
                                <w:sz w:val="18"/>
                                <w:szCs w:val="18"/>
                                <w:lang w:eastAsia="de-DE"/>
                              </w:rPr>
                            </w:pPr>
                            <w:r>
                              <w:rPr>
                                <w:rFonts w:ascii="Times New Roman" w:eastAsia="Times New Roman" w:hAnsi="Times New Roman" w:cs="Times New Roman"/>
                                <w:sz w:val="18"/>
                                <w:szCs w:val="18"/>
                                <w:lang w:eastAsia="de-DE"/>
                              </w:rPr>
                              <w:t>No or limited impact</w:t>
                            </w:r>
                          </w:p>
                        </w:tc>
                        <w:tc>
                          <w:tcPr>
                            <w:tcW w:w="924" w:type="pct"/>
                            <w:tcBorders>
                              <w:top w:val="single" w:sz="4" w:space="0" w:color="auto"/>
                              <w:left w:val="single" w:sz="4" w:space="0" w:color="auto"/>
                              <w:bottom w:val="single" w:sz="4" w:space="0" w:color="auto"/>
                              <w:right w:val="single" w:sz="4" w:space="0" w:color="auto"/>
                            </w:tcBorders>
                            <w:shd w:val="clear" w:color="auto" w:fill="92D050"/>
                            <w:hideMark/>
                          </w:tcPr>
                          <w:p>
                            <w:pPr>
                              <w:keepNext/>
                              <w:tabs>
                                <w:tab w:val="left" w:pos="469"/>
                                <w:tab w:val="center" w:pos="671"/>
                              </w:tabs>
                              <w:spacing w:before="20" w:after="20" w:line="240" w:lineRule="auto"/>
                              <w:jc w:val="center"/>
                              <w:rPr>
                                <w:rFonts w:ascii="Times New Roman" w:eastAsia="Times New Roman" w:hAnsi="Times New Roman" w:cs="Times New Roman"/>
                                <w:sz w:val="18"/>
                                <w:szCs w:val="18"/>
                                <w:lang w:eastAsia="de-DE"/>
                              </w:rPr>
                            </w:pPr>
                            <w:r>
                              <w:rPr>
                                <w:rFonts w:ascii="Times New Roman" w:eastAsia="Times New Roman" w:hAnsi="Times New Roman" w:cs="Times New Roman"/>
                                <w:sz w:val="18"/>
                                <w:szCs w:val="18"/>
                                <w:lang w:eastAsia="de-DE"/>
                              </w:rPr>
                              <w:t>Weakly positive</w:t>
                            </w:r>
                          </w:p>
                        </w:tc>
                        <w:tc>
                          <w:tcPr>
                            <w:tcW w:w="1040" w:type="pct"/>
                            <w:tcBorders>
                              <w:top w:val="single" w:sz="4" w:space="0" w:color="auto"/>
                              <w:left w:val="single" w:sz="4" w:space="0" w:color="auto"/>
                              <w:bottom w:val="single" w:sz="4" w:space="0" w:color="auto"/>
                              <w:right w:val="single" w:sz="4" w:space="0" w:color="auto"/>
                            </w:tcBorders>
                            <w:shd w:val="clear" w:color="auto" w:fill="00B050"/>
                            <w:hideMark/>
                          </w:tcPr>
                          <w:p>
                            <w:pPr>
                              <w:keepNext/>
                              <w:spacing w:before="20" w:after="20" w:line="240" w:lineRule="auto"/>
                              <w:jc w:val="center"/>
                              <w:rPr>
                                <w:rFonts w:ascii="Times New Roman" w:eastAsia="Times New Roman" w:hAnsi="Times New Roman" w:cs="Times New Roman"/>
                                <w:sz w:val="18"/>
                                <w:szCs w:val="18"/>
                                <w:lang w:eastAsia="de-DE"/>
                              </w:rPr>
                            </w:pPr>
                            <w:r>
                              <w:rPr>
                                <w:rFonts w:ascii="Times New Roman" w:eastAsia="Times New Roman" w:hAnsi="Times New Roman" w:cs="Times New Roman"/>
                                <w:sz w:val="18"/>
                                <w:szCs w:val="18"/>
                                <w:lang w:eastAsia="de-DE"/>
                              </w:rPr>
                              <w:t>Strongly positive</w:t>
                            </w:r>
                          </w:p>
                        </w:tc>
                      </w:tr>
                    </w:tbl>
                    <w:p/>
                  </w:txbxContent>
                </v:textbox>
              </v:shape>
            </w:pict>
          </mc:Fallback>
        </mc:AlternateContent>
      </w:r>
    </w:p>
    <w:tbl>
      <w:tblPr>
        <w:tblStyle w:val="DocumentTable1"/>
        <w:tblW w:w="9781" w:type="dxa"/>
        <w:tblInd w:w="-34" w:type="dxa"/>
        <w:tblLayout w:type="fixed"/>
        <w:tblLook w:val="04A0" w:firstRow="1" w:lastRow="0" w:firstColumn="1" w:lastColumn="0" w:noHBand="0" w:noVBand="1"/>
      </w:tblPr>
      <w:tblGrid>
        <w:gridCol w:w="1560"/>
        <w:gridCol w:w="1984"/>
        <w:gridCol w:w="2127"/>
        <w:gridCol w:w="2126"/>
        <w:gridCol w:w="1984"/>
      </w:tblGrid>
      <w:tr>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120"/>
              <w:jc w:val="center"/>
              <w:rPr>
                <w:rFonts w:ascii="Times New Roman" w:hAnsi="Times New Roman" w:cs="Times New Roman"/>
                <w:b/>
                <w:noProof/>
                <w:sz w:val="18"/>
                <w:szCs w:val="18"/>
                <w:lang w:eastAsia="de-DE"/>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pPr>
              <w:spacing w:before="120"/>
              <w:jc w:val="center"/>
              <w:rPr>
                <w:rFonts w:ascii="Times New Roman" w:hAnsi="Times New Roman" w:cs="Times New Roman"/>
                <w:b/>
                <w:noProof/>
                <w:sz w:val="18"/>
                <w:szCs w:val="18"/>
                <w:lang w:eastAsia="de-DE"/>
              </w:rPr>
            </w:pPr>
            <w:r>
              <w:rPr>
                <w:rFonts w:ascii="Times New Roman" w:hAnsi="Times New Roman" w:cs="Times New Roman"/>
                <w:b/>
                <w:bCs/>
                <w:noProof/>
                <w:sz w:val="18"/>
                <w:szCs w:val="18"/>
                <w:lang w:eastAsia="de-DE"/>
              </w:rPr>
              <w:t>PO1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pPr>
              <w:spacing w:before="120"/>
              <w:jc w:val="center"/>
              <w:rPr>
                <w:rFonts w:ascii="Times New Roman" w:hAnsi="Times New Roman" w:cs="Times New Roman"/>
                <w:b/>
                <w:noProof/>
                <w:sz w:val="18"/>
                <w:szCs w:val="18"/>
                <w:lang w:eastAsia="de-DE"/>
              </w:rPr>
            </w:pPr>
            <w:r>
              <w:rPr>
                <w:rFonts w:ascii="Times New Roman" w:hAnsi="Times New Roman" w:cs="Times New Roman"/>
                <w:b/>
                <w:bCs/>
                <w:noProof/>
                <w:sz w:val="18"/>
                <w:szCs w:val="18"/>
                <w:lang w:eastAsia="de-DE"/>
              </w:rPr>
              <w:t xml:space="preserve">PO2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pPr>
              <w:spacing w:before="120"/>
              <w:jc w:val="center"/>
              <w:rPr>
                <w:rFonts w:ascii="Times New Roman" w:hAnsi="Times New Roman" w:cs="Times New Roman"/>
                <w:b/>
                <w:bCs/>
                <w:noProof/>
                <w:sz w:val="18"/>
                <w:szCs w:val="18"/>
                <w:lang w:eastAsia="de-DE"/>
              </w:rPr>
            </w:pPr>
            <w:r>
              <w:rPr>
                <w:rFonts w:ascii="Times New Roman" w:hAnsi="Times New Roman" w:cs="Times New Roman"/>
                <w:b/>
                <w:bCs/>
                <w:noProof/>
                <w:sz w:val="18"/>
                <w:szCs w:val="18"/>
                <w:lang w:eastAsia="de-DE"/>
              </w:rPr>
              <w:t xml:space="preserve">PO3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pPr>
              <w:spacing w:before="120"/>
              <w:jc w:val="center"/>
              <w:rPr>
                <w:rFonts w:ascii="Times New Roman" w:hAnsi="Times New Roman" w:cs="Times New Roman"/>
                <w:b/>
                <w:bCs/>
                <w:noProof/>
                <w:sz w:val="18"/>
                <w:szCs w:val="18"/>
                <w:lang w:eastAsia="de-DE"/>
              </w:rPr>
            </w:pPr>
            <w:r>
              <w:rPr>
                <w:rFonts w:ascii="Times New Roman" w:hAnsi="Times New Roman" w:cs="Times New Roman"/>
                <w:b/>
                <w:bCs/>
                <w:noProof/>
                <w:sz w:val="18"/>
                <w:szCs w:val="18"/>
                <w:lang w:eastAsia="de-DE"/>
              </w:rPr>
              <w:t xml:space="preserve">PO4 </w:t>
            </w:r>
          </w:p>
        </w:tc>
      </w:tr>
      <w:tr>
        <w:trPr>
          <w:trHeight w:val="202"/>
          <w:tblHeader/>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before="120"/>
              <w:jc w:val="center"/>
              <w:rPr>
                <w:rFonts w:ascii="Times New Roman" w:hAnsi="Times New Roman" w:cs="Times New Roman"/>
                <w:noProof/>
                <w:sz w:val="18"/>
                <w:szCs w:val="18"/>
                <w:lang w:eastAsia="de-DE"/>
              </w:rPr>
            </w:pPr>
            <w:r>
              <w:rPr>
                <w:rFonts w:ascii="Times New Roman" w:hAnsi="Times New Roman" w:cs="Times New Roman"/>
                <w:b/>
                <w:noProof/>
                <w:sz w:val="18"/>
                <w:szCs w:val="18"/>
                <w:lang w:eastAsia="de-DE"/>
              </w:rPr>
              <w:t>Effectiveness</w:t>
            </w:r>
          </w:p>
        </w:tc>
      </w:tr>
      <w:tr>
        <w:trPr>
          <w:trHeight w:val="202"/>
          <w:tblHeader/>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before="120"/>
              <w:jc w:val="center"/>
              <w:rPr>
                <w:rFonts w:ascii="Times New Roman" w:hAnsi="Times New Roman" w:cs="Times New Roman"/>
                <w:b/>
                <w:noProof/>
                <w:sz w:val="18"/>
                <w:szCs w:val="18"/>
                <w:lang w:eastAsia="de-DE"/>
              </w:rPr>
            </w:pPr>
            <w:r>
              <w:rPr>
                <w:rFonts w:ascii="Times New Roman" w:hAnsi="Times New Roman" w:cs="Times New Roman"/>
                <w:b/>
                <w:noProof/>
                <w:sz w:val="18"/>
                <w:szCs w:val="18"/>
                <w:lang w:eastAsia="de-DE"/>
              </w:rPr>
              <w:t>Ensure</w:t>
            </w:r>
            <w:r>
              <w:rPr>
                <w:rFonts w:ascii="Times New Roman" w:hAnsi="Times New Roman" w:cs="Times New Roman"/>
                <w:noProof/>
                <w:sz w:val="18"/>
                <w:szCs w:val="18"/>
                <w:lang w:eastAsia="de-DE"/>
              </w:rPr>
              <w:t xml:space="preserve"> </w:t>
            </w:r>
            <w:r>
              <w:rPr>
                <w:rFonts w:ascii="Times New Roman" w:hAnsi="Times New Roman" w:cs="Times New Roman"/>
                <w:b/>
                <w:noProof/>
                <w:sz w:val="18"/>
                <w:szCs w:val="18"/>
                <w:lang w:eastAsia="de-DE"/>
              </w:rPr>
              <w:t xml:space="preserve">a legal framework uniformly established in all EU Member States, the obligation of acceptance </w:t>
            </w:r>
          </w:p>
        </w:tc>
      </w:tr>
      <w:tr>
        <w:trPr>
          <w:tblHeader/>
        </w:trPr>
        <w:tc>
          <w:tcPr>
            <w:tcW w:w="1560" w:type="dxa"/>
            <w:tcBorders>
              <w:top w:val="single" w:sz="4" w:space="0" w:color="auto"/>
              <w:left w:val="single" w:sz="4" w:space="0" w:color="auto"/>
              <w:bottom w:val="single" w:sz="4" w:space="0" w:color="auto"/>
              <w:right w:val="single" w:sz="4" w:space="0" w:color="auto"/>
            </w:tcBorders>
            <w:vAlign w:val="center"/>
            <w:hideMark/>
          </w:tcPr>
          <w:p>
            <w:pPr>
              <w:spacing w:before="120"/>
              <w:contextualSpacing/>
              <w:jc w:val="center"/>
              <w:rPr>
                <w:rFonts w:ascii="Times New Roman" w:hAnsi="Times New Roman" w:cs="Times New Roman"/>
                <w:b/>
                <w:noProof/>
                <w:sz w:val="18"/>
                <w:szCs w:val="18"/>
                <w:lang w:eastAsia="de-DE"/>
              </w:rPr>
            </w:pPr>
            <w:bookmarkStart w:id="177" w:name="_Hlk506127872"/>
            <w:r>
              <w:rPr>
                <w:rFonts w:ascii="Times New Roman" w:hAnsi="Times New Roman" w:cs="Times New Roman"/>
                <w:b/>
                <w:noProof/>
                <w:sz w:val="18"/>
                <w:szCs w:val="18"/>
                <w:lang w:eastAsia="de-DE"/>
              </w:rPr>
              <w:t>Expected improvement in acceptance level by public authorities (including courts) and commercial parties</w:t>
            </w:r>
            <w:bookmarkEnd w:id="177"/>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pPr>
              <w:spacing w:before="6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(0) Positive impact on B2A use, primarily in road transport, due to possibility of using the e-CMR across all the EU</w:t>
            </w:r>
          </w:p>
          <w:p>
            <w:pPr>
              <w:spacing w:before="6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(0/+) Limited positive impact in the MS that are not yet party to the other mode-specific conventions (i.e. CMNI for IWW; Hamburg rules for maritime)</w:t>
            </w:r>
          </w:p>
          <w:p>
            <w:pPr>
              <w:spacing w:before="6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 xml:space="preserve">(0) No significant impact on multimodal transport </w:t>
            </w:r>
          </w:p>
        </w:tc>
        <w:tc>
          <w:tcPr>
            <w:tcW w:w="2127" w:type="dxa"/>
            <w:tcBorders>
              <w:top w:val="single" w:sz="4" w:space="0" w:color="auto"/>
              <w:left w:val="single" w:sz="4" w:space="0" w:color="auto"/>
              <w:bottom w:val="single" w:sz="4" w:space="0" w:color="auto"/>
              <w:right w:val="single" w:sz="4" w:space="0" w:color="auto"/>
            </w:tcBorders>
            <w:shd w:val="clear" w:color="auto" w:fill="92D050"/>
            <w:vAlign w:val="center"/>
            <w:hideMark/>
          </w:tcPr>
          <w:p>
            <w:pPr>
              <w:spacing w:before="6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w:t>
            </w:r>
            <w:bookmarkStart w:id="178" w:name="_Hlk506138195"/>
            <w:r>
              <w:rPr>
                <w:rFonts w:ascii="Times New Roman" w:hAnsi="Times New Roman" w:cs="Times New Roman"/>
                <w:noProof/>
                <w:sz w:val="18"/>
                <w:szCs w:val="18"/>
                <w:lang w:eastAsia="de-DE"/>
              </w:rPr>
              <w:t xml:space="preserve"> Positive impact in all transport modes, due to clear establishment of the obligation of acceptance by authorities &amp; harmonised requirements for admissibility</w:t>
            </w:r>
          </w:p>
          <w:p>
            <w:pPr>
              <w:spacing w:before="6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(0) Limited scope of the evidence admissible in electronic form &amp; limited specification of requirements</w:t>
            </w:r>
          </w:p>
          <w:p>
            <w:pPr>
              <w:spacing w:before="6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 xml:space="preserve">(+) Positive impact on the </w:t>
            </w:r>
            <w:r>
              <w:rPr>
                <w:rFonts w:ascii="Times New Roman" w:hAnsi="Times New Roman" w:cs="Times New Roman"/>
                <w:i/>
                <w:noProof/>
                <w:sz w:val="18"/>
                <w:szCs w:val="18"/>
                <w:lang w:eastAsia="de-DE"/>
              </w:rPr>
              <w:t>admissibility</w:t>
            </w:r>
            <w:r>
              <w:rPr>
                <w:rFonts w:ascii="Times New Roman" w:hAnsi="Times New Roman" w:cs="Times New Roman"/>
                <w:noProof/>
                <w:sz w:val="18"/>
                <w:szCs w:val="18"/>
                <w:lang w:eastAsia="de-DE"/>
              </w:rPr>
              <w:t xml:space="preserve"> of the transport contracts </w:t>
            </w:r>
          </w:p>
          <w:p>
            <w:pPr>
              <w:spacing w:before="6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 xml:space="preserve">(0) Limited positive impact on the </w:t>
            </w:r>
            <w:r>
              <w:rPr>
                <w:rFonts w:ascii="Times New Roman" w:hAnsi="Times New Roman" w:cs="Times New Roman"/>
                <w:i/>
                <w:noProof/>
                <w:sz w:val="18"/>
                <w:szCs w:val="18"/>
                <w:lang w:eastAsia="de-DE"/>
              </w:rPr>
              <w:t>validity</w:t>
            </w:r>
            <w:r>
              <w:rPr>
                <w:rFonts w:ascii="Times New Roman" w:hAnsi="Times New Roman" w:cs="Times New Roman"/>
                <w:noProof/>
                <w:sz w:val="18"/>
                <w:szCs w:val="18"/>
                <w:lang w:eastAsia="de-DE"/>
              </w:rPr>
              <w:t xml:space="preserve"> of the transport contracts</w:t>
            </w:r>
            <w:bookmarkEnd w:id="178"/>
          </w:p>
        </w:tc>
        <w:tc>
          <w:tcPr>
            <w:tcW w:w="2126" w:type="dxa"/>
            <w:tcBorders>
              <w:top w:val="single" w:sz="4" w:space="0" w:color="auto"/>
              <w:left w:val="single" w:sz="4" w:space="0" w:color="auto"/>
              <w:bottom w:val="single" w:sz="4" w:space="0" w:color="auto"/>
              <w:right w:val="single" w:sz="4" w:space="0" w:color="auto"/>
            </w:tcBorders>
            <w:shd w:val="clear" w:color="auto" w:fill="00B050"/>
            <w:vAlign w:val="center"/>
            <w:hideMark/>
          </w:tcPr>
          <w:p>
            <w:pPr>
              <w:spacing w:before="6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 Positive impact in all modes, as well as multimodal transport due to clear establishment of the obligation of acceptance by authorities &amp; harmonised requirements for admissibility</w:t>
            </w:r>
          </w:p>
          <w:p>
            <w:pPr>
              <w:spacing w:before="6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 Technical specifications also eliminate uncertainty/discretion in establishing compliance with admissibility requirements</w:t>
            </w:r>
          </w:p>
          <w:p>
            <w:pPr>
              <w:spacing w:before="6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 xml:space="preserve">(+) Positive impact on the </w:t>
            </w:r>
            <w:r>
              <w:rPr>
                <w:rFonts w:ascii="Times New Roman" w:hAnsi="Times New Roman" w:cs="Times New Roman"/>
                <w:i/>
                <w:noProof/>
                <w:sz w:val="18"/>
                <w:szCs w:val="18"/>
                <w:lang w:eastAsia="de-DE"/>
              </w:rPr>
              <w:t>admissibility</w:t>
            </w:r>
            <w:r>
              <w:rPr>
                <w:rFonts w:ascii="Times New Roman" w:hAnsi="Times New Roman" w:cs="Times New Roman"/>
                <w:noProof/>
                <w:sz w:val="18"/>
                <w:szCs w:val="18"/>
                <w:lang w:eastAsia="de-DE"/>
              </w:rPr>
              <w:t xml:space="preserve"> of the transport contracts </w:t>
            </w:r>
          </w:p>
          <w:p>
            <w:pPr>
              <w:spacing w:before="6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(0) Limited positive impact on the validity of the transport contracts</w:t>
            </w:r>
          </w:p>
        </w:tc>
        <w:tc>
          <w:tcPr>
            <w:tcW w:w="1984" w:type="dxa"/>
            <w:tcBorders>
              <w:top w:val="single" w:sz="4" w:space="0" w:color="auto"/>
              <w:left w:val="single" w:sz="4" w:space="0" w:color="auto"/>
              <w:bottom w:val="single" w:sz="4" w:space="0" w:color="auto"/>
              <w:right w:val="single" w:sz="4" w:space="0" w:color="auto"/>
            </w:tcBorders>
            <w:shd w:val="clear" w:color="auto" w:fill="00B050"/>
            <w:vAlign w:val="center"/>
          </w:tcPr>
          <w:p>
            <w:pPr>
              <w:spacing w:before="6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 Positive impact in all modes, as well as multimodal transport due to clear establishment of the obligation of acceptance by authorities &amp; harmonised requirements for admissibility</w:t>
            </w:r>
          </w:p>
          <w:p>
            <w:pPr>
              <w:spacing w:before="6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 Fully harmonised requirements (including technical specifications) for admissibility</w:t>
            </w:r>
          </w:p>
          <w:p>
            <w:pPr>
              <w:spacing w:before="6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 xml:space="preserve">(+) Positive impact on the </w:t>
            </w:r>
            <w:r>
              <w:rPr>
                <w:rFonts w:ascii="Times New Roman" w:hAnsi="Times New Roman" w:cs="Times New Roman"/>
                <w:i/>
                <w:noProof/>
                <w:sz w:val="18"/>
                <w:szCs w:val="18"/>
                <w:lang w:eastAsia="de-DE"/>
              </w:rPr>
              <w:t>admissibility</w:t>
            </w:r>
            <w:r>
              <w:rPr>
                <w:rFonts w:ascii="Times New Roman" w:hAnsi="Times New Roman" w:cs="Times New Roman"/>
                <w:noProof/>
                <w:sz w:val="18"/>
                <w:szCs w:val="18"/>
                <w:lang w:eastAsia="de-DE"/>
              </w:rPr>
              <w:t xml:space="preserve"> of the transport contracts </w:t>
            </w:r>
          </w:p>
          <w:p>
            <w:pPr>
              <w:spacing w:before="6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(0) Limited positive impact on the validity of the transport contracts</w:t>
            </w:r>
          </w:p>
        </w:tc>
      </w:tr>
      <w:tr>
        <w:trPr>
          <w:tblHeader/>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pPr>
              <w:keepNext/>
              <w:spacing w:before="120"/>
              <w:jc w:val="center"/>
              <w:rPr>
                <w:rFonts w:ascii="Times New Roman" w:hAnsi="Times New Roman" w:cs="Times New Roman"/>
                <w:b/>
                <w:noProof/>
                <w:sz w:val="18"/>
                <w:szCs w:val="18"/>
                <w:lang w:eastAsia="de-DE"/>
              </w:rPr>
            </w:pPr>
            <w:r>
              <w:rPr>
                <w:rFonts w:ascii="Times New Roman" w:hAnsi="Times New Roman" w:cs="Times New Roman"/>
                <w:b/>
                <w:noProof/>
                <w:sz w:val="18"/>
                <w:szCs w:val="18"/>
                <w:lang w:eastAsia="de-DE"/>
              </w:rPr>
              <w:t>Ensure uniform implementation by authorities of the obligation of acceptance</w:t>
            </w:r>
          </w:p>
        </w:tc>
      </w:tr>
      <w:tr>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keepNext/>
              <w:spacing w:before="120"/>
              <w:jc w:val="center"/>
              <w:rPr>
                <w:rFonts w:ascii="Times New Roman" w:hAnsi="Times New Roman" w:cs="Times New Roman"/>
                <w:b/>
                <w:noProof/>
                <w:sz w:val="18"/>
                <w:szCs w:val="18"/>
                <w:lang w:eastAsia="de-DE"/>
              </w:rPr>
            </w:pPr>
            <w:bookmarkStart w:id="179" w:name="_Hlk506134939"/>
            <w:r>
              <w:rPr>
                <w:rFonts w:ascii="Times New Roman" w:hAnsi="Times New Roman" w:cs="Times New Roman"/>
                <w:b/>
                <w:noProof/>
                <w:sz w:val="18"/>
                <w:szCs w:val="18"/>
                <w:lang w:eastAsia="de-DE"/>
              </w:rPr>
              <w:t>Changes to administrative costs for businesses</w:t>
            </w:r>
            <w:bookmarkEnd w:id="179"/>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pPr>
              <w:keepNext/>
              <w:spacing w:before="6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 xml:space="preserve">(+) </w:t>
            </w:r>
            <w:bookmarkStart w:id="180" w:name="_Hlk506135048"/>
            <w:r>
              <w:rPr>
                <w:rFonts w:ascii="Times New Roman" w:hAnsi="Times New Roman" w:cs="Times New Roman"/>
                <w:noProof/>
                <w:sz w:val="18"/>
                <w:szCs w:val="18"/>
                <w:lang w:eastAsia="de-DE"/>
              </w:rPr>
              <w:t>Slight positive effects, particularly for road transport operators due to possibility of using the e-CMR as evidence</w:t>
            </w:r>
          </w:p>
          <w:p>
            <w:pPr>
              <w:keepNext/>
              <w:spacing w:before="6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(0) Limited business case, as other transport documents could still be required on paper</w:t>
            </w:r>
          </w:p>
          <w:p>
            <w:pPr>
              <w:keepNext/>
              <w:spacing w:before="6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 xml:space="preserve"> (0) No significant impact on multimodal transport</w:t>
            </w:r>
            <w:bookmarkEnd w:id="180"/>
          </w:p>
        </w:tc>
        <w:tc>
          <w:tcPr>
            <w:tcW w:w="2127" w:type="dxa"/>
            <w:tcBorders>
              <w:top w:val="single" w:sz="4" w:space="0" w:color="auto"/>
              <w:left w:val="single" w:sz="4" w:space="0" w:color="auto"/>
              <w:bottom w:val="single" w:sz="4" w:space="0" w:color="auto"/>
              <w:right w:val="single" w:sz="4" w:space="0" w:color="auto"/>
            </w:tcBorders>
            <w:shd w:val="clear" w:color="auto" w:fill="92D050"/>
            <w:vAlign w:val="center"/>
          </w:tcPr>
          <w:p>
            <w:pPr>
              <w:keepNext/>
              <w:spacing w:before="6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 xml:space="preserve"> (+) Slowly occurring and patchy positive effects as a result of voluntary coordination measures by MS authorities</w:t>
            </w:r>
          </w:p>
          <w:p>
            <w:pPr>
              <w:keepNext/>
              <w:spacing w:before="60"/>
              <w:jc w:val="center"/>
              <w:rPr>
                <w:rFonts w:ascii="Times New Roman" w:hAnsi="Times New Roman" w:cs="Times New Roman"/>
                <w:noProof/>
                <w:sz w:val="18"/>
                <w:szCs w:val="18"/>
                <w:lang w:eastAsia="de-DE"/>
              </w:rPr>
            </w:pPr>
          </w:p>
        </w:tc>
        <w:tc>
          <w:tcPr>
            <w:tcW w:w="2126" w:type="dxa"/>
            <w:tcBorders>
              <w:top w:val="single" w:sz="4" w:space="0" w:color="auto"/>
              <w:left w:val="single" w:sz="4" w:space="0" w:color="auto"/>
              <w:bottom w:val="single" w:sz="4" w:space="0" w:color="auto"/>
              <w:right w:val="single" w:sz="4" w:space="0" w:color="auto"/>
            </w:tcBorders>
            <w:shd w:val="clear" w:color="auto" w:fill="00B050"/>
            <w:vAlign w:val="center"/>
          </w:tcPr>
          <w:p>
            <w:pPr>
              <w:keepNext/>
              <w:spacing w:before="6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 Positive impact in all modes, due to mandatory measures requiring review and alignment of control procedures/processes by the different MS authorities</w:t>
            </w:r>
          </w:p>
        </w:tc>
        <w:tc>
          <w:tcPr>
            <w:tcW w:w="1984" w:type="dxa"/>
            <w:tcBorders>
              <w:top w:val="single" w:sz="4" w:space="0" w:color="auto"/>
              <w:left w:val="single" w:sz="4" w:space="0" w:color="auto"/>
              <w:bottom w:val="single" w:sz="4" w:space="0" w:color="auto"/>
              <w:right w:val="single" w:sz="4" w:space="0" w:color="auto"/>
            </w:tcBorders>
            <w:shd w:val="clear" w:color="auto" w:fill="00B050"/>
            <w:vAlign w:val="center"/>
          </w:tcPr>
          <w:p>
            <w:pPr>
              <w:keepNext/>
              <w:spacing w:before="6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 Positive impact in all modes, due to mandatory measures requiring review and alignment of control procedures/processes by the different MS authorities</w:t>
            </w:r>
          </w:p>
        </w:tc>
      </w:tr>
      <w:tr>
        <w:trPr>
          <w:tblHeader/>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before="120" w:after="20"/>
              <w:jc w:val="center"/>
              <w:rPr>
                <w:rFonts w:ascii="Times New Roman" w:hAnsi="Times New Roman" w:cs="Times New Roman"/>
                <w:b/>
                <w:noProof/>
                <w:sz w:val="18"/>
                <w:szCs w:val="18"/>
                <w:lang w:eastAsia="de-DE"/>
              </w:rPr>
            </w:pPr>
            <w:r>
              <w:rPr>
                <w:rFonts w:ascii="Times New Roman" w:hAnsi="Times New Roman" w:cs="Times New Roman"/>
                <w:b/>
                <w:noProof/>
                <w:sz w:val="18"/>
                <w:szCs w:val="18"/>
                <w:lang w:eastAsia="de-DE"/>
              </w:rPr>
              <w:t>Ensure the interoperability of the IT systems and solutions used for the electronic exchange of cargo transport information</w:t>
            </w:r>
          </w:p>
        </w:tc>
      </w:tr>
      <w:tr>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pPr>
              <w:spacing w:before="120" w:after="20"/>
              <w:jc w:val="center"/>
              <w:rPr>
                <w:rFonts w:ascii="Times New Roman" w:hAnsi="Times New Roman" w:cs="Times New Roman"/>
                <w:b/>
                <w:noProof/>
                <w:sz w:val="18"/>
                <w:szCs w:val="18"/>
                <w:lang w:eastAsia="de-DE"/>
              </w:rPr>
            </w:pPr>
            <w:r>
              <w:rPr>
                <w:rFonts w:ascii="Times New Roman" w:hAnsi="Times New Roman" w:cs="Times New Roman"/>
                <w:b/>
                <w:noProof/>
                <w:sz w:val="18"/>
                <w:szCs w:val="18"/>
                <w:lang w:eastAsia="de-DE"/>
              </w:rPr>
              <w:t>Changes to compliance costs for businesses</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pPr>
              <w:spacing w:before="60" w:after="20"/>
              <w:jc w:val="center"/>
              <w:rPr>
                <w:rFonts w:ascii="Times New Roman" w:hAnsi="Times New Roman" w:cs="Times New Roman"/>
                <w:noProof/>
                <w:sz w:val="18"/>
                <w:szCs w:val="18"/>
                <w:lang w:eastAsia="de-DE"/>
              </w:rPr>
            </w:pPr>
            <w:bookmarkStart w:id="181" w:name="_Hlk506135062"/>
            <w:r>
              <w:rPr>
                <w:rFonts w:ascii="Times New Roman" w:hAnsi="Times New Roman" w:cs="Times New Roman"/>
                <w:noProof/>
                <w:sz w:val="18"/>
                <w:szCs w:val="18"/>
                <w:lang w:eastAsia="de-DE"/>
              </w:rPr>
              <w:t xml:space="preserve">(0) Very little increase in compliance costs compared to a baseline  </w:t>
            </w:r>
          </w:p>
          <w:p>
            <w:pPr>
              <w:spacing w:before="60" w:after="2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 xml:space="preserve">(-) Risk of differences in interpretation by the different MS/authorities in defining the technical requirements for admissibility </w:t>
            </w:r>
          </w:p>
          <w:bookmarkEnd w:id="181"/>
          <w:p>
            <w:pPr>
              <w:spacing w:before="60" w:after="20"/>
              <w:jc w:val="center"/>
              <w:rPr>
                <w:rFonts w:ascii="Times New Roman" w:hAnsi="Times New Roman" w:cs="Times New Roman"/>
                <w:noProof/>
                <w:sz w:val="18"/>
                <w:szCs w:val="18"/>
                <w:lang w:eastAsia="de-DE"/>
              </w:rPr>
            </w:pP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pPr>
              <w:spacing w:before="60" w:after="2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 xml:space="preserve"> (-) Businesses might still need to invest in a variety of IT solutions, due to the risk of significant differences in interpretation by the different MS/authorities in defining the technical requirements for admissibility</w:t>
            </w:r>
          </w:p>
          <w:p>
            <w:pPr>
              <w:spacing w:before="60" w:after="20"/>
              <w:jc w:val="center"/>
              <w:rPr>
                <w:rFonts w:ascii="Times New Roman" w:hAnsi="Times New Roman" w:cs="Times New Roman"/>
                <w:noProof/>
                <w:sz w:val="18"/>
                <w:szCs w:val="18"/>
                <w:lang w:eastAsia="de-DE"/>
              </w:rPr>
            </w:pPr>
          </w:p>
        </w:tc>
        <w:tc>
          <w:tcPr>
            <w:tcW w:w="2126" w:type="dxa"/>
            <w:tcBorders>
              <w:top w:val="single" w:sz="4" w:space="0" w:color="auto"/>
              <w:left w:val="single" w:sz="4" w:space="0" w:color="auto"/>
              <w:bottom w:val="single" w:sz="4" w:space="0" w:color="auto"/>
              <w:right w:val="single" w:sz="4" w:space="0" w:color="auto"/>
            </w:tcBorders>
            <w:shd w:val="clear" w:color="auto" w:fill="00B050"/>
            <w:vAlign w:val="center"/>
          </w:tcPr>
          <w:p>
            <w:pPr>
              <w:spacing w:before="60" w:after="2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 xml:space="preserve">(+) Investments costs in IT solutions expected to be offset in short to medium term by cost savings due to digitalisation of processes and improved operational flows </w:t>
            </w:r>
          </w:p>
          <w:p>
            <w:pPr>
              <w:spacing w:before="60" w:after="2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 Some risk of higher costs for multimodal solutions/integrators, but significantly lower than in PO1&amp;PO2</w:t>
            </w:r>
          </w:p>
          <w:p>
            <w:pPr>
              <w:spacing w:before="60" w:after="2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 Cost decrease expected due to greater number of providers and increased competition</w:t>
            </w:r>
          </w:p>
        </w:tc>
        <w:tc>
          <w:tcPr>
            <w:tcW w:w="1984" w:type="dxa"/>
            <w:tcBorders>
              <w:top w:val="single" w:sz="4" w:space="0" w:color="auto"/>
              <w:left w:val="single" w:sz="4" w:space="0" w:color="auto"/>
              <w:bottom w:val="single" w:sz="4" w:space="0" w:color="auto"/>
              <w:right w:val="single" w:sz="4" w:space="0" w:color="auto"/>
            </w:tcBorders>
            <w:shd w:val="clear" w:color="auto" w:fill="00B050"/>
            <w:vAlign w:val="center"/>
          </w:tcPr>
          <w:p>
            <w:pPr>
              <w:spacing w:before="60" w:after="2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 xml:space="preserve"> (+) Costs expected to be offset in short to medium term by cost savings due to digitalisation of processes and improved operational flows </w:t>
            </w:r>
          </w:p>
          <w:p>
            <w:pPr>
              <w:spacing w:before="60" w:after="2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 xml:space="preserve">(-) High upfront  compliance costs for those actors that have already invested in IT solutions/systems, particularly businesses in the air, rail and inland waterway sector </w:t>
            </w:r>
          </w:p>
          <w:p>
            <w:pPr>
              <w:spacing w:before="60" w:after="2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 Cost decrease expected due to greater number of providers and increased competition</w:t>
            </w:r>
          </w:p>
        </w:tc>
      </w:tr>
      <w:tr>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120" w:after="20"/>
              <w:jc w:val="center"/>
              <w:rPr>
                <w:rFonts w:ascii="Times New Roman" w:hAnsi="Times New Roman" w:cs="Times New Roman"/>
                <w:b/>
                <w:noProof/>
                <w:sz w:val="18"/>
                <w:szCs w:val="18"/>
                <w:lang w:eastAsia="de-DE"/>
              </w:rPr>
            </w:pPr>
            <w:r>
              <w:rPr>
                <w:rFonts w:ascii="Times New Roman" w:hAnsi="Times New Roman" w:cs="Times New Roman"/>
                <w:b/>
                <w:noProof/>
                <w:sz w:val="18"/>
                <w:szCs w:val="18"/>
                <w:lang w:eastAsia="de-DE"/>
              </w:rPr>
              <w:t>Changes in costs for authorities for implementation and enforcement</w:t>
            </w:r>
          </w:p>
        </w:tc>
        <w:tc>
          <w:tcPr>
            <w:tcW w:w="1984"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60" w:after="2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 Investment costs in IT solutions/systems related to the verification of compliance with the admissibility requirements</w:t>
            </w:r>
          </w:p>
          <w:p>
            <w:pPr>
              <w:spacing w:before="60" w:after="2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 xml:space="preserve"> (-) Risk of multiplication of such costs, as different authorities would continue the current trend of development of individual systems/solutions, based on the different legislative requirements</w:t>
            </w:r>
          </w:p>
        </w:tc>
        <w:tc>
          <w:tcPr>
            <w:tcW w:w="2127"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60" w:after="2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 Investment costs in IT solutions/systems related to the verification of compliance with the admissibility requirements</w:t>
            </w:r>
          </w:p>
          <w:p>
            <w:pPr>
              <w:spacing w:before="60" w:after="2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 xml:space="preserve"> (-) Risk of multiplication of such costs, as different authorities would continue the current trend of development of individual systems/solutions, based on the different legislative requirements</w:t>
            </w:r>
          </w:p>
        </w:tc>
        <w:tc>
          <w:tcPr>
            <w:tcW w:w="2126" w:type="dxa"/>
            <w:tcBorders>
              <w:top w:val="single" w:sz="4" w:space="0" w:color="auto"/>
              <w:left w:val="single" w:sz="4" w:space="0" w:color="auto"/>
              <w:bottom w:val="single" w:sz="4" w:space="0" w:color="auto"/>
              <w:right w:val="single" w:sz="4" w:space="0" w:color="auto"/>
            </w:tcBorders>
            <w:shd w:val="clear" w:color="auto" w:fill="EEECE1"/>
            <w:vAlign w:val="center"/>
          </w:tcPr>
          <w:p>
            <w:pPr>
              <w:spacing w:before="60" w:after="2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 Investment costs in IT solutions/systems related to the verification of compliance with the admissibility requirements</w:t>
            </w:r>
          </w:p>
          <w:p>
            <w:pPr>
              <w:spacing w:before="60" w:after="2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 Some risk of multiplication of these costs for mode-specific solutions, but significantly lower than in PO1&amp;PO2</w:t>
            </w:r>
          </w:p>
          <w:p>
            <w:pPr>
              <w:spacing w:before="60" w:after="2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 xml:space="preserve"> (+) Costs expected to be offset in the longer run by better targeted/ risk-based controls &amp; better statistical data</w:t>
            </w:r>
          </w:p>
          <w:p>
            <w:pPr>
              <w:spacing w:before="60" w:after="2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 Cost decrease expected due to greater number of providers and increased competition</w:t>
            </w:r>
          </w:p>
          <w:p>
            <w:pPr>
              <w:spacing w:before="60" w:after="20"/>
              <w:jc w:val="center"/>
              <w:rPr>
                <w:rFonts w:ascii="Times New Roman" w:hAnsi="Times New Roman" w:cs="Times New Roman"/>
                <w:noProof/>
                <w:sz w:val="18"/>
                <w:szCs w:val="18"/>
                <w:lang w:eastAsia="de-DE"/>
              </w:rPr>
            </w:pP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pPr>
              <w:spacing w:before="60" w:after="2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 Investment costs in IT solutions/systems related to the verification of compliance with the admissibility requirements</w:t>
            </w:r>
          </w:p>
          <w:p>
            <w:pPr>
              <w:spacing w:before="60" w:after="2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 xml:space="preserve"> (-/0) Limited risk of multiplication of these costs, due to fully harmonised technical specifications </w:t>
            </w:r>
          </w:p>
          <w:p>
            <w:pPr>
              <w:spacing w:before="60" w:after="2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 xml:space="preserve"> (+) Costs expected to be offset in the longer run by better targeted/ risk-based controls &amp; better statistical data</w:t>
            </w:r>
          </w:p>
          <w:p>
            <w:pPr>
              <w:spacing w:before="60" w:after="20"/>
              <w:jc w:val="center"/>
              <w:rPr>
                <w:rFonts w:ascii="Times New Roman" w:hAnsi="Times New Roman" w:cs="Times New Roman"/>
                <w:noProof/>
                <w:sz w:val="18"/>
                <w:szCs w:val="18"/>
                <w:lang w:eastAsia="de-DE"/>
              </w:rPr>
            </w:pPr>
            <w:r>
              <w:rPr>
                <w:rFonts w:ascii="Times New Roman" w:hAnsi="Times New Roman" w:cs="Times New Roman"/>
                <w:noProof/>
                <w:sz w:val="18"/>
                <w:szCs w:val="18"/>
                <w:lang w:eastAsia="de-DE"/>
              </w:rPr>
              <w:t>(+) Cost decrease expected due to greater number of providers and increased competition</w:t>
            </w:r>
          </w:p>
        </w:tc>
      </w:tr>
      <w:tr>
        <w:trPr>
          <w:trHeight w:val="3185"/>
          <w:tblHeader/>
        </w:trPr>
        <w:tc>
          <w:tcPr>
            <w:tcW w:w="1560" w:type="dxa"/>
            <w:tcBorders>
              <w:top w:val="single" w:sz="4" w:space="0" w:color="auto"/>
              <w:left w:val="single" w:sz="4" w:space="0" w:color="auto"/>
              <w:right w:val="single" w:sz="4" w:space="0" w:color="auto"/>
            </w:tcBorders>
            <w:shd w:val="clear" w:color="auto" w:fill="FFFFFF" w:themeFill="background1"/>
          </w:tcPr>
          <w:p>
            <w:pPr>
              <w:spacing w:before="120" w:after="20"/>
              <w:jc w:val="center"/>
              <w:rPr>
                <w:rFonts w:ascii="Times New Roman" w:hAnsi="Times New Roman" w:cs="Times New Roman"/>
                <w:b/>
                <w:noProof/>
                <w:sz w:val="18"/>
                <w:szCs w:val="18"/>
                <w:lang w:eastAsia="de-DE"/>
              </w:rPr>
            </w:pPr>
            <w:r>
              <w:rPr>
                <w:rFonts w:ascii="Times New Roman" w:hAnsi="Times New Roman" w:cs="Times New Roman"/>
                <w:b/>
                <w:noProof/>
                <w:sz w:val="18"/>
                <w:szCs w:val="18"/>
                <w:lang w:eastAsia="de-DE"/>
              </w:rPr>
              <w:t>Expected uptake levels of electronic information exchange by 2030</w:t>
            </w:r>
          </w:p>
        </w:tc>
        <w:tc>
          <w:tcPr>
            <w:tcW w:w="1984" w:type="dxa"/>
            <w:tcBorders>
              <w:top w:val="single" w:sz="4" w:space="0" w:color="auto"/>
              <w:left w:val="single" w:sz="4" w:space="0" w:color="auto"/>
              <w:right w:val="single" w:sz="4" w:space="0" w:color="auto"/>
            </w:tcBorders>
            <w:shd w:val="clear" w:color="auto" w:fill="EEECE1"/>
          </w:tcPr>
          <w:p>
            <w:pPr>
              <w:spacing w:before="120" w:after="20"/>
              <w:rPr>
                <w:rFonts w:ascii="Times New Roman" w:hAnsi="Times New Roman" w:cs="Times New Roman"/>
                <w:noProof/>
                <w:sz w:val="18"/>
                <w:szCs w:val="18"/>
                <w:lang w:eastAsia="de-DE"/>
              </w:rPr>
            </w:pPr>
            <w:r>
              <w:rPr>
                <w:rFonts w:ascii="Times New Roman" w:hAnsi="Times New Roman" w:cs="Times New Roman"/>
                <w:b/>
                <w:noProof/>
                <w:sz w:val="18"/>
                <w:szCs w:val="18"/>
                <w:lang w:eastAsia="de-DE"/>
              </w:rPr>
              <w:t>Road:</w:t>
            </w:r>
            <w:r>
              <w:rPr>
                <w:rFonts w:ascii="Times New Roman" w:hAnsi="Times New Roman" w:cs="Times New Roman"/>
                <w:noProof/>
                <w:sz w:val="18"/>
                <w:szCs w:val="18"/>
                <w:lang w:eastAsia="de-DE"/>
              </w:rPr>
              <w:t xml:space="preserve"> Intra MS (10%); Cross-border (20%) </w:t>
            </w:r>
          </w:p>
          <w:p>
            <w:pPr>
              <w:spacing w:before="120" w:after="20"/>
              <w:rPr>
                <w:rFonts w:ascii="Times New Roman" w:hAnsi="Times New Roman" w:cs="Times New Roman"/>
                <w:noProof/>
                <w:sz w:val="18"/>
                <w:szCs w:val="18"/>
                <w:lang w:eastAsia="de-DE"/>
              </w:rPr>
            </w:pPr>
            <w:r>
              <w:rPr>
                <w:rFonts w:ascii="Times New Roman" w:hAnsi="Times New Roman" w:cs="Times New Roman"/>
                <w:b/>
                <w:noProof/>
                <w:sz w:val="18"/>
                <w:szCs w:val="18"/>
                <w:lang w:eastAsia="de-DE"/>
              </w:rPr>
              <w:t>Rail:</w:t>
            </w:r>
            <w:r>
              <w:rPr>
                <w:rFonts w:ascii="Times New Roman" w:hAnsi="Times New Roman" w:cs="Times New Roman"/>
                <w:noProof/>
                <w:sz w:val="18"/>
                <w:szCs w:val="18"/>
                <w:lang w:eastAsia="de-DE"/>
              </w:rPr>
              <w:t xml:space="preserve"> Intra MS (25%); Cross-border (25%)</w:t>
            </w:r>
          </w:p>
          <w:p>
            <w:pPr>
              <w:spacing w:before="120" w:after="20"/>
              <w:rPr>
                <w:rFonts w:ascii="Times New Roman" w:hAnsi="Times New Roman" w:cs="Times New Roman"/>
                <w:noProof/>
                <w:sz w:val="18"/>
                <w:szCs w:val="18"/>
                <w:lang w:eastAsia="de-DE"/>
              </w:rPr>
            </w:pPr>
            <w:r>
              <w:rPr>
                <w:rFonts w:ascii="Times New Roman" w:hAnsi="Times New Roman" w:cs="Times New Roman"/>
                <w:b/>
                <w:noProof/>
                <w:sz w:val="18"/>
                <w:szCs w:val="18"/>
                <w:lang w:eastAsia="de-DE"/>
              </w:rPr>
              <w:t>IWT:</w:t>
            </w:r>
            <w:r>
              <w:rPr>
                <w:rFonts w:ascii="Times New Roman" w:hAnsi="Times New Roman" w:cs="Times New Roman"/>
                <w:noProof/>
                <w:sz w:val="18"/>
                <w:szCs w:val="18"/>
                <w:lang w:eastAsia="de-DE"/>
              </w:rPr>
              <w:t xml:space="preserve"> Intra MS (10%); Cross-border (10%)</w:t>
            </w:r>
          </w:p>
          <w:p>
            <w:pPr>
              <w:spacing w:before="120" w:after="20"/>
              <w:rPr>
                <w:rFonts w:ascii="Times New Roman" w:hAnsi="Times New Roman" w:cs="Times New Roman"/>
                <w:noProof/>
                <w:sz w:val="18"/>
                <w:szCs w:val="18"/>
                <w:lang w:eastAsia="de-DE"/>
              </w:rPr>
            </w:pPr>
            <w:r>
              <w:rPr>
                <w:rFonts w:ascii="Times New Roman" w:hAnsi="Times New Roman" w:cs="Times New Roman"/>
                <w:b/>
                <w:noProof/>
                <w:sz w:val="18"/>
                <w:szCs w:val="18"/>
                <w:lang w:eastAsia="de-DE"/>
              </w:rPr>
              <w:t>Maritime:</w:t>
            </w:r>
            <w:r>
              <w:rPr>
                <w:rFonts w:ascii="Times New Roman" w:hAnsi="Times New Roman" w:cs="Times New Roman"/>
                <w:noProof/>
                <w:sz w:val="18"/>
                <w:szCs w:val="18"/>
                <w:lang w:eastAsia="de-DE"/>
              </w:rPr>
              <w:t xml:space="preserve"> Intra MS (15%); Cross-border (15%)</w:t>
            </w:r>
          </w:p>
          <w:p>
            <w:pPr>
              <w:spacing w:before="120" w:after="20"/>
              <w:rPr>
                <w:rFonts w:ascii="Times New Roman" w:hAnsi="Times New Roman" w:cs="Times New Roman"/>
                <w:noProof/>
                <w:sz w:val="18"/>
                <w:szCs w:val="18"/>
                <w:lang w:val="sv-SE" w:eastAsia="de-DE"/>
              </w:rPr>
            </w:pPr>
            <w:r>
              <w:rPr>
                <w:rFonts w:ascii="Times New Roman" w:hAnsi="Times New Roman" w:cs="Times New Roman"/>
                <w:b/>
                <w:noProof/>
                <w:sz w:val="18"/>
                <w:szCs w:val="18"/>
                <w:lang w:val="sv-SE" w:eastAsia="de-DE"/>
              </w:rPr>
              <w:t>Aviation:</w:t>
            </w:r>
            <w:r>
              <w:rPr>
                <w:rFonts w:ascii="Times New Roman" w:hAnsi="Times New Roman" w:cs="Times New Roman"/>
                <w:noProof/>
                <w:sz w:val="18"/>
                <w:szCs w:val="18"/>
                <w:lang w:val="sv-SE" w:eastAsia="de-DE"/>
              </w:rPr>
              <w:t xml:space="preserve"> Intra MS (50%); Cross-border (50%)</w:t>
            </w:r>
          </w:p>
        </w:tc>
        <w:tc>
          <w:tcPr>
            <w:tcW w:w="2127" w:type="dxa"/>
            <w:tcBorders>
              <w:top w:val="single" w:sz="4" w:space="0" w:color="auto"/>
              <w:left w:val="single" w:sz="4" w:space="0" w:color="auto"/>
              <w:right w:val="single" w:sz="4" w:space="0" w:color="auto"/>
            </w:tcBorders>
            <w:shd w:val="clear" w:color="auto" w:fill="92D050"/>
          </w:tcPr>
          <w:p>
            <w:pPr>
              <w:spacing w:before="120" w:after="20"/>
              <w:rPr>
                <w:rFonts w:ascii="Times New Roman" w:hAnsi="Times New Roman" w:cs="Times New Roman"/>
                <w:noProof/>
                <w:sz w:val="18"/>
                <w:szCs w:val="18"/>
                <w:lang w:val="sv-SE" w:eastAsia="de-DE"/>
              </w:rPr>
            </w:pPr>
            <w:r>
              <w:rPr>
                <w:rFonts w:ascii="Times New Roman" w:hAnsi="Times New Roman" w:cs="Times New Roman"/>
                <w:b/>
                <w:noProof/>
                <w:sz w:val="18"/>
                <w:szCs w:val="18"/>
                <w:lang w:val="sv-SE" w:eastAsia="de-DE"/>
              </w:rPr>
              <w:t>Road:</w:t>
            </w:r>
            <w:r>
              <w:rPr>
                <w:rFonts w:ascii="Times New Roman" w:hAnsi="Times New Roman" w:cs="Times New Roman"/>
                <w:noProof/>
                <w:sz w:val="18"/>
                <w:szCs w:val="18"/>
                <w:lang w:val="sv-SE" w:eastAsia="de-DE"/>
              </w:rPr>
              <w:t xml:space="preserve"> Intra MS (40%); Cross-border (50%) </w:t>
            </w:r>
          </w:p>
          <w:p>
            <w:pPr>
              <w:spacing w:before="120" w:after="20"/>
              <w:rPr>
                <w:rFonts w:ascii="Times New Roman" w:hAnsi="Times New Roman" w:cs="Times New Roman"/>
                <w:noProof/>
                <w:sz w:val="18"/>
                <w:szCs w:val="18"/>
                <w:lang w:val="sv-SE" w:eastAsia="de-DE"/>
              </w:rPr>
            </w:pPr>
            <w:r>
              <w:rPr>
                <w:rFonts w:ascii="Times New Roman" w:hAnsi="Times New Roman" w:cs="Times New Roman"/>
                <w:b/>
                <w:noProof/>
                <w:sz w:val="18"/>
                <w:szCs w:val="18"/>
                <w:lang w:val="sv-SE" w:eastAsia="de-DE"/>
              </w:rPr>
              <w:t>Rail:</w:t>
            </w:r>
            <w:r>
              <w:rPr>
                <w:rFonts w:ascii="Times New Roman" w:hAnsi="Times New Roman" w:cs="Times New Roman"/>
                <w:noProof/>
                <w:sz w:val="18"/>
                <w:szCs w:val="18"/>
                <w:lang w:val="sv-SE" w:eastAsia="de-DE"/>
              </w:rPr>
              <w:t xml:space="preserve"> Intra MS (75%); Cross-border (85%)</w:t>
            </w:r>
          </w:p>
          <w:p>
            <w:pPr>
              <w:spacing w:before="120" w:after="20"/>
              <w:rPr>
                <w:rFonts w:ascii="Times New Roman" w:hAnsi="Times New Roman" w:cs="Times New Roman"/>
                <w:noProof/>
                <w:sz w:val="18"/>
                <w:szCs w:val="18"/>
                <w:lang w:val="sv-SE" w:eastAsia="de-DE"/>
              </w:rPr>
            </w:pPr>
            <w:r>
              <w:rPr>
                <w:rFonts w:ascii="Times New Roman" w:hAnsi="Times New Roman" w:cs="Times New Roman"/>
                <w:b/>
                <w:noProof/>
                <w:sz w:val="18"/>
                <w:szCs w:val="18"/>
                <w:lang w:val="sv-SE" w:eastAsia="de-DE"/>
              </w:rPr>
              <w:t>IWT:</w:t>
            </w:r>
            <w:r>
              <w:rPr>
                <w:rFonts w:ascii="Times New Roman" w:hAnsi="Times New Roman" w:cs="Times New Roman"/>
                <w:noProof/>
                <w:sz w:val="18"/>
                <w:szCs w:val="18"/>
                <w:lang w:val="sv-SE" w:eastAsia="de-DE"/>
              </w:rPr>
              <w:t xml:space="preserve"> Intra MS (40%); Cross-border (50%)</w:t>
            </w:r>
          </w:p>
          <w:p>
            <w:pPr>
              <w:spacing w:before="120" w:after="20"/>
              <w:rPr>
                <w:rFonts w:ascii="Times New Roman" w:hAnsi="Times New Roman" w:cs="Times New Roman"/>
                <w:noProof/>
                <w:sz w:val="18"/>
                <w:szCs w:val="18"/>
                <w:lang w:val="sv-SE" w:eastAsia="de-DE"/>
              </w:rPr>
            </w:pPr>
            <w:r>
              <w:rPr>
                <w:rFonts w:ascii="Times New Roman" w:hAnsi="Times New Roman" w:cs="Times New Roman"/>
                <w:b/>
                <w:noProof/>
                <w:sz w:val="18"/>
                <w:szCs w:val="18"/>
                <w:lang w:val="sv-SE" w:eastAsia="de-DE"/>
              </w:rPr>
              <w:t>Maritime:</w:t>
            </w:r>
            <w:r>
              <w:rPr>
                <w:rFonts w:ascii="Times New Roman" w:hAnsi="Times New Roman" w:cs="Times New Roman"/>
                <w:noProof/>
                <w:sz w:val="18"/>
                <w:szCs w:val="18"/>
                <w:lang w:val="sv-SE" w:eastAsia="de-DE"/>
              </w:rPr>
              <w:t xml:space="preserve"> Intra MS (70%); Cross-border (70%)</w:t>
            </w:r>
          </w:p>
          <w:p>
            <w:pPr>
              <w:spacing w:before="120" w:after="20"/>
              <w:rPr>
                <w:rFonts w:ascii="Times New Roman" w:hAnsi="Times New Roman" w:cs="Times New Roman"/>
                <w:noProof/>
                <w:sz w:val="18"/>
                <w:szCs w:val="18"/>
                <w:lang w:val="sv-SE" w:eastAsia="de-DE"/>
              </w:rPr>
            </w:pPr>
            <w:r>
              <w:rPr>
                <w:rFonts w:ascii="Times New Roman" w:hAnsi="Times New Roman" w:cs="Times New Roman"/>
                <w:b/>
                <w:noProof/>
                <w:sz w:val="18"/>
                <w:szCs w:val="18"/>
                <w:lang w:val="sv-SE" w:eastAsia="de-DE"/>
              </w:rPr>
              <w:t>Aviation:</w:t>
            </w:r>
            <w:r>
              <w:rPr>
                <w:rFonts w:ascii="Times New Roman" w:hAnsi="Times New Roman" w:cs="Times New Roman"/>
                <w:noProof/>
                <w:sz w:val="18"/>
                <w:szCs w:val="18"/>
                <w:lang w:val="sv-SE" w:eastAsia="de-DE"/>
              </w:rPr>
              <w:t xml:space="preserve"> Intra MS (75%); Cross-border (75%)</w:t>
            </w:r>
          </w:p>
        </w:tc>
        <w:tc>
          <w:tcPr>
            <w:tcW w:w="2126" w:type="dxa"/>
            <w:tcBorders>
              <w:top w:val="single" w:sz="4" w:space="0" w:color="auto"/>
              <w:left w:val="single" w:sz="4" w:space="0" w:color="auto"/>
              <w:right w:val="single" w:sz="4" w:space="0" w:color="auto"/>
            </w:tcBorders>
            <w:shd w:val="clear" w:color="auto" w:fill="00B050"/>
          </w:tcPr>
          <w:p>
            <w:pPr>
              <w:spacing w:before="120" w:after="20"/>
              <w:rPr>
                <w:rFonts w:ascii="Times New Roman" w:hAnsi="Times New Roman" w:cs="Times New Roman"/>
                <w:noProof/>
                <w:sz w:val="18"/>
                <w:szCs w:val="18"/>
                <w:lang w:val="sv-SE" w:eastAsia="de-DE"/>
              </w:rPr>
            </w:pPr>
            <w:r>
              <w:rPr>
                <w:rFonts w:ascii="Times New Roman" w:hAnsi="Times New Roman" w:cs="Times New Roman"/>
                <w:b/>
                <w:noProof/>
                <w:sz w:val="18"/>
                <w:szCs w:val="18"/>
                <w:lang w:val="sv-SE" w:eastAsia="de-DE"/>
              </w:rPr>
              <w:t>Road:</w:t>
            </w:r>
            <w:r>
              <w:rPr>
                <w:rFonts w:ascii="Times New Roman" w:hAnsi="Times New Roman" w:cs="Times New Roman"/>
                <w:noProof/>
                <w:sz w:val="18"/>
                <w:szCs w:val="18"/>
                <w:lang w:val="sv-SE" w:eastAsia="de-DE"/>
              </w:rPr>
              <w:t xml:space="preserve"> Intra MS (60%); Cross-border (80%) </w:t>
            </w:r>
          </w:p>
          <w:p>
            <w:pPr>
              <w:spacing w:before="120" w:after="20"/>
              <w:rPr>
                <w:rFonts w:ascii="Times New Roman" w:hAnsi="Times New Roman" w:cs="Times New Roman"/>
                <w:noProof/>
                <w:sz w:val="18"/>
                <w:szCs w:val="18"/>
                <w:lang w:val="sv-SE" w:eastAsia="de-DE"/>
              </w:rPr>
            </w:pPr>
            <w:r>
              <w:rPr>
                <w:rFonts w:ascii="Times New Roman" w:hAnsi="Times New Roman" w:cs="Times New Roman"/>
                <w:b/>
                <w:noProof/>
                <w:sz w:val="18"/>
                <w:szCs w:val="18"/>
                <w:lang w:val="sv-SE" w:eastAsia="de-DE"/>
              </w:rPr>
              <w:t>Rail:</w:t>
            </w:r>
            <w:r>
              <w:rPr>
                <w:rFonts w:ascii="Times New Roman" w:hAnsi="Times New Roman" w:cs="Times New Roman"/>
                <w:noProof/>
                <w:sz w:val="18"/>
                <w:szCs w:val="18"/>
                <w:lang w:val="sv-SE" w:eastAsia="de-DE"/>
              </w:rPr>
              <w:t xml:space="preserve"> Intra MS (85%); Cross-border (95%)</w:t>
            </w:r>
          </w:p>
          <w:p>
            <w:pPr>
              <w:spacing w:before="120" w:after="20"/>
              <w:rPr>
                <w:rFonts w:ascii="Times New Roman" w:hAnsi="Times New Roman" w:cs="Times New Roman"/>
                <w:noProof/>
                <w:sz w:val="18"/>
                <w:szCs w:val="18"/>
                <w:lang w:val="sv-SE" w:eastAsia="de-DE"/>
              </w:rPr>
            </w:pPr>
            <w:r>
              <w:rPr>
                <w:rFonts w:ascii="Times New Roman" w:hAnsi="Times New Roman" w:cs="Times New Roman"/>
                <w:b/>
                <w:noProof/>
                <w:sz w:val="18"/>
                <w:szCs w:val="18"/>
                <w:lang w:val="sv-SE" w:eastAsia="de-DE"/>
              </w:rPr>
              <w:t>IWT:</w:t>
            </w:r>
            <w:r>
              <w:rPr>
                <w:rFonts w:ascii="Times New Roman" w:hAnsi="Times New Roman" w:cs="Times New Roman"/>
                <w:noProof/>
                <w:sz w:val="18"/>
                <w:szCs w:val="18"/>
                <w:lang w:val="sv-SE" w:eastAsia="de-DE"/>
              </w:rPr>
              <w:t xml:space="preserve"> Intra MS (60%); Cross-border (80%)</w:t>
            </w:r>
          </w:p>
          <w:p>
            <w:pPr>
              <w:spacing w:before="120" w:after="20"/>
              <w:rPr>
                <w:rFonts w:ascii="Times New Roman" w:hAnsi="Times New Roman" w:cs="Times New Roman"/>
                <w:noProof/>
                <w:sz w:val="18"/>
                <w:szCs w:val="18"/>
                <w:lang w:val="sv-SE" w:eastAsia="de-DE"/>
              </w:rPr>
            </w:pPr>
            <w:r>
              <w:rPr>
                <w:rFonts w:ascii="Times New Roman" w:hAnsi="Times New Roman" w:cs="Times New Roman"/>
                <w:b/>
                <w:noProof/>
                <w:sz w:val="18"/>
                <w:szCs w:val="18"/>
                <w:lang w:val="sv-SE" w:eastAsia="de-DE"/>
              </w:rPr>
              <w:t>Maritime:</w:t>
            </w:r>
            <w:r>
              <w:rPr>
                <w:rFonts w:ascii="Times New Roman" w:hAnsi="Times New Roman" w:cs="Times New Roman"/>
                <w:noProof/>
                <w:sz w:val="18"/>
                <w:szCs w:val="18"/>
                <w:lang w:val="sv-SE" w:eastAsia="de-DE"/>
              </w:rPr>
              <w:t xml:space="preserve"> Intra MS (95%); Cross-border (95%)</w:t>
            </w:r>
          </w:p>
          <w:p>
            <w:pPr>
              <w:spacing w:before="120" w:after="20"/>
              <w:rPr>
                <w:rFonts w:ascii="Times New Roman" w:hAnsi="Times New Roman" w:cs="Times New Roman"/>
                <w:noProof/>
                <w:sz w:val="18"/>
                <w:szCs w:val="18"/>
                <w:lang w:val="sv-SE" w:eastAsia="de-DE"/>
              </w:rPr>
            </w:pPr>
            <w:r>
              <w:rPr>
                <w:rFonts w:ascii="Times New Roman" w:hAnsi="Times New Roman" w:cs="Times New Roman"/>
                <w:b/>
                <w:noProof/>
                <w:sz w:val="18"/>
                <w:szCs w:val="18"/>
                <w:lang w:val="sv-SE" w:eastAsia="de-DE"/>
              </w:rPr>
              <w:t>Aviation:</w:t>
            </w:r>
            <w:r>
              <w:rPr>
                <w:rFonts w:ascii="Times New Roman" w:hAnsi="Times New Roman" w:cs="Times New Roman"/>
                <w:noProof/>
                <w:sz w:val="18"/>
                <w:szCs w:val="18"/>
                <w:lang w:val="sv-SE" w:eastAsia="de-DE"/>
              </w:rPr>
              <w:t xml:space="preserve"> Intra MS (95%); Cross-border (95%)</w:t>
            </w:r>
          </w:p>
        </w:tc>
        <w:tc>
          <w:tcPr>
            <w:tcW w:w="1984" w:type="dxa"/>
            <w:tcBorders>
              <w:top w:val="single" w:sz="4" w:space="0" w:color="auto"/>
              <w:left w:val="single" w:sz="4" w:space="0" w:color="auto"/>
              <w:right w:val="single" w:sz="4" w:space="0" w:color="auto"/>
            </w:tcBorders>
            <w:shd w:val="clear" w:color="auto" w:fill="00B050"/>
          </w:tcPr>
          <w:p>
            <w:pPr>
              <w:spacing w:before="120" w:after="20"/>
              <w:rPr>
                <w:rFonts w:ascii="Times New Roman" w:hAnsi="Times New Roman" w:cs="Times New Roman"/>
                <w:noProof/>
                <w:sz w:val="18"/>
                <w:szCs w:val="18"/>
                <w:lang w:val="sv-SE" w:eastAsia="de-DE"/>
              </w:rPr>
            </w:pPr>
            <w:r>
              <w:rPr>
                <w:rFonts w:ascii="Times New Roman" w:hAnsi="Times New Roman" w:cs="Times New Roman"/>
                <w:b/>
                <w:noProof/>
                <w:sz w:val="18"/>
                <w:szCs w:val="18"/>
                <w:lang w:val="sv-SE" w:eastAsia="de-DE"/>
              </w:rPr>
              <w:t>Road:</w:t>
            </w:r>
            <w:r>
              <w:rPr>
                <w:rFonts w:ascii="Times New Roman" w:hAnsi="Times New Roman" w:cs="Times New Roman"/>
                <w:noProof/>
                <w:sz w:val="18"/>
                <w:szCs w:val="18"/>
                <w:lang w:val="sv-SE" w:eastAsia="de-DE"/>
              </w:rPr>
              <w:t xml:space="preserve"> Intra MS (60%); Cross-border (80%) </w:t>
            </w:r>
          </w:p>
          <w:p>
            <w:pPr>
              <w:spacing w:before="120" w:after="20"/>
              <w:rPr>
                <w:rFonts w:ascii="Times New Roman" w:hAnsi="Times New Roman" w:cs="Times New Roman"/>
                <w:noProof/>
                <w:sz w:val="18"/>
                <w:szCs w:val="18"/>
                <w:lang w:val="sv-SE" w:eastAsia="de-DE"/>
              </w:rPr>
            </w:pPr>
            <w:r>
              <w:rPr>
                <w:rFonts w:ascii="Times New Roman" w:hAnsi="Times New Roman" w:cs="Times New Roman"/>
                <w:b/>
                <w:noProof/>
                <w:sz w:val="18"/>
                <w:szCs w:val="18"/>
                <w:lang w:val="sv-SE" w:eastAsia="de-DE"/>
              </w:rPr>
              <w:t>Rail:</w:t>
            </w:r>
            <w:r>
              <w:rPr>
                <w:rFonts w:ascii="Times New Roman" w:hAnsi="Times New Roman" w:cs="Times New Roman"/>
                <w:noProof/>
                <w:sz w:val="18"/>
                <w:szCs w:val="18"/>
                <w:lang w:val="sv-SE" w:eastAsia="de-DE"/>
              </w:rPr>
              <w:t xml:space="preserve"> Intra MS (85%); Cross-border (95%)</w:t>
            </w:r>
          </w:p>
          <w:p>
            <w:pPr>
              <w:spacing w:before="120" w:after="20"/>
              <w:rPr>
                <w:rFonts w:ascii="Times New Roman" w:hAnsi="Times New Roman" w:cs="Times New Roman"/>
                <w:noProof/>
                <w:sz w:val="18"/>
                <w:szCs w:val="18"/>
                <w:lang w:val="sv-SE" w:eastAsia="de-DE"/>
              </w:rPr>
            </w:pPr>
            <w:r>
              <w:rPr>
                <w:rFonts w:ascii="Times New Roman" w:hAnsi="Times New Roman" w:cs="Times New Roman"/>
                <w:b/>
                <w:noProof/>
                <w:sz w:val="18"/>
                <w:szCs w:val="18"/>
                <w:lang w:val="sv-SE" w:eastAsia="de-DE"/>
              </w:rPr>
              <w:t>IWT:</w:t>
            </w:r>
            <w:r>
              <w:rPr>
                <w:rFonts w:ascii="Times New Roman" w:hAnsi="Times New Roman" w:cs="Times New Roman"/>
                <w:noProof/>
                <w:sz w:val="18"/>
                <w:szCs w:val="18"/>
                <w:lang w:val="sv-SE" w:eastAsia="de-DE"/>
              </w:rPr>
              <w:t xml:space="preserve"> Intra MS (60%); Cross-border (80%)</w:t>
            </w:r>
          </w:p>
          <w:p>
            <w:pPr>
              <w:spacing w:before="120" w:after="20"/>
              <w:rPr>
                <w:rFonts w:ascii="Times New Roman" w:hAnsi="Times New Roman" w:cs="Times New Roman"/>
                <w:noProof/>
                <w:sz w:val="18"/>
                <w:szCs w:val="18"/>
                <w:lang w:val="sv-SE" w:eastAsia="de-DE"/>
              </w:rPr>
            </w:pPr>
            <w:r>
              <w:rPr>
                <w:rFonts w:ascii="Times New Roman" w:hAnsi="Times New Roman" w:cs="Times New Roman"/>
                <w:b/>
                <w:noProof/>
                <w:sz w:val="18"/>
                <w:szCs w:val="18"/>
                <w:lang w:val="sv-SE" w:eastAsia="de-DE"/>
              </w:rPr>
              <w:t>Maritime:</w:t>
            </w:r>
            <w:r>
              <w:rPr>
                <w:rFonts w:ascii="Times New Roman" w:hAnsi="Times New Roman" w:cs="Times New Roman"/>
                <w:noProof/>
                <w:sz w:val="18"/>
                <w:szCs w:val="18"/>
                <w:lang w:val="sv-SE" w:eastAsia="de-DE"/>
              </w:rPr>
              <w:t xml:space="preserve"> Intra MS (95%); Cross-border (95%)</w:t>
            </w:r>
          </w:p>
          <w:p>
            <w:pPr>
              <w:spacing w:before="120" w:after="20"/>
              <w:rPr>
                <w:rFonts w:ascii="Times New Roman" w:hAnsi="Times New Roman" w:cs="Times New Roman"/>
                <w:noProof/>
                <w:sz w:val="18"/>
                <w:szCs w:val="18"/>
                <w:lang w:val="sv-SE" w:eastAsia="de-DE"/>
              </w:rPr>
            </w:pPr>
            <w:r>
              <w:rPr>
                <w:rFonts w:ascii="Times New Roman" w:hAnsi="Times New Roman" w:cs="Times New Roman"/>
                <w:b/>
                <w:noProof/>
                <w:sz w:val="18"/>
                <w:szCs w:val="18"/>
                <w:lang w:val="sv-SE" w:eastAsia="de-DE"/>
              </w:rPr>
              <w:t>Aviation:</w:t>
            </w:r>
            <w:r>
              <w:rPr>
                <w:rFonts w:ascii="Times New Roman" w:hAnsi="Times New Roman" w:cs="Times New Roman"/>
                <w:noProof/>
                <w:sz w:val="18"/>
                <w:szCs w:val="18"/>
                <w:lang w:val="sv-SE" w:eastAsia="de-DE"/>
              </w:rPr>
              <w:t xml:space="preserve"> Intra MS (95%); Cross-border (95%)</w:t>
            </w:r>
          </w:p>
        </w:tc>
      </w:tr>
    </w:tbl>
    <w:p>
      <w:pPr>
        <w:keepNext/>
        <w:spacing w:before="240" w:line="240" w:lineRule="auto"/>
        <w:jc w:val="both"/>
        <w:rPr>
          <w:rFonts w:ascii="Times New Roman" w:eastAsia="Times New Roman" w:hAnsi="Times New Roman" w:cs="Times New Roman"/>
          <w:b/>
          <w:noProof/>
          <w:sz w:val="24"/>
          <w:szCs w:val="24"/>
          <w:u w:val="single"/>
          <w:lang w:eastAsia="de-DE"/>
        </w:rPr>
      </w:pPr>
      <w:bookmarkStart w:id="182" w:name="_Toc476649676"/>
      <w:bookmarkStart w:id="183" w:name="_Toc476755289"/>
      <w:r>
        <w:rPr>
          <w:rFonts w:ascii="Times New Roman" w:eastAsia="Times New Roman" w:hAnsi="Times New Roman" w:cs="Times New Roman"/>
          <w:b/>
          <w:noProof/>
          <w:sz w:val="24"/>
          <w:szCs w:val="24"/>
          <w:u w:val="single"/>
          <w:lang w:eastAsia="de-DE"/>
        </w:rPr>
        <w:t>Efficiency</w:t>
      </w:r>
    </w:p>
    <w:p>
      <w:pPr>
        <w:keepNext/>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combined measures under the four policy options have economic, social and environmental impacts. The net cost benefits ratio for all three options is positive, with the highest net benefits shown by PO3 and PO4 (over EUR 27 billion). The table below does not account for the additional costs for the public authorities for investments into IT systems to deal with electronic information and documentation exchanges, which will be highest under PO3 and PO4 due to the need to invest into IT systems/solutions to ensure the implementation of the obligation of acceptance of electronic transport information and documentation, and the wider scope of application of the obligation of acceptance. However, it accounts for the </w:t>
      </w:r>
      <w:r>
        <w:rPr>
          <w:rFonts w:ascii="Times New Roman" w:eastAsia="Times New Roman" w:hAnsi="Times New Roman" w:cs="Times New Roman"/>
          <w:noProof/>
          <w:sz w:val="24"/>
          <w:szCs w:val="24"/>
        </w:rPr>
        <w:t xml:space="preserve">costs related to the certification of solution providers and the enforcement costs for public authorities. </w:t>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b/>
          <w:noProof/>
          <w:sz w:val="20"/>
          <w:szCs w:val="20"/>
        </w:rPr>
      </w:pPr>
      <w:r>
        <w:rPr>
          <w:rFonts w:ascii="Times New Roman" w:hAnsi="Times New Roman" w:cs="Times New Roman"/>
          <w:b/>
          <w:noProof/>
          <w:sz w:val="20"/>
          <w:szCs w:val="20"/>
        </w:rPr>
        <w:t>Table 7.3: Costs and benefits of the policy options relative to the baseline over the full deployment horizon of electronic transport documents (2018-2040), expressed as present value</w:t>
      </w:r>
    </w:p>
    <w:tbl>
      <w:tblPr>
        <w:tblW w:w="5000" w:type="pct"/>
        <w:tblLook w:val="04A0" w:firstRow="1" w:lastRow="0" w:firstColumn="1" w:lastColumn="0" w:noHBand="0" w:noVBand="1"/>
      </w:tblPr>
      <w:tblGrid>
        <w:gridCol w:w="5569"/>
        <w:gridCol w:w="1241"/>
        <w:gridCol w:w="1241"/>
        <w:gridCol w:w="1237"/>
      </w:tblGrid>
      <w:tr>
        <w:trPr>
          <w:trHeight w:val="432"/>
          <w:tblHeader/>
        </w:trPr>
        <w:tc>
          <w:tcPr>
            <w:tcW w:w="2998" w:type="pct"/>
            <w:tcBorders>
              <w:top w:val="single" w:sz="4" w:space="0" w:color="auto"/>
              <w:left w:val="single" w:sz="4" w:space="0" w:color="auto"/>
              <w:bottom w:val="single" w:sz="4" w:space="0" w:color="auto"/>
              <w:right w:val="single" w:sz="4" w:space="0" w:color="auto"/>
            </w:tcBorders>
            <w:shd w:val="clear" w:color="000000" w:fill="0070C0"/>
            <w:vAlign w:val="center"/>
            <w:hideMark/>
          </w:tcPr>
          <w:p>
            <w:pPr>
              <w:spacing w:after="0" w:line="240" w:lineRule="auto"/>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Net benefits (in EUR million, constant prices 2013)</w:t>
            </w:r>
          </w:p>
        </w:tc>
        <w:tc>
          <w:tcPr>
            <w:tcW w:w="668" w:type="pct"/>
            <w:tcBorders>
              <w:top w:val="single" w:sz="4" w:space="0" w:color="auto"/>
              <w:left w:val="nil"/>
              <w:bottom w:val="single" w:sz="4" w:space="0" w:color="auto"/>
              <w:right w:val="nil"/>
            </w:tcBorders>
            <w:shd w:val="clear" w:color="000000" w:fill="0070C0"/>
            <w:noWrap/>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PO1</w:t>
            </w:r>
          </w:p>
        </w:tc>
        <w:tc>
          <w:tcPr>
            <w:tcW w:w="668" w:type="pct"/>
            <w:tcBorders>
              <w:top w:val="single" w:sz="4" w:space="0" w:color="auto"/>
              <w:left w:val="single" w:sz="4" w:space="0" w:color="auto"/>
              <w:bottom w:val="single" w:sz="4" w:space="0" w:color="auto"/>
              <w:right w:val="single" w:sz="4" w:space="0" w:color="auto"/>
            </w:tcBorders>
            <w:shd w:val="clear" w:color="000000" w:fill="0070C0"/>
            <w:noWrap/>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PO2</w:t>
            </w:r>
          </w:p>
        </w:tc>
        <w:tc>
          <w:tcPr>
            <w:tcW w:w="667" w:type="pct"/>
            <w:tcBorders>
              <w:top w:val="single" w:sz="4" w:space="0" w:color="auto"/>
              <w:left w:val="nil"/>
              <w:bottom w:val="single" w:sz="4" w:space="0" w:color="auto"/>
              <w:right w:val="single" w:sz="4" w:space="0" w:color="auto"/>
            </w:tcBorders>
            <w:shd w:val="clear" w:color="000000" w:fill="0070C0"/>
            <w:noWrap/>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PO3/PO4</w:t>
            </w:r>
          </w:p>
        </w:tc>
      </w:tr>
      <w:tr>
        <w:trPr>
          <w:trHeight w:val="240"/>
        </w:trPr>
        <w:tc>
          <w:tcPr>
            <w:tcW w:w="2998"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100" w:firstLine="181"/>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Social benefits</w:t>
            </w:r>
          </w:p>
        </w:tc>
        <w:tc>
          <w:tcPr>
            <w:tcW w:w="668"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 </w:t>
            </w:r>
          </w:p>
        </w:tc>
        <w:tc>
          <w:tcPr>
            <w:tcW w:w="668"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 </w:t>
            </w:r>
          </w:p>
        </w:tc>
        <w:tc>
          <w:tcPr>
            <w:tcW w:w="667"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 </w:t>
            </w:r>
          </w:p>
        </w:tc>
      </w:tr>
      <w:tr>
        <w:trPr>
          <w:trHeight w:val="240"/>
        </w:trPr>
        <w:tc>
          <w:tcPr>
            <w:tcW w:w="2998"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200" w:firstLine="360"/>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Transport operators savings</w:t>
            </w:r>
          </w:p>
        </w:tc>
        <w:tc>
          <w:tcPr>
            <w:tcW w:w="668"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953</w:t>
            </w:r>
          </w:p>
        </w:tc>
        <w:tc>
          <w:tcPr>
            <w:tcW w:w="668"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8,411</w:t>
            </w:r>
          </w:p>
        </w:tc>
        <w:tc>
          <w:tcPr>
            <w:tcW w:w="667"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11,945</w:t>
            </w:r>
          </w:p>
        </w:tc>
      </w:tr>
      <w:tr>
        <w:trPr>
          <w:trHeight w:val="240"/>
        </w:trPr>
        <w:tc>
          <w:tcPr>
            <w:tcW w:w="2998"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200" w:firstLine="360"/>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External costs savings</w:t>
            </w:r>
          </w:p>
        </w:tc>
        <w:tc>
          <w:tcPr>
            <w:tcW w:w="668"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185</w:t>
            </w:r>
          </w:p>
        </w:tc>
        <w:tc>
          <w:tcPr>
            <w:tcW w:w="668"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361</w:t>
            </w:r>
          </w:p>
        </w:tc>
        <w:tc>
          <w:tcPr>
            <w:tcW w:w="667"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332</w:t>
            </w:r>
          </w:p>
        </w:tc>
      </w:tr>
      <w:tr>
        <w:trPr>
          <w:trHeight w:val="240"/>
        </w:trPr>
        <w:tc>
          <w:tcPr>
            <w:tcW w:w="2998"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300" w:firstLine="540"/>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Air pollution</w:t>
            </w:r>
          </w:p>
        </w:tc>
        <w:tc>
          <w:tcPr>
            <w:tcW w:w="668"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41</w:t>
            </w:r>
          </w:p>
        </w:tc>
        <w:tc>
          <w:tcPr>
            <w:tcW w:w="668"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12</w:t>
            </w:r>
          </w:p>
        </w:tc>
        <w:tc>
          <w:tcPr>
            <w:tcW w:w="667"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-41</w:t>
            </w:r>
          </w:p>
        </w:tc>
      </w:tr>
      <w:tr>
        <w:trPr>
          <w:trHeight w:val="218"/>
        </w:trPr>
        <w:tc>
          <w:tcPr>
            <w:tcW w:w="2998"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300" w:firstLine="540"/>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Congestion</w:t>
            </w:r>
          </w:p>
        </w:tc>
        <w:tc>
          <w:tcPr>
            <w:tcW w:w="668"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88</w:t>
            </w:r>
          </w:p>
        </w:tc>
        <w:tc>
          <w:tcPr>
            <w:tcW w:w="668"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261</w:t>
            </w:r>
          </w:p>
        </w:tc>
        <w:tc>
          <w:tcPr>
            <w:tcW w:w="667"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299</w:t>
            </w:r>
          </w:p>
        </w:tc>
      </w:tr>
      <w:tr>
        <w:trPr>
          <w:trHeight w:val="218"/>
        </w:trPr>
        <w:tc>
          <w:tcPr>
            <w:tcW w:w="2998"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300" w:firstLine="540"/>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Climate change</w:t>
            </w:r>
          </w:p>
        </w:tc>
        <w:tc>
          <w:tcPr>
            <w:tcW w:w="668"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56</w:t>
            </w:r>
          </w:p>
        </w:tc>
        <w:tc>
          <w:tcPr>
            <w:tcW w:w="668"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88</w:t>
            </w:r>
          </w:p>
        </w:tc>
        <w:tc>
          <w:tcPr>
            <w:tcW w:w="667"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74</w:t>
            </w:r>
          </w:p>
        </w:tc>
      </w:tr>
      <w:tr>
        <w:trPr>
          <w:trHeight w:val="218"/>
        </w:trPr>
        <w:tc>
          <w:tcPr>
            <w:tcW w:w="2998"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100" w:firstLine="181"/>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Total social benefits</w:t>
            </w:r>
          </w:p>
        </w:tc>
        <w:tc>
          <w:tcPr>
            <w:tcW w:w="668"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1,137</w:t>
            </w:r>
          </w:p>
        </w:tc>
        <w:tc>
          <w:tcPr>
            <w:tcW w:w="668"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8,772</w:t>
            </w:r>
          </w:p>
        </w:tc>
        <w:tc>
          <w:tcPr>
            <w:tcW w:w="667"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12,277</w:t>
            </w:r>
          </w:p>
        </w:tc>
      </w:tr>
      <w:tr>
        <w:trPr>
          <w:trHeight w:val="218"/>
        </w:trPr>
        <w:tc>
          <w:tcPr>
            <w:tcW w:w="2998"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100" w:firstLine="181"/>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Costs</w:t>
            </w:r>
          </w:p>
        </w:tc>
        <w:tc>
          <w:tcPr>
            <w:tcW w:w="668"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c>
          <w:tcPr>
            <w:tcW w:w="668"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c>
          <w:tcPr>
            <w:tcW w:w="667"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r>
      <w:tr>
        <w:trPr>
          <w:trHeight w:val="240"/>
        </w:trPr>
        <w:tc>
          <w:tcPr>
            <w:tcW w:w="2998"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200" w:firstLine="361"/>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Reduction in administrative costs for businesses*</w:t>
            </w:r>
          </w:p>
        </w:tc>
        <w:tc>
          <w:tcPr>
            <w:tcW w:w="668"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1,456</w:t>
            </w:r>
          </w:p>
        </w:tc>
        <w:tc>
          <w:tcPr>
            <w:tcW w:w="668"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12,865</w:t>
            </w:r>
          </w:p>
        </w:tc>
        <w:tc>
          <w:tcPr>
            <w:tcW w:w="667"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19,709</w:t>
            </w:r>
          </w:p>
        </w:tc>
      </w:tr>
      <w:tr>
        <w:trPr>
          <w:trHeight w:val="218"/>
        </w:trPr>
        <w:tc>
          <w:tcPr>
            <w:tcW w:w="2998"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200" w:firstLine="361"/>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Compliance costs for businesses</w:t>
            </w:r>
          </w:p>
        </w:tc>
        <w:tc>
          <w:tcPr>
            <w:tcW w:w="668"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-473</w:t>
            </w:r>
          </w:p>
        </w:tc>
        <w:tc>
          <w:tcPr>
            <w:tcW w:w="668"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-2,676</w:t>
            </w:r>
          </w:p>
        </w:tc>
        <w:tc>
          <w:tcPr>
            <w:tcW w:w="667"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-4,375</w:t>
            </w:r>
          </w:p>
        </w:tc>
      </w:tr>
      <w:tr>
        <w:trPr>
          <w:trHeight w:val="240"/>
        </w:trPr>
        <w:tc>
          <w:tcPr>
            <w:tcW w:w="2998"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200" w:firstLine="361"/>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Compliance costs for authorities</w:t>
            </w:r>
          </w:p>
        </w:tc>
        <w:tc>
          <w:tcPr>
            <w:tcW w:w="668"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668"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-251</w:t>
            </w:r>
          </w:p>
        </w:tc>
        <w:tc>
          <w:tcPr>
            <w:tcW w:w="667"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-268</w:t>
            </w:r>
          </w:p>
        </w:tc>
      </w:tr>
      <w:tr>
        <w:trPr>
          <w:trHeight w:val="240"/>
        </w:trPr>
        <w:tc>
          <w:tcPr>
            <w:tcW w:w="2998"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300" w:firstLine="540"/>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Certification costs</w:t>
            </w:r>
          </w:p>
        </w:tc>
        <w:tc>
          <w:tcPr>
            <w:tcW w:w="668"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668"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667"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-17</w:t>
            </w:r>
          </w:p>
        </w:tc>
      </w:tr>
      <w:tr>
        <w:trPr>
          <w:trHeight w:val="240"/>
        </w:trPr>
        <w:tc>
          <w:tcPr>
            <w:tcW w:w="2998"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300" w:firstLine="540"/>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Enforcement costs</w:t>
            </w:r>
          </w:p>
        </w:tc>
        <w:tc>
          <w:tcPr>
            <w:tcW w:w="668"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668"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-251</w:t>
            </w:r>
          </w:p>
        </w:tc>
        <w:tc>
          <w:tcPr>
            <w:tcW w:w="667"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-251</w:t>
            </w:r>
          </w:p>
        </w:tc>
      </w:tr>
      <w:tr>
        <w:trPr>
          <w:trHeight w:val="240"/>
        </w:trPr>
        <w:tc>
          <w:tcPr>
            <w:tcW w:w="2998"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100" w:firstLine="181"/>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Net benefits (present value)</w:t>
            </w:r>
          </w:p>
        </w:tc>
        <w:tc>
          <w:tcPr>
            <w:tcW w:w="668"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2,120</w:t>
            </w:r>
          </w:p>
        </w:tc>
        <w:tc>
          <w:tcPr>
            <w:tcW w:w="668"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18,710</w:t>
            </w:r>
          </w:p>
        </w:tc>
        <w:tc>
          <w:tcPr>
            <w:tcW w:w="667"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27,343</w:t>
            </w:r>
          </w:p>
        </w:tc>
      </w:tr>
    </w:tbl>
    <w:p>
      <w:pPr>
        <w:spacing w:after="0"/>
        <w:rPr>
          <w:rFonts w:ascii="Times New Roman" w:hAnsi="Times New Roman" w:cs="Times New Roman"/>
          <w:i/>
          <w:noProof/>
          <w:sz w:val="16"/>
          <w:szCs w:val="16"/>
        </w:rPr>
      </w:pPr>
      <w:r>
        <w:rPr>
          <w:rFonts w:ascii="Times New Roman" w:hAnsi="Times New Roman" w:cs="Times New Roman"/>
          <w:i/>
          <w:noProof/>
          <w:sz w:val="16"/>
          <w:szCs w:val="16"/>
        </w:rPr>
        <w:t>* the lower bound value</w:t>
      </w:r>
    </w:p>
    <w:p>
      <w:pPr>
        <w:rPr>
          <w:rFonts w:ascii="Times New Roman" w:hAnsi="Times New Roman" w:cs="Times New Roman"/>
          <w:i/>
          <w:noProof/>
          <w:sz w:val="16"/>
          <w:szCs w:val="16"/>
        </w:rPr>
      </w:pPr>
      <w:r>
        <w:rPr>
          <w:rFonts w:ascii="Times New Roman" w:hAnsi="Times New Roman" w:cs="Times New Roman"/>
          <w:i/>
          <w:noProof/>
          <w:sz w:val="16"/>
          <w:szCs w:val="16"/>
        </w:rPr>
        <w:t xml:space="preserve">Source: </w:t>
      </w:r>
      <w:r>
        <w:rPr>
          <w:rFonts w:ascii="Times New Roman" w:eastAsia="Times New Roman" w:hAnsi="Times New Roman" w:cs="Times New Roman"/>
          <w:i/>
          <w:noProof/>
          <w:sz w:val="18"/>
          <w:szCs w:val="18"/>
        </w:rPr>
        <w:t>PRIMES-TREMOVE Transport Model (ICCS-E3MLab) and Ecorys et al. (2018) Impact Assessment support study</w:t>
      </w:r>
      <w:r>
        <w:rPr>
          <w:rFonts w:ascii="Times New Roman" w:hAnsi="Times New Roman" w:cs="Times New Roman"/>
          <w:i/>
          <w:noProof/>
          <w:sz w:val="16"/>
          <w:szCs w:val="16"/>
        </w:rPr>
        <w:t xml:space="preserve"> </w:t>
      </w:r>
    </w:p>
    <w:p>
      <w:pPr>
        <w:spacing w:after="120" w:line="240" w:lineRule="auto"/>
        <w:jc w:val="both"/>
        <w:rPr>
          <w:rFonts w:ascii="Times New Roman" w:eastAsia="Times New Roman" w:hAnsi="Times New Roman" w:cs="Times New Roman"/>
          <w:b/>
          <w:noProof/>
          <w:sz w:val="24"/>
          <w:szCs w:val="24"/>
          <w:u w:val="single"/>
          <w:lang w:eastAsia="de-DE"/>
        </w:rPr>
      </w:pPr>
      <w:r>
        <w:rPr>
          <w:rFonts w:ascii="Times New Roman" w:eastAsia="Times New Roman" w:hAnsi="Times New Roman" w:cs="Times New Roman"/>
          <w:b/>
          <w:noProof/>
          <w:sz w:val="24"/>
          <w:szCs w:val="24"/>
          <w:u w:val="single"/>
          <w:lang w:eastAsia="de-DE"/>
        </w:rPr>
        <w:t>Coherence</w:t>
      </w:r>
      <w:bookmarkEnd w:id="182"/>
      <w:bookmarkEnd w:id="183"/>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In general, there are no specific issues regarding </w:t>
      </w:r>
      <w:r>
        <w:rPr>
          <w:rFonts w:ascii="Times New Roman" w:eastAsia="Times New Roman" w:hAnsi="Times New Roman" w:cs="Times New Roman"/>
          <w:b/>
          <w:noProof/>
          <w:sz w:val="24"/>
          <w:szCs w:val="20"/>
        </w:rPr>
        <w:t>internal coherence</w:t>
      </w:r>
      <w:r>
        <w:rPr>
          <w:rFonts w:ascii="Times New Roman" w:eastAsia="Times New Roman" w:hAnsi="Times New Roman" w:cs="Times New Roman"/>
          <w:noProof/>
          <w:sz w:val="24"/>
          <w:szCs w:val="20"/>
        </w:rPr>
        <w:t xml:space="preserve">, inconsistencies or gaps among the policy options, which were designed in a way to ensure that all drivers are addressed. </w:t>
      </w:r>
      <w:r>
        <w:rPr>
          <w:rFonts w:ascii="Times New Roman" w:eastAsia="Times New Roman" w:hAnsi="Times New Roman" w:cs="Times New Roman"/>
          <w:b/>
          <w:noProof/>
          <w:sz w:val="24"/>
          <w:szCs w:val="20"/>
        </w:rPr>
        <w:t>PO2, PO3</w:t>
      </w:r>
      <w:r>
        <w:rPr>
          <w:rFonts w:ascii="Times New Roman" w:eastAsia="Times New Roman" w:hAnsi="Times New Roman" w:cs="Times New Roman"/>
          <w:noProof/>
          <w:sz w:val="24"/>
          <w:szCs w:val="20"/>
        </w:rPr>
        <w:t xml:space="preserve"> and </w:t>
      </w:r>
      <w:r>
        <w:rPr>
          <w:rFonts w:ascii="Times New Roman" w:eastAsia="Times New Roman" w:hAnsi="Times New Roman" w:cs="Times New Roman"/>
          <w:b/>
          <w:noProof/>
          <w:sz w:val="24"/>
          <w:szCs w:val="20"/>
        </w:rPr>
        <w:t xml:space="preserve">PO4 </w:t>
      </w:r>
      <w:r>
        <w:rPr>
          <w:rFonts w:ascii="Times New Roman" w:eastAsia="Times New Roman" w:hAnsi="Times New Roman" w:cs="Times New Roman"/>
          <w:noProof/>
          <w:sz w:val="24"/>
          <w:szCs w:val="20"/>
        </w:rPr>
        <w:t xml:space="preserve">include mandatory measures that are expected to work in complementarity, strengthening the obligation of acceptance by the authorities and increasing legal clarity and consistency across modes. </w:t>
      </w:r>
      <w:r>
        <w:rPr>
          <w:rFonts w:ascii="Times New Roman" w:eastAsia="Times New Roman" w:hAnsi="Times New Roman" w:cs="Times New Roman"/>
          <w:b/>
          <w:noProof/>
          <w:sz w:val="24"/>
          <w:szCs w:val="20"/>
        </w:rPr>
        <w:t>PO3</w:t>
      </w:r>
      <w:r>
        <w:rPr>
          <w:rFonts w:ascii="Times New Roman" w:eastAsia="Times New Roman" w:hAnsi="Times New Roman" w:cs="Times New Roman"/>
          <w:noProof/>
          <w:sz w:val="24"/>
          <w:szCs w:val="20"/>
        </w:rPr>
        <w:t xml:space="preserve"> and </w:t>
      </w:r>
      <w:r>
        <w:rPr>
          <w:rFonts w:ascii="Times New Roman" w:eastAsia="Times New Roman" w:hAnsi="Times New Roman" w:cs="Times New Roman"/>
          <w:b/>
          <w:noProof/>
          <w:sz w:val="24"/>
          <w:szCs w:val="20"/>
        </w:rPr>
        <w:t>PO4</w:t>
      </w:r>
      <w:r>
        <w:rPr>
          <w:rFonts w:ascii="Times New Roman" w:eastAsia="Times New Roman" w:hAnsi="Times New Roman" w:cs="Times New Roman"/>
          <w:noProof/>
          <w:sz w:val="24"/>
          <w:szCs w:val="20"/>
        </w:rPr>
        <w:t xml:space="preserve"> include additional mandatory measures, aimed at limiting the room for interpretation in the application of the requirements for admissibility, thus further strengthening effectiveness. The corresponding measures in </w:t>
      </w:r>
      <w:r>
        <w:rPr>
          <w:rFonts w:ascii="Times New Roman" w:eastAsia="Times New Roman" w:hAnsi="Times New Roman" w:cs="Times New Roman"/>
          <w:b/>
          <w:noProof/>
          <w:sz w:val="24"/>
          <w:szCs w:val="20"/>
        </w:rPr>
        <w:t>PO1</w:t>
      </w:r>
      <w:r>
        <w:rPr>
          <w:rFonts w:ascii="Times New Roman" w:eastAsia="Times New Roman" w:hAnsi="Times New Roman" w:cs="Times New Roman"/>
          <w:noProof/>
          <w:sz w:val="24"/>
          <w:szCs w:val="20"/>
        </w:rPr>
        <w:t xml:space="preserve"> and </w:t>
      </w:r>
      <w:r>
        <w:rPr>
          <w:rFonts w:ascii="Times New Roman" w:eastAsia="Times New Roman" w:hAnsi="Times New Roman" w:cs="Times New Roman"/>
          <w:b/>
          <w:noProof/>
          <w:sz w:val="24"/>
          <w:szCs w:val="20"/>
        </w:rPr>
        <w:t xml:space="preserve">PO2 </w:t>
      </w:r>
      <w:r>
        <w:rPr>
          <w:rFonts w:ascii="Times New Roman" w:eastAsia="Times New Roman" w:hAnsi="Times New Roman" w:cs="Times New Roman"/>
          <w:noProof/>
          <w:sz w:val="24"/>
          <w:szCs w:val="20"/>
        </w:rPr>
        <w:t xml:space="preserve">are only voluntary, which may not be adopted by all Member States and thus, in practice, only partly address the problem identified. Coherence of </w:t>
      </w:r>
      <w:r>
        <w:rPr>
          <w:rFonts w:ascii="Times New Roman" w:eastAsia="Times New Roman" w:hAnsi="Times New Roman" w:cs="Times New Roman"/>
          <w:b/>
          <w:noProof/>
          <w:sz w:val="24"/>
          <w:szCs w:val="20"/>
        </w:rPr>
        <w:t>PO1</w:t>
      </w:r>
      <w:r>
        <w:rPr>
          <w:rFonts w:ascii="Times New Roman" w:eastAsia="Times New Roman" w:hAnsi="Times New Roman" w:cs="Times New Roman"/>
          <w:noProof/>
          <w:sz w:val="24"/>
          <w:szCs w:val="20"/>
        </w:rPr>
        <w:t xml:space="preserve"> with the other options is more limited, insofar as the mandatory measure included is limited in the scope of the modes covered, relying primarily on voluntary measures for ensuring implementation by authorities of the obligation of acceptance.  </w:t>
      </w:r>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As regards </w:t>
      </w:r>
      <w:r>
        <w:rPr>
          <w:rFonts w:ascii="Times New Roman" w:eastAsia="Times New Roman" w:hAnsi="Times New Roman" w:cs="Times New Roman"/>
          <w:b/>
          <w:noProof/>
          <w:sz w:val="24"/>
          <w:szCs w:val="20"/>
        </w:rPr>
        <w:t>coherence with key EU policy objectives</w:t>
      </w:r>
      <w:r>
        <w:rPr>
          <w:rFonts w:ascii="Times New Roman" w:eastAsia="Times New Roman" w:hAnsi="Times New Roman" w:cs="Times New Roman"/>
          <w:noProof/>
          <w:sz w:val="24"/>
          <w:szCs w:val="20"/>
        </w:rPr>
        <w:t xml:space="preserve">, the main aspects considered contribute to the following overall EU policy objectives: reducing barriers to the internal market (including for SMEs), reducing barriers to multimodality in transport, and enabling the development of e-Government services and, therefore, of the Digital Single Market. Due to their low degree of effectiveness in achieving the specific objectives of the initiative, </w:t>
      </w:r>
      <w:r>
        <w:rPr>
          <w:rFonts w:ascii="Times New Roman" w:eastAsia="Times New Roman" w:hAnsi="Times New Roman" w:cs="Times New Roman"/>
          <w:b/>
          <w:noProof/>
          <w:sz w:val="24"/>
          <w:szCs w:val="20"/>
        </w:rPr>
        <w:t>PO1</w:t>
      </w:r>
      <w:r>
        <w:rPr>
          <w:rFonts w:ascii="Times New Roman" w:eastAsia="Times New Roman" w:hAnsi="Times New Roman" w:cs="Times New Roman"/>
          <w:noProof/>
          <w:sz w:val="24"/>
          <w:szCs w:val="20"/>
        </w:rPr>
        <w:t xml:space="preserve"> and </w:t>
      </w:r>
      <w:r>
        <w:rPr>
          <w:rFonts w:ascii="Times New Roman" w:eastAsia="Times New Roman" w:hAnsi="Times New Roman" w:cs="Times New Roman"/>
          <w:b/>
          <w:noProof/>
          <w:sz w:val="24"/>
          <w:szCs w:val="20"/>
        </w:rPr>
        <w:t>PO2</w:t>
      </w:r>
      <w:r>
        <w:rPr>
          <w:rFonts w:ascii="Times New Roman" w:eastAsia="Times New Roman" w:hAnsi="Times New Roman" w:cs="Times New Roman"/>
          <w:noProof/>
          <w:sz w:val="24"/>
          <w:szCs w:val="20"/>
        </w:rPr>
        <w:t xml:space="preserve"> will have a corresponding lower coherence with the key EU objectives identified. Conversely, </w:t>
      </w:r>
      <w:r>
        <w:rPr>
          <w:rFonts w:ascii="Times New Roman" w:eastAsia="Times New Roman" w:hAnsi="Times New Roman" w:cs="Times New Roman"/>
          <w:b/>
          <w:noProof/>
          <w:sz w:val="24"/>
          <w:szCs w:val="20"/>
        </w:rPr>
        <w:t xml:space="preserve">PO3 </w:t>
      </w:r>
      <w:r>
        <w:rPr>
          <w:rFonts w:ascii="Times New Roman" w:eastAsia="Times New Roman" w:hAnsi="Times New Roman" w:cs="Times New Roman"/>
          <w:noProof/>
          <w:sz w:val="24"/>
          <w:szCs w:val="20"/>
        </w:rPr>
        <w:t xml:space="preserve">and </w:t>
      </w:r>
      <w:r>
        <w:rPr>
          <w:rFonts w:ascii="Times New Roman" w:eastAsia="Times New Roman" w:hAnsi="Times New Roman" w:cs="Times New Roman"/>
          <w:b/>
          <w:noProof/>
          <w:sz w:val="24"/>
          <w:szCs w:val="20"/>
        </w:rPr>
        <w:t>PO4</w:t>
      </w:r>
      <w:r>
        <w:rPr>
          <w:rFonts w:ascii="Times New Roman" w:eastAsia="Times New Roman" w:hAnsi="Times New Roman" w:cs="Times New Roman"/>
          <w:noProof/>
          <w:sz w:val="24"/>
          <w:szCs w:val="20"/>
        </w:rPr>
        <w:t xml:space="preserve"> are expected to improve coherence with other EU policies. Furthermore, as highlighted earlier, PO3 and PO4 are also likely to have stronger positive impact on the SMEs, including in the IT sector, as these options provide a clear blueprint for the development of the electronic documentation. </w:t>
      </w:r>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As regards </w:t>
      </w:r>
      <w:r>
        <w:rPr>
          <w:rFonts w:ascii="Times New Roman" w:eastAsia="Times New Roman" w:hAnsi="Times New Roman" w:cs="Times New Roman"/>
          <w:b/>
          <w:noProof/>
          <w:sz w:val="24"/>
          <w:szCs w:val="20"/>
        </w:rPr>
        <w:t>coherence with other relevant EU legislation</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all policy options</w:t>
      </w:r>
      <w:r>
        <w:rPr>
          <w:rFonts w:ascii="Times New Roman" w:eastAsia="Times New Roman" w:hAnsi="Times New Roman" w:cs="Times New Roman"/>
          <w:noProof/>
          <w:sz w:val="24"/>
          <w:szCs w:val="20"/>
        </w:rPr>
        <w:t xml:space="preserve"> (though particularly PO3 and PO4, and to a lesser extent PO1 and PO2) provide synergies in terms of facilitating international transport and trade, including with third countries, reducing administrative and other operational costs for business, and overall improving administrative cooperation and consistency and effectiveness of cross-border enforcement of EU transport legislation with better use of digital tools for electronic data exchange. A detailed analysis of the coherence of the initiative with EU legislation in force, as well as with ongoing proposals and initiatives currently under consideration is provided in Annex 7. </w:t>
      </w:r>
    </w:p>
    <w:p>
      <w:pPr>
        <w:spacing w:after="120" w:line="240" w:lineRule="auto"/>
        <w:jc w:val="both"/>
        <w:rPr>
          <w:noProof/>
        </w:rPr>
      </w:pPr>
      <w:r>
        <w:rPr>
          <w:rFonts w:ascii="Times New Roman" w:hAnsi="Times New Roman" w:cs="Times New Roman"/>
          <w:b/>
          <w:noProof/>
          <w:sz w:val="24"/>
          <w:szCs w:val="24"/>
        </w:rPr>
        <w:t>PO3</w:t>
      </w:r>
      <w:r>
        <w:rPr>
          <w:rFonts w:ascii="Times New Roman" w:hAnsi="Times New Roman" w:cs="Times New Roman"/>
          <w:noProof/>
          <w:sz w:val="24"/>
          <w:szCs w:val="24"/>
        </w:rPr>
        <w:t xml:space="preserve"> and </w:t>
      </w:r>
      <w:r>
        <w:rPr>
          <w:rFonts w:ascii="Times New Roman" w:hAnsi="Times New Roman" w:cs="Times New Roman"/>
          <w:b/>
          <w:noProof/>
          <w:sz w:val="24"/>
          <w:szCs w:val="24"/>
        </w:rPr>
        <w:t xml:space="preserve">PO4 </w:t>
      </w:r>
      <w:r>
        <w:rPr>
          <w:rFonts w:ascii="Times New Roman" w:hAnsi="Times New Roman" w:cs="Times New Roman"/>
          <w:noProof/>
          <w:sz w:val="24"/>
          <w:szCs w:val="24"/>
        </w:rPr>
        <w:t>envisage</w:t>
      </w:r>
      <w:r>
        <w:rPr>
          <w:rFonts w:ascii="Times New Roman" w:hAnsi="Times New Roman" w:cs="Times New Roman"/>
          <w:b/>
          <w:noProof/>
          <w:sz w:val="24"/>
          <w:szCs w:val="24"/>
        </w:rPr>
        <w:t xml:space="preserve"> </w:t>
      </w:r>
      <w:r>
        <w:rPr>
          <w:rFonts w:ascii="Times New Roman" w:hAnsi="Times New Roman" w:cs="Times New Roman"/>
          <w:noProof/>
          <w:sz w:val="24"/>
          <w:szCs w:val="24"/>
        </w:rPr>
        <w:t>adoption of technical specifications for implementation of requirements related to acceptance of the electronic information and documentation, which are concurrent to similar measures considered under the impact assessment, undertaken in parallel to the present one, for the revision of the maritime Reporting Formalities Directive. Insofar as the scope of the two initiatives is expected to overlap – namely on the identification of a (maximal) data set to be concerned by some of those specifications – mitigation measures in the sense of ensuring coordination and alignment in the adoption of those specifications, are envisaged.</w:t>
      </w:r>
    </w:p>
    <w:p>
      <w:pPr>
        <w:spacing w:after="120" w:line="240" w:lineRule="auto"/>
        <w:jc w:val="both"/>
        <w:rPr>
          <w:rFonts w:ascii="Times New Roman" w:eastAsia="Times New Roman" w:hAnsi="Times New Roman" w:cs="Times New Roman"/>
          <w:b/>
          <w:noProof/>
          <w:sz w:val="24"/>
          <w:szCs w:val="24"/>
          <w:u w:val="single"/>
          <w:lang w:eastAsia="de-DE"/>
        </w:rPr>
      </w:pPr>
      <w:r>
        <w:rPr>
          <w:rFonts w:ascii="Times New Roman" w:eastAsia="Times New Roman" w:hAnsi="Times New Roman" w:cs="Times New Roman"/>
          <w:b/>
          <w:noProof/>
          <w:sz w:val="24"/>
          <w:szCs w:val="24"/>
          <w:u w:val="single"/>
          <w:lang w:eastAsia="de-DE"/>
        </w:rPr>
        <w:t>Proportionality and subsidiarity</w:t>
      </w:r>
    </w:p>
    <w:p>
      <w:pPr>
        <w:pStyle w:val="Corps"/>
        <w:spacing w:after="120" w:line="240" w:lineRule="auto"/>
        <w:jc w:val="both"/>
        <w:rPr>
          <w:rFonts w:ascii="Times New Roman" w:eastAsiaTheme="minorHAnsi" w:hAnsi="Times New Roman" w:cs="Times New Roman"/>
          <w:noProof/>
          <w:color w:val="auto"/>
          <w:sz w:val="24"/>
          <w:szCs w:val="24"/>
          <w:bdr w:val="none" w:sz="0" w:space="0" w:color="auto"/>
          <w:lang w:val="en-GB" w:eastAsia="en-US"/>
        </w:rPr>
      </w:pPr>
      <w:r>
        <w:rPr>
          <w:rFonts w:ascii="Times New Roman" w:eastAsiaTheme="minorHAnsi" w:hAnsi="Times New Roman" w:cs="Times New Roman"/>
          <w:noProof/>
          <w:color w:val="auto"/>
          <w:sz w:val="24"/>
          <w:szCs w:val="24"/>
          <w:bdr w:val="none" w:sz="0" w:space="0" w:color="auto"/>
          <w:lang w:val="en-GB" w:eastAsia="en-US"/>
        </w:rPr>
        <w:t xml:space="preserve">None of the options goes beyond what is necessary to achieve the objectives. </w:t>
      </w:r>
    </w:p>
    <w:p>
      <w:pPr>
        <w:pBdr>
          <w:top w:val="nil"/>
          <w:left w:val="nil"/>
          <w:bottom w:val="nil"/>
          <w:right w:val="nil"/>
          <w:between w:val="nil"/>
          <w:bar w:val="nil"/>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set of measures designed to address the first specific policy objective in all policy options establish the obligation of authorities to accept the electronic information/documents, but do not impose the obligation to use the electronic form on the businesses, neither in B2A nor in B2B (business-to-business) relations. Imposing such obligation on the latter would ensure full digitalisation of freight transport information and document exchanges, but it is not necessary in order to ensure acceptance on the part of the authorities. Furthermore, most industry associations argued during the stakeholder consultation that the business is ready and will move towards full digitalisation when the authorities will eventually allow it.  </w:t>
      </w:r>
    </w:p>
    <w:p>
      <w:pPr>
        <w:pBdr>
          <w:top w:val="nil"/>
          <w:left w:val="nil"/>
          <w:bottom w:val="nil"/>
          <w:right w:val="nil"/>
          <w:between w:val="nil"/>
          <w:bar w:val="nil"/>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At the same time, the authorities are not required to accept any electronic source of information provided by the businesses. Rather, the measures take into account the need of authorities for authenticity and integrity assurance of the information /documents presented, and condition the obligation of the authorities to accept the latter if the electronic means used for their presentation comply with a determined set of requirements. In the case of PO1, these are the requirements set by the international conventions, whereas in PO1, PO2 and PO3, these measures are provided in the framework of the proposed EU legal act.  </w:t>
      </w:r>
    </w:p>
    <w:p>
      <w:pPr>
        <w:pBdr>
          <w:top w:val="nil"/>
          <w:left w:val="nil"/>
          <w:bottom w:val="nil"/>
          <w:right w:val="nil"/>
          <w:between w:val="nil"/>
          <w:bar w:val="nil"/>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set of measures aimed at achieving the second specific objective require Member States to cooperate in order to align their (future) digitalised processes of control of information/documents communicated electronically, including as regards the set of data elements their authorities require as necessary for fulfilling the information requirements as established in the relevant EU and national legal acts. These measures will ensure uniform rules for electronic information/documents verification, and will contribute to reducing administrative compliance costs (and therefore burden) for the business. But they do not require uniformization of the information requirements themselves as established in the respective EU and Member State legislation. In PO1 and PO2, these take the form of support measures, for voluntary coordination among the Member States. In PO3 and PO4, such cooperation is mandated through regulatory provisions in the framework of the proposed legal act.</w:t>
      </w:r>
    </w:p>
    <w:p>
      <w:pPr>
        <w:pBdr>
          <w:top w:val="nil"/>
          <w:left w:val="nil"/>
          <w:bottom w:val="nil"/>
          <w:right w:val="nil"/>
          <w:between w:val="nil"/>
          <w:bar w:val="nil"/>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set of measures aimed at achieving the third specific objective establish the requirements the electronic means used by the business to provide to the authorities the requested regulatory information should comply with, and provide for the development of technical specifications for their implementation. These requirements and the related technical specifications will ensure the interoperability of the IT systems used by the different Member States authorities, among them and with the solutions used by the business, as well as facilitate this interoperability across the (currently highly transport mode-specific) B2A and B2B solutions. In PO1 and PO2, the developments of the technical specifications are promoted by means of non-binding measures supporting voluntary cooperation and implementation by the Member States. In PO3 and PO4, the development and implementation of the technical specifications will be mandated through regulatory provisions in the framework of the proposed legal act.</w:t>
      </w:r>
    </w:p>
    <w:p>
      <w:pPr>
        <w:keepNext/>
        <w:spacing w:after="120" w:line="240" w:lineRule="auto"/>
        <w:jc w:val="both"/>
        <w:rPr>
          <w:rFonts w:ascii="Times New Roman" w:eastAsia="Times New Roman" w:hAnsi="Times New Roman" w:cs="Times New Roman"/>
          <w:b/>
          <w:noProof/>
          <w:sz w:val="24"/>
          <w:szCs w:val="24"/>
          <w:u w:val="single"/>
          <w:lang w:eastAsia="de-DE"/>
        </w:rPr>
      </w:pPr>
      <w:r>
        <w:rPr>
          <w:rFonts w:ascii="Times New Roman" w:eastAsia="Times New Roman" w:hAnsi="Times New Roman" w:cs="Times New Roman"/>
          <w:b/>
          <w:noProof/>
          <w:sz w:val="24"/>
          <w:szCs w:val="24"/>
          <w:u w:val="single"/>
          <w:lang w:eastAsia="de-DE"/>
        </w:rPr>
        <w:t xml:space="preserve">Sensitivity analysis </w:t>
      </w:r>
    </w:p>
    <w:p>
      <w:pPr>
        <w:keepNext/>
        <w:pBdr>
          <w:top w:val="nil"/>
          <w:left w:val="nil"/>
          <w:bottom w:val="nil"/>
          <w:right w:val="nil"/>
          <w:between w:val="nil"/>
          <w:bar w:val="nil"/>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Sensitivity analysis has been performed with respect to the uptake levels of the electronic transport documents. More specifically, lower uptake rates (10 percentage points lower) for the levels of the electronic transport documents have been assumed for all transport modes relative to PO3/PO4. </w:t>
      </w:r>
    </w:p>
    <w:p>
      <w:pPr>
        <w:pBdr>
          <w:top w:val="nil"/>
          <w:left w:val="nil"/>
          <w:bottom w:val="nil"/>
          <w:right w:val="nil"/>
          <w:between w:val="nil"/>
          <w:bar w:val="nil"/>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results of the sensitivity analysis (so-called PO3a/PO4a below) indicate that lower uptake of electronic transport documents would have an impact on the net benefits. PO3a/PO4a would however still result in EUR 23 billion net benefits over the full deployment horizon of electronic transport documents (2018-2040), expressed as present value. In addition, the ranking of the policy options would not change (see Figure 7.1).</w:t>
      </w:r>
    </w:p>
    <w:p>
      <w:pPr>
        <w:keepNext/>
        <w:spacing w:after="0" w:line="240" w:lineRule="auto"/>
        <w:jc w:val="both"/>
        <w:rPr>
          <w:rFonts w:ascii="Times New Roman" w:hAnsi="Times New Roman" w:cs="Times New Roman"/>
          <w:b/>
          <w:noProof/>
          <w:sz w:val="20"/>
          <w:szCs w:val="20"/>
        </w:rPr>
      </w:pPr>
      <w:r>
        <w:rPr>
          <w:rFonts w:ascii="Times New Roman" w:hAnsi="Times New Roman" w:cs="Times New Roman"/>
          <w:b/>
          <w:noProof/>
          <w:sz w:val="20"/>
          <w:szCs w:val="20"/>
        </w:rPr>
        <w:t>Figure 7.1: Net benefits of policy options and PO3a/PO4a (sensitivity analysis) relative to the baseline over the full deployment horizon of electronic transport documents (2018-2040), expressed as present value</w:t>
      </w:r>
    </w:p>
    <w:p>
      <w:pPr>
        <w:keepNext/>
        <w:pBdr>
          <w:top w:val="nil"/>
          <w:left w:val="nil"/>
          <w:bottom w:val="nil"/>
          <w:right w:val="nil"/>
          <w:between w:val="nil"/>
          <w:bar w:val="nil"/>
        </w:pBdr>
        <w:spacing w:after="120" w:line="240" w:lineRule="auto"/>
        <w:jc w:val="both"/>
        <w:rPr>
          <w:rFonts w:ascii="Times New Roman" w:hAnsi="Times New Roman" w:cs="Times New Roman"/>
          <w:noProof/>
          <w:sz w:val="24"/>
          <w:szCs w:val="24"/>
        </w:rPr>
      </w:pPr>
      <w:r>
        <w:rPr>
          <w:noProof/>
          <w:lang w:val="en-US"/>
        </w:rPr>
        <w:drawing>
          <wp:inline distT="0" distB="0" distL="0" distR="0">
            <wp:extent cx="4572000" cy="2743200"/>
            <wp:effectExtent l="0" t="0" r="0" b="0"/>
            <wp:docPr id="14" name="Chart 14">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7205CB2E-01B2-49E8-ABF5-506432718A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rPr>
          <w:rFonts w:ascii="Times New Roman" w:hAnsi="Times New Roman" w:cs="Times New Roman"/>
          <w:i/>
          <w:noProof/>
          <w:sz w:val="16"/>
          <w:szCs w:val="16"/>
        </w:rPr>
      </w:pPr>
      <w:r>
        <w:rPr>
          <w:rFonts w:ascii="Times New Roman" w:hAnsi="Times New Roman" w:cs="Times New Roman"/>
          <w:i/>
          <w:noProof/>
          <w:sz w:val="16"/>
          <w:szCs w:val="16"/>
        </w:rPr>
        <w:t xml:space="preserve">Source: </w:t>
      </w:r>
      <w:r>
        <w:rPr>
          <w:rFonts w:ascii="Times New Roman" w:eastAsia="Times New Roman" w:hAnsi="Times New Roman" w:cs="Times New Roman"/>
          <w:i/>
          <w:noProof/>
          <w:sz w:val="18"/>
          <w:szCs w:val="18"/>
        </w:rPr>
        <w:t>PRIMES-TREMOVE Transport Model (ICCS-E3MLab) and Ecorys et al. (2018) Impact Assessment support study</w:t>
      </w:r>
      <w:r>
        <w:rPr>
          <w:rFonts w:ascii="Times New Roman" w:hAnsi="Times New Roman" w:cs="Times New Roman"/>
          <w:i/>
          <w:noProof/>
          <w:sz w:val="16"/>
          <w:szCs w:val="16"/>
        </w:rPr>
        <w:t xml:space="preserve"> </w:t>
      </w:r>
    </w:p>
    <w:p>
      <w:pPr>
        <w:pBdr>
          <w:top w:val="nil"/>
          <w:left w:val="nil"/>
          <w:bottom w:val="nil"/>
          <w:right w:val="nil"/>
          <w:between w:val="nil"/>
          <w:bar w:val="nil"/>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detailed costs and benefits of PO3a/PO4a relative to PO3/PO4 are presented in the Table 7.4. In addition, the assessment with the PRIMES-TREMOVE model by ICCS-E3MLab indicates that PO3a/PO4a would result in </w:t>
      </w:r>
      <w:r>
        <w:rPr>
          <w:rFonts w:ascii="Times New Roman" w:eastAsia="Times New Roman" w:hAnsi="Times New Roman" w:cs="Times New Roman"/>
          <w:noProof/>
          <w:sz w:val="24"/>
          <w:szCs w:val="20"/>
        </w:rPr>
        <w:t>0.3 percentage points decrease in road modal share in 2030 relative to the baseline (around 1,360 million tonnes-kilometres shifted away from road), similarly to PO3/PO4. However, the total freight transport activity is expected to increase by around 0.3% in 2030 relative to the baseline in PO3a/PO4a (compared to 0.4% in PO3/PO4). This is linked to the somewhat lower reduction in the administrative costs for businesses in PO3a/PO4a relative to PO3/PO4. The lower increase in total freight transport activity in PO3a/PO4a is the reason for the higher external costs savings relative to PO3/PO4.</w:t>
      </w:r>
    </w:p>
    <w:p>
      <w:pPr>
        <w:spacing w:after="0" w:line="240" w:lineRule="auto"/>
        <w:jc w:val="both"/>
        <w:rPr>
          <w:rFonts w:ascii="Times New Roman" w:hAnsi="Times New Roman" w:cs="Times New Roman"/>
          <w:b/>
          <w:noProof/>
          <w:sz w:val="20"/>
          <w:szCs w:val="20"/>
        </w:rPr>
      </w:pPr>
      <w:r>
        <w:rPr>
          <w:rFonts w:ascii="Times New Roman" w:hAnsi="Times New Roman" w:cs="Times New Roman"/>
          <w:b/>
          <w:noProof/>
          <w:sz w:val="20"/>
          <w:szCs w:val="20"/>
        </w:rPr>
        <w:t>Table 7.4: Costs and benefits of PO3/PO4 and PO3a/PO4a (sensitivity analysis) relative to the baseline over the full deployment horizon of electronic transport documents (2018-2040), expressed as present value</w:t>
      </w:r>
    </w:p>
    <w:tbl>
      <w:tblPr>
        <w:tblW w:w="5000" w:type="pct"/>
        <w:tblLook w:val="04A0" w:firstRow="1" w:lastRow="0" w:firstColumn="1" w:lastColumn="0" w:noHBand="0" w:noVBand="1"/>
      </w:tblPr>
      <w:tblGrid>
        <w:gridCol w:w="6517"/>
        <w:gridCol w:w="1441"/>
        <w:gridCol w:w="1330"/>
      </w:tblGrid>
      <w:tr>
        <w:trPr>
          <w:trHeight w:val="432"/>
          <w:tblHeader/>
        </w:trPr>
        <w:tc>
          <w:tcPr>
            <w:tcW w:w="3508" w:type="pct"/>
            <w:tcBorders>
              <w:top w:val="single" w:sz="4" w:space="0" w:color="auto"/>
              <w:left w:val="single" w:sz="4" w:space="0" w:color="auto"/>
              <w:bottom w:val="single" w:sz="4" w:space="0" w:color="auto"/>
              <w:right w:val="single" w:sz="4" w:space="0" w:color="auto"/>
            </w:tcBorders>
            <w:shd w:val="clear" w:color="000000" w:fill="0070C0"/>
            <w:vAlign w:val="center"/>
            <w:hideMark/>
          </w:tcPr>
          <w:p>
            <w:pPr>
              <w:spacing w:after="0" w:line="240" w:lineRule="auto"/>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Net benefits (in EUR million, constant prices 2013)</w:t>
            </w:r>
          </w:p>
        </w:tc>
        <w:tc>
          <w:tcPr>
            <w:tcW w:w="776" w:type="pct"/>
            <w:tcBorders>
              <w:top w:val="single" w:sz="4" w:space="0" w:color="auto"/>
              <w:left w:val="nil"/>
              <w:bottom w:val="single" w:sz="4" w:space="0" w:color="auto"/>
              <w:right w:val="single" w:sz="4" w:space="0" w:color="auto"/>
            </w:tcBorders>
            <w:shd w:val="clear" w:color="000000" w:fill="0070C0"/>
            <w:noWrap/>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PO3/PO4</w:t>
            </w:r>
          </w:p>
        </w:tc>
        <w:tc>
          <w:tcPr>
            <w:tcW w:w="716" w:type="pct"/>
            <w:tcBorders>
              <w:top w:val="single" w:sz="4" w:space="0" w:color="auto"/>
              <w:left w:val="nil"/>
              <w:bottom w:val="single" w:sz="4" w:space="0" w:color="auto"/>
              <w:right w:val="single" w:sz="4" w:space="0" w:color="auto"/>
            </w:tcBorders>
            <w:shd w:val="clear" w:color="000000" w:fill="0070C0"/>
            <w:noWrap/>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PO3a/PO4a</w:t>
            </w:r>
          </w:p>
        </w:tc>
      </w:tr>
      <w:tr>
        <w:trPr>
          <w:trHeight w:val="228"/>
        </w:trPr>
        <w:tc>
          <w:tcPr>
            <w:tcW w:w="3508" w:type="pct"/>
            <w:tcBorders>
              <w:top w:val="nil"/>
              <w:left w:val="single" w:sz="4" w:space="0" w:color="auto"/>
              <w:bottom w:val="single" w:sz="4" w:space="0" w:color="auto"/>
              <w:right w:val="single" w:sz="4" w:space="0" w:color="auto"/>
            </w:tcBorders>
            <w:shd w:val="clear" w:color="000000" w:fill="FFFFFF"/>
            <w:vAlign w:val="center"/>
            <w:hideMark/>
          </w:tcPr>
          <w:p>
            <w:pPr>
              <w:spacing w:after="0" w:line="240" w:lineRule="auto"/>
              <w:ind w:firstLineChars="100" w:firstLine="181"/>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Social benefits</w:t>
            </w:r>
          </w:p>
        </w:tc>
        <w:tc>
          <w:tcPr>
            <w:tcW w:w="77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 </w:t>
            </w:r>
          </w:p>
        </w:tc>
        <w:tc>
          <w:tcPr>
            <w:tcW w:w="716" w:type="pct"/>
            <w:tcBorders>
              <w:top w:val="nil"/>
              <w:left w:val="nil"/>
              <w:bottom w:val="nil"/>
              <w:right w:val="single" w:sz="4" w:space="0" w:color="auto"/>
            </w:tcBorders>
            <w:shd w:val="clear" w:color="000000" w:fill="FFFFFF"/>
            <w:noWrap/>
            <w:vAlign w:val="bottom"/>
            <w:hideMark/>
          </w:tcPr>
          <w:p>
            <w:pPr>
              <w:spacing w:after="0" w:line="240" w:lineRule="auto"/>
              <w:rPr>
                <w:rFonts w:ascii="Verdana" w:eastAsia="Times New Roman" w:hAnsi="Verdana" w:cs="Times New Roman"/>
                <w:noProof/>
                <w:color w:val="000000"/>
                <w:sz w:val="17"/>
                <w:szCs w:val="17"/>
                <w:lang w:eastAsia="en-GB"/>
              </w:rPr>
            </w:pPr>
            <w:r>
              <w:rPr>
                <w:rFonts w:ascii="Verdana" w:eastAsia="Times New Roman" w:hAnsi="Verdana" w:cs="Times New Roman"/>
                <w:noProof/>
                <w:color w:val="000000"/>
                <w:sz w:val="17"/>
                <w:szCs w:val="17"/>
                <w:lang w:eastAsia="en-GB"/>
              </w:rPr>
              <w:t> </w:t>
            </w:r>
          </w:p>
        </w:tc>
      </w:tr>
      <w:tr>
        <w:trPr>
          <w:trHeight w:val="240"/>
        </w:trPr>
        <w:tc>
          <w:tcPr>
            <w:tcW w:w="3508" w:type="pct"/>
            <w:tcBorders>
              <w:top w:val="nil"/>
              <w:left w:val="single" w:sz="4" w:space="0" w:color="auto"/>
              <w:bottom w:val="single" w:sz="4" w:space="0" w:color="auto"/>
              <w:right w:val="single" w:sz="4" w:space="0" w:color="auto"/>
            </w:tcBorders>
            <w:shd w:val="clear" w:color="000000" w:fill="FFFFFF"/>
            <w:vAlign w:val="center"/>
            <w:hideMark/>
          </w:tcPr>
          <w:p>
            <w:pPr>
              <w:spacing w:after="0" w:line="240" w:lineRule="auto"/>
              <w:ind w:firstLineChars="200" w:firstLine="360"/>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Transport operators savings</w:t>
            </w:r>
          </w:p>
        </w:tc>
        <w:tc>
          <w:tcPr>
            <w:tcW w:w="77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11,945</w:t>
            </w:r>
          </w:p>
        </w:tc>
        <w:tc>
          <w:tcPr>
            <w:tcW w:w="716" w:type="pct"/>
            <w:tcBorders>
              <w:top w:val="single" w:sz="4" w:space="0" w:color="auto"/>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10,266</w:t>
            </w:r>
          </w:p>
        </w:tc>
      </w:tr>
      <w:tr>
        <w:trPr>
          <w:trHeight w:val="240"/>
        </w:trPr>
        <w:tc>
          <w:tcPr>
            <w:tcW w:w="3508" w:type="pct"/>
            <w:tcBorders>
              <w:top w:val="nil"/>
              <w:left w:val="single" w:sz="4" w:space="0" w:color="auto"/>
              <w:bottom w:val="single" w:sz="4" w:space="0" w:color="auto"/>
              <w:right w:val="single" w:sz="4" w:space="0" w:color="auto"/>
            </w:tcBorders>
            <w:shd w:val="clear" w:color="000000" w:fill="FFFFFF"/>
            <w:vAlign w:val="center"/>
            <w:hideMark/>
          </w:tcPr>
          <w:p>
            <w:pPr>
              <w:spacing w:after="0" w:line="240" w:lineRule="auto"/>
              <w:ind w:firstLineChars="200" w:firstLine="360"/>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External costs savings</w:t>
            </w:r>
          </w:p>
        </w:tc>
        <w:tc>
          <w:tcPr>
            <w:tcW w:w="77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332</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465</w:t>
            </w:r>
          </w:p>
        </w:tc>
      </w:tr>
      <w:tr>
        <w:trPr>
          <w:trHeight w:val="240"/>
        </w:trPr>
        <w:tc>
          <w:tcPr>
            <w:tcW w:w="3508" w:type="pct"/>
            <w:tcBorders>
              <w:top w:val="nil"/>
              <w:left w:val="single" w:sz="4" w:space="0" w:color="auto"/>
              <w:bottom w:val="single" w:sz="4" w:space="0" w:color="auto"/>
              <w:right w:val="single" w:sz="4" w:space="0" w:color="auto"/>
            </w:tcBorders>
            <w:shd w:val="clear" w:color="000000" w:fill="FFFFFF"/>
            <w:vAlign w:val="center"/>
            <w:hideMark/>
          </w:tcPr>
          <w:p>
            <w:pPr>
              <w:spacing w:after="0" w:line="240" w:lineRule="auto"/>
              <w:ind w:firstLineChars="300" w:firstLine="540"/>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Air pollution</w:t>
            </w:r>
          </w:p>
        </w:tc>
        <w:tc>
          <w:tcPr>
            <w:tcW w:w="77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-41</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13</w:t>
            </w:r>
          </w:p>
        </w:tc>
      </w:tr>
      <w:tr>
        <w:trPr>
          <w:trHeight w:val="219"/>
        </w:trPr>
        <w:tc>
          <w:tcPr>
            <w:tcW w:w="3508" w:type="pct"/>
            <w:tcBorders>
              <w:top w:val="nil"/>
              <w:left w:val="single" w:sz="4" w:space="0" w:color="auto"/>
              <w:bottom w:val="single" w:sz="4" w:space="0" w:color="auto"/>
              <w:right w:val="single" w:sz="4" w:space="0" w:color="auto"/>
            </w:tcBorders>
            <w:shd w:val="clear" w:color="000000" w:fill="FFFFFF"/>
            <w:vAlign w:val="center"/>
            <w:hideMark/>
          </w:tcPr>
          <w:p>
            <w:pPr>
              <w:spacing w:after="0" w:line="240" w:lineRule="auto"/>
              <w:ind w:firstLineChars="300" w:firstLine="540"/>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Congestion</w:t>
            </w:r>
          </w:p>
        </w:tc>
        <w:tc>
          <w:tcPr>
            <w:tcW w:w="77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299</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333</w:t>
            </w:r>
          </w:p>
        </w:tc>
      </w:tr>
      <w:tr>
        <w:trPr>
          <w:trHeight w:val="219"/>
        </w:trPr>
        <w:tc>
          <w:tcPr>
            <w:tcW w:w="3508" w:type="pct"/>
            <w:tcBorders>
              <w:top w:val="nil"/>
              <w:left w:val="single" w:sz="4" w:space="0" w:color="auto"/>
              <w:bottom w:val="single" w:sz="4" w:space="0" w:color="auto"/>
              <w:right w:val="single" w:sz="4" w:space="0" w:color="auto"/>
            </w:tcBorders>
            <w:shd w:val="clear" w:color="000000" w:fill="FFFFFF"/>
            <w:vAlign w:val="center"/>
            <w:hideMark/>
          </w:tcPr>
          <w:p>
            <w:pPr>
              <w:spacing w:after="0" w:line="240" w:lineRule="auto"/>
              <w:ind w:firstLineChars="300" w:firstLine="540"/>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Climate change</w:t>
            </w:r>
          </w:p>
        </w:tc>
        <w:tc>
          <w:tcPr>
            <w:tcW w:w="77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74</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119</w:t>
            </w:r>
          </w:p>
        </w:tc>
      </w:tr>
      <w:tr>
        <w:trPr>
          <w:trHeight w:val="219"/>
        </w:trPr>
        <w:tc>
          <w:tcPr>
            <w:tcW w:w="3508" w:type="pct"/>
            <w:tcBorders>
              <w:top w:val="nil"/>
              <w:left w:val="single" w:sz="4" w:space="0" w:color="auto"/>
              <w:bottom w:val="single" w:sz="4" w:space="0" w:color="auto"/>
              <w:right w:val="single" w:sz="4" w:space="0" w:color="auto"/>
            </w:tcBorders>
            <w:shd w:val="clear" w:color="000000" w:fill="FFFFFF"/>
            <w:vAlign w:val="center"/>
            <w:hideMark/>
          </w:tcPr>
          <w:p>
            <w:pPr>
              <w:spacing w:after="0" w:line="240" w:lineRule="auto"/>
              <w:ind w:firstLineChars="100" w:firstLine="181"/>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Total social benefits</w:t>
            </w:r>
          </w:p>
        </w:tc>
        <w:tc>
          <w:tcPr>
            <w:tcW w:w="77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12,277</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10,730</w:t>
            </w:r>
          </w:p>
        </w:tc>
      </w:tr>
      <w:tr>
        <w:trPr>
          <w:trHeight w:val="219"/>
        </w:trPr>
        <w:tc>
          <w:tcPr>
            <w:tcW w:w="3508" w:type="pct"/>
            <w:tcBorders>
              <w:top w:val="nil"/>
              <w:left w:val="single" w:sz="4" w:space="0" w:color="auto"/>
              <w:bottom w:val="single" w:sz="4" w:space="0" w:color="auto"/>
              <w:right w:val="single" w:sz="4" w:space="0" w:color="auto"/>
            </w:tcBorders>
            <w:shd w:val="clear" w:color="000000" w:fill="FFFFFF"/>
            <w:vAlign w:val="center"/>
            <w:hideMark/>
          </w:tcPr>
          <w:p>
            <w:pPr>
              <w:spacing w:after="0" w:line="240" w:lineRule="auto"/>
              <w:ind w:firstLineChars="100" w:firstLine="181"/>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Costs</w:t>
            </w:r>
          </w:p>
        </w:tc>
        <w:tc>
          <w:tcPr>
            <w:tcW w:w="77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w:t>
            </w:r>
          </w:p>
        </w:tc>
      </w:tr>
      <w:tr>
        <w:trPr>
          <w:trHeight w:val="240"/>
        </w:trPr>
        <w:tc>
          <w:tcPr>
            <w:tcW w:w="3508" w:type="pct"/>
            <w:tcBorders>
              <w:top w:val="nil"/>
              <w:left w:val="single" w:sz="4" w:space="0" w:color="auto"/>
              <w:bottom w:val="single" w:sz="4" w:space="0" w:color="auto"/>
              <w:right w:val="single" w:sz="4" w:space="0" w:color="auto"/>
            </w:tcBorders>
            <w:shd w:val="clear" w:color="000000" w:fill="FFFFFF"/>
            <w:vAlign w:val="center"/>
            <w:hideMark/>
          </w:tcPr>
          <w:p>
            <w:pPr>
              <w:spacing w:after="0" w:line="240" w:lineRule="auto"/>
              <w:ind w:firstLineChars="200" w:firstLine="361"/>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Reduction in administrative costs for businesses*</w:t>
            </w:r>
          </w:p>
        </w:tc>
        <w:tc>
          <w:tcPr>
            <w:tcW w:w="77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19,709</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16,316</w:t>
            </w:r>
          </w:p>
        </w:tc>
      </w:tr>
      <w:tr>
        <w:trPr>
          <w:trHeight w:val="219"/>
        </w:trPr>
        <w:tc>
          <w:tcPr>
            <w:tcW w:w="3508" w:type="pct"/>
            <w:tcBorders>
              <w:top w:val="nil"/>
              <w:left w:val="single" w:sz="4" w:space="0" w:color="auto"/>
              <w:bottom w:val="single" w:sz="4" w:space="0" w:color="auto"/>
              <w:right w:val="single" w:sz="4" w:space="0" w:color="auto"/>
            </w:tcBorders>
            <w:shd w:val="clear" w:color="000000" w:fill="FFFFFF"/>
            <w:vAlign w:val="center"/>
            <w:hideMark/>
          </w:tcPr>
          <w:p>
            <w:pPr>
              <w:spacing w:after="0" w:line="240" w:lineRule="auto"/>
              <w:ind w:firstLineChars="200" w:firstLine="361"/>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Compliance costs for businesses</w:t>
            </w:r>
          </w:p>
        </w:tc>
        <w:tc>
          <w:tcPr>
            <w:tcW w:w="77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-4,375</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-3,640</w:t>
            </w:r>
          </w:p>
        </w:tc>
      </w:tr>
      <w:tr>
        <w:trPr>
          <w:trHeight w:val="240"/>
        </w:trPr>
        <w:tc>
          <w:tcPr>
            <w:tcW w:w="3508" w:type="pct"/>
            <w:tcBorders>
              <w:top w:val="nil"/>
              <w:left w:val="single" w:sz="4" w:space="0" w:color="auto"/>
              <w:bottom w:val="single" w:sz="4" w:space="0" w:color="auto"/>
              <w:right w:val="single" w:sz="4" w:space="0" w:color="auto"/>
            </w:tcBorders>
            <w:shd w:val="clear" w:color="000000" w:fill="FFFFFF"/>
            <w:vAlign w:val="center"/>
            <w:hideMark/>
          </w:tcPr>
          <w:p>
            <w:pPr>
              <w:spacing w:after="0" w:line="240" w:lineRule="auto"/>
              <w:ind w:firstLineChars="200" w:firstLine="361"/>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Compliance costs for authorities</w:t>
            </w:r>
          </w:p>
        </w:tc>
        <w:tc>
          <w:tcPr>
            <w:tcW w:w="77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-268</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-268</w:t>
            </w:r>
          </w:p>
        </w:tc>
      </w:tr>
      <w:tr>
        <w:trPr>
          <w:trHeight w:val="240"/>
        </w:trPr>
        <w:tc>
          <w:tcPr>
            <w:tcW w:w="3508" w:type="pct"/>
            <w:tcBorders>
              <w:top w:val="nil"/>
              <w:left w:val="single" w:sz="4" w:space="0" w:color="auto"/>
              <w:bottom w:val="single" w:sz="4" w:space="0" w:color="auto"/>
              <w:right w:val="single" w:sz="4" w:space="0" w:color="auto"/>
            </w:tcBorders>
            <w:shd w:val="clear" w:color="000000" w:fill="FFFFFF"/>
            <w:vAlign w:val="center"/>
            <w:hideMark/>
          </w:tcPr>
          <w:p>
            <w:pPr>
              <w:spacing w:after="0" w:line="240" w:lineRule="auto"/>
              <w:ind w:firstLineChars="300" w:firstLine="540"/>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Certification costs</w:t>
            </w:r>
          </w:p>
        </w:tc>
        <w:tc>
          <w:tcPr>
            <w:tcW w:w="77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-17</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-17</w:t>
            </w:r>
          </w:p>
        </w:tc>
      </w:tr>
      <w:tr>
        <w:trPr>
          <w:trHeight w:val="240"/>
        </w:trPr>
        <w:tc>
          <w:tcPr>
            <w:tcW w:w="3508" w:type="pct"/>
            <w:tcBorders>
              <w:top w:val="nil"/>
              <w:left w:val="single" w:sz="4" w:space="0" w:color="auto"/>
              <w:bottom w:val="single" w:sz="4" w:space="0" w:color="auto"/>
              <w:right w:val="single" w:sz="4" w:space="0" w:color="auto"/>
            </w:tcBorders>
            <w:shd w:val="clear" w:color="000000" w:fill="FFFFFF"/>
            <w:vAlign w:val="center"/>
            <w:hideMark/>
          </w:tcPr>
          <w:p>
            <w:pPr>
              <w:spacing w:after="0" w:line="240" w:lineRule="auto"/>
              <w:ind w:firstLineChars="300" w:firstLine="540"/>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Enforcement costs</w:t>
            </w:r>
          </w:p>
        </w:tc>
        <w:tc>
          <w:tcPr>
            <w:tcW w:w="77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-251</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-251</w:t>
            </w:r>
          </w:p>
        </w:tc>
      </w:tr>
      <w:tr>
        <w:trPr>
          <w:trHeight w:val="228"/>
        </w:trPr>
        <w:tc>
          <w:tcPr>
            <w:tcW w:w="3508" w:type="pct"/>
            <w:tcBorders>
              <w:top w:val="nil"/>
              <w:left w:val="single" w:sz="4" w:space="0" w:color="auto"/>
              <w:bottom w:val="single" w:sz="4" w:space="0" w:color="auto"/>
              <w:right w:val="single" w:sz="4" w:space="0" w:color="auto"/>
            </w:tcBorders>
            <w:shd w:val="clear" w:color="000000" w:fill="FFFFFF"/>
            <w:vAlign w:val="center"/>
            <w:hideMark/>
          </w:tcPr>
          <w:p>
            <w:pPr>
              <w:spacing w:after="0" w:line="240" w:lineRule="auto"/>
              <w:ind w:firstLineChars="100" w:firstLine="181"/>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Net benefits (present value)</w:t>
            </w:r>
          </w:p>
        </w:tc>
        <w:tc>
          <w:tcPr>
            <w:tcW w:w="77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27,343</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23,138</w:t>
            </w:r>
          </w:p>
        </w:tc>
      </w:tr>
    </w:tbl>
    <w:p>
      <w:pPr>
        <w:spacing w:after="0" w:line="240" w:lineRule="auto"/>
        <w:jc w:val="both"/>
        <w:rPr>
          <w:rFonts w:ascii="Times New Roman" w:hAnsi="Times New Roman" w:cs="Times New Roman"/>
          <w:i/>
          <w:noProof/>
          <w:sz w:val="16"/>
          <w:szCs w:val="16"/>
        </w:rPr>
      </w:pPr>
      <w:r>
        <w:rPr>
          <w:rFonts w:ascii="Times New Roman" w:hAnsi="Times New Roman" w:cs="Times New Roman"/>
          <w:i/>
          <w:noProof/>
          <w:sz w:val="16"/>
          <w:szCs w:val="16"/>
        </w:rPr>
        <w:t>* the lower bound value</w:t>
      </w:r>
    </w:p>
    <w:p>
      <w:pPr>
        <w:rPr>
          <w:rFonts w:ascii="Times New Roman" w:hAnsi="Times New Roman" w:cs="Times New Roman"/>
          <w:i/>
          <w:noProof/>
          <w:sz w:val="16"/>
          <w:szCs w:val="16"/>
        </w:rPr>
      </w:pPr>
      <w:r>
        <w:rPr>
          <w:rFonts w:ascii="Times New Roman" w:hAnsi="Times New Roman" w:cs="Times New Roman"/>
          <w:i/>
          <w:noProof/>
          <w:sz w:val="16"/>
          <w:szCs w:val="16"/>
        </w:rPr>
        <w:t xml:space="preserve">Source: </w:t>
      </w:r>
      <w:r>
        <w:rPr>
          <w:rFonts w:ascii="Times New Roman" w:eastAsia="Times New Roman" w:hAnsi="Times New Roman" w:cs="Times New Roman"/>
          <w:i/>
          <w:noProof/>
          <w:sz w:val="18"/>
          <w:szCs w:val="18"/>
        </w:rPr>
        <w:t>PRIMES-TREMOVE Transport Model (ICCS-E3MLab) and Ecorys et al. (2018) Impact Assessment support study</w:t>
      </w:r>
      <w:r>
        <w:rPr>
          <w:rFonts w:ascii="Times New Roman" w:hAnsi="Times New Roman" w:cs="Times New Roman"/>
          <w:i/>
          <w:noProof/>
          <w:sz w:val="16"/>
          <w:szCs w:val="16"/>
        </w:rPr>
        <w:t xml:space="preserve"> </w:t>
      </w:r>
    </w:p>
    <w:p>
      <w:pPr>
        <w:pStyle w:val="Heading1"/>
        <w:rPr>
          <w:noProof/>
        </w:rPr>
      </w:pPr>
      <w:bookmarkStart w:id="184" w:name="_Toc506397018"/>
      <w:bookmarkStart w:id="185" w:name="_Toc506397608"/>
      <w:bookmarkStart w:id="186" w:name="_Toc512854941"/>
      <w:r>
        <w:rPr>
          <w:noProof/>
        </w:rPr>
        <w:t>Preferred option</w:t>
      </w:r>
      <w:bookmarkEnd w:id="184"/>
      <w:bookmarkEnd w:id="185"/>
      <w:bookmarkEnd w:id="186"/>
    </w:p>
    <w:p>
      <w:pPr>
        <w:spacing w:after="120" w:line="240" w:lineRule="auto"/>
        <w:jc w:val="both"/>
        <w:rPr>
          <w:rFonts w:ascii="Times New Roman" w:eastAsia="Times New Roman" w:hAnsi="Times New Roman" w:cs="Times New Roman"/>
          <w:noProof/>
          <w:sz w:val="24"/>
          <w:szCs w:val="20"/>
        </w:rPr>
      </w:pPr>
      <w:bookmarkStart w:id="187" w:name="_Hlk509159766"/>
      <w:bookmarkStart w:id="188" w:name="_Hlk509162427"/>
      <w:r>
        <w:rPr>
          <w:rFonts w:ascii="Times New Roman" w:eastAsia="Times New Roman" w:hAnsi="Times New Roman" w:cs="Times New Roman"/>
          <w:noProof/>
          <w:sz w:val="24"/>
          <w:szCs w:val="20"/>
        </w:rPr>
        <w:t>Both PO3 and PO4 render very similar costs and benefits and, as highlighted earlier, both would significantly contribute to solving the identified problems, with significantly higher effectiveness in achieving the specific and overall policy goals than PO1 or PO2.</w:t>
      </w:r>
      <w:bookmarkEnd w:id="187"/>
      <w:r>
        <w:rPr>
          <w:rFonts w:ascii="Times New Roman" w:eastAsia="Times New Roman" w:hAnsi="Times New Roman" w:cs="Times New Roman"/>
          <w:noProof/>
          <w:sz w:val="24"/>
          <w:szCs w:val="20"/>
        </w:rPr>
        <w:t xml:space="preserve"> The high effectiveness of PO3, as well as that of PO4 results, on the one hand, from the wide scope of information coverage in the obligation of acceptance and, on the other hand, from the higher degree of specification of the binding requirements for acceptance of the electronic means. </w:t>
      </w:r>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obligation of acceptance under PO3 and PO4 is not defined in terms of specific documents, as is the case of PO1 and PO2, but in terms of “information” that is required by EU and national legislation regulating the conditions of international freight transport on the territory of the EU Member States. As such, not only the electronic contracts of carriage are covered, but any electronic information rendition formats, provided the information content requirements of the applicable legislation and, respectively, the requirements for acceptance of the electronic means that would be provided by the new legal act proposed, were complied with. </w:t>
      </w:r>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preferred policy option is PO3. The choice between PO3 and PO4 took account of the views of stakeholders, as well as proportionality considerations. Industry stakeholders in the maritime, aviation and rail sectors clearly indicated that, while a multimodal approach is necessary, the Commission should avoid proposing a "one-size-fits-all" solution</w:t>
      </w:r>
      <w:r>
        <w:rPr>
          <w:rStyle w:val="FootnoteReference"/>
          <w:rFonts w:ascii="Times New Roman" w:eastAsia="Times New Roman" w:hAnsi="Times New Roman" w:cs="Times New Roman"/>
          <w:noProof/>
          <w:sz w:val="24"/>
          <w:szCs w:val="20"/>
        </w:rPr>
        <w:footnoteReference w:id="116"/>
      </w:r>
      <w:r>
        <w:rPr>
          <w:rFonts w:ascii="Times New Roman" w:eastAsia="Times New Roman" w:hAnsi="Times New Roman" w:cs="Times New Roman"/>
          <w:noProof/>
          <w:sz w:val="24"/>
          <w:szCs w:val="20"/>
        </w:rPr>
        <w:t xml:space="preserve">. The main considerations are related to the investments made already in these sectors in related solutions. These solutions have been developed on the basis of current provisions in international conventions and EU law which, as the legal analysis in this report has also highlighted, are mode specific and differ significantly. </w:t>
      </w:r>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requirement of fully common technical specifications for interoperability, for all solutions used for B2A regulatory information communication, in all transport modes, as proposed in PO4, would require higher upfront investments on the part of the businesses in these sectors, in order to adapt to the new requirements. In PO3, the extent to which such cross-modal common technical specifications will be established would be determined on the basis of a specific impact assessment. The purpose of this impact assessment would be to more accurately establish the minimum necessary common cross-sectoral technical specifications that would ensure interoperability between all related authorities systems and with the solutions used by businesses, with best cost-benefit ratio as regards compliance costs by businesses and future benefits. </w:t>
      </w:r>
    </w:p>
    <w:p>
      <w:pPr>
        <w:spacing w:after="120" w:line="240" w:lineRule="auto"/>
        <w:jc w:val="both"/>
        <w:rPr>
          <w:rFonts w:ascii="Times New Roman" w:eastAsia="Times New Roman" w:hAnsi="Times New Roman" w:cs="Times New Roman"/>
          <w:noProof/>
          <w:sz w:val="24"/>
          <w:szCs w:val="20"/>
        </w:rPr>
      </w:pPr>
      <w:bookmarkStart w:id="189" w:name="_Hlk509162944"/>
      <w:r>
        <w:rPr>
          <w:rFonts w:ascii="Times New Roman" w:eastAsia="Times New Roman" w:hAnsi="Times New Roman" w:cs="Times New Roman"/>
          <w:noProof/>
          <w:sz w:val="24"/>
          <w:szCs w:val="20"/>
        </w:rPr>
        <w:t>The assumption, based on industry stakeholders’ arguments, is that sufficient level of interoperability can be ensured without requiring full harmonisation of requirements across all transport modes. More specifically, according to most industry stakeholders, interoperability would require, at a minimum, a common multimodal data dictionary</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17"/>
      </w:r>
      <w:r>
        <w:rPr>
          <w:rFonts w:ascii="Times New Roman" w:hAnsi="Times New Roman" w:cs="Times New Roman"/>
          <w:noProof/>
          <w:sz w:val="24"/>
          <w:szCs w:val="24"/>
        </w:rPr>
        <w:t xml:space="preserve"> Technical specifications implementing other requirements, such as related to authenticity or integrity, may be developed specifically for the different transport modes, should a separate, dedicated impact assessment analysis conclude that such an approach would be most cost-efficient for some of the (common) requirements.</w:t>
      </w:r>
      <w:r>
        <w:rPr>
          <w:rFonts w:ascii="Times New Roman" w:eastAsia="Times New Roman" w:hAnsi="Times New Roman" w:cs="Times New Roman"/>
          <w:noProof/>
          <w:sz w:val="24"/>
          <w:szCs w:val="20"/>
        </w:rPr>
        <w:t xml:space="preserve">    </w:t>
      </w:r>
    </w:p>
    <w:bookmarkEnd w:id="188"/>
    <w:bookmarkEnd w:id="189"/>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Annex 3 contains a more detailed description of the regulatory measures envisaged, as well as an indication of how implementation could take place in practice, based on insights from current industry solutions developed in the various transport modes, as well as several pilot projects undertaken by Member States administrations.</w:t>
      </w:r>
    </w:p>
    <w:p>
      <w:pPr>
        <w:pStyle w:val="Heading1"/>
        <w:rPr>
          <w:noProof/>
        </w:rPr>
      </w:pPr>
      <w:bookmarkStart w:id="190" w:name="_Toc506397019"/>
      <w:bookmarkStart w:id="191" w:name="_Toc506397609"/>
      <w:bookmarkStart w:id="192" w:name="_Toc512854942"/>
      <w:r>
        <w:rPr>
          <w:noProof/>
        </w:rPr>
        <w:t>How will actual impacts be monitored and evaluated?</w:t>
      </w:r>
      <w:bookmarkEnd w:id="190"/>
      <w:bookmarkEnd w:id="191"/>
      <w:bookmarkEnd w:id="192"/>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arrangements of the impacts of this initiative, as well as the identification of the operational objectives and monitoring plan for the preferred options are presented in detail in Annex 5. These have been developed on the basis that </w:t>
      </w:r>
      <w:r>
        <w:rPr>
          <w:rFonts w:ascii="Times New Roman" w:hAnsi="Times New Roman" w:cs="Times New Roman"/>
          <w:b/>
          <w:noProof/>
          <w:sz w:val="24"/>
          <w:szCs w:val="24"/>
        </w:rPr>
        <w:t>PO3</w:t>
      </w:r>
      <w:r>
        <w:rPr>
          <w:rFonts w:ascii="Times New Roman" w:hAnsi="Times New Roman" w:cs="Times New Roman"/>
          <w:noProof/>
          <w:sz w:val="24"/>
          <w:szCs w:val="24"/>
        </w:rPr>
        <w:t xml:space="preserve">, which covers all relevant e-transport documents, sets up the conditions for their acceptance/validity and relevant technical standards. A set of operational objectives were derived from the respective generic and specific objectives of the initiative, which reflect the nature and type of measures adopted. The monitoring framework covers three important areas, i.e. application (i.e. main intended results and impacts), implementation (i.e. outputs and related costs for the players) and context information (i.e. main important context drivers which affect the development of the issues). The latter section was included to ensure in particular that upcoming monitoring will capture the relevant developments in the overall technological levels and level of the freight activities which would be the key factors to assess under the relevance part of the upcoming evaluation.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monitoring of these two issues will be done through a combination of specialised study(ies) to be contracted by the Commission and national data gathering stemming from the monitoring provision put in place in the legislation. The monitoring should start immediately after the entry into force of the Regulation. Annex 5 discusses possible monitoring arrangements. However, some of those will be established more in detail only after thorough discussion with key stakeholders leading to the preparation of the implementing acts.  </w:t>
      </w:r>
    </w:p>
    <w:p>
      <w:pPr>
        <w:rPr>
          <w:noProof/>
        </w:rPr>
      </w:pPr>
      <w:r>
        <w:rPr>
          <w:rFonts w:ascii="Times New Roman" w:hAnsi="Times New Roman" w:cs="Times New Roman"/>
          <w:noProof/>
          <w:sz w:val="24"/>
          <w:szCs w:val="24"/>
        </w:rPr>
        <w:t xml:space="preserve"> </w:t>
      </w:r>
      <w:r>
        <w:rPr>
          <w:noProof/>
        </w:rPr>
        <w:br w:type="page"/>
      </w:r>
    </w:p>
    <w:p>
      <w:pPr>
        <w:pStyle w:val="AnnexTitle"/>
        <w:outlineLvl w:val="0"/>
        <w:rPr>
          <w:noProof/>
        </w:rPr>
      </w:pPr>
      <w:bookmarkStart w:id="193" w:name="_Toc512854943"/>
      <w:r>
        <w:rPr>
          <w:noProof/>
        </w:rPr>
        <w:t>Annex 1: Procedural information</w:t>
      </w:r>
      <w:bookmarkEnd w:id="193"/>
    </w:p>
    <w:p>
      <w:pPr>
        <w:keepNext/>
        <w:numPr>
          <w:ilvl w:val="0"/>
          <w:numId w:val="26"/>
        </w:numPr>
        <w:spacing w:before="240" w:after="240" w:line="240" w:lineRule="auto"/>
        <w:jc w:val="both"/>
        <w:outlineLvl w:val="0"/>
        <w:rPr>
          <w:rFonts w:ascii="Times New Roman" w:eastAsia="Times New Roman" w:hAnsi="Times New Roman" w:cs="Times New Roman"/>
          <w:b/>
          <w:smallCaps/>
          <w:noProof/>
          <w:sz w:val="24"/>
          <w:szCs w:val="20"/>
        </w:rPr>
      </w:pPr>
      <w:bookmarkStart w:id="194" w:name="_Toc471997754"/>
      <w:bookmarkStart w:id="195" w:name="_Toc481484484"/>
      <w:bookmarkStart w:id="196" w:name="_Toc506397610"/>
      <w:bookmarkStart w:id="197" w:name="_Toc506398542"/>
      <w:bookmarkStart w:id="198" w:name="_Toc506408306"/>
      <w:bookmarkStart w:id="199" w:name="_Toc512589639"/>
      <w:bookmarkStart w:id="200" w:name="_Toc512854944"/>
      <w:r>
        <w:rPr>
          <w:rFonts w:ascii="Times New Roman" w:eastAsia="Times New Roman" w:hAnsi="Times New Roman" w:cs="Times New Roman"/>
          <w:b/>
          <w:smallCaps/>
          <w:noProof/>
          <w:sz w:val="24"/>
          <w:szCs w:val="20"/>
        </w:rPr>
        <w:t>Lead DG, D</w:t>
      </w:r>
      <w:r>
        <w:rPr>
          <w:rFonts w:ascii="Times New Roman" w:eastAsia="Times New Roman" w:hAnsi="Times New Roman" w:cs="Times New Roman"/>
          <w:b/>
          <w:i/>
          <w:smallCaps/>
          <w:noProof/>
          <w:sz w:val="24"/>
          <w:szCs w:val="20"/>
        </w:rPr>
        <w:t>e</w:t>
      </w:r>
      <w:r>
        <w:rPr>
          <w:rFonts w:ascii="Times New Roman" w:eastAsia="Times New Roman" w:hAnsi="Times New Roman" w:cs="Times New Roman"/>
          <w:b/>
          <w:smallCaps/>
          <w:noProof/>
          <w:sz w:val="24"/>
          <w:szCs w:val="20"/>
        </w:rPr>
        <w:t>cide Planning/CWP references</w:t>
      </w:r>
      <w:bookmarkEnd w:id="194"/>
      <w:bookmarkEnd w:id="195"/>
      <w:bookmarkEnd w:id="196"/>
      <w:bookmarkEnd w:id="197"/>
      <w:bookmarkEnd w:id="198"/>
      <w:bookmarkEnd w:id="199"/>
      <w:bookmarkEnd w:id="200"/>
    </w:p>
    <w:p>
      <w:pPr>
        <w:spacing w:after="120" w:line="240" w:lineRule="auto"/>
        <w:rPr>
          <w:rFonts w:ascii="Times New Roman" w:hAnsi="Times New Roman"/>
          <w:noProof/>
          <w:sz w:val="24"/>
        </w:rPr>
      </w:pPr>
      <w:r>
        <w:rPr>
          <w:rFonts w:ascii="Times New Roman" w:hAnsi="Times New Roman"/>
          <w:noProof/>
          <w:sz w:val="24"/>
        </w:rPr>
        <w:t xml:space="preserve">The lead DG is DG MOVE, Unit D1: Maritime Transport and Logistics </w:t>
      </w:r>
    </w:p>
    <w:p>
      <w:pPr>
        <w:spacing w:after="120" w:line="240" w:lineRule="auto"/>
        <w:rPr>
          <w:rFonts w:ascii="Times New Roman" w:hAnsi="Times New Roman" w:cs="Times New Roman"/>
          <w:noProof/>
          <w:sz w:val="24"/>
          <w:szCs w:val="24"/>
        </w:rPr>
      </w:pPr>
      <w:r>
        <w:rPr>
          <w:rFonts w:ascii="Times New Roman" w:hAnsi="Times New Roman"/>
          <w:noProof/>
          <w:sz w:val="24"/>
        </w:rPr>
        <w:t xml:space="preserve">The Agenda Planning Reference is </w:t>
      </w:r>
      <w:r>
        <w:rPr>
          <w:rFonts w:ascii="Times New Roman" w:hAnsi="Times New Roman" w:cs="Times New Roman"/>
          <w:noProof/>
          <w:sz w:val="24"/>
          <w:szCs w:val="24"/>
        </w:rPr>
        <w:t xml:space="preserve">MOVE/2018/001. </w:t>
      </w:r>
    </w:p>
    <w:p>
      <w:pPr>
        <w:keepNext/>
        <w:numPr>
          <w:ilvl w:val="0"/>
          <w:numId w:val="26"/>
        </w:numPr>
        <w:spacing w:before="240" w:after="240" w:line="240" w:lineRule="auto"/>
        <w:jc w:val="both"/>
        <w:outlineLvl w:val="0"/>
        <w:rPr>
          <w:rFonts w:ascii="Times New Roman" w:eastAsia="Times New Roman" w:hAnsi="Times New Roman" w:cs="Times New Roman"/>
          <w:b/>
          <w:smallCaps/>
          <w:noProof/>
          <w:sz w:val="24"/>
          <w:szCs w:val="20"/>
        </w:rPr>
      </w:pPr>
      <w:bookmarkStart w:id="201" w:name="_Toc471997755"/>
      <w:bookmarkStart w:id="202" w:name="_Toc481484485"/>
      <w:bookmarkStart w:id="203" w:name="_Toc506397611"/>
      <w:bookmarkStart w:id="204" w:name="_Toc506398543"/>
      <w:bookmarkStart w:id="205" w:name="_Toc506408307"/>
      <w:bookmarkStart w:id="206" w:name="_Toc512589640"/>
      <w:bookmarkStart w:id="207" w:name="_Toc512854945"/>
      <w:r>
        <w:rPr>
          <w:rFonts w:ascii="Times New Roman" w:eastAsia="Times New Roman" w:hAnsi="Times New Roman" w:cs="Times New Roman"/>
          <w:b/>
          <w:smallCaps/>
          <w:noProof/>
          <w:sz w:val="24"/>
          <w:szCs w:val="20"/>
        </w:rPr>
        <w:t>Organisation and timing</w:t>
      </w:r>
      <w:bookmarkEnd w:id="201"/>
      <w:bookmarkEnd w:id="202"/>
      <w:bookmarkEnd w:id="203"/>
      <w:bookmarkEnd w:id="204"/>
      <w:bookmarkEnd w:id="205"/>
      <w:bookmarkEnd w:id="206"/>
      <w:bookmarkEnd w:id="207"/>
    </w:p>
    <w:p>
      <w:pPr>
        <w:spacing w:after="120" w:line="240" w:lineRule="auto"/>
        <w:jc w:val="both"/>
        <w:rPr>
          <w:rFonts w:ascii="Times New Roman" w:hAnsi="Times New Roman"/>
          <w:noProof/>
          <w:sz w:val="24"/>
        </w:rPr>
      </w:pPr>
      <w:r>
        <w:rPr>
          <w:rFonts w:ascii="Times New Roman" w:hAnsi="Times New Roman"/>
          <w:noProof/>
          <w:sz w:val="24"/>
        </w:rPr>
        <w:t xml:space="preserve">DG MOVE put forward a proposal for the launch of a policy initiative on electronic transport documents in July 2016. The First Vice President Cabinet’s agreement was received on 20 March 2017. </w:t>
      </w:r>
    </w:p>
    <w:p>
      <w:pPr>
        <w:spacing w:after="120" w:line="240" w:lineRule="auto"/>
        <w:jc w:val="both"/>
        <w:rPr>
          <w:rFonts w:ascii="Times New Roman" w:hAnsi="Times New Roman"/>
          <w:noProof/>
          <w:sz w:val="24"/>
        </w:rPr>
      </w:pPr>
      <w:r>
        <w:rPr>
          <w:rFonts w:ascii="Times New Roman" w:hAnsi="Times New Roman"/>
          <w:noProof/>
          <w:sz w:val="24"/>
        </w:rPr>
        <w:t>The impact assessment process was launched in May 2017, with the first meeting of the Inter-Service Steering Group on 12 May 2017 and an inception impact assessment subsequently published on 18 May 2017</w:t>
      </w:r>
      <w:r>
        <w:rPr>
          <w:rFonts w:ascii="Times New Roman" w:hAnsi="Times New Roman"/>
          <w:noProof/>
          <w:sz w:val="24"/>
          <w:vertAlign w:val="superscript"/>
        </w:rPr>
        <w:footnoteReference w:id="118"/>
      </w:r>
      <w:r>
        <w:rPr>
          <w:rFonts w:ascii="Times New Roman" w:hAnsi="Times New Roman"/>
          <w:noProof/>
          <w:sz w:val="24"/>
        </w:rPr>
        <w:t>.</w:t>
      </w:r>
    </w:p>
    <w:p>
      <w:pPr>
        <w:spacing w:after="120" w:line="240" w:lineRule="auto"/>
        <w:jc w:val="both"/>
        <w:rPr>
          <w:rFonts w:ascii="Times New Roman" w:hAnsi="Times New Roman"/>
          <w:noProof/>
          <w:sz w:val="24"/>
        </w:rPr>
      </w:pPr>
      <w:r>
        <w:rPr>
          <w:rFonts w:ascii="Times New Roman" w:hAnsi="Times New Roman"/>
          <w:noProof/>
          <w:sz w:val="24"/>
        </w:rPr>
        <w:t xml:space="preserve">The Commission launched a call for tenders for a support study on “State of play and barriers to use of electronic transport documents for freight transport. Options for EU level policy interventions”. A contract was signed with a consortium of Ecorys/Grimaldi/ISL under contract reference No MOVE/D1/2017 – 498 implementing Framework contract No MOVE/A3/119-2013/LOT 5. </w:t>
      </w:r>
    </w:p>
    <w:p>
      <w:pPr>
        <w:spacing w:after="120" w:line="240" w:lineRule="auto"/>
        <w:jc w:val="both"/>
        <w:rPr>
          <w:rFonts w:ascii="Times New Roman" w:hAnsi="Times New Roman"/>
          <w:noProof/>
          <w:sz w:val="24"/>
        </w:rPr>
      </w:pPr>
      <w:r>
        <w:rPr>
          <w:rFonts w:ascii="Times New Roman" w:hAnsi="Times New Roman"/>
          <w:noProof/>
          <w:sz w:val="24"/>
        </w:rPr>
        <w:t>The Inter-Service Steering Group (ISG),</w:t>
      </w:r>
      <w:r>
        <w:rPr>
          <w:noProof/>
        </w:rPr>
        <w:t xml:space="preserve"> </w:t>
      </w:r>
      <w:r>
        <w:rPr>
          <w:rFonts w:ascii="Times New Roman" w:hAnsi="Times New Roman"/>
          <w:noProof/>
          <w:sz w:val="24"/>
        </w:rPr>
        <w:t>chaired by DG MOVE with close involvement by the Secretariat-General, was established in April 2017 in view of the preparation of this initiative. The following Commission Services were consulted: Secretariat-General (SG), Legal Service (JS), DG Taxation and Customs Union (TAXUD), DG Budget (BUDG), DG Climate Action (CLIMA), DG Communications Networks, Content and Technology (CNECT), DG Competition (COMP),  DG Research and Innovation (RTD), DG Employment, Social Affairs and Inclusion (EMPL), DG Justice and Consumers (JUST), DG Internal Market Industry, Entrepreneurship and SMEs (GROW), DG Eurostat – European Statistics (ESTAT), DG Informatics (DIGIT), DG Environment (ENV). The feedback received from services has been taken into account in the impact assessment.</w:t>
      </w:r>
    </w:p>
    <w:p>
      <w:pPr>
        <w:spacing w:after="120" w:line="240" w:lineRule="auto"/>
        <w:jc w:val="both"/>
        <w:rPr>
          <w:rFonts w:ascii="Times New Roman" w:hAnsi="Times New Roman"/>
          <w:noProof/>
          <w:sz w:val="24"/>
        </w:rPr>
      </w:pPr>
      <w:r>
        <w:rPr>
          <w:rFonts w:ascii="Times New Roman" w:hAnsi="Times New Roman"/>
          <w:noProof/>
          <w:sz w:val="24"/>
        </w:rPr>
        <w:t>The ISG met three times in preparation of this impact assessment: on 12 May 2017, 16 October 2017 and on 9 February 2018, discussing the inception impact assessment, the outcome of the support studies and the draft impact assessment.</w:t>
      </w:r>
    </w:p>
    <w:p>
      <w:pPr>
        <w:keepNext/>
        <w:numPr>
          <w:ilvl w:val="0"/>
          <w:numId w:val="26"/>
        </w:numPr>
        <w:spacing w:before="240" w:after="240" w:line="240" w:lineRule="auto"/>
        <w:jc w:val="both"/>
        <w:outlineLvl w:val="0"/>
        <w:rPr>
          <w:rFonts w:ascii="Times New Roman" w:eastAsia="Times New Roman" w:hAnsi="Times New Roman" w:cs="Times New Roman"/>
          <w:b/>
          <w:smallCaps/>
          <w:noProof/>
          <w:sz w:val="24"/>
          <w:szCs w:val="20"/>
        </w:rPr>
      </w:pPr>
      <w:bookmarkStart w:id="208" w:name="_Toc471997757"/>
      <w:bookmarkStart w:id="209" w:name="_Toc481484487"/>
      <w:bookmarkStart w:id="210" w:name="_Toc506397612"/>
      <w:bookmarkStart w:id="211" w:name="_Toc506398544"/>
      <w:bookmarkStart w:id="212" w:name="_Toc506408308"/>
      <w:bookmarkStart w:id="213" w:name="_Toc512589641"/>
      <w:bookmarkStart w:id="214" w:name="_Toc512854946"/>
      <w:r>
        <w:rPr>
          <w:rFonts w:ascii="Times New Roman" w:eastAsia="Times New Roman" w:hAnsi="Times New Roman" w:cs="Times New Roman"/>
          <w:b/>
          <w:smallCaps/>
          <w:noProof/>
          <w:sz w:val="24"/>
          <w:szCs w:val="20"/>
        </w:rPr>
        <w:t>Consultation of the RSB</w:t>
      </w:r>
      <w:bookmarkEnd w:id="208"/>
      <w:bookmarkEnd w:id="209"/>
      <w:bookmarkEnd w:id="210"/>
      <w:bookmarkEnd w:id="211"/>
      <w:bookmarkEnd w:id="212"/>
      <w:bookmarkEnd w:id="213"/>
      <w:bookmarkEnd w:id="214"/>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Impact Assessment Report was submitted to the Regulatory Scrutiny Board on 14 February and was discussed by the Board 7 March 2018. The Board issued a positive opinion with reservations. The Board made recommendations. Those were addressed in the revised IA report as follows:</w:t>
      </w: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495"/>
        <w:gridCol w:w="3509"/>
      </w:tblGrid>
      <w:tr>
        <w:tc>
          <w:tcPr>
            <w:tcW w:w="54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jc w:val="both"/>
              <w:rPr>
                <w:rFonts w:ascii="Times New Roman" w:eastAsia="Calibri" w:hAnsi="Times New Roman" w:cs="Times New Roman"/>
                <w:b/>
                <w:bCs/>
                <w:noProof/>
                <w:sz w:val="20"/>
                <w:szCs w:val="20"/>
              </w:rPr>
            </w:pPr>
            <w:r>
              <w:rPr>
                <w:rFonts w:ascii="Times New Roman" w:eastAsia="Calibri" w:hAnsi="Times New Roman" w:cs="Times New Roman"/>
                <w:b/>
                <w:bCs/>
                <w:noProof/>
                <w:sz w:val="20"/>
                <w:szCs w:val="20"/>
              </w:rPr>
              <w:t>Main considerations</w:t>
            </w:r>
          </w:p>
        </w:tc>
        <w:tc>
          <w:tcPr>
            <w:tcW w:w="35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jc w:val="both"/>
              <w:rPr>
                <w:rFonts w:ascii="Times New Roman" w:eastAsia="Calibri" w:hAnsi="Times New Roman" w:cs="Times New Roman"/>
                <w:b/>
                <w:bCs/>
                <w:noProof/>
                <w:sz w:val="20"/>
                <w:szCs w:val="20"/>
              </w:rPr>
            </w:pPr>
            <w:r>
              <w:rPr>
                <w:rFonts w:ascii="Times New Roman" w:eastAsia="Calibri" w:hAnsi="Times New Roman" w:cs="Times New Roman"/>
                <w:b/>
                <w:bCs/>
                <w:noProof/>
                <w:sz w:val="20"/>
                <w:szCs w:val="20"/>
              </w:rPr>
              <w:t>Modification of the IA report</w:t>
            </w:r>
          </w:p>
        </w:tc>
      </w:tr>
      <w:tr>
        <w:tc>
          <w:tcPr>
            <w:tcW w:w="5495" w:type="dxa"/>
            <w:tcBorders>
              <w:top w:val="single" w:sz="4" w:space="0" w:color="auto"/>
              <w:left w:val="single" w:sz="4" w:space="0" w:color="auto"/>
              <w:bottom w:val="single" w:sz="4" w:space="0" w:color="auto"/>
              <w:right w:val="single" w:sz="4" w:space="0" w:color="auto"/>
            </w:tcBorders>
            <w:shd w:val="clear" w:color="auto" w:fill="FFFFFF" w:themeFill="background1"/>
          </w:tcPr>
          <w:p>
            <w:pPr>
              <w:pStyle w:val="ListParagraph"/>
              <w:numPr>
                <w:ilvl w:val="0"/>
                <w:numId w:val="52"/>
              </w:numPr>
              <w:tabs>
                <w:tab w:val="left" w:pos="0"/>
                <w:tab w:val="left" w:pos="142"/>
                <w:tab w:val="left" w:pos="284"/>
              </w:tabs>
              <w:ind w:left="0" w:firstLine="0"/>
              <w:rPr>
                <w:rFonts w:eastAsia="Calibri"/>
                <w:bCs/>
                <w:noProof/>
                <w:sz w:val="20"/>
                <w:szCs w:val="20"/>
              </w:rPr>
            </w:pPr>
            <w:r>
              <w:rPr>
                <w:noProof/>
                <w:sz w:val="20"/>
                <w:szCs w:val="20"/>
              </w:rPr>
              <w:t>The report does not sufficiently discuss the interplay between the initiative and international conventions and bilateral agreements.</w:t>
            </w:r>
          </w:p>
        </w:tc>
        <w:tc>
          <w:tcPr>
            <w:tcW w:w="3509" w:type="dxa"/>
            <w:tcBorders>
              <w:top w:val="single" w:sz="4" w:space="0" w:color="auto"/>
              <w:left w:val="single" w:sz="4" w:space="0" w:color="auto"/>
              <w:bottom w:val="single" w:sz="4" w:space="0" w:color="auto"/>
              <w:right w:val="single" w:sz="4" w:space="0" w:color="auto"/>
            </w:tcBorders>
            <w:shd w:val="clear" w:color="auto" w:fill="FFFFFF" w:themeFill="background1"/>
          </w:tcPr>
          <w:p>
            <w:pPr>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 xml:space="preserve">A new subsection 5.3 "How do the policy options differ" has been added under section 5 "What are the policy options". It provides a more detailed description of the measures and their different role in the context of the different policy options, including the interplay between this initiative and international conventions and bilateral agreements.  </w:t>
            </w:r>
          </w:p>
        </w:tc>
      </w:tr>
      <w:tr>
        <w:tc>
          <w:tcPr>
            <w:tcW w:w="5495" w:type="dxa"/>
            <w:tcBorders>
              <w:top w:val="single" w:sz="4" w:space="0" w:color="auto"/>
              <w:left w:val="single" w:sz="4" w:space="0" w:color="auto"/>
              <w:bottom w:val="single" w:sz="4" w:space="0" w:color="auto"/>
              <w:right w:val="single" w:sz="4" w:space="0" w:color="auto"/>
            </w:tcBorders>
            <w:shd w:val="clear" w:color="auto" w:fill="FFFFFF" w:themeFill="background1"/>
          </w:tcPr>
          <w:p>
            <w:pPr>
              <w:pStyle w:val="ListParagraph"/>
              <w:numPr>
                <w:ilvl w:val="0"/>
                <w:numId w:val="52"/>
              </w:numPr>
              <w:tabs>
                <w:tab w:val="left" w:pos="0"/>
                <w:tab w:val="left" w:pos="142"/>
                <w:tab w:val="left" w:pos="284"/>
              </w:tabs>
              <w:ind w:left="0" w:firstLine="0"/>
              <w:rPr>
                <w:rFonts w:eastAsia="Calibri"/>
                <w:bCs/>
                <w:noProof/>
                <w:sz w:val="20"/>
                <w:szCs w:val="20"/>
              </w:rPr>
            </w:pPr>
            <w:r>
              <w:rPr>
                <w:noProof/>
                <w:sz w:val="20"/>
                <w:szCs w:val="20"/>
              </w:rPr>
              <w:t>The policy options lack important details about implementation and necessary steps to achieve the policy objectives.</w:t>
            </w:r>
          </w:p>
        </w:tc>
        <w:tc>
          <w:tcPr>
            <w:tcW w:w="3509" w:type="dxa"/>
            <w:tcBorders>
              <w:top w:val="single" w:sz="4" w:space="0" w:color="auto"/>
              <w:left w:val="single" w:sz="4" w:space="0" w:color="auto"/>
              <w:bottom w:val="single" w:sz="4" w:space="0" w:color="auto"/>
              <w:right w:val="single" w:sz="4" w:space="0" w:color="auto"/>
            </w:tcBorders>
            <w:shd w:val="clear" w:color="auto" w:fill="FFFFFF" w:themeFill="background1"/>
          </w:tcPr>
          <w:p>
            <w:pPr>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A new subsection 5.3 "How do the policy options differ" has been added under section 5 "What are the policy options". It provides a more detailed description of the measures and their different role in the context of the different policy options. Table 5.1 providing the overview of the retained policy measures and the corresponding policy options have been revised, to highlight how each measure relates to the identified problem drivers and to policy objectives.</w:t>
            </w:r>
          </w:p>
        </w:tc>
      </w:tr>
      <w:tr>
        <w:tc>
          <w:tcPr>
            <w:tcW w:w="5495" w:type="dxa"/>
            <w:tcBorders>
              <w:top w:val="single" w:sz="4" w:space="0" w:color="auto"/>
              <w:left w:val="single" w:sz="4" w:space="0" w:color="auto"/>
              <w:bottom w:val="single" w:sz="4" w:space="0" w:color="auto"/>
              <w:right w:val="single" w:sz="4" w:space="0" w:color="auto"/>
            </w:tcBorders>
            <w:shd w:val="clear" w:color="auto" w:fill="FFFFFF" w:themeFill="background1"/>
          </w:tcPr>
          <w:p>
            <w:pPr>
              <w:pStyle w:val="ListParagraph"/>
              <w:numPr>
                <w:ilvl w:val="0"/>
                <w:numId w:val="52"/>
              </w:numPr>
              <w:tabs>
                <w:tab w:val="left" w:pos="0"/>
                <w:tab w:val="left" w:pos="142"/>
                <w:tab w:val="left" w:pos="284"/>
              </w:tabs>
              <w:ind w:left="0" w:firstLine="0"/>
              <w:rPr>
                <w:rFonts w:eastAsia="Calibri"/>
                <w:bCs/>
                <w:noProof/>
                <w:sz w:val="20"/>
                <w:szCs w:val="20"/>
              </w:rPr>
            </w:pPr>
            <w:r>
              <w:rPr>
                <w:noProof/>
                <w:sz w:val="20"/>
                <w:szCs w:val="20"/>
              </w:rPr>
              <w:t>The report is not clear about how it arrived at its cost estimates. It is not clear either whether the estimates reflect all the costs of the proposal. This makes it difficult to justify why the report strongly recommends one policy option over another that appears to have very similar costs and benefits.</w:t>
            </w:r>
          </w:p>
        </w:tc>
        <w:tc>
          <w:tcPr>
            <w:tcW w:w="3509" w:type="dxa"/>
            <w:tcBorders>
              <w:top w:val="single" w:sz="4" w:space="0" w:color="auto"/>
              <w:left w:val="single" w:sz="4" w:space="0" w:color="auto"/>
              <w:bottom w:val="single" w:sz="4" w:space="0" w:color="auto"/>
              <w:right w:val="single" w:sz="4" w:space="0" w:color="auto"/>
            </w:tcBorders>
            <w:shd w:val="clear" w:color="auto" w:fill="FFFFFF" w:themeFill="background1"/>
          </w:tcPr>
          <w:p>
            <w:pPr>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 xml:space="preserve">The argumentation related to the choice of the preferred policy option (PO3) has been revised. It is now not only based on costs considerations, but also on stakeholder preferences. This has been highlighted in Section 8 "Preferred policy option". </w:t>
            </w:r>
          </w:p>
        </w:tc>
      </w:tr>
      <w:tr>
        <w:tc>
          <w:tcPr>
            <w:tcW w:w="5495" w:type="dxa"/>
            <w:tcBorders>
              <w:top w:val="single" w:sz="4" w:space="0" w:color="auto"/>
              <w:left w:val="single" w:sz="4" w:space="0" w:color="auto"/>
              <w:bottom w:val="single" w:sz="4" w:space="0" w:color="auto"/>
              <w:right w:val="single" w:sz="4" w:space="0" w:color="auto"/>
            </w:tcBorders>
            <w:shd w:val="clear" w:color="auto" w:fill="FFFFFF" w:themeFill="background1"/>
          </w:tcPr>
          <w:p>
            <w:pPr>
              <w:jc w:val="both"/>
              <w:rPr>
                <w:rFonts w:ascii="Times New Roman" w:eastAsia="Calibri" w:hAnsi="Times New Roman" w:cs="Times New Roman"/>
                <w:bCs/>
                <w:noProof/>
                <w:sz w:val="20"/>
                <w:szCs w:val="20"/>
              </w:rPr>
            </w:pPr>
            <w:r>
              <w:rPr>
                <w:rFonts w:ascii="Times New Roman" w:eastAsia="Calibri" w:hAnsi="Times New Roman" w:cs="Times New Roman"/>
                <w:b/>
                <w:bCs/>
                <w:noProof/>
                <w:sz w:val="20"/>
                <w:szCs w:val="20"/>
              </w:rPr>
              <w:t>Further considerations and adjustment requirements</w:t>
            </w:r>
          </w:p>
        </w:tc>
        <w:tc>
          <w:tcPr>
            <w:tcW w:w="3509" w:type="dxa"/>
            <w:tcBorders>
              <w:top w:val="single" w:sz="4" w:space="0" w:color="auto"/>
              <w:left w:val="single" w:sz="4" w:space="0" w:color="auto"/>
              <w:bottom w:val="single" w:sz="4" w:space="0" w:color="auto"/>
              <w:right w:val="single" w:sz="4" w:space="0" w:color="auto"/>
            </w:tcBorders>
            <w:shd w:val="clear" w:color="auto" w:fill="FFFFFF" w:themeFill="background1"/>
          </w:tcPr>
          <w:p>
            <w:pPr>
              <w:jc w:val="both"/>
              <w:rPr>
                <w:rFonts w:ascii="Times New Roman" w:eastAsia="Calibri" w:hAnsi="Times New Roman" w:cs="Times New Roman"/>
                <w:noProof/>
                <w:sz w:val="20"/>
                <w:szCs w:val="20"/>
              </w:rPr>
            </w:pPr>
          </w:p>
        </w:tc>
      </w:tr>
      <w:tr>
        <w:tc>
          <w:tcPr>
            <w:tcW w:w="5495"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120" w:after="120"/>
              <w:jc w:val="both"/>
              <w:rPr>
                <w:rFonts w:ascii="Times New Roman" w:hAnsi="Times New Roman" w:cs="Times New Roman"/>
                <w:noProof/>
                <w:sz w:val="20"/>
                <w:szCs w:val="20"/>
              </w:rPr>
            </w:pPr>
            <w:r>
              <w:rPr>
                <w:rFonts w:ascii="Times New Roman" w:hAnsi="Times New Roman" w:cs="Times New Roman"/>
                <w:noProof/>
                <w:sz w:val="20"/>
                <w:szCs w:val="20"/>
              </w:rPr>
              <w:t>(1) The report should better explain the interplay between the initiative and the relevant international sectoral conventions and bilateral agreements. The report should further elaborate on how the initiative intends to build on those international conventions, such as by encouraging Member States to ratify them or by working to amend them. The report should clarify the policy flexibilities they allow and any relevant constraints they may present for the various policy options. The report should also better explain how realistic it is and what time frame is foreseen to amend international conventions and bilateral agreements (preferred option), in particular as regards the nature of electronic documents, the requirements for their validity and acceptance by national authorities and the technical specifications for B2A and A2B electronic documents.</w:t>
            </w:r>
          </w:p>
        </w:tc>
        <w:tc>
          <w:tcPr>
            <w:tcW w:w="3509" w:type="dxa"/>
            <w:tcBorders>
              <w:top w:val="single" w:sz="4" w:space="0" w:color="auto"/>
              <w:left w:val="single" w:sz="4" w:space="0" w:color="auto"/>
              <w:bottom w:val="single" w:sz="4" w:space="0" w:color="auto"/>
              <w:right w:val="single" w:sz="4" w:space="0" w:color="auto"/>
            </w:tcBorders>
            <w:shd w:val="clear" w:color="auto" w:fill="FFFFFF" w:themeFill="background1"/>
          </w:tcPr>
          <w:p>
            <w:pPr>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A new subsection 5.3 "How do the policy options differ" has been added under section 5 "What are the policy options". It provides a more detailed description of the measures and their different role in the context of the different policy options, addressing all these comments and recommendations.</w:t>
            </w:r>
          </w:p>
        </w:tc>
      </w:tr>
      <w:tr>
        <w:tc>
          <w:tcPr>
            <w:tcW w:w="5495" w:type="dxa"/>
            <w:tcBorders>
              <w:top w:val="single" w:sz="4" w:space="0" w:color="auto"/>
              <w:left w:val="single" w:sz="4" w:space="0" w:color="auto"/>
              <w:bottom w:val="single" w:sz="4" w:space="0" w:color="auto"/>
              <w:right w:val="single" w:sz="4" w:space="0" w:color="auto"/>
            </w:tcBorders>
            <w:shd w:val="clear" w:color="auto" w:fill="FFFFFF" w:themeFill="background1"/>
          </w:tcPr>
          <w:p>
            <w:pPr>
              <w:jc w:val="both"/>
              <w:rPr>
                <w:rFonts w:ascii="Times New Roman" w:eastAsia="Calibri" w:hAnsi="Times New Roman" w:cs="Times New Roman"/>
                <w:b/>
                <w:bCs/>
                <w:noProof/>
                <w:sz w:val="20"/>
                <w:szCs w:val="20"/>
              </w:rPr>
            </w:pPr>
            <w:r>
              <w:rPr>
                <w:rFonts w:ascii="Times New Roman" w:hAnsi="Times New Roman" w:cs="Times New Roman"/>
                <w:noProof/>
                <w:sz w:val="20"/>
                <w:szCs w:val="20"/>
              </w:rPr>
              <w:t>(2) The report should explain how this initiative relates to parallel initiatives such as revising the maritime Reporting Formalities Directive. It should clarify whether and how they overlap or are mutually reinforcing.</w:t>
            </w:r>
          </w:p>
        </w:tc>
        <w:tc>
          <w:tcPr>
            <w:tcW w:w="3509" w:type="dxa"/>
            <w:tcBorders>
              <w:top w:val="single" w:sz="4" w:space="0" w:color="auto"/>
              <w:left w:val="single" w:sz="4" w:space="0" w:color="auto"/>
              <w:bottom w:val="single" w:sz="4" w:space="0" w:color="auto"/>
              <w:right w:val="single" w:sz="4" w:space="0" w:color="auto"/>
            </w:tcBorders>
            <w:shd w:val="clear" w:color="auto" w:fill="FFFFFF" w:themeFill="background1"/>
          </w:tcPr>
          <w:p>
            <w:pPr>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More detailed explanation in this regard has been provided in subsection 1.3 "Legal context".</w:t>
            </w:r>
          </w:p>
        </w:tc>
      </w:tr>
      <w:tr>
        <w:tc>
          <w:tcPr>
            <w:tcW w:w="5495" w:type="dxa"/>
            <w:tcBorders>
              <w:top w:val="single" w:sz="4" w:space="0" w:color="auto"/>
              <w:left w:val="single" w:sz="4" w:space="0" w:color="auto"/>
              <w:bottom w:val="single" w:sz="4" w:space="0" w:color="auto"/>
              <w:right w:val="single" w:sz="4" w:space="0" w:color="auto"/>
            </w:tcBorders>
            <w:shd w:val="clear" w:color="auto" w:fill="FFFFFF" w:themeFill="background1"/>
          </w:tcPr>
          <w:p>
            <w:pPr>
              <w:jc w:val="both"/>
              <w:rPr>
                <w:rFonts w:ascii="Times New Roman" w:eastAsia="Calibri" w:hAnsi="Times New Roman" w:cs="Times New Roman"/>
                <w:b/>
                <w:bCs/>
                <w:noProof/>
                <w:sz w:val="20"/>
                <w:szCs w:val="20"/>
              </w:rPr>
            </w:pPr>
            <w:r>
              <w:rPr>
                <w:rFonts w:ascii="Times New Roman" w:hAnsi="Times New Roman" w:cs="Times New Roman"/>
                <w:noProof/>
                <w:sz w:val="20"/>
                <w:szCs w:val="20"/>
              </w:rPr>
              <w:t>(3) The report should explain why the scope of the initiative is limited to cargo transport documents, excluding documents concerning the means of transport and the personnel manning the means of transport.</w:t>
            </w:r>
          </w:p>
        </w:tc>
        <w:tc>
          <w:tcPr>
            <w:tcW w:w="3509" w:type="dxa"/>
            <w:tcBorders>
              <w:top w:val="single" w:sz="4" w:space="0" w:color="auto"/>
              <w:left w:val="single" w:sz="4" w:space="0" w:color="auto"/>
              <w:bottom w:val="single" w:sz="4" w:space="0" w:color="auto"/>
              <w:right w:val="single" w:sz="4" w:space="0" w:color="auto"/>
            </w:tcBorders>
            <w:shd w:val="clear" w:color="auto" w:fill="FFFFFF" w:themeFill="background1"/>
          </w:tcPr>
          <w:p>
            <w:pPr>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The explanation has been added in a new subsection 1.1 "Freight transport documents – background and scope limitation of this initiative".</w:t>
            </w:r>
          </w:p>
        </w:tc>
      </w:tr>
      <w:tr>
        <w:tc>
          <w:tcPr>
            <w:tcW w:w="5495"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120" w:after="120"/>
              <w:jc w:val="both"/>
              <w:rPr>
                <w:rFonts w:ascii="Times New Roman" w:hAnsi="Times New Roman" w:cs="Times New Roman"/>
                <w:noProof/>
                <w:sz w:val="20"/>
                <w:szCs w:val="20"/>
              </w:rPr>
            </w:pPr>
            <w:r>
              <w:rPr>
                <w:rFonts w:ascii="Times New Roman" w:hAnsi="Times New Roman" w:cs="Times New Roman"/>
                <w:noProof/>
                <w:sz w:val="20"/>
                <w:szCs w:val="20"/>
              </w:rPr>
              <w:t>(4) The report should further clarify how the policy options would be implemented in practice. It should describe what concrete steps to take in the context of this initiative to achieve the goal of paperless documentation in transport. It should clarify whether the legal proposal based on this impact assessment will contain all practical elements or whether it will provide a principles-based framework for necessary further steps. The report should also discuss the extent to which the policy options are future proof, i.e. can flexibly integrate future technological developments.</w:t>
            </w:r>
          </w:p>
        </w:tc>
        <w:tc>
          <w:tcPr>
            <w:tcW w:w="3509" w:type="dxa"/>
            <w:tcBorders>
              <w:top w:val="single" w:sz="4" w:space="0" w:color="auto"/>
              <w:left w:val="single" w:sz="4" w:space="0" w:color="auto"/>
              <w:bottom w:val="single" w:sz="4" w:space="0" w:color="auto"/>
              <w:right w:val="single" w:sz="4" w:space="0" w:color="auto"/>
            </w:tcBorders>
            <w:shd w:val="clear" w:color="auto" w:fill="FFFFFF" w:themeFill="background1"/>
          </w:tcPr>
          <w:p>
            <w:pPr>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A new subsection 5.3 "How do the policy options differ" has been added under section 5 "What are the policy options". It provides a more detailed description of the measures and their different role in the context of the different policy options, addressing all these comments and recommendations.</w:t>
            </w:r>
          </w:p>
        </w:tc>
      </w:tr>
      <w:tr>
        <w:tc>
          <w:tcPr>
            <w:tcW w:w="5495"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120" w:after="120"/>
              <w:jc w:val="both"/>
              <w:rPr>
                <w:rFonts w:ascii="Times New Roman" w:hAnsi="Times New Roman" w:cs="Times New Roman"/>
                <w:noProof/>
                <w:sz w:val="20"/>
                <w:szCs w:val="20"/>
              </w:rPr>
            </w:pPr>
            <w:r>
              <w:rPr>
                <w:rFonts w:ascii="Times New Roman" w:hAnsi="Times New Roman" w:cs="Times New Roman"/>
                <w:noProof/>
                <w:sz w:val="20"/>
                <w:szCs w:val="20"/>
              </w:rPr>
              <w:t>(5) It is not clear how robust the impact estimates are. The report should better present the methodologies it applied in estimating the impacts of the policy options. It should explain the underlying assumptions and main logical steps that resulted in the presented outcomes. For example, it should explain how the estimates on a possible modal shift were obtained and how credible they are. It should explain why shifting goods transport from road to rail leads to external benefits while the shift to waterborne transport leads to (higher) external costs. Moreover, the report should discuss how robust the choice of the preferred policy option is, given that the estimated benefits of options 3 and 4 appear to be about the same. The impact analysis should assess how sensitive the estimates are to plausible variations of the underlying assumptions.</w:t>
            </w:r>
          </w:p>
        </w:tc>
        <w:tc>
          <w:tcPr>
            <w:tcW w:w="3509" w:type="dxa"/>
            <w:tcBorders>
              <w:top w:val="single" w:sz="4" w:space="0" w:color="auto"/>
              <w:left w:val="single" w:sz="4" w:space="0" w:color="auto"/>
              <w:bottom w:val="single" w:sz="4" w:space="0" w:color="auto"/>
              <w:right w:val="single" w:sz="4" w:space="0" w:color="auto"/>
            </w:tcBorders>
            <w:shd w:val="clear" w:color="auto" w:fill="FFFFFF" w:themeFill="background1"/>
          </w:tcPr>
          <w:p>
            <w:pPr>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Further explanations regarding the methodology for deriving the administrative costs has been added in Annex 4. In addition, a section on the uptake rates of electronic documents has been added in Annex 4. An explanation on how the modal shift has been assessed has been added in section 6.1 (modal shift and congestion costs). Clarification regarding the external costs of air pollutants has been added in section 6.3 (emissions). Considerations regarding the choice of the preferred policy option have been added in section 8. Sensitivity analysis for the uptake rates of electronic documents has been added in section 7.</w:t>
            </w:r>
          </w:p>
        </w:tc>
      </w:tr>
      <w:tr>
        <w:tc>
          <w:tcPr>
            <w:tcW w:w="5495"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120" w:after="120"/>
              <w:jc w:val="both"/>
              <w:rPr>
                <w:rFonts w:ascii="Times New Roman" w:hAnsi="Times New Roman" w:cs="Times New Roman"/>
                <w:noProof/>
                <w:sz w:val="20"/>
                <w:szCs w:val="20"/>
              </w:rPr>
            </w:pPr>
            <w:r>
              <w:rPr>
                <w:rFonts w:ascii="Times New Roman" w:hAnsi="Times New Roman" w:cs="Times New Roman"/>
                <w:noProof/>
                <w:sz w:val="20"/>
                <w:szCs w:val="20"/>
              </w:rPr>
              <w:t>(6) The impact analysis should provide more information about the costs that the policy options imply for public authorities. Currently it mainly concentrates on costs for private operators and refers to future impact assessments (see table below). However, reaching the objective will eventually imply costs related to these implementing measures. As these are also relevant for the current political decision, the report should indicate their magnitude.</w:t>
            </w:r>
          </w:p>
        </w:tc>
        <w:tc>
          <w:tcPr>
            <w:tcW w:w="3509" w:type="dxa"/>
            <w:tcBorders>
              <w:top w:val="single" w:sz="4" w:space="0" w:color="auto"/>
              <w:left w:val="single" w:sz="4" w:space="0" w:color="auto"/>
              <w:bottom w:val="single" w:sz="4" w:space="0" w:color="auto"/>
              <w:right w:val="single" w:sz="4" w:space="0" w:color="auto"/>
            </w:tcBorders>
            <w:shd w:val="clear" w:color="auto" w:fill="FFFFFF" w:themeFill="background1"/>
          </w:tcPr>
          <w:p>
            <w:pPr>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More information regarding the costs related to the certification of solution providers and the enforcement costs for public authorities  has been added in section 6.1 (Compliance costs for authorities and enforcement costs for authorities).</w:t>
            </w:r>
          </w:p>
        </w:tc>
      </w:tr>
    </w:tbl>
    <w:p>
      <w:pPr>
        <w:spacing w:before="120" w:after="120" w:line="240" w:lineRule="auto"/>
        <w:jc w:val="both"/>
        <w:rPr>
          <w:rFonts w:ascii="Times New Roman" w:hAnsi="Times New Roman" w:cs="Times New Roman"/>
          <w:noProof/>
          <w:sz w:val="24"/>
          <w:szCs w:val="24"/>
        </w:rPr>
      </w:pPr>
    </w:p>
    <w:p>
      <w:pPr>
        <w:keepNext/>
        <w:numPr>
          <w:ilvl w:val="0"/>
          <w:numId w:val="26"/>
        </w:numPr>
        <w:spacing w:before="240" w:after="240" w:line="240" w:lineRule="auto"/>
        <w:jc w:val="both"/>
        <w:outlineLvl w:val="0"/>
        <w:rPr>
          <w:rFonts w:ascii="Times New Roman" w:eastAsia="Times New Roman" w:hAnsi="Times New Roman" w:cs="Times New Roman"/>
          <w:b/>
          <w:smallCaps/>
          <w:noProof/>
          <w:sz w:val="24"/>
          <w:szCs w:val="20"/>
        </w:rPr>
      </w:pPr>
      <w:bookmarkStart w:id="215" w:name="_Toc471997758"/>
      <w:bookmarkStart w:id="216" w:name="_Toc481484488"/>
      <w:bookmarkStart w:id="217" w:name="_Toc506397613"/>
      <w:bookmarkStart w:id="218" w:name="_Toc506398545"/>
      <w:bookmarkStart w:id="219" w:name="_Toc506408309"/>
      <w:bookmarkStart w:id="220" w:name="_Toc512589642"/>
      <w:bookmarkStart w:id="221" w:name="_Toc512854947"/>
      <w:r>
        <w:rPr>
          <w:rFonts w:ascii="Times New Roman" w:eastAsia="Times New Roman" w:hAnsi="Times New Roman" w:cs="Times New Roman"/>
          <w:b/>
          <w:smallCaps/>
          <w:noProof/>
          <w:sz w:val="24"/>
          <w:szCs w:val="20"/>
        </w:rPr>
        <w:t>Evidence, sources and quality</w:t>
      </w:r>
      <w:bookmarkEnd w:id="215"/>
      <w:bookmarkEnd w:id="216"/>
      <w:bookmarkEnd w:id="217"/>
      <w:bookmarkEnd w:id="218"/>
      <w:bookmarkEnd w:id="219"/>
      <w:bookmarkEnd w:id="220"/>
      <w:bookmarkEnd w:id="221"/>
    </w:p>
    <w:p>
      <w:pPr>
        <w:spacing w:before="120" w:after="120" w:line="240" w:lineRule="auto"/>
        <w:jc w:val="both"/>
        <w:rPr>
          <w:rFonts w:ascii="Times New Roman" w:hAnsi="Times New Roman"/>
          <w:noProof/>
          <w:sz w:val="24"/>
        </w:rPr>
      </w:pPr>
      <w:r>
        <w:rPr>
          <w:rFonts w:ascii="Times New Roman" w:hAnsi="Times New Roman"/>
          <w:noProof/>
          <w:sz w:val="24"/>
        </w:rPr>
        <w:t xml:space="preserve">The impact assessment is based on research/analyses done by the Commission: </w:t>
      </w:r>
    </w:p>
    <w:p>
      <w:pPr>
        <w:numPr>
          <w:ilvl w:val="0"/>
          <w:numId w:val="27"/>
        </w:numPr>
        <w:spacing w:before="120" w:after="120" w:line="240" w:lineRule="auto"/>
        <w:contextualSpacing/>
        <w:jc w:val="both"/>
        <w:rPr>
          <w:rFonts w:ascii="Times New Roman" w:hAnsi="Times New Roman"/>
          <w:noProof/>
          <w:sz w:val="24"/>
        </w:rPr>
      </w:pPr>
      <w:r>
        <w:rPr>
          <w:rFonts w:ascii="Times New Roman" w:hAnsi="Times New Roman"/>
          <w:noProof/>
          <w:sz w:val="24"/>
        </w:rPr>
        <w:t>Ecorys et al., study on "State of play and barriers to the use of electronic transport documents for freight transport: Options for EU level policy interventions", 2018.</w:t>
      </w:r>
    </w:p>
    <w:p>
      <w:pPr>
        <w:numPr>
          <w:ilvl w:val="0"/>
          <w:numId w:val="27"/>
        </w:numPr>
        <w:spacing w:before="120" w:after="120" w:line="240" w:lineRule="auto"/>
        <w:contextualSpacing/>
        <w:jc w:val="both"/>
        <w:rPr>
          <w:rFonts w:ascii="Times New Roman" w:hAnsi="Times New Roman"/>
          <w:noProof/>
          <w:sz w:val="24"/>
        </w:rPr>
      </w:pPr>
      <w:r>
        <w:rPr>
          <w:rFonts w:ascii="Times New Roman" w:hAnsi="Times New Roman"/>
          <w:noProof/>
          <w:sz w:val="24"/>
        </w:rPr>
        <w:t>Digital Transport Logistics Forum (DTLF) expert group.</w:t>
      </w:r>
    </w:p>
    <w:p>
      <w:pPr>
        <w:numPr>
          <w:ilvl w:val="0"/>
          <w:numId w:val="27"/>
        </w:numPr>
        <w:spacing w:before="120" w:after="120" w:line="240" w:lineRule="auto"/>
        <w:contextualSpacing/>
        <w:jc w:val="both"/>
        <w:rPr>
          <w:rFonts w:ascii="Times New Roman" w:hAnsi="Times New Roman"/>
          <w:noProof/>
          <w:sz w:val="24"/>
        </w:rPr>
      </w:pPr>
      <w:r>
        <w:rPr>
          <w:rFonts w:ascii="Times New Roman" w:hAnsi="Times New Roman"/>
          <w:noProof/>
          <w:sz w:val="24"/>
        </w:rPr>
        <w:t>DTLF, report on "Paperless transport" (draft report).</w:t>
      </w:r>
    </w:p>
    <w:p>
      <w:pPr>
        <w:numPr>
          <w:ilvl w:val="0"/>
          <w:numId w:val="27"/>
        </w:numPr>
        <w:spacing w:before="120" w:after="120" w:line="240" w:lineRule="auto"/>
        <w:contextualSpacing/>
        <w:jc w:val="both"/>
        <w:rPr>
          <w:rFonts w:ascii="Times New Roman" w:hAnsi="Times New Roman"/>
          <w:noProof/>
          <w:sz w:val="24"/>
        </w:rPr>
        <w:sectPr>
          <w:headerReference w:type="even" r:id="rId23"/>
          <w:headerReference w:type="default" r:id="rId24"/>
          <w:footerReference w:type="even" r:id="rId25"/>
          <w:footerReference w:type="default" r:id="rId26"/>
          <w:headerReference w:type="first" r:id="rId27"/>
          <w:footerReference w:type="first" r:id="rId28"/>
          <w:pgSz w:w="11906" w:h="16838"/>
          <w:pgMar w:top="1134" w:right="1417" w:bottom="1134" w:left="1417" w:header="709" w:footer="709" w:gutter="0"/>
          <w:pgNumType w:start="1"/>
          <w:cols w:space="720"/>
          <w:docGrid w:linePitch="299"/>
        </w:sectPr>
      </w:pPr>
      <w:r>
        <w:rPr>
          <w:rFonts w:ascii="Times New Roman" w:hAnsi="Times New Roman"/>
          <w:noProof/>
          <w:sz w:val="24"/>
        </w:rPr>
        <w:t>Modelling performed by the ICCS-E3MLab with the PRIMES-TREMOVE transport model.</w:t>
      </w:r>
    </w:p>
    <w:p>
      <w:pPr>
        <w:rPr>
          <w:rFonts w:ascii="Times New Roman" w:eastAsia="Times New Roman" w:hAnsi="Times New Roman" w:cs="Times New Roman"/>
          <w:noProof/>
          <w:sz w:val="24"/>
          <w:szCs w:val="20"/>
        </w:rPr>
      </w:pPr>
    </w:p>
    <w:p>
      <w:pPr>
        <w:pStyle w:val="AnnexTitle"/>
        <w:outlineLvl w:val="0"/>
        <w:rPr>
          <w:noProof/>
        </w:rPr>
      </w:pPr>
      <w:bookmarkStart w:id="222" w:name="_Toc512854948"/>
      <w:r>
        <w:rPr>
          <w:noProof/>
        </w:rPr>
        <w:t>Annex 2: Stakeholder consultation</w:t>
      </w:r>
      <w:bookmarkEnd w:id="222"/>
      <w:r>
        <w:rPr>
          <w:noProof/>
        </w:rPr>
        <w:t xml:space="preserve"> </w:t>
      </w:r>
    </w:p>
    <w:p>
      <w:pPr>
        <w:keepNext/>
        <w:numPr>
          <w:ilvl w:val="6"/>
          <w:numId w:val="3"/>
        </w:numPr>
        <w:tabs>
          <w:tab w:val="clear" w:pos="2520"/>
          <w:tab w:val="num" w:pos="360"/>
        </w:tabs>
        <w:spacing w:before="240" w:after="240" w:line="240" w:lineRule="auto"/>
        <w:ind w:left="357" w:hanging="357"/>
        <w:contextualSpacing/>
        <w:jc w:val="both"/>
        <w:outlineLvl w:val="0"/>
        <w:rPr>
          <w:rFonts w:ascii="Times New Roman" w:eastAsia="Times New Roman" w:hAnsi="Times New Roman" w:cs="Times New Roman"/>
          <w:b/>
          <w:smallCaps/>
          <w:noProof/>
          <w:sz w:val="24"/>
          <w:szCs w:val="20"/>
        </w:rPr>
      </w:pPr>
      <w:bookmarkStart w:id="223" w:name="_Toc506397614"/>
      <w:bookmarkStart w:id="224" w:name="_Toc506398547"/>
      <w:bookmarkStart w:id="225" w:name="_Toc506408311"/>
      <w:bookmarkStart w:id="226" w:name="_Toc512589644"/>
      <w:bookmarkStart w:id="227" w:name="_Toc512854949"/>
      <w:r>
        <w:rPr>
          <w:rFonts w:ascii="Times New Roman" w:eastAsia="Times New Roman" w:hAnsi="Times New Roman" w:cs="Times New Roman"/>
          <w:b/>
          <w:smallCaps/>
          <w:noProof/>
          <w:sz w:val="24"/>
          <w:szCs w:val="20"/>
        </w:rPr>
        <w:t>Introduction</w:t>
      </w:r>
      <w:bookmarkEnd w:id="223"/>
      <w:bookmarkEnd w:id="224"/>
      <w:bookmarkEnd w:id="225"/>
      <w:bookmarkEnd w:id="226"/>
      <w:bookmarkEnd w:id="227"/>
    </w:p>
    <w:p>
      <w:pPr>
        <w:keepNext/>
        <w:spacing w:before="240" w:after="240" w:line="240" w:lineRule="auto"/>
        <w:ind w:left="357"/>
        <w:contextualSpacing/>
        <w:jc w:val="both"/>
        <w:outlineLvl w:val="0"/>
        <w:rPr>
          <w:rFonts w:ascii="Times New Roman" w:eastAsia="Times New Roman" w:hAnsi="Times New Roman" w:cs="Times New Roman"/>
          <w:b/>
          <w:smallCaps/>
          <w:noProof/>
          <w:sz w:val="24"/>
          <w:szCs w:val="20"/>
        </w:rPr>
      </w:pP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Commission actively engaged with stakeholders and conducted comprehensive consultations throughout the impact assessment process. The consultation strategy</w:t>
      </w:r>
      <w:r>
        <w:rPr>
          <w:rFonts w:ascii="Times New Roman" w:eastAsia="Times New Roman" w:hAnsi="Times New Roman" w:cs="Times New Roman"/>
          <w:noProof/>
          <w:sz w:val="24"/>
          <w:szCs w:val="20"/>
          <w:vertAlign w:val="superscript"/>
        </w:rPr>
        <w:footnoteReference w:id="119"/>
      </w:r>
      <w:r>
        <w:rPr>
          <w:rFonts w:ascii="Times New Roman" w:eastAsia="Times New Roman" w:hAnsi="Times New Roman" w:cs="Times New Roman"/>
          <w:noProof/>
          <w:sz w:val="24"/>
          <w:szCs w:val="20"/>
        </w:rPr>
        <w:t xml:space="preserve"> set out a number of actions for the Commission to organise as part of the consultation process. In addition, the Commission made use of the consultation carried out in the context of DTLF.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This annex provides a summary of the outcomes of the stakeholder consultation activities which were carried out as part of the study to support the impact assessment.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It provides a basic analysis of the range of stakeholder groups that were engaged in those activities and a summary of the main issues which they raised.</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objectives of the consultation activities were to:</w:t>
      </w:r>
    </w:p>
    <w:p>
      <w:pPr>
        <w:numPr>
          <w:ilvl w:val="0"/>
          <w:numId w:val="29"/>
        </w:numPr>
        <w:spacing w:after="240" w:line="240" w:lineRule="auto"/>
        <w:contextualSpacing/>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Provide to the wide public and stakeholders an opportunity to express their views on the importance and severity of the problems and issues related to the current legal framework, in order to help formulate the problem definition;</w:t>
      </w:r>
    </w:p>
    <w:p>
      <w:pPr>
        <w:numPr>
          <w:ilvl w:val="0"/>
          <w:numId w:val="29"/>
        </w:numPr>
        <w:spacing w:after="240" w:line="240" w:lineRule="auto"/>
        <w:contextualSpacing/>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Gather specialised input (data and factual information, expert views) from private and public stakeholders' perspective; and</w:t>
      </w:r>
    </w:p>
    <w:p>
      <w:pPr>
        <w:numPr>
          <w:ilvl w:val="0"/>
          <w:numId w:val="29"/>
        </w:numPr>
        <w:spacing w:after="240" w:line="240" w:lineRule="auto"/>
        <w:ind w:left="714" w:hanging="357"/>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Gather input (data and/or estimates, expert views) on the expected impact and level of support of a set of measures intended to address issues and problems identified in the current situation.</w:t>
      </w:r>
    </w:p>
    <w:p>
      <w:pPr>
        <w:spacing w:before="24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consultation activities included:</w:t>
      </w:r>
    </w:p>
    <w:p>
      <w:pPr>
        <w:pStyle w:val="ListParagraph"/>
        <w:numPr>
          <w:ilvl w:val="0"/>
          <w:numId w:val="61"/>
        </w:numPr>
        <w:spacing w:after="240"/>
        <w:rPr>
          <w:noProof/>
          <w:szCs w:val="20"/>
        </w:rPr>
      </w:pPr>
      <w:r>
        <w:rPr>
          <w:noProof/>
          <w:szCs w:val="20"/>
        </w:rPr>
        <w:t>an open public consultation (OPC) organised by the Commission, running from 25 October 2017 to 18 January 2018;</w:t>
      </w:r>
    </w:p>
    <w:p>
      <w:pPr>
        <w:pStyle w:val="ListParagraph"/>
        <w:numPr>
          <w:ilvl w:val="0"/>
          <w:numId w:val="61"/>
        </w:numPr>
        <w:spacing w:after="240"/>
        <w:rPr>
          <w:noProof/>
          <w:szCs w:val="20"/>
        </w:rPr>
      </w:pPr>
      <w:r>
        <w:rPr>
          <w:noProof/>
          <w:szCs w:val="20"/>
        </w:rPr>
        <w:t>an SME panel survey organised by the Commission, running from 24 November 2017 to 22 January 2018;</w:t>
      </w:r>
    </w:p>
    <w:p>
      <w:pPr>
        <w:pStyle w:val="ListParagraph"/>
        <w:numPr>
          <w:ilvl w:val="0"/>
          <w:numId w:val="61"/>
        </w:numPr>
        <w:spacing w:after="240"/>
        <w:rPr>
          <w:noProof/>
          <w:szCs w:val="20"/>
        </w:rPr>
      </w:pPr>
      <w:r>
        <w:rPr>
          <w:noProof/>
          <w:szCs w:val="20"/>
        </w:rPr>
        <w:t>a legal survey of private and public stakeholders organised by the consultant responsible for the impact assessment support study, running from 23 October 2017 to 1 January 2018;</w:t>
      </w:r>
    </w:p>
    <w:p>
      <w:pPr>
        <w:pStyle w:val="ListParagraph"/>
        <w:numPr>
          <w:ilvl w:val="0"/>
          <w:numId w:val="61"/>
        </w:numPr>
        <w:spacing w:after="240"/>
        <w:rPr>
          <w:noProof/>
          <w:szCs w:val="20"/>
        </w:rPr>
      </w:pPr>
      <w:r>
        <w:rPr>
          <w:noProof/>
          <w:szCs w:val="20"/>
        </w:rPr>
        <w:t>a targeted survey of private and public stakeholders organised by the consultant responsible for the impact assessment support study, running from 27 October 2017 to 7 January 2018;</w:t>
      </w:r>
    </w:p>
    <w:p>
      <w:pPr>
        <w:pStyle w:val="ListParagraph"/>
        <w:numPr>
          <w:ilvl w:val="0"/>
          <w:numId w:val="61"/>
        </w:numPr>
        <w:spacing w:after="240"/>
        <w:rPr>
          <w:noProof/>
          <w:szCs w:val="20"/>
        </w:rPr>
      </w:pPr>
      <w:r>
        <w:rPr>
          <w:noProof/>
          <w:szCs w:val="20"/>
        </w:rPr>
        <w:t>50 interviews with stakeholders, including industry representatives and national authorities, conducted by the consultant responsible for the impact assessment support study and its partners between 20 October 2017 and 15 January 2018;</w:t>
      </w:r>
    </w:p>
    <w:p>
      <w:pPr>
        <w:pStyle w:val="ListParagraph"/>
        <w:numPr>
          <w:ilvl w:val="0"/>
          <w:numId w:val="61"/>
        </w:numPr>
        <w:spacing w:after="240"/>
        <w:rPr>
          <w:noProof/>
          <w:szCs w:val="20"/>
        </w:rPr>
      </w:pPr>
      <w:r>
        <w:rPr>
          <w:noProof/>
          <w:szCs w:val="20"/>
        </w:rPr>
        <w:t>stakeholder meetings and workshops at several different events;</w:t>
      </w:r>
    </w:p>
    <w:p>
      <w:pPr>
        <w:pStyle w:val="ListParagraph"/>
        <w:numPr>
          <w:ilvl w:val="0"/>
          <w:numId w:val="61"/>
        </w:numPr>
        <w:spacing w:after="240"/>
        <w:rPr>
          <w:noProof/>
          <w:szCs w:val="20"/>
        </w:rPr>
      </w:pPr>
      <w:r>
        <w:rPr>
          <w:noProof/>
          <w:szCs w:val="20"/>
        </w:rPr>
        <w:t>five case studies examined by the consultant responsible for the impact assessment support study between 6 November 2017 and 15 January 2018.</w:t>
      </w:r>
    </w:p>
    <w:p>
      <w:pPr>
        <w:keepNext/>
        <w:numPr>
          <w:ilvl w:val="6"/>
          <w:numId w:val="3"/>
        </w:numPr>
        <w:tabs>
          <w:tab w:val="clear" w:pos="2520"/>
          <w:tab w:val="num" w:pos="360"/>
        </w:tabs>
        <w:spacing w:before="240" w:after="240" w:line="240" w:lineRule="auto"/>
        <w:ind w:left="360"/>
        <w:contextualSpacing/>
        <w:jc w:val="both"/>
        <w:outlineLvl w:val="0"/>
        <w:rPr>
          <w:rFonts w:ascii="Times New Roman" w:eastAsia="Times New Roman" w:hAnsi="Times New Roman" w:cs="Times New Roman"/>
          <w:b/>
          <w:smallCaps/>
          <w:noProof/>
          <w:sz w:val="24"/>
          <w:szCs w:val="20"/>
        </w:rPr>
      </w:pPr>
      <w:bookmarkStart w:id="228" w:name="_Toc506397615"/>
      <w:bookmarkStart w:id="229" w:name="_Toc506398548"/>
      <w:bookmarkStart w:id="230" w:name="_Toc506408312"/>
      <w:bookmarkStart w:id="231" w:name="_Toc512589645"/>
      <w:bookmarkStart w:id="232" w:name="_Toc512854950"/>
      <w:r>
        <w:rPr>
          <w:rFonts w:ascii="Times New Roman" w:eastAsia="Times New Roman" w:hAnsi="Times New Roman" w:cs="Times New Roman"/>
          <w:b/>
          <w:smallCaps/>
          <w:noProof/>
          <w:sz w:val="24"/>
          <w:szCs w:val="20"/>
        </w:rPr>
        <w:t>Feedback</w:t>
      </w:r>
      <w:bookmarkEnd w:id="228"/>
      <w:bookmarkEnd w:id="229"/>
      <w:bookmarkEnd w:id="230"/>
      <w:bookmarkEnd w:id="231"/>
      <w:bookmarkEnd w:id="232"/>
      <w:r>
        <w:rPr>
          <w:rFonts w:ascii="Times New Roman" w:eastAsia="Times New Roman" w:hAnsi="Times New Roman" w:cs="Times New Roman"/>
          <w:b/>
          <w:smallCaps/>
          <w:noProof/>
          <w:sz w:val="24"/>
          <w:szCs w:val="20"/>
        </w:rPr>
        <w:t xml:space="preserve"> </w:t>
      </w:r>
    </w:p>
    <w:p>
      <w:pPr>
        <w:pStyle w:val="Heading2"/>
        <w:numPr>
          <w:ilvl w:val="0"/>
          <w:numId w:val="0"/>
        </w:numPr>
        <w:ind w:left="576" w:hanging="576"/>
        <w:rPr>
          <w:noProof/>
        </w:rPr>
      </w:pPr>
      <w:bookmarkStart w:id="233" w:name="_Toc512589646"/>
      <w:bookmarkStart w:id="234" w:name="_Toc512854951"/>
      <w:r>
        <w:rPr>
          <w:noProof/>
        </w:rPr>
        <w:t>2.1. Feedback received on the Inception Impact Assessment</w:t>
      </w:r>
      <w:bookmarkEnd w:id="233"/>
      <w:bookmarkEnd w:id="234"/>
      <w:r>
        <w:rPr>
          <w:noProof/>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Commission received eight reactions to the Inception Impact Assessment by the</w:t>
      </w:r>
      <w:r>
        <w:rPr>
          <w:noProof/>
        </w:rPr>
        <w:t xml:space="preserve"> </w:t>
      </w:r>
      <w:r>
        <w:rPr>
          <w:rFonts w:ascii="Times New Roman" w:eastAsia="Times New Roman" w:hAnsi="Times New Roman" w:cs="Times New Roman"/>
          <w:noProof/>
          <w:sz w:val="24"/>
          <w:szCs w:val="20"/>
        </w:rPr>
        <w:t>World Shipping Council (WSC), the European Community Shipowners Associations (ECSA), the</w:t>
      </w:r>
      <w:r>
        <w:rPr>
          <w:noProof/>
        </w:rPr>
        <w:t xml:space="preserve"> </w:t>
      </w:r>
      <w:r>
        <w:rPr>
          <w:rFonts w:ascii="Times New Roman" w:eastAsia="Times New Roman" w:hAnsi="Times New Roman" w:cs="Times New Roman"/>
          <w:noProof/>
          <w:sz w:val="24"/>
          <w:szCs w:val="20"/>
        </w:rPr>
        <w:t>International Road Transport Union (IRU), the Association of European Vehicle Logistics (ECG), the BLG Automobile Logsitics GmbH &amp; Co. KG Bremen (BLG),</w:t>
      </w:r>
      <w:r>
        <w:rPr>
          <w:noProof/>
        </w:rPr>
        <w:t xml:space="preserve"> the </w:t>
      </w:r>
      <w:r>
        <w:rPr>
          <w:rFonts w:ascii="Times New Roman" w:eastAsia="Times New Roman" w:hAnsi="Times New Roman" w:cs="Times New Roman"/>
          <w:noProof/>
          <w:sz w:val="24"/>
          <w:szCs w:val="20"/>
        </w:rPr>
        <w:t>rail sector including CER, CIT and UIC Raildata, the Norwegian Coastal Administration, the German transport insurers (GDV), the UK Road Haulage Association,</w:t>
      </w:r>
      <w:r>
        <w:rPr>
          <w:noProof/>
        </w:rPr>
        <w:t xml:space="preserve"> </w:t>
      </w:r>
      <w:r>
        <w:rPr>
          <w:rFonts w:ascii="Times New Roman" w:eastAsia="Times New Roman" w:hAnsi="Times New Roman" w:cs="Times New Roman"/>
          <w:noProof/>
          <w:sz w:val="24"/>
          <w:szCs w:val="20"/>
        </w:rPr>
        <w:t xml:space="preserve">the French leading professional organization for the transport sector </w:t>
      </w:r>
      <w:r>
        <w:rPr>
          <w:noProof/>
        </w:rPr>
        <w:t>(</w:t>
      </w:r>
      <w:r>
        <w:rPr>
          <w:rFonts w:ascii="Times New Roman" w:eastAsia="Times New Roman" w:hAnsi="Times New Roman" w:cs="Times New Roman"/>
          <w:noProof/>
          <w:sz w:val="24"/>
          <w:szCs w:val="20"/>
        </w:rPr>
        <w:t>FNTR), BusinessEurope and a Polish Non-governmental organisation (NGO). In general, the reactions were positive regarding the EU’s policy move towards a more digital transport environment. All but one welcomed and encouraged the new Commission's initiative on electronic transport documents. BLG Automobile Logsitics GmbH &amp; Co. KG, Bremen mentioned that due to the situation in Germany, the use of electronic transport documents was still not advisable, however they would recommend the ratification of the e-CMR Protocol.</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Problem definition:</w:t>
      </w:r>
    </w:p>
    <w:p>
      <w:pPr>
        <w:numPr>
          <w:ilvl w:val="0"/>
          <w:numId w:val="28"/>
        </w:numPr>
        <w:spacing w:after="240" w:line="240" w:lineRule="auto"/>
        <w:contextualSpacing/>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WSC and ECSA urged the Commission to focus only on B2A and avoid B2B communications. </w:t>
      </w:r>
    </w:p>
    <w:p>
      <w:pPr>
        <w:numPr>
          <w:ilvl w:val="0"/>
          <w:numId w:val="28"/>
        </w:numPr>
        <w:spacing w:after="240" w:line="240" w:lineRule="auto"/>
        <w:contextualSpacing/>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Polish NGO focused on the complexity of the issues to be addressed, referring to the amount of documents used across different modes, the legal and regulatory barriers regarding the transport documents, including international conventions, and concerns that establishing a single legal framework for EU should not isolate international transport.</w:t>
      </w:r>
    </w:p>
    <w:p>
      <w:pPr>
        <w:spacing w:after="240" w:line="240" w:lineRule="auto"/>
        <w:ind w:left="720"/>
        <w:contextualSpacing/>
        <w:jc w:val="both"/>
        <w:rPr>
          <w:rFonts w:ascii="Times New Roman" w:eastAsia="Times New Roman" w:hAnsi="Times New Roman" w:cs="Times New Roman"/>
          <w:noProof/>
          <w:sz w:val="24"/>
          <w:szCs w:val="20"/>
        </w:rPr>
      </w:pP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Policy options:</w:t>
      </w:r>
    </w:p>
    <w:p>
      <w:pPr>
        <w:numPr>
          <w:ilvl w:val="0"/>
          <w:numId w:val="28"/>
        </w:numPr>
        <w:spacing w:after="240" w:line="240" w:lineRule="auto"/>
        <w:contextualSpacing/>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WSC and ECSA advised the Commission to recognise the complex operational and legal realities that distinguish each transport mode and to avoid pursuing ‘one size fits all’ multimodal solutions. </w:t>
      </w:r>
    </w:p>
    <w:p>
      <w:pPr>
        <w:numPr>
          <w:ilvl w:val="0"/>
          <w:numId w:val="28"/>
        </w:numPr>
        <w:spacing w:after="240" w:line="240" w:lineRule="auto"/>
        <w:contextualSpacing/>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IRU encouraged the Commission to further increase its legislative and non-legislative actions and to subsequently enable and align the implementation of electronic documents for road freight transport and logistics. </w:t>
      </w:r>
    </w:p>
    <w:p>
      <w:pPr>
        <w:numPr>
          <w:ilvl w:val="0"/>
          <w:numId w:val="28"/>
        </w:numPr>
        <w:spacing w:after="240" w:line="240" w:lineRule="auto"/>
        <w:contextualSpacing/>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Norwegian Coastal Administration suggested focusing on economic benefits and non-regulative measures</w:t>
      </w:r>
      <w:r>
        <w:rPr>
          <w:rFonts w:ascii="Times New Roman" w:eastAsia="Times New Roman" w:hAnsi="Times New Roman" w:cs="Times New Roman"/>
          <w:b/>
          <w:noProof/>
          <w:sz w:val="24"/>
          <w:szCs w:val="20"/>
        </w:rPr>
        <w:t xml:space="preserve"> </w:t>
      </w:r>
      <w:r>
        <w:rPr>
          <w:rFonts w:ascii="Times New Roman" w:eastAsia="Times New Roman" w:hAnsi="Times New Roman" w:cs="Times New Roman"/>
          <w:noProof/>
          <w:sz w:val="24"/>
          <w:szCs w:val="20"/>
        </w:rPr>
        <w:t>when addressing the industry. They found the outlined objectives and policy options vital for the impact assessment and proposed to create a forum where the various modes of transport could discuss and assess the challenges and opportunities at hand.</w:t>
      </w:r>
    </w:p>
    <w:p>
      <w:pPr>
        <w:numPr>
          <w:ilvl w:val="0"/>
          <w:numId w:val="28"/>
        </w:numPr>
        <w:spacing w:after="240" w:line="240" w:lineRule="auto"/>
        <w:contextualSpacing/>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ECG called for all European countries to ratify the 2008 e-CMR Protocol.</w:t>
      </w:r>
    </w:p>
    <w:p>
      <w:pPr>
        <w:numPr>
          <w:ilvl w:val="0"/>
          <w:numId w:val="28"/>
        </w:numPr>
        <w:spacing w:after="240" w:line="240" w:lineRule="auto"/>
        <w:contextualSpacing/>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GDV proposed the fulfilment of requirements similar to those of e-CMR. Furthermore, they supported almost all Commission's proposals on the measures.</w:t>
      </w:r>
    </w:p>
    <w:p>
      <w:pPr>
        <w:numPr>
          <w:ilvl w:val="0"/>
          <w:numId w:val="28"/>
        </w:numPr>
        <w:spacing w:after="240" w:line="240" w:lineRule="auto"/>
        <w:contextualSpacing/>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UK Road Haulage Association suggested that the paper documents should also be available and that the electronic documents should be accessible at any time.</w:t>
      </w:r>
    </w:p>
    <w:p>
      <w:pPr>
        <w:numPr>
          <w:ilvl w:val="0"/>
          <w:numId w:val="28"/>
        </w:numPr>
        <w:spacing w:after="240" w:line="240" w:lineRule="auto"/>
        <w:contextualSpacing/>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FNTR highlighted that it would be important that the solutions be easy and not time consuming. They insisted on the interoperability and the integrity of the solutions, while they proposed that signing on glass process is not an option but digital signature tools are.</w:t>
      </w:r>
    </w:p>
    <w:p>
      <w:pPr>
        <w:numPr>
          <w:ilvl w:val="0"/>
          <w:numId w:val="28"/>
        </w:numPr>
        <w:spacing w:after="240" w:line="240" w:lineRule="auto"/>
        <w:contextualSpacing/>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rail sector recommended that potential legislative measures should take into account the already existing international legal framework and ongoing railway initiatives, respecting the entrepreneurial freedom of companies.</w:t>
      </w:r>
    </w:p>
    <w:p>
      <w:pPr>
        <w:numPr>
          <w:ilvl w:val="0"/>
          <w:numId w:val="28"/>
        </w:numPr>
        <w:spacing w:after="240" w:line="240" w:lineRule="auto"/>
        <w:contextualSpacing/>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BusinessEurope mentioned that actions in each mode are essential, as well as the improvement of the interoperability between the modes.</w:t>
      </w:r>
    </w:p>
    <w:p>
      <w:pPr>
        <w:spacing w:after="240" w:line="240" w:lineRule="auto"/>
        <w:ind w:left="720"/>
        <w:contextualSpacing/>
        <w:jc w:val="both"/>
        <w:rPr>
          <w:rFonts w:ascii="Times New Roman" w:eastAsia="Times New Roman" w:hAnsi="Times New Roman" w:cs="Times New Roman"/>
          <w:noProof/>
          <w:sz w:val="24"/>
          <w:szCs w:val="20"/>
        </w:rPr>
      </w:pPr>
    </w:p>
    <w:p>
      <w:pPr>
        <w:pStyle w:val="Heading2"/>
        <w:numPr>
          <w:ilvl w:val="0"/>
          <w:numId w:val="0"/>
        </w:numPr>
        <w:ind w:left="576" w:hanging="576"/>
        <w:rPr>
          <w:noProof/>
        </w:rPr>
      </w:pPr>
      <w:bookmarkStart w:id="235" w:name="_Toc512589647"/>
      <w:bookmarkStart w:id="236" w:name="_Toc512854952"/>
      <w:r>
        <w:rPr>
          <w:noProof/>
        </w:rPr>
        <w:t>2.2. Feedback received during the consultation process</w:t>
      </w:r>
      <w:bookmarkEnd w:id="235"/>
      <w:bookmarkEnd w:id="236"/>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Commission received three more reactions from private and public stakeholders during the consultation process, all welcoming the initiative – CLECAT, Transport et Logistique France (TLF) Union and the Finish administration.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CLECAT proposed that the concept of a document accompanying the goods should be abandoned entirely and be replaced by the concept of exchanging data. It also underscored that DG MOVE should not aim to replace existing systems, but rather render existing B2A solutions more interoperable. For CLECAT it is important to introduce measures in order to remove the remaining barriers of legal acceptance of digital data.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Similarly, the TLF underlined that the aim of the initiative should be the digital exchange of data. Therefore, TLF recommended that a single EU-wide legal framework should be defined by DG MOVE, enabling the digital exchange of data between businesses and authorities in transport and logistics.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In its position paper, Finland emphasized the need for an EU legislation that obliged all the European public authorities to accept electronic documents, as well as the fact that Commission should speed up the harmonisation of data elements.</w:t>
      </w:r>
    </w:p>
    <w:p>
      <w:pPr>
        <w:keepNext/>
        <w:numPr>
          <w:ilvl w:val="6"/>
          <w:numId w:val="3"/>
        </w:numPr>
        <w:tabs>
          <w:tab w:val="clear" w:pos="2520"/>
          <w:tab w:val="num" w:pos="360"/>
        </w:tabs>
        <w:spacing w:before="240" w:after="240" w:line="240" w:lineRule="auto"/>
        <w:ind w:left="360"/>
        <w:contextualSpacing/>
        <w:jc w:val="both"/>
        <w:outlineLvl w:val="0"/>
        <w:rPr>
          <w:rFonts w:ascii="Times New Roman" w:eastAsia="Times New Roman" w:hAnsi="Times New Roman" w:cs="Times New Roman"/>
          <w:b/>
          <w:smallCaps/>
          <w:noProof/>
          <w:sz w:val="24"/>
          <w:szCs w:val="20"/>
        </w:rPr>
      </w:pPr>
      <w:bookmarkStart w:id="237" w:name="_Toc492639803"/>
      <w:bookmarkStart w:id="238" w:name="_Toc492642348"/>
      <w:bookmarkStart w:id="239" w:name="_Toc492642930"/>
      <w:bookmarkStart w:id="240" w:name="_Toc492648438"/>
      <w:bookmarkStart w:id="241" w:name="_Toc492649093"/>
      <w:bookmarkStart w:id="242" w:name="_Toc492649165"/>
      <w:bookmarkStart w:id="243" w:name="_Toc492650589"/>
      <w:bookmarkStart w:id="244" w:name="_Toc492651530"/>
      <w:bookmarkStart w:id="245" w:name="_Toc492655030"/>
      <w:bookmarkStart w:id="246" w:name="_Toc492655325"/>
      <w:bookmarkStart w:id="247" w:name="_Toc492981851"/>
      <w:bookmarkStart w:id="248" w:name="_Toc492992002"/>
      <w:bookmarkStart w:id="249" w:name="_Toc506397616"/>
      <w:bookmarkStart w:id="250" w:name="_Toc506398549"/>
      <w:bookmarkStart w:id="251" w:name="_Toc506408313"/>
      <w:bookmarkStart w:id="252" w:name="_Toc512589648"/>
      <w:bookmarkStart w:id="253" w:name="_Toc512854953"/>
      <w:r>
        <w:rPr>
          <w:rFonts w:ascii="Times New Roman" w:eastAsia="Times New Roman" w:hAnsi="Times New Roman" w:cs="Times New Roman"/>
          <w:b/>
          <w:smallCaps/>
          <w:noProof/>
          <w:sz w:val="24"/>
          <w:szCs w:val="20"/>
        </w:rPr>
        <w:t>Methodology</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pPr>
        <w:keepNext/>
        <w:spacing w:before="240" w:after="240" w:line="240" w:lineRule="auto"/>
        <w:contextualSpacing/>
        <w:jc w:val="both"/>
        <w:outlineLvl w:val="0"/>
        <w:rPr>
          <w:rFonts w:ascii="Times New Roman" w:eastAsia="Times New Roman" w:hAnsi="Times New Roman" w:cs="Times New Roman"/>
          <w:b/>
          <w:smallCaps/>
          <w:noProof/>
          <w:sz w:val="24"/>
          <w:szCs w:val="20"/>
        </w:rPr>
      </w:pPr>
    </w:p>
    <w:p>
      <w:pP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3.1. Open public consultation (OPC)</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objectives of the OPC were to gather the views and concerns of all interested private and public stakeholders on the use of electronic freight transport documents and help verify the problems faced by the sector, validate the objectives of the possible policy intervention and obtain the opinion of stakeholders on the appropriateness and expected impacts of the possible policy measures to address those problems.</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 total of 100 responses were received, covering a variety of stakeholder groups, as shown in the Graph 2-1 below. 82 respondents responded in their professional capacity or on behalf of their organization, whereas the remaining 18 (no answer)</w:t>
      </w:r>
      <w:r>
        <w:rPr>
          <w:noProof/>
        </w:rPr>
        <w:t xml:space="preserve"> </w:t>
      </w:r>
      <w:r>
        <w:rPr>
          <w:rFonts w:ascii="Times New Roman" w:eastAsia="Times New Roman" w:hAnsi="Times New Roman" w:cs="Times New Roman"/>
          <w:noProof/>
          <w:sz w:val="24"/>
          <w:szCs w:val="20"/>
        </w:rPr>
        <w:t xml:space="preserve">indicated that they replied as an individual in their personal capacity. </w:t>
      </w:r>
    </w:p>
    <w:p>
      <w:pPr>
        <w:spacing w:after="240" w:line="240" w:lineRule="auto"/>
        <w:jc w:val="both"/>
        <w:rPr>
          <w:rFonts w:ascii="Times New Roman" w:eastAsia="Times New Roman" w:hAnsi="Times New Roman" w:cs="Times New Roman"/>
          <w:b/>
          <w:noProof/>
          <w:sz w:val="18"/>
          <w:szCs w:val="20"/>
        </w:rPr>
      </w:pPr>
      <w:r>
        <w:rPr>
          <w:rFonts w:ascii="Times New Roman" w:eastAsia="Times New Roman" w:hAnsi="Times New Roman" w:cs="Times New Roman"/>
          <w:noProof/>
          <w:sz w:val="24"/>
          <w:szCs w:val="20"/>
        </w:rPr>
        <w:t>Responses were received from respondents residing or based in 20 EU Member States (Austria, Belgium, Bulgaria, Czech Republic, Denmark, Estonia, Finland, France, Germany, Hungary, Ireland, Italy, Latvia, Netherlands, Portugal, Poland, Romania, Spain, Sweden and the United Kingdom), as well as from Switzerland and Norway.</w:t>
      </w:r>
      <w:r>
        <w:rPr>
          <w:noProof/>
        </w:rPr>
        <w:t xml:space="preserve"> </w:t>
      </w:r>
      <w:r>
        <w:rPr>
          <w:rFonts w:ascii="Times New Roman" w:eastAsia="Times New Roman" w:hAnsi="Times New Roman" w:cs="Times New Roman"/>
          <w:noProof/>
          <w:sz w:val="24"/>
          <w:szCs w:val="20"/>
        </w:rPr>
        <w:t>Most responses were received by stakeholders from Hungary 18, followed by Germany (12), Austria (10) and Belgium (8).</w:t>
      </w:r>
    </w:p>
    <w:p>
      <w:pPr>
        <w:spacing w:after="240" w:line="240" w:lineRule="auto"/>
        <w:jc w:val="both"/>
        <w:rPr>
          <w:rFonts w:ascii="Times New Roman" w:eastAsia="Times New Roman" w:hAnsi="Times New Roman" w:cs="Times New Roman"/>
          <w:b/>
          <w:noProof/>
          <w:sz w:val="18"/>
          <w:szCs w:val="20"/>
        </w:rPr>
      </w:pPr>
      <w:r>
        <w:rPr>
          <w:rFonts w:ascii="Times New Roman" w:eastAsia="Times New Roman" w:hAnsi="Times New Roman" w:cs="Times New Roman"/>
          <w:b/>
          <w:noProof/>
          <w:sz w:val="18"/>
          <w:szCs w:val="20"/>
        </w:rPr>
        <w:t>Graph Annex 2-1 OPC respondents grouped by organisation type</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lang w:val="en-US"/>
        </w:rPr>
        <w:drawing>
          <wp:inline distT="0" distB="0" distL="0" distR="0">
            <wp:extent cx="3531814" cy="2648310"/>
            <wp:effectExtent l="0" t="0" r="0" b="0"/>
            <wp:docPr id="2" name="Picture 2" descr="C:\Users\piperel\Downloads\cha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perel\Downloads\chart.jpe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42796" cy="2656545"/>
                    </a:xfrm>
                    <a:prstGeom prst="rect">
                      <a:avLst/>
                    </a:prstGeom>
                    <a:noFill/>
                    <a:ln>
                      <a:noFill/>
                    </a:ln>
                  </pic:spPr>
                </pic:pic>
              </a:graphicData>
            </a:graphic>
          </wp:inline>
        </w:drawing>
      </w:r>
    </w:p>
    <w:p>
      <w:pPr>
        <w:spacing w:after="240" w:line="240" w:lineRule="auto"/>
        <w:jc w:val="both"/>
        <w:rPr>
          <w:rFonts w:ascii="Times New Roman Bold" w:eastAsia="Times New Roman" w:hAnsi="Times New Roman Bold" w:cs="Times New Roman"/>
          <w:b/>
          <w:noProof/>
          <w:sz w:val="24"/>
          <w:szCs w:val="20"/>
        </w:rPr>
      </w:pPr>
      <w:r>
        <w:rPr>
          <w:rFonts w:ascii="Times New Roman Bold" w:eastAsia="Times New Roman" w:hAnsi="Times New Roman Bold" w:cs="Times New Roman"/>
          <w:b/>
          <w:noProof/>
          <w:sz w:val="24"/>
          <w:szCs w:val="20"/>
        </w:rPr>
        <w:t>3.2. SME panel</w:t>
      </w:r>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Commission SME panel survey focussed on whether and to what extent the SMEs are using electronic transport documents, the potential benefits from their use, reasons for not using them, and the way the Commission could facilitate the use of electronic transport documents by the SMEs.</w:t>
      </w:r>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 total of 267 responses were received from organisations based in 22 EU Member States (Austria, Belgium, Cyprus, Czech Republic, Denmark, Estonia, Finland, France, Germany, Greece, Ireland, Italy, Latvia, Lithuania, Luxembourg, Poland, Portugal, Romania, Slovakia, Slovenia, Spain and the United Kingdom). 75% of the respondents came however from just 5 countries –France, Italy, Lithuania, Poland and Portugal.</w:t>
      </w:r>
    </w:p>
    <w:p>
      <w:pPr>
        <w:spacing w:after="240" w:line="240" w:lineRule="auto"/>
        <w:jc w:val="both"/>
        <w:rPr>
          <w:rFonts w:ascii="Times New Roman" w:eastAsia="Times New Roman" w:hAnsi="Times New Roman" w:cs="Times New Roman"/>
          <w:b/>
          <w:smallCaps/>
          <w:noProof/>
          <w:sz w:val="24"/>
          <w:szCs w:val="20"/>
        </w:rPr>
      </w:pPr>
      <w:r>
        <w:rPr>
          <w:rFonts w:ascii="Times New Roman" w:eastAsia="Times New Roman" w:hAnsi="Times New Roman" w:cs="Times New Roman"/>
          <w:b/>
          <w:smallCaps/>
          <w:noProof/>
          <w:sz w:val="24"/>
          <w:szCs w:val="20"/>
        </w:rPr>
        <w:t xml:space="preserve">3.3. </w:t>
      </w:r>
      <w:r>
        <w:rPr>
          <w:rFonts w:ascii="Times New Roman Bold" w:eastAsia="Times New Roman" w:hAnsi="Times New Roman Bold" w:cs="Times New Roman"/>
          <w:b/>
          <w:noProof/>
          <w:sz w:val="24"/>
          <w:szCs w:val="20"/>
        </w:rPr>
        <w:t>Stakeholder workshops</w:t>
      </w:r>
      <w:r>
        <w:rPr>
          <w:rFonts w:ascii="Times New Roman" w:eastAsia="Times New Roman" w:hAnsi="Times New Roman" w:cs="Times New Roman"/>
          <w:b/>
          <w:smallCaps/>
          <w:noProof/>
          <w:sz w:val="24"/>
          <w:szCs w:val="20"/>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During the consultation process the Commission held several workshops with stakeholders and Member States representatives. The Commission presented to the experts its intentions and ideas, asking their opinion on the drivers and the policy options and measures.</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On 10 July 2017, 25 stakeholders, including industry representatives from all modes, apart from air, and representatives from some Member States (DE, FI, LU, SE), participated in a first workshop aimed at pre-identifying the range of possible measures that would be included in the stakeholder OPC. The participants confirmed that the Commission had indeed identified the main issues in its problem assessment described in the inception IA, and discussed possible measures to address the first problem driver – limited acceptance by Member States authorities.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aim of the second workshop, which took place on 30 August 2017, was to have a more in-depth discussion on options for measures to address the second problem driver identified – co-existence of multiple, non-interoperable standards. The workshop gathered more than 30 external stakeholders, with a very good representation of all transport modes as well as multimodal logistics companies and associations, standardisation organisations (UNECE, WCO, CENCELEC) and MS representative (DE, FI, EE). Through the discussion it was emphasised that it is not about "electronic documents" but rather "electronic data sets" which constitute/represent a "document", as the authorities do not require the transport document (CMR, consignment note, waybill, bill of lading) per se, but rather accept them as (valid) source of information/data for verifying compliance with certain regulations.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On 17 October 2017 a workshop dedicated to Member States was organised with representatives from 14 Member States (BE, BG, CY, DE, DK, EL, ES, FI, LU, NL, PL, PT, RO, SE). The purpose was to involve them early on in the policy making process and engage them in cooperating and providing information. During the conversation the Commission gathered information regarding current practices and on-going digitalisation initiatives. The participants recommended the examination of the existing EU legal regime and, with regard to policy measures, they supported the need for harmonisation of data sets and decentralised systems.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 last workshop with wider participation, gathering more than 40 industry and Member States representatives was organised on 10 January 2018. The objective was the independent contractors to present and discuss some of consultation outcomes with the stakeholders and request for further information. Main outcome was the request from the participants for a legislative act.</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Two additional meetings, with a more restrained expert participation were organised on 5 December 2017 and 16 January 2018. Gathering experts from all transport modes, as well as Member States representatives, the objective was to identify how the ideal digital environment for transport documentation/information exchange in Europe could look like. The workshops focused on exchanging views on identifying the scope of a future proposal, including technical definitions and terms to be used in relation to the various elements. The experts underscored once more the need for an EU legislative act, with high level of binding specifications. </w:t>
      </w:r>
    </w:p>
    <w:p>
      <w:pPr>
        <w:spacing w:before="240" w:after="240" w:line="240" w:lineRule="auto"/>
        <w:jc w:val="both"/>
        <w:rPr>
          <w:rFonts w:ascii="Times New Roman Bold" w:eastAsia="Times New Roman" w:hAnsi="Times New Roman Bold" w:cs="Times New Roman"/>
          <w:b/>
          <w:noProof/>
          <w:sz w:val="24"/>
          <w:szCs w:val="20"/>
        </w:rPr>
      </w:pPr>
      <w:r>
        <w:rPr>
          <w:rFonts w:ascii="Times New Roman Bold" w:eastAsia="Times New Roman" w:hAnsi="Times New Roman Bold" w:cs="Times New Roman"/>
          <w:b/>
          <w:noProof/>
          <w:sz w:val="24"/>
          <w:szCs w:val="20"/>
        </w:rPr>
        <w:t>Conferences</w:t>
      </w:r>
    </w:p>
    <w:p>
      <w:pPr>
        <w:spacing w:after="24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0"/>
        </w:rPr>
        <w:t>A range of public and private partners from all transport sectors met in Tallinn to discuss the digitalisation of transport in November 2017</w:t>
      </w:r>
      <w:r>
        <w:rPr>
          <w:rFonts w:ascii="Times New Roman" w:eastAsia="Times New Roman" w:hAnsi="Times New Roman" w:cs="Times New Roman"/>
          <w:noProof/>
          <w:sz w:val="24"/>
          <w:szCs w:val="24"/>
        </w:rPr>
        <w:t>.</w:t>
      </w:r>
      <w:r>
        <w:rPr>
          <w:rFonts w:ascii="Times New Roman" w:hAnsi="Times New Roman" w:cs="Times New Roman"/>
          <w:noProof/>
          <w:sz w:val="24"/>
          <w:szCs w:val="24"/>
        </w:rPr>
        <w:t xml:space="preserve"> A workshop dedicated to the initiative was organised in the framework of the Conference, giving the Commission the opportunity to discuss the various aspects of problem definition and possible measures with a variety of stakeholders.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Digital Transport Days Conference concluded with a </w:t>
      </w:r>
      <w:hyperlink r:id="rId30" w:history="1">
        <w:r>
          <w:rPr>
            <w:rFonts w:ascii="Times New Roman" w:eastAsia="Times New Roman" w:hAnsi="Times New Roman" w:cs="Times New Roman"/>
            <w:noProof/>
            <w:color w:val="0000FF"/>
            <w:sz w:val="24"/>
            <w:szCs w:val="20"/>
            <w:u w:val="single"/>
          </w:rPr>
          <w:t>declaration</w:t>
        </w:r>
      </w:hyperlink>
      <w:r>
        <w:rPr>
          <w:rFonts w:ascii="Times New Roman" w:eastAsia="Times New Roman" w:hAnsi="Times New Roman" w:cs="Times New Roman"/>
          <w:noProof/>
          <w:sz w:val="24"/>
          <w:szCs w:val="20"/>
        </w:rPr>
        <w:t xml:space="preserve"> by the stakeholders, which underscored that it was about time to reap the benefits of digitalisation, including paperless data sharing, and thereby reduce administrative burdens, increase efficiency and safety, and help create new mobility services.</w:t>
      </w:r>
    </w:p>
    <w:p>
      <w:pPr>
        <w:rPr>
          <w:rFonts w:ascii="Times New Roman Bold" w:eastAsia="Times New Roman" w:hAnsi="Times New Roman Bold" w:cs="Times New Roman"/>
          <w:b/>
          <w:noProof/>
          <w:sz w:val="24"/>
          <w:szCs w:val="20"/>
        </w:rPr>
      </w:pPr>
      <w:r>
        <w:rPr>
          <w:rFonts w:ascii="Times New Roman Bold" w:eastAsia="Times New Roman" w:hAnsi="Times New Roman Bold" w:cs="Times New Roman"/>
          <w:b/>
          <w:noProof/>
          <w:sz w:val="24"/>
          <w:szCs w:val="20"/>
        </w:rPr>
        <w:br w:type="page"/>
      </w:r>
    </w:p>
    <w:p>
      <w:pPr>
        <w:spacing w:after="240" w:line="240" w:lineRule="auto"/>
        <w:jc w:val="both"/>
        <w:rPr>
          <w:rFonts w:ascii="Times New Roman Bold" w:eastAsia="Times New Roman" w:hAnsi="Times New Roman Bold" w:cs="Times New Roman"/>
          <w:b/>
          <w:noProof/>
          <w:sz w:val="24"/>
          <w:szCs w:val="20"/>
        </w:rPr>
      </w:pPr>
      <w:r>
        <w:rPr>
          <w:rFonts w:ascii="Times New Roman Bold" w:eastAsia="Times New Roman" w:hAnsi="Times New Roman Bold" w:cs="Times New Roman"/>
          <w:b/>
          <w:noProof/>
          <w:sz w:val="24"/>
          <w:szCs w:val="20"/>
        </w:rPr>
        <w:t>3.4. Conclusions and limitations</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objectives of the consultation activities have been largely achieved. All relevant stakeholders groups representing all EU Member States have been consulted and most provided their views on current hindering aspects and the policy measures under consideration. Where available, respondents also provided (some) quantitative information.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information collected corresponded in general to the objectives and expectations of the consultation activities defined for each stakeholder group, although in a number of cases stakeholders were unable to quantify the expected costs or savings of the proposed measures. </w:t>
      </w:r>
    </w:p>
    <w:p>
      <w:pPr>
        <w:keepNext/>
        <w:numPr>
          <w:ilvl w:val="6"/>
          <w:numId w:val="3"/>
        </w:numPr>
        <w:tabs>
          <w:tab w:val="clear" w:pos="2520"/>
          <w:tab w:val="num" w:pos="360"/>
        </w:tabs>
        <w:spacing w:before="240" w:after="240" w:line="240" w:lineRule="auto"/>
        <w:ind w:left="360"/>
        <w:contextualSpacing/>
        <w:jc w:val="both"/>
        <w:outlineLvl w:val="0"/>
        <w:rPr>
          <w:rFonts w:ascii="Times New Roman" w:eastAsia="Times New Roman" w:hAnsi="Times New Roman" w:cs="Times New Roman"/>
          <w:b/>
          <w:smallCaps/>
          <w:noProof/>
          <w:sz w:val="24"/>
          <w:szCs w:val="20"/>
        </w:rPr>
      </w:pPr>
      <w:bookmarkStart w:id="254" w:name="_Toc506397617"/>
      <w:bookmarkStart w:id="255" w:name="_Toc506398550"/>
      <w:bookmarkStart w:id="256" w:name="_Toc506408314"/>
      <w:bookmarkStart w:id="257" w:name="_Toc512589649"/>
      <w:bookmarkStart w:id="258" w:name="_Toc512854954"/>
      <w:r>
        <w:rPr>
          <w:rFonts w:ascii="Times New Roman" w:eastAsia="Times New Roman" w:hAnsi="Times New Roman" w:cs="Times New Roman"/>
          <w:b/>
          <w:smallCaps/>
          <w:noProof/>
          <w:sz w:val="24"/>
          <w:szCs w:val="20"/>
        </w:rPr>
        <w:t>Summary of input</w:t>
      </w:r>
      <w:bookmarkEnd w:id="254"/>
      <w:bookmarkEnd w:id="255"/>
      <w:bookmarkEnd w:id="256"/>
      <w:bookmarkEnd w:id="257"/>
      <w:bookmarkEnd w:id="258"/>
      <w:r>
        <w:rPr>
          <w:rFonts w:ascii="Times New Roman" w:eastAsia="Times New Roman" w:hAnsi="Times New Roman" w:cs="Times New Roman"/>
          <w:b/>
          <w:smallCaps/>
          <w:noProof/>
          <w:sz w:val="24"/>
          <w:szCs w:val="20"/>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Stakeholders provided significant input that helped validate and elaborate the definition of the problem and the missed potential benefits. Input in this area came primarily from the OPC and the SME panel survey, and validated through the other stakeholder engagement tools used</w:t>
      </w:r>
      <w:r>
        <w:rPr>
          <w:rFonts w:ascii="Times New Roman" w:eastAsia="Times New Roman" w:hAnsi="Times New Roman" w:cs="Times New Roman"/>
          <w:b/>
          <w:smallCaps/>
          <w:noProof/>
          <w:sz w:val="24"/>
          <w:szCs w:val="20"/>
          <w:vertAlign w:val="superscript"/>
        </w:rPr>
        <w:footnoteReference w:id="120"/>
      </w:r>
      <w:r>
        <w:rPr>
          <w:rFonts w:ascii="Times New Roman" w:eastAsia="Times New Roman" w:hAnsi="Times New Roman" w:cs="Times New Roman"/>
          <w:noProof/>
          <w:sz w:val="24"/>
          <w:szCs w:val="20"/>
        </w:rPr>
        <w:t>.</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sections below summarise the inputs provided that covered the problem definition, what are considered to be the underlying causes and drivers of the problem, possible measures and expected impacts to those measures.</w:t>
      </w:r>
    </w:p>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4.1. Familiarity with transport documents in electronic format</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Half of the 100 </w:t>
      </w:r>
      <w:r>
        <w:rPr>
          <w:rFonts w:ascii="Times New Roman" w:eastAsia="Times New Roman" w:hAnsi="Times New Roman" w:cs="Times New Roman"/>
          <w:b/>
          <w:noProof/>
          <w:sz w:val="24"/>
          <w:szCs w:val="20"/>
        </w:rPr>
        <w:t>respondents to the OPC</w:t>
      </w:r>
      <w:r>
        <w:rPr>
          <w:rFonts w:ascii="Times New Roman" w:eastAsia="Times New Roman" w:hAnsi="Times New Roman" w:cs="Times New Roman"/>
          <w:noProof/>
          <w:sz w:val="24"/>
          <w:szCs w:val="20"/>
        </w:rPr>
        <w:t xml:space="preserve"> come in contact daily with transport documents. However, the majority of the respondents (62) are aware of the use of electronic documents but they do not work directly with them. Only 25 of the respondents replied that they are familiar and work with electronic documents.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According to </w:t>
      </w:r>
      <w:r>
        <w:rPr>
          <w:rFonts w:ascii="Times New Roman" w:eastAsia="Times New Roman" w:hAnsi="Times New Roman" w:cs="Times New Roman"/>
          <w:b/>
          <w:noProof/>
          <w:sz w:val="24"/>
          <w:szCs w:val="20"/>
        </w:rPr>
        <w:t>the SME panel</w:t>
      </w:r>
      <w:r>
        <w:rPr>
          <w:rFonts w:ascii="Times New Roman" w:eastAsia="Times New Roman" w:hAnsi="Times New Roman" w:cs="Times New Roman"/>
          <w:noProof/>
          <w:sz w:val="24"/>
          <w:szCs w:val="20"/>
        </w:rPr>
        <w:t xml:space="preserve"> the average number of paper documents that the respondents process on a daily basis is 350, while the average for electronic documents is equal to 200. On a weekly basis the average number of paper documents that process the respondents is 1074, whereas the average for electronic documents is equal to 351. In addition to the above, the respondents had to indicate whether they also print the electronic transport documents that they process. From the 238 respondents who replied to this question, only 11% never print the electronic documents, while 32% print them all. 35% replied that they print them but it depends, and the average of the documents that they print is around 55% of the documents they issue.</w:t>
      </w:r>
    </w:p>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 xml:space="preserve">4. 2. Problems at stake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majority of the </w:t>
      </w:r>
      <w:r>
        <w:rPr>
          <w:rFonts w:ascii="Times New Roman" w:eastAsia="Times New Roman" w:hAnsi="Times New Roman" w:cs="Times New Roman"/>
          <w:b/>
          <w:noProof/>
          <w:sz w:val="24"/>
          <w:szCs w:val="20"/>
        </w:rPr>
        <w:t xml:space="preserve">respondents of the OPC </w:t>
      </w:r>
      <w:r>
        <w:rPr>
          <w:rFonts w:ascii="Times New Roman" w:eastAsia="Times New Roman" w:hAnsi="Times New Roman" w:cs="Times New Roman"/>
          <w:noProof/>
          <w:sz w:val="24"/>
          <w:szCs w:val="20"/>
        </w:rPr>
        <w:t xml:space="preserve">– more specifically 31 of the 36 private enterprises, 24 of the 28 trade and business associations and 9 of the 10 public authorities believe that there are significant unexploited benefits that could be derived from using transport documents in electronic rather than paper format.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limited acceptance of electronic transport documents by MS authorities and the lack of interoperable standards have been indicated by </w:t>
      </w:r>
      <w:r>
        <w:rPr>
          <w:rFonts w:ascii="Times New Roman" w:eastAsia="Times New Roman" w:hAnsi="Times New Roman" w:cs="Times New Roman"/>
          <w:b/>
          <w:noProof/>
          <w:sz w:val="24"/>
          <w:szCs w:val="20"/>
        </w:rPr>
        <w:t>the OPC respondents</w:t>
      </w:r>
      <w:r>
        <w:rPr>
          <w:rFonts w:ascii="Times New Roman" w:eastAsia="Times New Roman" w:hAnsi="Times New Roman" w:cs="Times New Roman"/>
          <w:noProof/>
          <w:sz w:val="24"/>
          <w:szCs w:val="20"/>
        </w:rPr>
        <w:t xml:space="preserve"> as the most significant drivers of the overall problem. The limited acceptance of electronic transport documents by banks and insurance companies seems to be less significant according to the respondents. 40 out of the 100 respondents indicate that some significant drivers are missing. In general, the majority of these 40 respondents feel that in order to fully exploit the benefits of electronic transport document, all required documentation should be digitalised. According to these respondents, the full benefits can never be exploited as long as there is still a need for paper.</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44% of </w:t>
      </w:r>
      <w:r>
        <w:rPr>
          <w:rFonts w:ascii="Times New Roman" w:eastAsia="Times New Roman" w:hAnsi="Times New Roman" w:cs="Times New Roman"/>
          <w:b/>
          <w:noProof/>
          <w:sz w:val="24"/>
          <w:szCs w:val="20"/>
        </w:rPr>
        <w:t>the respondents to the SME panel survey</w:t>
      </w:r>
      <w:r>
        <w:rPr>
          <w:rFonts w:ascii="Times New Roman" w:eastAsia="Times New Roman" w:hAnsi="Times New Roman" w:cs="Times New Roman"/>
          <w:noProof/>
          <w:sz w:val="24"/>
          <w:szCs w:val="20"/>
        </w:rPr>
        <w:t xml:space="preserve"> replied that main reasons for not using electronic transport documents is that their clients/ business partners do not use transport documents in electronic format, followed closely </w:t>
      </w:r>
      <w:r>
        <w:rPr>
          <w:rFonts w:ascii="Times New Roman" w:eastAsia="Times New Roman" w:hAnsi="Times New Roman" w:cs="Times New Roman"/>
          <w:noProof/>
          <w:sz w:val="24"/>
          <w:szCs w:val="20"/>
          <w:highlight w:val="yellow"/>
        </w:rPr>
        <w:t>(xx%)</w:t>
      </w:r>
      <w:r>
        <w:rPr>
          <w:rFonts w:ascii="Times New Roman" w:eastAsia="Times New Roman" w:hAnsi="Times New Roman" w:cs="Times New Roman"/>
          <w:noProof/>
          <w:sz w:val="24"/>
          <w:szCs w:val="20"/>
        </w:rPr>
        <w:t xml:space="preserve"> by non-acceptance by authorities.</w:t>
      </w:r>
    </w:p>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4.3. Objectives and policy options</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Correlating to the significance of the drivers of the problem, around 90% of the </w:t>
      </w:r>
      <w:r>
        <w:rPr>
          <w:rFonts w:ascii="Times New Roman" w:eastAsia="Times New Roman" w:hAnsi="Times New Roman" w:cs="Times New Roman"/>
          <w:b/>
          <w:noProof/>
          <w:sz w:val="24"/>
          <w:szCs w:val="20"/>
        </w:rPr>
        <w:t>OPC</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 xml:space="preserve">respondents </w:t>
      </w:r>
      <w:r>
        <w:rPr>
          <w:rFonts w:ascii="Times New Roman" w:eastAsia="Times New Roman" w:hAnsi="Times New Roman" w:cs="Times New Roman"/>
          <w:noProof/>
          <w:sz w:val="24"/>
          <w:szCs w:val="20"/>
        </w:rPr>
        <w:t>consider ensuring the acceptance by MS authorities and the interoperability for B2A and B2B communications as important or very important. All respondents from private companies considered important to ensure the acceptance by MS authorities and 90% of them the interoperability for B2A and B2B communications. The proportions regarding the acceptance by banks and insurance companies are lower, around 67,5%. 27 of the 100 respondents indicate that important policy objectives are missing, referring to topics relating to cyber security and privacy.</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Regarding the level of policy intervention, 53% of all </w:t>
      </w:r>
      <w:r>
        <w:rPr>
          <w:rFonts w:ascii="Times New Roman" w:eastAsia="Times New Roman" w:hAnsi="Times New Roman" w:cs="Times New Roman"/>
          <w:b/>
          <w:noProof/>
          <w:sz w:val="24"/>
          <w:szCs w:val="20"/>
        </w:rPr>
        <w:t>OPC respondents</w:t>
      </w:r>
      <w:r>
        <w:rPr>
          <w:rFonts w:ascii="Times New Roman" w:eastAsia="Times New Roman" w:hAnsi="Times New Roman" w:cs="Times New Roman"/>
          <w:noProof/>
          <w:sz w:val="24"/>
          <w:szCs w:val="20"/>
        </w:rPr>
        <w:t xml:space="preserve"> preferred EU level to achieve all the objectives, higher though than the international and national intervention. Around 58% of the private companies preferred EU level intervention in order to ensure the acceptance by MS authorities and Interoperability between B2A and B2B communications. 70% of the trade and business associations find most appropriate the EU level in order to ensure acceptance by insurance companies.</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Furthermore, with regard to measures for acceptance by MS authorities, a legally binding approach is found more effective by 88% of </w:t>
      </w:r>
      <w:r>
        <w:rPr>
          <w:rFonts w:ascii="Times New Roman" w:eastAsia="Times New Roman" w:hAnsi="Times New Roman" w:cs="Times New Roman"/>
          <w:b/>
          <w:noProof/>
          <w:sz w:val="24"/>
          <w:szCs w:val="20"/>
        </w:rPr>
        <w:t>the OPC respondents</w:t>
      </w:r>
      <w:r>
        <w:rPr>
          <w:rFonts w:ascii="Times New Roman" w:eastAsia="Times New Roman" w:hAnsi="Times New Roman" w:cs="Times New Roman"/>
          <w:noProof/>
          <w:sz w:val="24"/>
          <w:szCs w:val="20"/>
        </w:rPr>
        <w:t>. A legally binging approach to achieve acceptance by MS authorities is supported by 31 of the 36 private companies. Regarding the interoperability for B2A communications 88% replied as more effective the legally binding approach. In comparison for B2B communication only 67% find effective the legally binging approach and 84% preferred the voluntary measures. However, 86% (i.e. 31 out 36) of the private companies consider the legally binding approach effective even for B2B communications.</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The SME panel survey respondents</w:t>
      </w:r>
      <w:r>
        <w:rPr>
          <w:rFonts w:ascii="Times New Roman" w:eastAsia="Times New Roman" w:hAnsi="Times New Roman" w:cs="Times New Roman"/>
          <w:noProof/>
          <w:sz w:val="24"/>
          <w:szCs w:val="20"/>
        </w:rPr>
        <w:t xml:space="preserve"> indicate that ‘acceptance by MS authorities’ would be the most important policy objective to increase the use of electronic transport documents by SME’s. Second most important objective for SMEs is the acceptance of electronic documents by courts when enforcing their rights, and third is the ability to use one IT application/ system to exchange electronic transport documents with all the other companies.</w:t>
      </w:r>
    </w:p>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4. 4. Benefits and costs/risks</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77% of the </w:t>
      </w:r>
      <w:r>
        <w:rPr>
          <w:rFonts w:ascii="Times New Roman" w:eastAsia="Times New Roman" w:hAnsi="Times New Roman" w:cs="Times New Roman"/>
          <w:b/>
          <w:noProof/>
          <w:sz w:val="24"/>
          <w:szCs w:val="20"/>
        </w:rPr>
        <w:t>OPC respondents</w:t>
      </w:r>
      <w:r>
        <w:rPr>
          <w:rFonts w:ascii="Times New Roman" w:eastAsia="Times New Roman" w:hAnsi="Times New Roman" w:cs="Times New Roman"/>
          <w:noProof/>
          <w:sz w:val="24"/>
          <w:szCs w:val="20"/>
        </w:rPr>
        <w:t xml:space="preserve"> consider as significant benefit the lower costs for handling of documents, 90% the faster and simplified administration, 80% the data accuracy, 76% the faster document/information exchange between the commercial partners and 87% the faster/easier presentation to the authorities of documents /information for regulatory compliance checks. Percentages are lower regarding the lower carbon footprint (51%), the improved working conditions (67%), the time savings (66%) and the new business opportunities for IT companies (58%).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34 of the 36 private companies consider significant the faster document/information exchange between the commercial partners, and 27 of the 28 associations the faster and simplified administration.</w:t>
      </w:r>
      <w:r>
        <w:rPr>
          <w:rFonts w:ascii="Times New Roman" w:hAnsi="Times New Roman" w:cs="Times New Roman"/>
          <w:noProof/>
        </w:rPr>
        <w:t xml:space="preserve"> </w:t>
      </w:r>
      <w:r>
        <w:rPr>
          <w:rFonts w:ascii="Times New Roman" w:eastAsia="Times New Roman" w:hAnsi="Times New Roman" w:cs="Times New Roman"/>
          <w:noProof/>
          <w:sz w:val="24"/>
          <w:szCs w:val="20"/>
        </w:rPr>
        <w:t xml:space="preserve">21 of the 100 respondents indicate that there are additional benefits.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Multiple respondents mentioned that electronic transport documents can reduce fraud/corrupt practices. Additional benefits suggested are the improved customer engagement and experience (real time data), improved logistics, supply-chain and financing by higher quality of data.</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Moreover, in relation to costs and risks, the 71 of the 100 </w:t>
      </w:r>
      <w:r>
        <w:rPr>
          <w:rFonts w:ascii="Times New Roman" w:eastAsia="Times New Roman" w:hAnsi="Times New Roman" w:cs="Times New Roman"/>
          <w:b/>
          <w:noProof/>
          <w:sz w:val="24"/>
          <w:szCs w:val="20"/>
        </w:rPr>
        <w:t>OPC respondents</w:t>
      </w:r>
      <w:r>
        <w:rPr>
          <w:rFonts w:ascii="Times New Roman" w:eastAsia="Times New Roman" w:hAnsi="Times New Roman" w:cs="Times New Roman"/>
          <w:noProof/>
          <w:sz w:val="24"/>
          <w:szCs w:val="20"/>
        </w:rPr>
        <w:t xml:space="preserve"> consider cybersecurity as significant risk and 64 the investment in IT applications/ systems by private sector stakeholders. 21 of the 28 trade and business associations find significant cost the investment in IT applications/ systems by private sector stakeholders. On the other hand only 25% of the total OPC respondents find significant the job losses both in private and public sector. Overall, main risk is the cybersecurity according to all stakeholders.</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Around 60% </w:t>
      </w:r>
      <w:r>
        <w:rPr>
          <w:rFonts w:ascii="Times New Roman" w:eastAsia="Times New Roman" w:hAnsi="Times New Roman" w:cs="Times New Roman"/>
          <w:b/>
          <w:noProof/>
          <w:sz w:val="24"/>
          <w:szCs w:val="20"/>
        </w:rPr>
        <w:t>SME respondents</w:t>
      </w:r>
      <w:r>
        <w:rPr>
          <w:rFonts w:ascii="Times New Roman" w:eastAsia="Times New Roman" w:hAnsi="Times New Roman" w:cs="Times New Roman"/>
          <w:noProof/>
          <w:sz w:val="24"/>
          <w:szCs w:val="20"/>
        </w:rPr>
        <w:t xml:space="preserve"> consider as significant benefits the reduced environmental impact and the simplified business process. Conversely, the benefits of easier settlement of insurance companies and payment considered to be the least significant.</w:t>
      </w:r>
    </w:p>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4.5. Other freight documents</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Stakeholders provided input with regard to other freight documents used in transport and whether the initiative should include those documents. 60% of the respondents in </w:t>
      </w:r>
      <w:r>
        <w:rPr>
          <w:rFonts w:ascii="Times New Roman" w:eastAsia="Times New Roman" w:hAnsi="Times New Roman" w:cs="Times New Roman"/>
          <w:b/>
          <w:noProof/>
          <w:sz w:val="24"/>
          <w:szCs w:val="20"/>
        </w:rPr>
        <w:t>the OPC</w:t>
      </w:r>
      <w:r>
        <w:rPr>
          <w:rFonts w:ascii="Times New Roman" w:eastAsia="Times New Roman" w:hAnsi="Times New Roman" w:cs="Times New Roman"/>
          <w:noProof/>
          <w:sz w:val="24"/>
          <w:szCs w:val="20"/>
        </w:rPr>
        <w:t xml:space="preserve"> believe that most types of cargo need to be accompanied by other documents such dangerous goods or phytosanitary certificates. The documents that were identified through the OPC are the dangerous goods certificates, phytosanitary certificates, documents regarding traceability of goods, documents regarding traceability of food, VAT returns, certificates of origin, delivery notes, commercial invoices, waste recovery notes, documents concerning mail carriage, documents related to the vehicle and the personnel, packing list, log books, voyage reports, shipping manifests, NOTOC (Notice to Captain), end use certificates, weighing certificates, veterinary certificates, etc. </w:t>
      </w:r>
    </w:p>
    <w:p>
      <w:pP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replies received from </w:t>
      </w:r>
      <w:r>
        <w:rPr>
          <w:rFonts w:ascii="Times New Roman" w:eastAsia="Times New Roman" w:hAnsi="Times New Roman" w:cs="Times New Roman"/>
          <w:b/>
          <w:noProof/>
          <w:sz w:val="24"/>
          <w:szCs w:val="20"/>
        </w:rPr>
        <w:t>the SMEs</w:t>
      </w:r>
      <w:r>
        <w:rPr>
          <w:rFonts w:ascii="Times New Roman" w:eastAsia="Times New Roman" w:hAnsi="Times New Roman" w:cs="Times New Roman"/>
          <w:noProof/>
          <w:sz w:val="24"/>
          <w:szCs w:val="20"/>
        </w:rPr>
        <w:t xml:space="preserve"> focused more on the dangerous goods certificates, phytosanitary certificates and veterinary certificates.</w:t>
      </w:r>
    </w:p>
    <w:p>
      <w:pPr>
        <w:rPr>
          <w:noProof/>
        </w:rPr>
      </w:pPr>
    </w:p>
    <w:p>
      <w:pPr>
        <w:pStyle w:val="AnnexTitle"/>
        <w:outlineLvl w:val="0"/>
        <w:rPr>
          <w:noProof/>
        </w:rPr>
      </w:pPr>
      <w:r>
        <w:rPr>
          <w:noProof/>
        </w:rPr>
        <w:br w:type="page"/>
      </w:r>
    </w:p>
    <w:p>
      <w:pPr>
        <w:pStyle w:val="AnnexTitle"/>
        <w:outlineLvl w:val="0"/>
        <w:rPr>
          <w:noProof/>
        </w:rPr>
      </w:pPr>
      <w:bookmarkStart w:id="259" w:name="_Toc512854955"/>
      <w:r>
        <w:rPr>
          <w:noProof/>
        </w:rPr>
        <w:t>Annex 3: Who is affected and how?</w:t>
      </w:r>
      <w:bookmarkEnd w:id="259"/>
    </w:p>
    <w:p>
      <w:pPr>
        <w:spacing w:after="100" w:afterAutospacing="1" w:line="240" w:lineRule="auto"/>
        <w:jc w:val="both"/>
        <w:rPr>
          <w:rFonts w:ascii="Times New Roman" w:eastAsia="Times New Roman" w:hAnsi="Times New Roman" w:cs="Times New Roman"/>
          <w:noProof/>
          <w:color w:val="000000" w:themeColor="text1"/>
          <w:sz w:val="24"/>
          <w:szCs w:val="20"/>
        </w:rPr>
      </w:pPr>
      <w:bookmarkStart w:id="260" w:name="_Toc481484491"/>
      <w:r>
        <w:rPr>
          <w:rFonts w:ascii="Times New Roman" w:eastAsia="Times New Roman" w:hAnsi="Times New Roman" w:cs="Times New Roman"/>
          <w:noProof/>
          <w:color w:val="000000" w:themeColor="text1"/>
          <w:sz w:val="24"/>
          <w:szCs w:val="20"/>
        </w:rPr>
        <w:t xml:space="preserve">This policy initiative aims at creating an enabling environment for wider use of electronic documents for freight transport. It will not forbid businesses from using the paper documentation, if they wish to continue to do so. At the same time, introducing horizontal requirements for validity of the electronic documents may require some of the businesses to adjust their existing IT environments. It will, however, oblige Member States' relevant authorities to accept documents and information provided by electronic means – as long as these meet certain criteria. At the same time, creating a common legal framework with clear technical specifications for the means of electronic transport information and documentation exchange should bring in more IT companies to the market, rendering the IT solutions market more competitive and thus lowering the overall costs for the transport sector. </w:t>
      </w:r>
    </w:p>
    <w:p>
      <w:pPr>
        <w:pStyle w:val="Heading1"/>
        <w:numPr>
          <w:ilvl w:val="0"/>
          <w:numId w:val="4"/>
        </w:numPr>
        <w:rPr>
          <w:noProof/>
        </w:rPr>
      </w:pPr>
      <w:bookmarkStart w:id="261" w:name="_Toc506408316"/>
      <w:bookmarkStart w:id="262" w:name="_Toc512589651"/>
      <w:bookmarkStart w:id="263" w:name="_Toc512854956"/>
      <w:r>
        <w:rPr>
          <w:noProof/>
        </w:rPr>
        <w:t>An outlook of the preferred option implementation</w:t>
      </w:r>
      <w:bookmarkEnd w:id="261"/>
      <w:bookmarkEnd w:id="262"/>
      <w:bookmarkEnd w:id="263"/>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obligation of acceptance for the authorities will not be defined in terms of specific documents to accepted in electronica format, but in terms of “information” that is specified in EU and national legislation regulating the conditions of international freight transport in the territory of the EU Member States. A list of the relevant EU and national legal acts</w:t>
      </w:r>
      <w:r>
        <w:rPr>
          <w:rStyle w:val="FootnoteReference"/>
          <w:rFonts w:ascii="Times New Roman" w:eastAsia="Times New Roman" w:hAnsi="Times New Roman" w:cs="Times New Roman"/>
          <w:noProof/>
          <w:sz w:val="24"/>
          <w:szCs w:val="20"/>
        </w:rPr>
        <w:footnoteReference w:id="121"/>
      </w:r>
      <w:r>
        <w:rPr>
          <w:rFonts w:ascii="Times New Roman" w:eastAsia="Times New Roman" w:hAnsi="Times New Roman" w:cs="Times New Roman"/>
          <w:noProof/>
          <w:sz w:val="24"/>
          <w:szCs w:val="20"/>
        </w:rPr>
        <w:t xml:space="preserve"> and the respective regulatory information requirements falling under the scope of the new legislative act would be drawn up and annexed to the latter. A governance mechanism for review and update would also be established.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Conditions for admissibility will be imposed on the electronic systems by which this information is made available to the authorities. A set of functional requirements will be included in the legal act, drawing on those included in the international conventions and in pertinent EU and national legislation. Fulfilment of these requirements should guarantee compliance with a number of general principles that reflect clearly identified needs by public and private stakeholders to ensuring that these requirements, on the one hand, build trust in the electronic means</w:t>
      </w:r>
      <w:r>
        <w:rPr>
          <w:rStyle w:val="FootnoteReference"/>
          <w:rFonts w:ascii="Times New Roman" w:eastAsia="Times New Roman" w:hAnsi="Times New Roman" w:cs="Times New Roman"/>
          <w:noProof/>
          <w:sz w:val="24"/>
          <w:szCs w:val="20"/>
        </w:rPr>
        <w:footnoteReference w:id="122"/>
      </w:r>
      <w:r>
        <w:rPr>
          <w:rFonts w:ascii="Times New Roman" w:eastAsia="Times New Roman" w:hAnsi="Times New Roman" w:cs="Times New Roman"/>
          <w:noProof/>
          <w:sz w:val="24"/>
          <w:szCs w:val="20"/>
        </w:rPr>
        <w:t xml:space="preserve"> and, on the other hand, that they will not become barriers to interoperability</w:t>
      </w:r>
      <w:r>
        <w:rPr>
          <w:rStyle w:val="FootnoteReference"/>
          <w:rFonts w:ascii="Times New Roman" w:eastAsia="Times New Roman" w:hAnsi="Times New Roman" w:cs="Times New Roman"/>
          <w:noProof/>
          <w:sz w:val="24"/>
          <w:szCs w:val="20"/>
        </w:rPr>
        <w:footnoteReference w:id="123"/>
      </w:r>
      <w:r>
        <w:rPr>
          <w:rFonts w:ascii="Times New Roman" w:eastAsia="Times New Roman" w:hAnsi="Times New Roman" w:cs="Times New Roman"/>
          <w:noProof/>
          <w:sz w:val="24"/>
          <w:szCs w:val="20"/>
        </w:rPr>
        <w:t xml:space="preserve"> and to further technological developments.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Technical specifications providing guidance on interoperability aspects may be provided later. It is proposed that further assessment be undertaken to establish whether, beyond the need for a common data vocabulary – identified by the large majority of stakeholders as a minimum requirement – other technical specifications should be established, commonly or separately for the different transport modes. Based on the findings of such assessment, technical specifications would be developed and adopted by means of implementing legislation. To enable updates and upgrades in line with advances in technology, a governance mechanism for review of these specifications will also be established. </w:t>
      </w:r>
    </w:p>
    <w:p>
      <w:pPr>
        <w:spacing w:line="240" w:lineRule="auto"/>
        <w:jc w:val="both"/>
        <w:rPr>
          <w:rFonts w:ascii="Times New Roman" w:hAnsi="Times New Roman" w:cs="Times New Roman"/>
          <w:noProof/>
          <w:sz w:val="20"/>
          <w:szCs w:val="20"/>
        </w:rPr>
      </w:pPr>
      <w:r>
        <w:rPr>
          <w:rFonts w:ascii="Times New Roman" w:hAnsi="Times New Roman" w:cs="Times New Roman"/>
          <w:noProof/>
          <w:sz w:val="24"/>
          <w:szCs w:val="24"/>
        </w:rPr>
        <w:t>Commission expert groups such as the Digital Transport and Logistics Forum are expected to continue to assist the Commission with technical advice and recommendations in establishing these technical specifications.</w:t>
      </w:r>
    </w:p>
    <w:p>
      <w:pPr>
        <w:pStyle w:val="Heading1"/>
        <w:numPr>
          <w:ilvl w:val="0"/>
          <w:numId w:val="4"/>
        </w:numPr>
        <w:rPr>
          <w:noProof/>
        </w:rPr>
      </w:pPr>
      <w:bookmarkStart w:id="264" w:name="_Toc506408317"/>
      <w:bookmarkStart w:id="265" w:name="_Toc512589652"/>
      <w:bookmarkStart w:id="266" w:name="_Toc512854957"/>
      <w:r>
        <w:rPr>
          <w:noProof/>
        </w:rPr>
        <w:t>Practical implications of the initiative</w:t>
      </w:r>
      <w:bookmarkEnd w:id="260"/>
      <w:bookmarkEnd w:id="264"/>
      <w:bookmarkEnd w:id="265"/>
      <w:bookmarkEnd w:id="266"/>
    </w:p>
    <w:p>
      <w:pPr>
        <w:spacing w:after="100" w:afterAutospacing="1" w:line="240" w:lineRule="auto"/>
        <w:jc w:val="both"/>
        <w:rPr>
          <w:rFonts w:ascii="Times New Roman" w:hAnsi="Times New Roman"/>
          <w:noProof/>
          <w:color w:val="000000" w:themeColor="text1"/>
          <w:sz w:val="24"/>
          <w:szCs w:val="24"/>
        </w:rPr>
      </w:pPr>
      <w:r>
        <w:rPr>
          <w:rFonts w:ascii="Times New Roman" w:eastAsia="Times New Roman" w:hAnsi="Times New Roman" w:cs="Times New Roman"/>
          <w:b/>
          <w:noProof/>
          <w:color w:val="000000" w:themeColor="text1"/>
          <w:sz w:val="24"/>
          <w:szCs w:val="20"/>
        </w:rPr>
        <w:t>Businesses</w:t>
      </w:r>
      <w:r>
        <w:rPr>
          <w:rFonts w:ascii="Times New Roman" w:eastAsia="Times New Roman" w:hAnsi="Times New Roman" w:cs="Times New Roman"/>
          <w:noProof/>
          <w:color w:val="000000" w:themeColor="text1"/>
          <w:sz w:val="24"/>
          <w:szCs w:val="20"/>
        </w:rPr>
        <w:t xml:space="preserve">, ranging from transport operators to freight forwarders will have a choice how fast to move to the electronic documents and how fast to adapt their existing IT infrastructure. The exact costs will vary, depending on the size of the business. A company operating over 200 trucks employing 360 employees is expected to spend about 70-75,000 euro, assuming it equips all trucks with smartphones. If the same company issues 200,000 CMRs annually, the expected net benefit of the e-CMR would be 150,000 euro per year. It is expected that businesses will also need to redeploy or lay off personnel currently dealing with processing paper documents. </w:t>
      </w:r>
      <w:r>
        <w:rPr>
          <w:rFonts w:ascii="Times New Roman" w:hAnsi="Times New Roman"/>
          <w:noProof/>
          <w:color w:val="000000" w:themeColor="text1"/>
          <w:sz w:val="24"/>
          <w:szCs w:val="20"/>
        </w:rPr>
        <w:t>M</w:t>
      </w:r>
      <w:r>
        <w:rPr>
          <w:rFonts w:ascii="Times New Roman" w:hAnsi="Times New Roman"/>
          <w:noProof/>
          <w:color w:val="000000" w:themeColor="text1"/>
          <w:sz w:val="24"/>
          <w:szCs w:val="24"/>
        </w:rPr>
        <w:t xml:space="preserve">ost stakeholders argue that these employees will be more efficiently redeployed in higher-value tasks. Nevertheless, the exact mechanism for this is not obvious and will differ depending on the organisational structure and internal processes of each company. </w:t>
      </w:r>
    </w:p>
    <w:p>
      <w:pPr>
        <w:spacing w:after="100" w:afterAutospacing="1"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At the same time the businesses will get certainty that the electronic documents and information exchange can be accepted in case of inspection or administrative court case. This will be important in particular for the road transport, where the inspections are irregular. Moving to electronic information and documentation exchange is expected to bring time savings when dealing with administrative requirements and help business to improve their overall efficiency. </w:t>
      </w:r>
    </w:p>
    <w:p>
      <w:pPr>
        <w:spacing w:after="100" w:afterAutospacing="1" w:line="240" w:lineRule="auto"/>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The Member States authorities</w:t>
      </w:r>
      <w:r>
        <w:rPr>
          <w:rFonts w:ascii="Times New Roman" w:hAnsi="Times New Roman"/>
          <w:noProof/>
          <w:color w:val="000000" w:themeColor="text1"/>
          <w:sz w:val="24"/>
          <w:szCs w:val="24"/>
        </w:rPr>
        <w:t xml:space="preserve"> will need to invest in new IT systems or adjust the existing ones. The exact specifications will be worked out together with the authorities’ representatives and other stakeholders, and may be subject, if needed, of a dedicated study.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principle, IT solutions would be developed by the market and Member States would be required to set-up a certification scheme. IT solutions providers would have the possibility of certifying their solutions and sell it to transport and logistics operators or offer them the possibility to subscribe to services offered on the basis of these solutions. Upon authorities’ request, operators could present the information on screen together with a reference code that, in case of doubts, would allow authorities to access directly the certified system. The latter would guarantee the authenticity and integrity of the information.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IT solutions certified in a Member State would be automatically recognised in other Member States. They would include a system of access rights that determine what information can be accessed by which authority. Detailed rules for access and information verification procedures will be commonly established by means of an implementing legislation, once the technical requirements are adopted. No choice of technology will be imposed, but rather the functional specifications or service requirements, plus the minimum technical specifications required for interoperability.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may also decide to establish public IT systems to provide the service, but there would be no obligation to set up a centralised system. Solutions already developed by both private and public actors indicate that an environment based on distributed systems and solutions would be more cost-effective than centralised systems. Private IT service providers are expected to charge logistic operators for the use of their services, but since the use of paper is not banned, they will need to offer value for money. Transport operators will retain the choice of whether to avail themselves of these services or continue with present practices.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cs="Times New Roman"/>
          <w:b/>
          <w:noProof/>
          <w:sz w:val="20"/>
          <w:szCs w:val="20"/>
        </w:rPr>
      </w:pPr>
      <w:r>
        <w:rPr>
          <w:rFonts w:ascii="Times New Roman" w:hAnsi="Times New Roman" w:cs="Times New Roman"/>
          <w:b/>
          <w:noProof/>
          <w:sz w:val="20"/>
          <w:szCs w:val="20"/>
        </w:rPr>
        <w:t xml:space="preserve">An implementation example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cs="Times New Roman"/>
          <w:noProof/>
          <w:sz w:val="20"/>
          <w:szCs w:val="20"/>
        </w:rPr>
      </w:pPr>
      <w:r>
        <w:rPr>
          <w:rFonts w:ascii="Times New Roman" w:hAnsi="Times New Roman" w:cs="Times New Roman"/>
          <w:noProof/>
          <w:sz w:val="20"/>
          <w:szCs w:val="20"/>
        </w:rPr>
        <w:t>The implementation assumed under this option would be a distributed B2A information exchange environment comprised of IT systems and solutions hosted by different actors, which are inter-linked by means of interfaces (software plug-ins) and where the B2A data-exchange is mediated by publicly-governed base registries</w:t>
      </w:r>
      <w:r>
        <w:rPr>
          <w:rStyle w:val="FootnoteReference"/>
          <w:rFonts w:ascii="Times New Roman" w:hAnsi="Times New Roman" w:cs="Times New Roman"/>
          <w:noProof/>
          <w:sz w:val="20"/>
          <w:szCs w:val="20"/>
        </w:rPr>
        <w:footnoteReference w:id="124"/>
      </w:r>
      <w:r>
        <w:rPr>
          <w:rFonts w:ascii="Times New Roman" w:hAnsi="Times New Roman" w:cs="Times New Roman"/>
          <w:noProof/>
          <w:sz w:val="20"/>
          <w:szCs w:val="20"/>
        </w:rPr>
        <w:t xml:space="preserve">. Businesses would simply register the data in their own systems, which would be automatically collected by a specific information exchange application, which would be either in-house developed software – the preferred solution currently by larger companies – or an external IT solutions provider – likely the most cost-efficient solution for the smaller companies. The respective application would be used primarily for B2B exchange of information, but would also enable communication with authorities, by establishing dedicated connections to the different Member States national authorities’ base registry.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cs="Times New Roman"/>
          <w:noProof/>
          <w:sz w:val="20"/>
          <w:szCs w:val="20"/>
        </w:rPr>
      </w:pPr>
      <w:r>
        <w:rPr>
          <w:rFonts w:ascii="Times New Roman" w:hAnsi="Times New Roman" w:cs="Times New Roman"/>
          <w:noProof/>
          <w:sz w:val="20"/>
          <w:szCs w:val="20"/>
        </w:rPr>
        <w:t xml:space="preserve">In practice, if requested by authorities for inspection, the information should be made available in: (a) a human-readable rendition (such as pdf) of the required information available on-screen (of the inspection officer or the private party); or (b) unique identifier of the respective transport  operation, together with a web address from where the information could be downloaded  (for e.g. in the form of a QR code, or simple registration number) and via which the inspection officer could have access (if having the necessary authorisation, respectively login and password) to the source data-base where the information is stored, in order to conduct further verification in case it has reasons to believe the information presented on-screen is not authentic or has been tempered with.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cs="Times New Roman"/>
          <w:noProof/>
          <w:sz w:val="20"/>
          <w:szCs w:val="20"/>
        </w:rPr>
      </w:pPr>
      <w:r>
        <w:rPr>
          <w:rFonts w:ascii="Times New Roman" w:hAnsi="Times New Roman" w:cs="Times New Roman"/>
          <w:noProof/>
          <w:sz w:val="20"/>
          <w:szCs w:val="20"/>
        </w:rPr>
        <w:t xml:space="preserve">The access by the inspection officers to the source database (i.e. of the respective company's transport information exchange solution/system) could be done only on the basis of specific authorisation, which would be regulated in terms of type of access (what information, and what operations – such as read only, download in non-editable format, or copy in editable format) via a specific base registry of public authorities. This registry will act as a gate-keeper and, in practice, would be a simple database of national authorities and attributed access rights, with an interface for logging for authorities and a plug-in software which would retrieve the data from the private operators' transport information exchange solution, based on the specific information request and access rights of the respective inspection officer.  </w:t>
      </w:r>
    </w:p>
    <w:p>
      <w:pPr>
        <w:pStyle w:val="Heading1"/>
        <w:numPr>
          <w:ilvl w:val="0"/>
          <w:numId w:val="4"/>
        </w:numPr>
        <w:rPr>
          <w:noProof/>
        </w:rPr>
      </w:pPr>
      <w:bookmarkStart w:id="267" w:name="_Toc481484492"/>
      <w:bookmarkStart w:id="268" w:name="_Toc506408318"/>
      <w:bookmarkStart w:id="269" w:name="_Toc512589653"/>
      <w:bookmarkStart w:id="270" w:name="_Toc512854958"/>
      <w:r>
        <w:rPr>
          <w:noProof/>
        </w:rPr>
        <w:t>Summary of costs and benefits</w:t>
      </w:r>
      <w:bookmarkEnd w:id="267"/>
      <w:bookmarkEnd w:id="268"/>
      <w:bookmarkEnd w:id="269"/>
      <w:bookmarkEnd w:id="270"/>
    </w:p>
    <w:tbl>
      <w:tblPr>
        <w:tblStyle w:val="CV12"/>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173"/>
        <w:gridCol w:w="3500"/>
        <w:gridCol w:w="3161"/>
      </w:tblGrid>
      <w:tr>
        <w:tc>
          <w:tcPr>
            <w:tcW w:w="5000" w:type="pct"/>
            <w:gridSpan w:val="3"/>
            <w:tcBorders>
              <w:top w:val="double" w:sz="4" w:space="0" w:color="auto"/>
              <w:left w:val="double" w:sz="4" w:space="0" w:color="auto"/>
              <w:bottom w:val="single" w:sz="4" w:space="0" w:color="auto"/>
              <w:right w:val="double" w:sz="4" w:space="0" w:color="auto"/>
            </w:tcBorders>
            <w:shd w:val="clear" w:color="auto" w:fill="C6D9F1" w:themeFill="text2" w:themeFillTint="33"/>
            <w:hideMark/>
          </w:tcPr>
          <w:p>
            <w:pPr>
              <w:tabs>
                <w:tab w:val="num" w:pos="425"/>
              </w:tabs>
              <w:jc w:val="center"/>
              <w:rPr>
                <w:b/>
                <w:i/>
                <w:noProof/>
              </w:rPr>
            </w:pPr>
            <w:r>
              <w:rPr>
                <w:b/>
                <w:i/>
                <w:noProof/>
              </w:rPr>
              <w:t>I. Overview of Benefits (total for all provisions) – Preferred Option</w:t>
            </w:r>
          </w:p>
        </w:tc>
      </w:tr>
      <w:tr>
        <w:tc>
          <w:tcPr>
            <w:tcW w:w="1230" w:type="pct"/>
            <w:tcBorders>
              <w:top w:val="single" w:sz="4" w:space="0" w:color="auto"/>
              <w:left w:val="double" w:sz="4" w:space="0" w:color="auto"/>
              <w:bottom w:val="single" w:sz="4" w:space="0" w:color="auto"/>
              <w:right w:val="single" w:sz="4" w:space="0" w:color="auto"/>
            </w:tcBorders>
            <w:shd w:val="clear" w:color="auto" w:fill="C6D9F1" w:themeFill="text2" w:themeFillTint="33"/>
            <w:hideMark/>
          </w:tcPr>
          <w:p>
            <w:pPr>
              <w:tabs>
                <w:tab w:val="num" w:pos="425"/>
              </w:tabs>
              <w:jc w:val="center"/>
              <w:rPr>
                <w:b/>
                <w:i/>
                <w:noProof/>
              </w:rPr>
            </w:pPr>
            <w:r>
              <w:rPr>
                <w:b/>
                <w:i/>
                <w:noProof/>
              </w:rPr>
              <w:t>Description</w:t>
            </w:r>
          </w:p>
        </w:tc>
        <w:tc>
          <w:tcPr>
            <w:tcW w:w="198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pPr>
              <w:tabs>
                <w:tab w:val="num" w:pos="425"/>
              </w:tabs>
              <w:jc w:val="center"/>
              <w:rPr>
                <w:b/>
                <w:i/>
                <w:noProof/>
              </w:rPr>
            </w:pPr>
            <w:r>
              <w:rPr>
                <w:b/>
                <w:i/>
                <w:noProof/>
              </w:rPr>
              <w:t>Amount</w:t>
            </w:r>
          </w:p>
        </w:tc>
        <w:tc>
          <w:tcPr>
            <w:tcW w:w="1789" w:type="pct"/>
            <w:tcBorders>
              <w:top w:val="single" w:sz="4" w:space="0" w:color="auto"/>
              <w:left w:val="single" w:sz="4" w:space="0" w:color="auto"/>
              <w:bottom w:val="single" w:sz="4" w:space="0" w:color="auto"/>
              <w:right w:val="double" w:sz="4" w:space="0" w:color="auto"/>
            </w:tcBorders>
            <w:shd w:val="clear" w:color="auto" w:fill="C6D9F1" w:themeFill="text2" w:themeFillTint="33"/>
            <w:tcMar>
              <w:top w:w="57" w:type="dxa"/>
              <w:left w:w="57" w:type="dxa"/>
              <w:bottom w:w="57" w:type="dxa"/>
              <w:right w:w="57" w:type="dxa"/>
            </w:tcMar>
            <w:hideMark/>
          </w:tcPr>
          <w:p>
            <w:pPr>
              <w:tabs>
                <w:tab w:val="num" w:pos="425"/>
              </w:tabs>
              <w:jc w:val="center"/>
              <w:rPr>
                <w:b/>
                <w:i/>
                <w:noProof/>
              </w:rPr>
            </w:pPr>
            <w:r>
              <w:rPr>
                <w:b/>
                <w:i/>
                <w:noProof/>
              </w:rPr>
              <w:t>Comments</w:t>
            </w:r>
          </w:p>
        </w:tc>
      </w:tr>
      <w:tr>
        <w:tc>
          <w:tcPr>
            <w:tcW w:w="5000" w:type="pct"/>
            <w:gridSpan w:val="3"/>
            <w:tcBorders>
              <w:top w:val="double" w:sz="4" w:space="0" w:color="auto"/>
              <w:left w:val="double" w:sz="4" w:space="0" w:color="auto"/>
              <w:bottom w:val="single" w:sz="4" w:space="0" w:color="auto"/>
              <w:right w:val="double" w:sz="4" w:space="0" w:color="auto"/>
            </w:tcBorders>
            <w:shd w:val="clear" w:color="auto" w:fill="F2F2F2" w:themeFill="background1" w:themeFillShade="F2"/>
            <w:hideMark/>
          </w:tcPr>
          <w:p>
            <w:pPr>
              <w:tabs>
                <w:tab w:val="num" w:pos="425"/>
              </w:tabs>
              <w:jc w:val="center"/>
              <w:rPr>
                <w:b/>
                <w:i/>
                <w:noProof/>
              </w:rPr>
            </w:pPr>
            <w:r>
              <w:rPr>
                <w:b/>
                <w:i/>
                <w:noProof/>
              </w:rPr>
              <w:t>Direct benefits</w:t>
            </w:r>
          </w:p>
        </w:tc>
      </w:tr>
      <w:tr>
        <w:tc>
          <w:tcPr>
            <w:tcW w:w="1230" w:type="pct"/>
            <w:tcBorders>
              <w:top w:val="double" w:sz="4" w:space="0" w:color="auto"/>
              <w:left w:val="double" w:sz="4" w:space="0" w:color="auto"/>
              <w:bottom w:val="single" w:sz="4" w:space="0" w:color="auto"/>
              <w:right w:val="single" w:sz="4" w:space="0" w:color="auto"/>
            </w:tcBorders>
            <w:hideMark/>
          </w:tcPr>
          <w:p>
            <w:pPr>
              <w:tabs>
                <w:tab w:val="num" w:pos="425"/>
              </w:tabs>
              <w:rPr>
                <w:noProof/>
              </w:rPr>
            </w:pPr>
            <w:r>
              <w:rPr>
                <w:noProof/>
              </w:rPr>
              <w:t>Reduction in the administrative costs for the industry (i.e. present value over 2018-2040 relative to the baseline)</w:t>
            </w:r>
          </w:p>
        </w:tc>
        <w:tc>
          <w:tcPr>
            <w:tcW w:w="1981" w:type="pct"/>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pPr>
              <w:tabs>
                <w:tab w:val="num" w:pos="425"/>
              </w:tabs>
              <w:jc w:val="center"/>
              <w:rPr>
                <w:noProof/>
              </w:rPr>
            </w:pPr>
            <w:r>
              <w:rPr>
                <w:noProof/>
              </w:rPr>
              <w:t xml:space="preserve">EUR 19.7 billion </w:t>
            </w:r>
          </w:p>
        </w:tc>
        <w:tc>
          <w:tcPr>
            <w:tcW w:w="1789" w:type="pct"/>
            <w:tcBorders>
              <w:top w:val="double" w:sz="4" w:space="0" w:color="auto"/>
              <w:left w:val="single" w:sz="4" w:space="0" w:color="auto"/>
              <w:bottom w:val="single" w:sz="4" w:space="0" w:color="auto"/>
              <w:right w:val="double" w:sz="4" w:space="0" w:color="auto"/>
            </w:tcBorders>
            <w:tcMar>
              <w:top w:w="57" w:type="dxa"/>
              <w:left w:w="57" w:type="dxa"/>
              <w:bottom w:w="57" w:type="dxa"/>
              <w:right w:w="57" w:type="dxa"/>
            </w:tcMar>
            <w:hideMark/>
          </w:tcPr>
          <w:p>
            <w:pPr>
              <w:tabs>
                <w:tab w:val="num" w:pos="425"/>
              </w:tabs>
              <w:jc w:val="center"/>
              <w:rPr>
                <w:noProof/>
              </w:rPr>
            </w:pPr>
            <w:r>
              <w:rPr>
                <w:noProof/>
              </w:rPr>
              <w:t>The main beneficiary group will be transport operators operating in road transport sector (c.a.60% of all costs savings).</w:t>
            </w:r>
          </w:p>
        </w:tc>
      </w:tr>
      <w:tr>
        <w:tc>
          <w:tcPr>
            <w:tcW w:w="5000" w:type="pct"/>
            <w:gridSpan w:val="3"/>
            <w:tcBorders>
              <w:top w:val="single" w:sz="4" w:space="0" w:color="auto"/>
              <w:left w:val="double" w:sz="4" w:space="0" w:color="auto"/>
              <w:bottom w:val="single" w:sz="4" w:space="0" w:color="auto"/>
              <w:right w:val="double" w:sz="4" w:space="0" w:color="auto"/>
            </w:tcBorders>
            <w:shd w:val="clear" w:color="auto" w:fill="F2F2F2" w:themeFill="background1" w:themeFillShade="F2"/>
            <w:hideMark/>
          </w:tcPr>
          <w:p>
            <w:pPr>
              <w:tabs>
                <w:tab w:val="num" w:pos="425"/>
              </w:tabs>
              <w:jc w:val="center"/>
              <w:rPr>
                <w:b/>
                <w:i/>
                <w:noProof/>
              </w:rPr>
            </w:pPr>
            <w:r>
              <w:rPr>
                <w:b/>
                <w:i/>
                <w:noProof/>
              </w:rPr>
              <w:t>Indirect benefits</w:t>
            </w:r>
          </w:p>
        </w:tc>
      </w:tr>
      <w:tr>
        <w:tc>
          <w:tcPr>
            <w:tcW w:w="1230" w:type="pct"/>
            <w:tcBorders>
              <w:top w:val="double" w:sz="4" w:space="0" w:color="auto"/>
              <w:left w:val="double" w:sz="4" w:space="0" w:color="auto"/>
              <w:bottom w:val="single" w:sz="4" w:space="0" w:color="auto"/>
              <w:right w:val="single" w:sz="4" w:space="0" w:color="auto"/>
            </w:tcBorders>
            <w:hideMark/>
          </w:tcPr>
          <w:p>
            <w:pPr>
              <w:tabs>
                <w:tab w:val="num" w:pos="425"/>
              </w:tabs>
              <w:rPr>
                <w:noProof/>
              </w:rPr>
            </w:pPr>
            <w:r>
              <w:rPr>
                <w:noProof/>
              </w:rPr>
              <w:t>Reduced CO2 emissions (i.e. external costs savings over 2018-2040 relative to the baseline)</w:t>
            </w:r>
            <w:r>
              <w:rPr>
                <w:b/>
                <w:bCs/>
                <w:noProof/>
                <w:color w:val="FFFFFF"/>
              </w:rPr>
              <w:t xml:space="preserve"> present value in million €</w:t>
            </w:r>
          </w:p>
        </w:tc>
        <w:tc>
          <w:tcPr>
            <w:tcW w:w="1981" w:type="pct"/>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pPr>
              <w:tabs>
                <w:tab w:val="num" w:pos="425"/>
              </w:tabs>
              <w:jc w:val="center"/>
              <w:rPr>
                <w:noProof/>
              </w:rPr>
            </w:pPr>
            <w:r>
              <w:rPr>
                <w:noProof/>
              </w:rPr>
              <w:t xml:space="preserve">EUR 74 million </w:t>
            </w:r>
          </w:p>
        </w:tc>
        <w:tc>
          <w:tcPr>
            <w:tcW w:w="1789" w:type="pct"/>
            <w:tcBorders>
              <w:top w:val="double" w:sz="4" w:space="0" w:color="auto"/>
              <w:left w:val="single" w:sz="4" w:space="0" w:color="auto"/>
              <w:bottom w:val="single" w:sz="4" w:space="0" w:color="auto"/>
              <w:right w:val="double" w:sz="4" w:space="0" w:color="auto"/>
            </w:tcBorders>
            <w:tcMar>
              <w:top w:w="57" w:type="dxa"/>
              <w:left w:w="57" w:type="dxa"/>
              <w:bottom w:w="57" w:type="dxa"/>
              <w:right w:w="57" w:type="dxa"/>
            </w:tcMar>
            <w:hideMark/>
          </w:tcPr>
          <w:p>
            <w:pPr>
              <w:tabs>
                <w:tab w:val="num" w:pos="425"/>
              </w:tabs>
              <w:jc w:val="center"/>
              <w:rPr>
                <w:noProof/>
              </w:rPr>
            </w:pPr>
            <w:r>
              <w:rPr>
                <w:noProof/>
              </w:rPr>
              <w:t>Small positive impact due to decrease in the road modal share in 2030 relative to the baseline.</w:t>
            </w:r>
          </w:p>
        </w:tc>
      </w:tr>
      <w:tr>
        <w:tc>
          <w:tcPr>
            <w:tcW w:w="1230" w:type="pct"/>
            <w:tcBorders>
              <w:top w:val="single" w:sz="4" w:space="0" w:color="auto"/>
              <w:left w:val="double" w:sz="4" w:space="0" w:color="auto"/>
              <w:bottom w:val="single" w:sz="4" w:space="0" w:color="auto"/>
              <w:right w:val="single" w:sz="4" w:space="0" w:color="auto"/>
            </w:tcBorders>
            <w:hideMark/>
          </w:tcPr>
          <w:p>
            <w:pPr>
              <w:tabs>
                <w:tab w:val="num" w:pos="425"/>
              </w:tabs>
              <w:rPr>
                <w:noProof/>
              </w:rPr>
            </w:pPr>
            <w:r>
              <w:rPr>
                <w:noProof/>
              </w:rPr>
              <w:t xml:space="preserve">Reduction in external costs of congestion (i.e. present value over 2018-2040 relative to the baseline) </w:t>
            </w:r>
            <w:r>
              <w:rPr>
                <w:b/>
                <w:bCs/>
                <w:noProof/>
                <w:color w:val="FFFFFF"/>
              </w:rPr>
              <w:t>net present value in million €</w:t>
            </w:r>
          </w:p>
        </w:tc>
        <w:tc>
          <w:tcPr>
            <w:tcW w:w="198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pPr>
              <w:tabs>
                <w:tab w:val="num" w:pos="425"/>
              </w:tabs>
              <w:jc w:val="center"/>
              <w:rPr>
                <w:noProof/>
              </w:rPr>
            </w:pPr>
            <w:r>
              <w:rPr>
                <w:noProof/>
              </w:rPr>
              <w:t>EUR 299 million</w:t>
            </w:r>
          </w:p>
        </w:tc>
        <w:tc>
          <w:tcPr>
            <w:tcW w:w="1789" w:type="pct"/>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hideMark/>
          </w:tcPr>
          <w:p>
            <w:pPr>
              <w:tabs>
                <w:tab w:val="num" w:pos="425"/>
              </w:tabs>
              <w:jc w:val="center"/>
              <w:rPr>
                <w:noProof/>
              </w:rPr>
            </w:pPr>
            <w:r>
              <w:rPr>
                <w:noProof/>
              </w:rPr>
              <w:t>Small positive impact due to decrease in the road modal share in 2030 relative to the baseline.</w:t>
            </w:r>
          </w:p>
        </w:tc>
      </w:tr>
      <w:tr>
        <w:tc>
          <w:tcPr>
            <w:tcW w:w="1230" w:type="pct"/>
            <w:tcBorders>
              <w:top w:val="single" w:sz="4" w:space="0" w:color="auto"/>
              <w:left w:val="double" w:sz="4" w:space="0" w:color="auto"/>
              <w:bottom w:val="double" w:sz="4" w:space="0" w:color="auto"/>
              <w:right w:val="single" w:sz="4" w:space="0" w:color="auto"/>
            </w:tcBorders>
            <w:hideMark/>
          </w:tcPr>
          <w:p>
            <w:pPr>
              <w:tabs>
                <w:tab w:val="num" w:pos="425"/>
              </w:tabs>
              <w:rPr>
                <w:noProof/>
              </w:rPr>
            </w:pPr>
            <w:r>
              <w:rPr>
                <w:noProof/>
              </w:rPr>
              <w:t>Transport operators savings (i.e. present value over 2018-2040 relative to the baseline)</w:t>
            </w:r>
          </w:p>
        </w:tc>
        <w:tc>
          <w:tcPr>
            <w:tcW w:w="1981" w:type="pct"/>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hideMark/>
          </w:tcPr>
          <w:p>
            <w:pPr>
              <w:tabs>
                <w:tab w:val="num" w:pos="425"/>
              </w:tabs>
              <w:jc w:val="center"/>
              <w:rPr>
                <w:noProof/>
              </w:rPr>
            </w:pPr>
            <w:r>
              <w:rPr>
                <w:noProof/>
              </w:rPr>
              <w:t xml:space="preserve">EUR 11.9 billion </w:t>
            </w:r>
          </w:p>
        </w:tc>
        <w:tc>
          <w:tcPr>
            <w:tcW w:w="1789" w:type="pct"/>
            <w:tcBorders>
              <w:top w:val="single" w:sz="4" w:space="0" w:color="auto"/>
              <w:left w:val="single" w:sz="4" w:space="0" w:color="auto"/>
              <w:bottom w:val="double" w:sz="4" w:space="0" w:color="auto"/>
              <w:right w:val="double" w:sz="4" w:space="0" w:color="auto"/>
            </w:tcBorders>
            <w:tcMar>
              <w:top w:w="57" w:type="dxa"/>
              <w:left w:w="57" w:type="dxa"/>
              <w:bottom w:w="57" w:type="dxa"/>
              <w:right w:w="57" w:type="dxa"/>
            </w:tcMar>
            <w:hideMark/>
          </w:tcPr>
          <w:p>
            <w:pPr>
              <w:tabs>
                <w:tab w:val="num" w:pos="425"/>
              </w:tabs>
              <w:jc w:val="center"/>
              <w:rPr>
                <w:noProof/>
              </w:rPr>
            </w:pPr>
            <w:r>
              <w:rPr>
                <w:noProof/>
              </w:rPr>
              <w:t>Reduction in operation costs due to elements such as fewer errors and correction, faster invoicing and a range of other elements (e.g. higher efficiency in the transport operations management)</w:t>
            </w:r>
          </w:p>
        </w:tc>
      </w:tr>
    </w:tbl>
    <w:p>
      <w:pPr>
        <w:jc w:val="center"/>
        <w:rPr>
          <w:rFonts w:ascii="Times New Roman" w:hAnsi="Times New Roman" w:cs="Times New Roman"/>
          <w:noProof/>
          <w:sz w:val="20"/>
          <w:szCs w:val="20"/>
        </w:rPr>
      </w:pPr>
    </w:p>
    <w:tbl>
      <w:tblPr>
        <w:tblStyle w:val="CV11"/>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81"/>
        <w:gridCol w:w="854"/>
        <w:gridCol w:w="1112"/>
        <w:gridCol w:w="1091"/>
        <w:gridCol w:w="1090"/>
        <w:gridCol w:w="1255"/>
        <w:gridCol w:w="1249"/>
      </w:tblGrid>
      <w:tr>
        <w:tc>
          <w:tcPr>
            <w:tcW w:w="5000" w:type="pct"/>
            <w:gridSpan w:val="7"/>
            <w:tcBorders>
              <w:top w:val="double" w:sz="4" w:space="0" w:color="auto"/>
              <w:left w:val="double" w:sz="4" w:space="0" w:color="auto"/>
              <w:bottom w:val="single" w:sz="4" w:space="0" w:color="auto"/>
              <w:right w:val="double" w:sz="4" w:space="0" w:color="auto"/>
            </w:tcBorders>
            <w:shd w:val="clear" w:color="auto" w:fill="C6D9F1" w:themeFill="text2" w:themeFillTint="33"/>
            <w:tcMar>
              <w:top w:w="57" w:type="dxa"/>
              <w:left w:w="57" w:type="dxa"/>
              <w:bottom w:w="57" w:type="dxa"/>
              <w:right w:w="57" w:type="dxa"/>
            </w:tcMar>
            <w:hideMark/>
          </w:tcPr>
          <w:p>
            <w:pPr>
              <w:tabs>
                <w:tab w:val="num" w:pos="425"/>
              </w:tabs>
              <w:jc w:val="center"/>
              <w:rPr>
                <w:b/>
                <w:i/>
                <w:noProof/>
              </w:rPr>
            </w:pPr>
            <w:r>
              <w:rPr>
                <w:b/>
                <w:i/>
                <w:noProof/>
              </w:rPr>
              <w:t>II. Overview of costs – Preferred option</w:t>
            </w:r>
          </w:p>
        </w:tc>
      </w:tr>
      <w:tr>
        <w:tc>
          <w:tcPr>
            <w:tcW w:w="1213" w:type="pct"/>
            <w:vMerge w:val="restart"/>
            <w:tcBorders>
              <w:top w:val="double" w:sz="4" w:space="0" w:color="auto"/>
              <w:left w:val="double" w:sz="4" w:space="0" w:color="auto"/>
              <w:bottom w:val="double" w:sz="4" w:space="0" w:color="auto"/>
              <w:right w:val="double" w:sz="4" w:space="0" w:color="auto"/>
              <w:tl2br w:val="double" w:sz="4" w:space="0" w:color="auto"/>
            </w:tcBorders>
            <w:tcMar>
              <w:top w:w="57" w:type="dxa"/>
              <w:left w:w="57" w:type="dxa"/>
              <w:bottom w:w="57" w:type="dxa"/>
              <w:right w:w="57" w:type="dxa"/>
            </w:tcMar>
          </w:tcPr>
          <w:p>
            <w:pPr>
              <w:tabs>
                <w:tab w:val="num" w:pos="425"/>
              </w:tabs>
              <w:jc w:val="center"/>
              <w:rPr>
                <w:noProof/>
              </w:rPr>
            </w:pPr>
          </w:p>
        </w:tc>
        <w:tc>
          <w:tcPr>
            <w:tcW w:w="1168" w:type="pct"/>
            <w:gridSpan w:val="2"/>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hideMark/>
          </w:tcPr>
          <w:p>
            <w:pPr>
              <w:tabs>
                <w:tab w:val="num" w:pos="425"/>
              </w:tabs>
              <w:jc w:val="center"/>
              <w:rPr>
                <w:noProof/>
              </w:rPr>
            </w:pPr>
            <w:r>
              <w:rPr>
                <w:noProof/>
              </w:rPr>
              <w:t>Citizens/Consumers</w:t>
            </w:r>
          </w:p>
        </w:tc>
        <w:tc>
          <w:tcPr>
            <w:tcW w:w="1291" w:type="pct"/>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pPr>
              <w:tabs>
                <w:tab w:val="num" w:pos="425"/>
              </w:tabs>
              <w:jc w:val="center"/>
              <w:rPr>
                <w:noProof/>
              </w:rPr>
            </w:pPr>
            <w:r>
              <w:rPr>
                <w:noProof/>
              </w:rPr>
              <w:t>Businesses</w:t>
            </w:r>
          </w:p>
        </w:tc>
        <w:tc>
          <w:tcPr>
            <w:tcW w:w="1328" w:type="pct"/>
            <w:gridSpan w:val="2"/>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hideMark/>
          </w:tcPr>
          <w:p>
            <w:pPr>
              <w:tabs>
                <w:tab w:val="num" w:pos="425"/>
              </w:tabs>
              <w:jc w:val="center"/>
              <w:rPr>
                <w:noProof/>
              </w:rPr>
            </w:pPr>
            <w:r>
              <w:rPr>
                <w:noProof/>
              </w:rPr>
              <w:t>Administrations</w:t>
            </w:r>
          </w:p>
        </w:tc>
      </w:tr>
      <w:tr>
        <w:tc>
          <w:tcPr>
            <w:tcW w:w="1213" w:type="pct"/>
            <w:vMerge/>
            <w:tcBorders>
              <w:top w:val="double" w:sz="4" w:space="0" w:color="auto"/>
              <w:left w:val="double" w:sz="4" w:space="0" w:color="auto"/>
              <w:bottom w:val="double" w:sz="4" w:space="0" w:color="auto"/>
              <w:right w:val="double" w:sz="4" w:space="0" w:color="auto"/>
            </w:tcBorders>
            <w:vAlign w:val="center"/>
            <w:hideMark/>
          </w:tcPr>
          <w:p>
            <w:pPr>
              <w:rPr>
                <w:noProof/>
              </w:rPr>
            </w:pPr>
          </w:p>
        </w:tc>
        <w:tc>
          <w:tcPr>
            <w:tcW w:w="510" w:type="pct"/>
            <w:tcBorders>
              <w:top w:val="single" w:sz="4" w:space="0" w:color="auto"/>
              <w:left w:val="double" w:sz="4" w:space="0" w:color="auto"/>
              <w:bottom w:val="double" w:sz="4" w:space="0" w:color="auto"/>
              <w:right w:val="single" w:sz="4" w:space="0" w:color="auto"/>
            </w:tcBorders>
            <w:tcMar>
              <w:top w:w="57" w:type="dxa"/>
              <w:left w:w="57" w:type="dxa"/>
              <w:bottom w:w="57" w:type="dxa"/>
              <w:right w:w="57" w:type="dxa"/>
            </w:tcMar>
            <w:hideMark/>
          </w:tcPr>
          <w:p>
            <w:pPr>
              <w:tabs>
                <w:tab w:val="num" w:pos="425"/>
              </w:tabs>
              <w:jc w:val="center"/>
              <w:rPr>
                <w:noProof/>
              </w:rPr>
            </w:pPr>
            <w:r>
              <w:rPr>
                <w:noProof/>
              </w:rPr>
              <w:t>One-off</w:t>
            </w:r>
          </w:p>
        </w:tc>
        <w:tc>
          <w:tcPr>
            <w:tcW w:w="658" w:type="pct"/>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hideMark/>
          </w:tcPr>
          <w:p>
            <w:pPr>
              <w:tabs>
                <w:tab w:val="num" w:pos="425"/>
              </w:tabs>
              <w:jc w:val="center"/>
              <w:rPr>
                <w:noProof/>
              </w:rPr>
            </w:pPr>
            <w:r>
              <w:rPr>
                <w:noProof/>
              </w:rPr>
              <w:t>Recurrent</w:t>
            </w:r>
          </w:p>
        </w:tc>
        <w:tc>
          <w:tcPr>
            <w:tcW w:w="646" w:type="pct"/>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hideMark/>
          </w:tcPr>
          <w:p>
            <w:pPr>
              <w:tabs>
                <w:tab w:val="num" w:pos="425"/>
              </w:tabs>
              <w:jc w:val="center"/>
              <w:rPr>
                <w:noProof/>
              </w:rPr>
            </w:pPr>
            <w:r>
              <w:rPr>
                <w:noProof/>
              </w:rPr>
              <w:t>One-off</w:t>
            </w:r>
          </w:p>
        </w:tc>
        <w:tc>
          <w:tcPr>
            <w:tcW w:w="645" w:type="pct"/>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hideMark/>
          </w:tcPr>
          <w:p>
            <w:pPr>
              <w:tabs>
                <w:tab w:val="num" w:pos="425"/>
              </w:tabs>
              <w:jc w:val="center"/>
              <w:rPr>
                <w:noProof/>
              </w:rPr>
            </w:pPr>
            <w:r>
              <w:rPr>
                <w:noProof/>
              </w:rPr>
              <w:t>Recurrent</w:t>
            </w:r>
          </w:p>
        </w:tc>
        <w:tc>
          <w:tcPr>
            <w:tcW w:w="739" w:type="pct"/>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hideMark/>
          </w:tcPr>
          <w:p>
            <w:pPr>
              <w:tabs>
                <w:tab w:val="num" w:pos="425"/>
              </w:tabs>
              <w:jc w:val="center"/>
              <w:rPr>
                <w:noProof/>
              </w:rPr>
            </w:pPr>
            <w:r>
              <w:rPr>
                <w:noProof/>
              </w:rPr>
              <w:t>One-off</w:t>
            </w:r>
          </w:p>
        </w:tc>
        <w:tc>
          <w:tcPr>
            <w:tcW w:w="589" w:type="pct"/>
            <w:tcBorders>
              <w:top w:val="single" w:sz="4" w:space="0" w:color="auto"/>
              <w:left w:val="single" w:sz="4" w:space="0" w:color="auto"/>
              <w:bottom w:val="double" w:sz="4" w:space="0" w:color="auto"/>
              <w:right w:val="double" w:sz="4" w:space="0" w:color="auto"/>
            </w:tcBorders>
            <w:tcMar>
              <w:top w:w="57" w:type="dxa"/>
              <w:left w:w="57" w:type="dxa"/>
              <w:bottom w:w="57" w:type="dxa"/>
              <w:right w:w="57" w:type="dxa"/>
            </w:tcMar>
            <w:hideMark/>
          </w:tcPr>
          <w:p>
            <w:pPr>
              <w:tabs>
                <w:tab w:val="num" w:pos="425"/>
              </w:tabs>
              <w:jc w:val="center"/>
              <w:rPr>
                <w:noProof/>
              </w:rPr>
            </w:pPr>
            <w:r>
              <w:rPr>
                <w:noProof/>
              </w:rPr>
              <w:t>Recurrent</w:t>
            </w:r>
          </w:p>
        </w:tc>
      </w:tr>
      <w:tr>
        <w:trPr>
          <w:trHeight w:val="687"/>
        </w:trPr>
        <w:tc>
          <w:tcPr>
            <w:tcW w:w="1213" w:type="pct"/>
            <w:tcBorders>
              <w:top w:val="single" w:sz="4" w:space="0" w:color="auto"/>
              <w:left w:val="double" w:sz="4" w:space="0" w:color="auto"/>
              <w:bottom w:val="single" w:sz="4" w:space="0" w:color="auto"/>
              <w:right w:val="double" w:sz="4" w:space="0" w:color="auto"/>
            </w:tcBorders>
            <w:tcMar>
              <w:top w:w="57" w:type="dxa"/>
              <w:left w:w="57" w:type="dxa"/>
              <w:bottom w:w="57" w:type="dxa"/>
              <w:right w:w="57" w:type="dxa"/>
            </w:tcMar>
            <w:vAlign w:val="center"/>
            <w:hideMark/>
          </w:tcPr>
          <w:p>
            <w:pPr>
              <w:tabs>
                <w:tab w:val="num" w:pos="425"/>
              </w:tabs>
              <w:rPr>
                <w:noProof/>
              </w:rPr>
            </w:pPr>
            <w:r>
              <w:rPr>
                <w:noProof/>
              </w:rPr>
              <w:t>Direct compliance costs for businesses  (present value over 2018-2040)</w:t>
            </w:r>
            <w:r>
              <w:rPr>
                <w:b/>
                <w:bCs/>
                <w:noProof/>
                <w:color w:val="FFFFFF"/>
              </w:rPr>
              <w:t xml:space="preserve"> present value in million</w:t>
            </w:r>
          </w:p>
        </w:tc>
        <w:tc>
          <w:tcPr>
            <w:tcW w:w="510" w:type="pct"/>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hideMark/>
          </w:tcPr>
          <w:p>
            <w:pPr>
              <w:tabs>
                <w:tab w:val="num" w:pos="425"/>
              </w:tabs>
              <w:jc w:val="center"/>
              <w:rPr>
                <w:noProof/>
              </w:rPr>
            </w:pPr>
            <w:r>
              <w:rPr>
                <w:noProof/>
              </w:rPr>
              <w:t>n/a</w:t>
            </w:r>
          </w:p>
        </w:tc>
        <w:tc>
          <w:tcPr>
            <w:tcW w:w="6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pPr>
              <w:tabs>
                <w:tab w:val="num" w:pos="425"/>
              </w:tabs>
              <w:jc w:val="center"/>
              <w:rPr>
                <w:noProof/>
              </w:rPr>
            </w:pPr>
            <w:r>
              <w:rPr>
                <w:noProof/>
              </w:rPr>
              <w:t>n/a</w:t>
            </w:r>
          </w:p>
        </w:tc>
        <w:tc>
          <w:tcPr>
            <w:tcW w:w="6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pPr>
              <w:tabs>
                <w:tab w:val="num" w:pos="425"/>
              </w:tabs>
              <w:jc w:val="center"/>
              <w:rPr>
                <w:noProof/>
              </w:rPr>
            </w:pPr>
            <w:r>
              <w:rPr>
                <w:noProof/>
              </w:rPr>
              <w:t>EUR 4.4 billion</w:t>
            </w:r>
          </w:p>
        </w:tc>
        <w:tc>
          <w:tcPr>
            <w:tcW w:w="64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pPr>
              <w:tabs>
                <w:tab w:val="num" w:pos="425"/>
              </w:tabs>
              <w:jc w:val="center"/>
              <w:rPr>
                <w:noProof/>
              </w:rPr>
            </w:pPr>
            <w:r>
              <w:rPr>
                <w:noProof/>
              </w:rPr>
              <w:t>n/a</w:t>
            </w:r>
          </w:p>
        </w:tc>
        <w:tc>
          <w:tcPr>
            <w:tcW w:w="739" w:type="pct"/>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hideMark/>
          </w:tcPr>
          <w:p>
            <w:pPr>
              <w:tabs>
                <w:tab w:val="num" w:pos="425"/>
              </w:tabs>
              <w:jc w:val="center"/>
              <w:rPr>
                <w:noProof/>
              </w:rPr>
            </w:pPr>
            <w:r>
              <w:rPr>
                <w:noProof/>
              </w:rPr>
              <w:t>n/a</w:t>
            </w:r>
          </w:p>
        </w:tc>
        <w:tc>
          <w:tcPr>
            <w:tcW w:w="589" w:type="pct"/>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hideMark/>
          </w:tcPr>
          <w:p>
            <w:pPr>
              <w:tabs>
                <w:tab w:val="num" w:pos="425"/>
              </w:tabs>
              <w:jc w:val="center"/>
              <w:rPr>
                <w:noProof/>
              </w:rPr>
            </w:pPr>
            <w:r>
              <w:rPr>
                <w:noProof/>
              </w:rPr>
              <w:t>n/a</w:t>
            </w:r>
          </w:p>
        </w:tc>
      </w:tr>
      <w:tr>
        <w:trPr>
          <w:trHeight w:val="604"/>
        </w:trPr>
        <w:tc>
          <w:tcPr>
            <w:tcW w:w="1213" w:type="pct"/>
            <w:tcBorders>
              <w:top w:val="double" w:sz="4" w:space="0" w:color="auto"/>
              <w:left w:val="double" w:sz="4" w:space="0" w:color="auto"/>
              <w:bottom w:val="double" w:sz="4" w:space="0" w:color="auto"/>
              <w:right w:val="double" w:sz="4" w:space="0" w:color="auto"/>
            </w:tcBorders>
            <w:tcMar>
              <w:top w:w="57" w:type="dxa"/>
              <w:left w:w="57" w:type="dxa"/>
              <w:bottom w:w="57" w:type="dxa"/>
              <w:right w:w="57" w:type="dxa"/>
            </w:tcMar>
            <w:hideMark/>
          </w:tcPr>
          <w:p>
            <w:pPr>
              <w:tabs>
                <w:tab w:val="num" w:pos="425"/>
              </w:tabs>
              <w:jc w:val="center"/>
              <w:rPr>
                <w:noProof/>
              </w:rPr>
            </w:pPr>
            <w:r>
              <w:rPr>
                <w:noProof/>
              </w:rPr>
              <w:t>Direct compliance costs for authorities (system to check the validity of the electronic transport document)</w:t>
            </w:r>
            <w:r>
              <w:rPr>
                <w:rStyle w:val="FootnoteReference"/>
                <w:noProof/>
              </w:rPr>
              <w:footnoteReference w:id="125"/>
            </w:r>
          </w:p>
        </w:tc>
        <w:tc>
          <w:tcPr>
            <w:tcW w:w="510" w:type="pct"/>
            <w:tcBorders>
              <w:top w:val="double" w:sz="4" w:space="0" w:color="auto"/>
              <w:left w:val="double" w:sz="4" w:space="0" w:color="auto"/>
              <w:bottom w:val="double" w:sz="4" w:space="0" w:color="auto"/>
              <w:right w:val="single" w:sz="4" w:space="0" w:color="auto"/>
            </w:tcBorders>
            <w:tcMar>
              <w:top w:w="57" w:type="dxa"/>
              <w:left w:w="57" w:type="dxa"/>
              <w:bottom w:w="57" w:type="dxa"/>
              <w:right w:w="57" w:type="dxa"/>
            </w:tcMar>
            <w:hideMark/>
          </w:tcPr>
          <w:p>
            <w:pPr>
              <w:tabs>
                <w:tab w:val="num" w:pos="425"/>
              </w:tabs>
              <w:jc w:val="center"/>
              <w:rPr>
                <w:noProof/>
              </w:rPr>
            </w:pPr>
            <w:r>
              <w:rPr>
                <w:noProof/>
              </w:rPr>
              <w:t>n/a</w:t>
            </w:r>
          </w:p>
        </w:tc>
        <w:tc>
          <w:tcPr>
            <w:tcW w:w="658"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hideMark/>
          </w:tcPr>
          <w:p>
            <w:pPr>
              <w:tabs>
                <w:tab w:val="num" w:pos="425"/>
              </w:tabs>
              <w:jc w:val="center"/>
              <w:rPr>
                <w:noProof/>
              </w:rPr>
            </w:pPr>
            <w:r>
              <w:rPr>
                <w:noProof/>
              </w:rPr>
              <w:t>n/a</w:t>
            </w:r>
          </w:p>
        </w:tc>
        <w:tc>
          <w:tcPr>
            <w:tcW w:w="646"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hideMark/>
          </w:tcPr>
          <w:p>
            <w:pPr>
              <w:tabs>
                <w:tab w:val="num" w:pos="425"/>
              </w:tabs>
              <w:jc w:val="center"/>
              <w:rPr>
                <w:noProof/>
              </w:rPr>
            </w:pPr>
            <w:r>
              <w:rPr>
                <w:noProof/>
              </w:rPr>
              <w:t>n/a</w:t>
            </w:r>
          </w:p>
        </w:tc>
        <w:tc>
          <w:tcPr>
            <w:tcW w:w="645"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hideMark/>
          </w:tcPr>
          <w:p>
            <w:pPr>
              <w:tabs>
                <w:tab w:val="num" w:pos="425"/>
              </w:tabs>
              <w:jc w:val="center"/>
              <w:rPr>
                <w:noProof/>
              </w:rPr>
            </w:pPr>
            <w:r>
              <w:rPr>
                <w:noProof/>
              </w:rPr>
              <w:t>n/a</w:t>
            </w:r>
          </w:p>
        </w:tc>
        <w:tc>
          <w:tcPr>
            <w:tcW w:w="739" w:type="pct"/>
            <w:tcBorders>
              <w:top w:val="double" w:sz="4" w:space="0" w:color="auto"/>
              <w:left w:val="single" w:sz="4" w:space="0" w:color="auto"/>
              <w:bottom w:val="double" w:sz="4" w:space="0" w:color="auto"/>
              <w:right w:val="single" w:sz="4" w:space="0" w:color="auto"/>
            </w:tcBorders>
            <w:tcMar>
              <w:top w:w="57" w:type="dxa"/>
              <w:left w:w="57" w:type="dxa"/>
              <w:bottom w:w="57" w:type="dxa"/>
              <w:right w:w="57" w:type="dxa"/>
            </w:tcMar>
            <w:hideMark/>
          </w:tcPr>
          <w:p>
            <w:pPr>
              <w:tabs>
                <w:tab w:val="num" w:pos="425"/>
              </w:tabs>
              <w:jc w:val="center"/>
              <w:rPr>
                <w:noProof/>
              </w:rPr>
            </w:pPr>
            <w:r>
              <w:rPr>
                <w:noProof/>
              </w:rPr>
              <w:t>Costs of certification of IT solutions (EUR 0.84 million)</w:t>
            </w:r>
            <w:r>
              <w:rPr>
                <w:rStyle w:val="FootnoteReference"/>
                <w:noProof/>
              </w:rPr>
              <w:footnoteReference w:id="126"/>
            </w:r>
            <w:r>
              <w:rPr>
                <w:noProof/>
              </w:rPr>
              <w:t xml:space="preserve"> </w:t>
            </w:r>
          </w:p>
          <w:p>
            <w:pPr>
              <w:tabs>
                <w:tab w:val="num" w:pos="425"/>
              </w:tabs>
              <w:jc w:val="center"/>
              <w:rPr>
                <w:noProof/>
              </w:rPr>
            </w:pPr>
            <w:r>
              <w:rPr>
                <w:noProof/>
              </w:rPr>
              <w:t xml:space="preserve">   </w:t>
            </w:r>
          </w:p>
        </w:tc>
        <w:tc>
          <w:tcPr>
            <w:tcW w:w="589" w:type="pct"/>
            <w:tcBorders>
              <w:top w:val="double" w:sz="4" w:space="0" w:color="auto"/>
              <w:left w:val="single" w:sz="4" w:space="0" w:color="auto"/>
              <w:bottom w:val="double" w:sz="4" w:space="0" w:color="auto"/>
              <w:right w:val="double" w:sz="4" w:space="0" w:color="auto"/>
            </w:tcBorders>
          </w:tcPr>
          <w:p>
            <w:pPr>
              <w:tabs>
                <w:tab w:val="num" w:pos="425"/>
              </w:tabs>
              <w:jc w:val="center"/>
              <w:rPr>
                <w:noProof/>
              </w:rPr>
            </w:pPr>
            <w:r>
              <w:rPr>
                <w:noProof/>
              </w:rPr>
              <w:t>Costs of certification of IT solutions (EUR 1.26 million annually)</w:t>
            </w:r>
          </w:p>
          <w:p>
            <w:pPr>
              <w:tabs>
                <w:tab w:val="num" w:pos="425"/>
              </w:tabs>
              <w:jc w:val="center"/>
              <w:rPr>
                <w:noProof/>
              </w:rPr>
            </w:pPr>
          </w:p>
          <w:p>
            <w:pPr>
              <w:tabs>
                <w:tab w:val="num" w:pos="425"/>
              </w:tabs>
              <w:jc w:val="center"/>
              <w:rPr>
                <w:noProof/>
              </w:rPr>
            </w:pPr>
            <w:r>
              <w:rPr>
                <w:noProof/>
              </w:rPr>
              <w:t>Enforcement costs (EUR 20 million annually)</w:t>
            </w:r>
            <w:r>
              <w:rPr>
                <w:rStyle w:val="FootnoteReference"/>
                <w:noProof/>
              </w:rPr>
              <w:footnoteReference w:id="127"/>
            </w:r>
          </w:p>
        </w:tc>
      </w:tr>
      <w:tr>
        <w:trPr>
          <w:trHeight w:val="227"/>
        </w:trPr>
        <w:tc>
          <w:tcPr>
            <w:tcW w:w="5000" w:type="pct"/>
            <w:gridSpan w:val="7"/>
            <w:tcBorders>
              <w:top w:val="double" w:sz="4" w:space="0" w:color="auto"/>
              <w:left w:val="double" w:sz="4" w:space="0" w:color="auto"/>
              <w:bottom w:val="double" w:sz="4" w:space="0" w:color="auto"/>
              <w:right w:val="double" w:sz="4" w:space="0" w:color="auto"/>
            </w:tcBorders>
            <w:shd w:val="clear" w:color="auto" w:fill="F2F2F2" w:themeFill="background1" w:themeFillShade="F2"/>
            <w:tcMar>
              <w:top w:w="57" w:type="dxa"/>
              <w:left w:w="57" w:type="dxa"/>
              <w:bottom w:w="57" w:type="dxa"/>
              <w:right w:w="57" w:type="dxa"/>
            </w:tcMar>
          </w:tcPr>
          <w:p>
            <w:pPr>
              <w:tabs>
                <w:tab w:val="num" w:pos="425"/>
              </w:tabs>
              <w:jc w:val="center"/>
              <w:rPr>
                <w:noProof/>
              </w:rPr>
            </w:pPr>
            <w:r>
              <w:rPr>
                <w:b/>
                <w:i/>
                <w:noProof/>
              </w:rPr>
              <w:t>Indirect costs for the society</w:t>
            </w:r>
          </w:p>
        </w:tc>
      </w:tr>
      <w:tr>
        <w:trPr>
          <w:trHeight w:val="604"/>
        </w:trPr>
        <w:tc>
          <w:tcPr>
            <w:tcW w:w="1213" w:type="pct"/>
            <w:tcBorders>
              <w:top w:val="double" w:sz="4" w:space="0" w:color="auto"/>
              <w:left w:val="double" w:sz="4" w:space="0" w:color="auto"/>
              <w:bottom w:val="double" w:sz="4" w:space="0" w:color="auto"/>
              <w:right w:val="double" w:sz="4" w:space="0" w:color="auto"/>
            </w:tcBorders>
            <w:tcMar>
              <w:top w:w="57" w:type="dxa"/>
              <w:left w:w="57" w:type="dxa"/>
              <w:bottom w:w="57" w:type="dxa"/>
              <w:right w:w="57" w:type="dxa"/>
            </w:tcMar>
          </w:tcPr>
          <w:p>
            <w:pPr>
              <w:tabs>
                <w:tab w:val="num" w:pos="425"/>
              </w:tabs>
              <w:rPr>
                <w:noProof/>
              </w:rPr>
            </w:pPr>
            <w:r>
              <w:rPr>
                <w:noProof/>
              </w:rPr>
              <w:t>External costs of air pollution (present value over 2018-2040 relative to the baseline)</w:t>
            </w:r>
          </w:p>
        </w:tc>
        <w:tc>
          <w:tcPr>
            <w:tcW w:w="1814" w:type="pct"/>
            <w:gridSpan w:val="3"/>
            <w:tcBorders>
              <w:top w:val="double" w:sz="4" w:space="0" w:color="auto"/>
              <w:left w:val="double" w:sz="4" w:space="0" w:color="auto"/>
              <w:bottom w:val="double" w:sz="4" w:space="0" w:color="auto"/>
              <w:right w:val="single" w:sz="4" w:space="0" w:color="auto"/>
            </w:tcBorders>
            <w:tcMar>
              <w:top w:w="57" w:type="dxa"/>
              <w:left w:w="57" w:type="dxa"/>
              <w:bottom w:w="57" w:type="dxa"/>
              <w:right w:w="57" w:type="dxa"/>
            </w:tcMar>
          </w:tcPr>
          <w:p>
            <w:pPr>
              <w:tabs>
                <w:tab w:val="num" w:pos="425"/>
              </w:tabs>
              <w:jc w:val="center"/>
              <w:rPr>
                <w:noProof/>
              </w:rPr>
            </w:pPr>
            <w:r>
              <w:rPr>
                <w:noProof/>
                <w:color w:val="000000"/>
              </w:rPr>
              <w:t xml:space="preserve">EUR 41 </w:t>
            </w:r>
            <w:r>
              <w:rPr>
                <w:noProof/>
              </w:rPr>
              <w:t xml:space="preserve">million </w:t>
            </w:r>
          </w:p>
        </w:tc>
        <w:tc>
          <w:tcPr>
            <w:tcW w:w="1973" w:type="pct"/>
            <w:gridSpan w:val="3"/>
            <w:tcBorders>
              <w:top w:val="double" w:sz="4" w:space="0" w:color="auto"/>
              <w:left w:val="single" w:sz="4" w:space="0" w:color="auto"/>
              <w:bottom w:val="double" w:sz="4" w:space="0" w:color="auto"/>
              <w:right w:val="double" w:sz="4" w:space="0" w:color="auto"/>
            </w:tcBorders>
            <w:tcMar>
              <w:top w:w="57" w:type="dxa"/>
              <w:left w:w="57" w:type="dxa"/>
              <w:bottom w:w="57" w:type="dxa"/>
              <w:right w:w="57" w:type="dxa"/>
            </w:tcMar>
          </w:tcPr>
          <w:p>
            <w:pPr>
              <w:tabs>
                <w:tab w:val="num" w:pos="425"/>
              </w:tabs>
              <w:jc w:val="center"/>
              <w:rPr>
                <w:noProof/>
              </w:rPr>
            </w:pPr>
            <w:r>
              <w:rPr>
                <w:noProof/>
              </w:rPr>
              <w:t>Negative impact due to the increase in the waterborne transport activity</w:t>
            </w:r>
          </w:p>
        </w:tc>
      </w:tr>
    </w:tbl>
    <w:p>
      <w:pPr>
        <w:rPr>
          <w:noProof/>
        </w:rPr>
      </w:pPr>
    </w:p>
    <w:p>
      <w:pPr>
        <w:pStyle w:val="Heading1"/>
        <w:numPr>
          <w:ilvl w:val="0"/>
          <w:numId w:val="4"/>
        </w:numPr>
        <w:rPr>
          <w:noProof/>
        </w:rPr>
      </w:pPr>
      <w:bookmarkStart w:id="271" w:name="_Toc506408319"/>
      <w:bookmarkStart w:id="272" w:name="_Toc512589654"/>
      <w:bookmarkStart w:id="273" w:name="_Toc512854959"/>
      <w:r>
        <w:rPr>
          <w:noProof/>
        </w:rPr>
        <w:t>Stakeholders table</w:t>
      </w:r>
      <w:bookmarkEnd w:id="271"/>
      <w:bookmarkEnd w:id="272"/>
      <w:bookmarkEnd w:id="273"/>
    </w:p>
    <w:tbl>
      <w:tblPr>
        <w:tblStyle w:val="TableGrid"/>
        <w:tblpPr w:leftFromText="180" w:rightFromText="180" w:vertAnchor="text" w:horzAnchor="margin" w:tblpX="-209" w:tblpY="158"/>
        <w:tblW w:w="5276" w:type="pct"/>
        <w:tblLook w:val="04A0" w:firstRow="1" w:lastRow="0" w:firstColumn="1" w:lastColumn="0" w:noHBand="0" w:noVBand="1"/>
      </w:tblPr>
      <w:tblGrid>
        <w:gridCol w:w="1501"/>
        <w:gridCol w:w="3820"/>
        <w:gridCol w:w="4001"/>
      </w:tblGrid>
      <w:tr>
        <w:trPr>
          <w:tblHeader/>
        </w:trPr>
        <w:tc>
          <w:tcPr>
            <w:tcW w:w="805" w:type="pct"/>
            <w:shd w:val="clear" w:color="auto" w:fill="8DB3E2" w:themeFill="text2" w:themeFillTint="66"/>
          </w:tcPr>
          <w:p>
            <w:pPr>
              <w:jc w:val="both"/>
              <w:rPr>
                <w:b/>
                <w:noProof/>
                <w:sz w:val="18"/>
                <w:szCs w:val="18"/>
              </w:rPr>
            </w:pPr>
            <w:r>
              <w:rPr>
                <w:b/>
                <w:noProof/>
                <w:sz w:val="18"/>
                <w:szCs w:val="18"/>
              </w:rPr>
              <w:t>Stakeholder</w:t>
            </w:r>
          </w:p>
        </w:tc>
        <w:tc>
          <w:tcPr>
            <w:tcW w:w="2049" w:type="pct"/>
            <w:shd w:val="clear" w:color="auto" w:fill="8DB3E2" w:themeFill="text2" w:themeFillTint="66"/>
          </w:tcPr>
          <w:p>
            <w:pPr>
              <w:jc w:val="both"/>
              <w:rPr>
                <w:b/>
                <w:noProof/>
                <w:sz w:val="18"/>
                <w:szCs w:val="18"/>
              </w:rPr>
            </w:pPr>
            <w:r>
              <w:rPr>
                <w:b/>
                <w:noProof/>
                <w:sz w:val="18"/>
                <w:szCs w:val="18"/>
              </w:rPr>
              <w:t>Description</w:t>
            </w:r>
          </w:p>
        </w:tc>
        <w:tc>
          <w:tcPr>
            <w:tcW w:w="2147" w:type="pct"/>
            <w:shd w:val="clear" w:color="auto" w:fill="8DB3E2" w:themeFill="text2" w:themeFillTint="66"/>
          </w:tcPr>
          <w:p>
            <w:pPr>
              <w:jc w:val="both"/>
              <w:rPr>
                <w:b/>
                <w:noProof/>
                <w:sz w:val="18"/>
                <w:szCs w:val="18"/>
              </w:rPr>
            </w:pPr>
            <w:r>
              <w:rPr>
                <w:b/>
                <w:noProof/>
                <w:sz w:val="18"/>
                <w:szCs w:val="18"/>
              </w:rPr>
              <w:t>Key interests</w:t>
            </w:r>
          </w:p>
        </w:tc>
      </w:tr>
      <w:tr>
        <w:tc>
          <w:tcPr>
            <w:tcW w:w="805" w:type="pct"/>
          </w:tcPr>
          <w:p>
            <w:pPr>
              <w:jc w:val="both"/>
              <w:rPr>
                <w:noProof/>
                <w:sz w:val="18"/>
                <w:szCs w:val="18"/>
              </w:rPr>
            </w:pPr>
            <w:r>
              <w:rPr>
                <w:noProof/>
                <w:sz w:val="18"/>
                <w:szCs w:val="18"/>
              </w:rPr>
              <w:t>Shippers</w:t>
            </w:r>
          </w:p>
        </w:tc>
        <w:tc>
          <w:tcPr>
            <w:tcW w:w="2049" w:type="pct"/>
          </w:tcPr>
          <w:p>
            <w:pPr>
              <w:jc w:val="both"/>
              <w:rPr>
                <w:noProof/>
                <w:sz w:val="18"/>
                <w:szCs w:val="18"/>
              </w:rPr>
            </w:pPr>
            <w:r>
              <w:rPr>
                <w:noProof/>
                <w:sz w:val="18"/>
                <w:szCs w:val="18"/>
              </w:rPr>
              <w:t>Manufacturers, retailers and wholesalers that ship goods that they manufacture or trade.</w:t>
            </w:r>
          </w:p>
        </w:tc>
        <w:tc>
          <w:tcPr>
            <w:tcW w:w="2147" w:type="pct"/>
          </w:tcPr>
          <w:p>
            <w:pPr>
              <w:keepNext/>
              <w:jc w:val="both"/>
              <w:rPr>
                <w:noProof/>
                <w:sz w:val="18"/>
                <w:szCs w:val="18"/>
              </w:rPr>
            </w:pPr>
            <w:r>
              <w:rPr>
                <w:noProof/>
                <w:sz w:val="18"/>
                <w:szCs w:val="18"/>
              </w:rPr>
              <w:t xml:space="preserve">Faster/easier presentation to the authorities of documents/ information for regulatory compliance checks. </w:t>
            </w:r>
          </w:p>
          <w:p>
            <w:pPr>
              <w:keepNext/>
              <w:jc w:val="both"/>
              <w:rPr>
                <w:noProof/>
                <w:sz w:val="18"/>
                <w:szCs w:val="18"/>
              </w:rPr>
            </w:pPr>
            <w:r>
              <w:rPr>
                <w:noProof/>
                <w:sz w:val="18"/>
                <w:szCs w:val="18"/>
              </w:rPr>
              <w:t xml:space="preserve">Faster document/information exchange between the commercial partners. </w:t>
            </w:r>
          </w:p>
          <w:p>
            <w:pPr>
              <w:keepNext/>
              <w:jc w:val="both"/>
              <w:rPr>
                <w:noProof/>
                <w:sz w:val="18"/>
                <w:szCs w:val="18"/>
              </w:rPr>
            </w:pPr>
            <w:r>
              <w:rPr>
                <w:noProof/>
                <w:sz w:val="18"/>
                <w:szCs w:val="18"/>
              </w:rPr>
              <w:t>Faster and simplified administration</w:t>
            </w:r>
          </w:p>
        </w:tc>
      </w:tr>
      <w:tr>
        <w:tc>
          <w:tcPr>
            <w:tcW w:w="805" w:type="pct"/>
          </w:tcPr>
          <w:p>
            <w:pPr>
              <w:rPr>
                <w:noProof/>
                <w:sz w:val="18"/>
                <w:szCs w:val="18"/>
              </w:rPr>
            </w:pPr>
            <w:r>
              <w:rPr>
                <w:noProof/>
                <w:sz w:val="18"/>
                <w:szCs w:val="18"/>
              </w:rPr>
              <w:t>Freight forwarders</w:t>
            </w:r>
          </w:p>
        </w:tc>
        <w:tc>
          <w:tcPr>
            <w:tcW w:w="2049" w:type="pct"/>
          </w:tcPr>
          <w:p>
            <w:pPr>
              <w:rPr>
                <w:noProof/>
                <w:sz w:val="18"/>
                <w:szCs w:val="18"/>
              </w:rPr>
            </w:pPr>
            <w:r>
              <w:rPr>
                <w:noProof/>
                <w:sz w:val="18"/>
                <w:szCs w:val="18"/>
              </w:rPr>
              <w:t>Companies specialized in the arrangement of shipping for individuals and/or corporations. Act as a “travel agent” for cargo and are often non-asset based.</w:t>
            </w:r>
          </w:p>
        </w:tc>
        <w:tc>
          <w:tcPr>
            <w:tcW w:w="2147" w:type="pct"/>
          </w:tcPr>
          <w:p>
            <w:pPr>
              <w:keepNext/>
              <w:jc w:val="both"/>
              <w:rPr>
                <w:noProof/>
                <w:sz w:val="18"/>
                <w:szCs w:val="18"/>
              </w:rPr>
            </w:pPr>
            <w:r>
              <w:rPr>
                <w:noProof/>
                <w:sz w:val="18"/>
                <w:szCs w:val="18"/>
              </w:rPr>
              <w:t>Legal acceptance by authorities of data provided digitally and encouraging or even enforcing by legal measures the interoperability between authorities.</w:t>
            </w:r>
          </w:p>
          <w:p>
            <w:pPr>
              <w:keepNext/>
              <w:jc w:val="both"/>
              <w:rPr>
                <w:noProof/>
                <w:sz w:val="18"/>
                <w:szCs w:val="18"/>
              </w:rPr>
            </w:pPr>
            <w:r>
              <w:rPr>
                <w:noProof/>
                <w:sz w:val="18"/>
                <w:szCs w:val="18"/>
              </w:rPr>
              <w:t>Aim is to exchange data in a future-proof manner.</w:t>
            </w:r>
          </w:p>
        </w:tc>
      </w:tr>
      <w:tr>
        <w:tc>
          <w:tcPr>
            <w:tcW w:w="805" w:type="pct"/>
          </w:tcPr>
          <w:p>
            <w:pPr>
              <w:rPr>
                <w:noProof/>
                <w:sz w:val="18"/>
                <w:szCs w:val="18"/>
              </w:rPr>
            </w:pPr>
            <w:r>
              <w:rPr>
                <w:noProof/>
                <w:sz w:val="18"/>
                <w:szCs w:val="18"/>
              </w:rPr>
              <w:t>Transport and logistics operators -General</w:t>
            </w:r>
          </w:p>
        </w:tc>
        <w:tc>
          <w:tcPr>
            <w:tcW w:w="2049" w:type="pct"/>
          </w:tcPr>
          <w:p>
            <w:pPr>
              <w:rPr>
                <w:noProof/>
                <w:sz w:val="18"/>
                <w:szCs w:val="18"/>
              </w:rPr>
            </w:pPr>
            <w:r>
              <w:rPr>
                <w:noProof/>
                <w:sz w:val="18"/>
                <w:szCs w:val="18"/>
              </w:rPr>
              <w:t>Operators providing domestic, EU and international transport and logistics services (e.g. warehousing, packaging etc).</w:t>
            </w:r>
          </w:p>
        </w:tc>
        <w:tc>
          <w:tcPr>
            <w:tcW w:w="2147" w:type="pct"/>
          </w:tcPr>
          <w:p>
            <w:pPr>
              <w:keepNext/>
              <w:jc w:val="both"/>
              <w:rPr>
                <w:noProof/>
                <w:sz w:val="18"/>
                <w:szCs w:val="18"/>
              </w:rPr>
            </w:pPr>
            <w:r>
              <w:rPr>
                <w:noProof/>
                <w:sz w:val="18"/>
                <w:szCs w:val="18"/>
              </w:rPr>
              <w:t xml:space="preserve">Acceptance by Member States authorities. </w:t>
            </w:r>
          </w:p>
          <w:p>
            <w:pPr>
              <w:keepNext/>
              <w:jc w:val="both"/>
              <w:rPr>
                <w:noProof/>
                <w:sz w:val="18"/>
                <w:szCs w:val="18"/>
              </w:rPr>
            </w:pPr>
            <w:r>
              <w:rPr>
                <w:noProof/>
                <w:sz w:val="18"/>
                <w:szCs w:val="18"/>
              </w:rPr>
              <w:t>Faster and simplified administration.</w:t>
            </w:r>
          </w:p>
          <w:p>
            <w:pPr>
              <w:keepNext/>
              <w:jc w:val="both"/>
              <w:rPr>
                <w:noProof/>
                <w:sz w:val="18"/>
                <w:szCs w:val="18"/>
              </w:rPr>
            </w:pPr>
            <w:r>
              <w:rPr>
                <w:noProof/>
                <w:sz w:val="18"/>
                <w:szCs w:val="18"/>
              </w:rPr>
              <w:t>Faster document/information exchange between the commercial partners.</w:t>
            </w:r>
          </w:p>
        </w:tc>
      </w:tr>
      <w:tr>
        <w:tc>
          <w:tcPr>
            <w:tcW w:w="805" w:type="pct"/>
          </w:tcPr>
          <w:p>
            <w:pPr>
              <w:rPr>
                <w:noProof/>
                <w:sz w:val="18"/>
                <w:szCs w:val="18"/>
              </w:rPr>
            </w:pPr>
            <w:r>
              <w:rPr>
                <w:noProof/>
                <w:sz w:val="18"/>
                <w:szCs w:val="18"/>
              </w:rPr>
              <w:t>Transport and logistics operators - Road</w:t>
            </w:r>
          </w:p>
        </w:tc>
        <w:tc>
          <w:tcPr>
            <w:tcW w:w="2049" w:type="pct"/>
          </w:tcPr>
          <w:p>
            <w:pPr>
              <w:rPr>
                <w:noProof/>
                <w:sz w:val="18"/>
                <w:szCs w:val="18"/>
              </w:rPr>
            </w:pPr>
            <w:r>
              <w:rPr>
                <w:noProof/>
                <w:sz w:val="18"/>
                <w:szCs w:val="18"/>
              </w:rPr>
              <w:t>Road operators -  by means of truck</w:t>
            </w:r>
          </w:p>
        </w:tc>
        <w:tc>
          <w:tcPr>
            <w:tcW w:w="2147" w:type="pct"/>
          </w:tcPr>
          <w:p>
            <w:pPr>
              <w:keepNext/>
              <w:jc w:val="both"/>
              <w:rPr>
                <w:noProof/>
                <w:sz w:val="18"/>
                <w:szCs w:val="18"/>
              </w:rPr>
            </w:pPr>
            <w:r>
              <w:rPr>
                <w:noProof/>
                <w:sz w:val="18"/>
                <w:szCs w:val="18"/>
              </w:rPr>
              <w:t xml:space="preserve">Both operational and administrative benefits. </w:t>
            </w:r>
          </w:p>
          <w:p>
            <w:pPr>
              <w:keepNext/>
              <w:jc w:val="both"/>
              <w:rPr>
                <w:noProof/>
                <w:sz w:val="18"/>
                <w:szCs w:val="18"/>
              </w:rPr>
            </w:pPr>
            <w:r>
              <w:rPr>
                <w:noProof/>
                <w:sz w:val="18"/>
                <w:szCs w:val="18"/>
              </w:rPr>
              <w:t>A common framework needs to be created to allow for interoperability of the independently evolving systems. The EC should focus on making interoperability between different MS feasible.</w:t>
            </w:r>
          </w:p>
        </w:tc>
      </w:tr>
      <w:tr>
        <w:tc>
          <w:tcPr>
            <w:tcW w:w="805" w:type="pct"/>
          </w:tcPr>
          <w:p>
            <w:pPr>
              <w:rPr>
                <w:noProof/>
                <w:sz w:val="18"/>
                <w:szCs w:val="18"/>
              </w:rPr>
            </w:pPr>
            <w:r>
              <w:rPr>
                <w:noProof/>
                <w:sz w:val="18"/>
                <w:szCs w:val="18"/>
              </w:rPr>
              <w:t>Transport and logistics operators - Rail</w:t>
            </w:r>
          </w:p>
        </w:tc>
        <w:tc>
          <w:tcPr>
            <w:tcW w:w="2049" w:type="pct"/>
          </w:tcPr>
          <w:p>
            <w:pPr>
              <w:rPr>
                <w:noProof/>
                <w:sz w:val="18"/>
                <w:szCs w:val="18"/>
              </w:rPr>
            </w:pPr>
            <w:r>
              <w:rPr>
                <w:noProof/>
                <w:sz w:val="18"/>
                <w:szCs w:val="18"/>
              </w:rPr>
              <w:t>Rail operators -  by means of  railways</w:t>
            </w:r>
          </w:p>
        </w:tc>
        <w:tc>
          <w:tcPr>
            <w:tcW w:w="2147" w:type="pct"/>
          </w:tcPr>
          <w:p>
            <w:pPr>
              <w:keepNext/>
              <w:jc w:val="both"/>
              <w:rPr>
                <w:noProof/>
                <w:sz w:val="18"/>
                <w:szCs w:val="18"/>
              </w:rPr>
            </w:pPr>
            <w:r>
              <w:rPr>
                <w:noProof/>
                <w:sz w:val="18"/>
                <w:szCs w:val="18"/>
              </w:rPr>
              <w:t>Take into account the need to fit into existing systems. Less mandatory, more flexible and less burden to business.</w:t>
            </w:r>
          </w:p>
          <w:p>
            <w:pPr>
              <w:keepNext/>
              <w:jc w:val="both"/>
              <w:rPr>
                <w:noProof/>
                <w:sz w:val="18"/>
                <w:szCs w:val="18"/>
              </w:rPr>
            </w:pPr>
            <w:r>
              <w:rPr>
                <w:noProof/>
                <w:sz w:val="18"/>
                <w:szCs w:val="18"/>
              </w:rPr>
              <w:t xml:space="preserve">A change form hardcopies to e-data with an international standard is suggested (e.g. Orfeus). </w:t>
            </w:r>
          </w:p>
        </w:tc>
      </w:tr>
      <w:tr>
        <w:tc>
          <w:tcPr>
            <w:tcW w:w="805" w:type="pct"/>
          </w:tcPr>
          <w:p>
            <w:pPr>
              <w:rPr>
                <w:noProof/>
                <w:sz w:val="18"/>
                <w:szCs w:val="18"/>
              </w:rPr>
            </w:pPr>
            <w:r>
              <w:rPr>
                <w:noProof/>
                <w:sz w:val="18"/>
                <w:szCs w:val="18"/>
              </w:rPr>
              <w:t>Transport and logistics operators - IWT</w:t>
            </w:r>
          </w:p>
        </w:tc>
        <w:tc>
          <w:tcPr>
            <w:tcW w:w="2049" w:type="pct"/>
          </w:tcPr>
          <w:p>
            <w:pPr>
              <w:rPr>
                <w:noProof/>
                <w:sz w:val="18"/>
                <w:szCs w:val="18"/>
              </w:rPr>
            </w:pPr>
            <w:r>
              <w:rPr>
                <w:noProof/>
                <w:sz w:val="18"/>
                <w:szCs w:val="18"/>
              </w:rPr>
              <w:t>IWT operators -  by means of  barge</w:t>
            </w:r>
          </w:p>
        </w:tc>
        <w:tc>
          <w:tcPr>
            <w:tcW w:w="2147" w:type="pct"/>
          </w:tcPr>
          <w:p>
            <w:pPr>
              <w:keepNext/>
              <w:jc w:val="both"/>
              <w:rPr>
                <w:noProof/>
                <w:sz w:val="18"/>
                <w:szCs w:val="18"/>
              </w:rPr>
            </w:pPr>
            <w:r>
              <w:rPr>
                <w:noProof/>
                <w:sz w:val="18"/>
                <w:szCs w:val="18"/>
              </w:rPr>
              <w:t>Reduction of administrative burden.</w:t>
            </w:r>
          </w:p>
          <w:p>
            <w:pPr>
              <w:keepNext/>
              <w:jc w:val="both"/>
              <w:rPr>
                <w:noProof/>
                <w:sz w:val="18"/>
                <w:szCs w:val="18"/>
              </w:rPr>
            </w:pPr>
            <w:r>
              <w:rPr>
                <w:noProof/>
                <w:sz w:val="18"/>
                <w:szCs w:val="18"/>
              </w:rPr>
              <w:t>Better integration in multimodal chain.</w:t>
            </w:r>
          </w:p>
          <w:p>
            <w:pPr>
              <w:keepNext/>
              <w:jc w:val="both"/>
              <w:rPr>
                <w:noProof/>
                <w:sz w:val="18"/>
                <w:szCs w:val="18"/>
              </w:rPr>
            </w:pPr>
            <w:r>
              <w:rPr>
                <w:noProof/>
                <w:sz w:val="18"/>
                <w:szCs w:val="18"/>
              </w:rPr>
              <w:t>Acceptance of e-transport data /documents by authorities mainly in field of container transport</w:t>
            </w:r>
          </w:p>
          <w:p>
            <w:pPr>
              <w:keepNext/>
              <w:jc w:val="both"/>
              <w:rPr>
                <w:noProof/>
                <w:sz w:val="18"/>
                <w:szCs w:val="18"/>
              </w:rPr>
            </w:pPr>
            <w:r>
              <w:rPr>
                <w:noProof/>
                <w:sz w:val="18"/>
                <w:szCs w:val="18"/>
              </w:rPr>
              <w:t>Only-once reporting and sharing of information within the entire multimodal transport chain</w:t>
            </w:r>
          </w:p>
          <w:p>
            <w:pPr>
              <w:keepNext/>
              <w:jc w:val="both"/>
              <w:rPr>
                <w:noProof/>
                <w:sz w:val="18"/>
                <w:szCs w:val="18"/>
              </w:rPr>
            </w:pPr>
            <w:r>
              <w:rPr>
                <w:noProof/>
                <w:sz w:val="18"/>
                <w:szCs w:val="18"/>
              </w:rPr>
              <w:t>Data protection: access to data by authorised parties only very crucial and critical</w:t>
            </w:r>
          </w:p>
        </w:tc>
      </w:tr>
      <w:tr>
        <w:tc>
          <w:tcPr>
            <w:tcW w:w="805" w:type="pct"/>
          </w:tcPr>
          <w:p>
            <w:pPr>
              <w:rPr>
                <w:noProof/>
                <w:sz w:val="18"/>
                <w:szCs w:val="18"/>
              </w:rPr>
            </w:pPr>
            <w:r>
              <w:rPr>
                <w:noProof/>
                <w:sz w:val="18"/>
                <w:szCs w:val="18"/>
              </w:rPr>
              <w:t>Transport and logistics operators - Aviation</w:t>
            </w:r>
          </w:p>
        </w:tc>
        <w:tc>
          <w:tcPr>
            <w:tcW w:w="2049" w:type="pct"/>
          </w:tcPr>
          <w:p>
            <w:pPr>
              <w:rPr>
                <w:noProof/>
                <w:sz w:val="18"/>
                <w:szCs w:val="18"/>
              </w:rPr>
            </w:pPr>
            <w:r>
              <w:rPr>
                <w:noProof/>
                <w:sz w:val="18"/>
                <w:szCs w:val="18"/>
              </w:rPr>
              <w:t>Air operators -  by means of  aircraft</w:t>
            </w:r>
          </w:p>
        </w:tc>
        <w:tc>
          <w:tcPr>
            <w:tcW w:w="2147" w:type="pct"/>
          </w:tcPr>
          <w:p>
            <w:pPr>
              <w:keepNext/>
              <w:jc w:val="both"/>
              <w:rPr>
                <w:noProof/>
                <w:sz w:val="18"/>
                <w:szCs w:val="18"/>
              </w:rPr>
            </w:pPr>
            <w:r>
              <w:rPr>
                <w:noProof/>
                <w:sz w:val="18"/>
                <w:szCs w:val="18"/>
              </w:rPr>
              <w:t xml:space="preserve">Countries and their authorities need to accept electronic (transport) documents, </w:t>
            </w:r>
          </w:p>
          <w:p>
            <w:pPr>
              <w:keepNext/>
              <w:jc w:val="both"/>
              <w:rPr>
                <w:noProof/>
                <w:sz w:val="18"/>
                <w:szCs w:val="18"/>
              </w:rPr>
            </w:pPr>
            <w:r>
              <w:rPr>
                <w:noProof/>
                <w:sz w:val="18"/>
                <w:szCs w:val="18"/>
              </w:rPr>
              <w:t xml:space="preserve">Companies need to agree separately that they will use electronic documentation (e-AWB) for their freight contracts. </w:t>
            </w:r>
          </w:p>
          <w:p>
            <w:pPr>
              <w:keepNext/>
              <w:jc w:val="both"/>
              <w:rPr>
                <w:noProof/>
                <w:sz w:val="18"/>
                <w:szCs w:val="18"/>
              </w:rPr>
            </w:pPr>
            <w:r>
              <w:rPr>
                <w:noProof/>
                <w:sz w:val="18"/>
                <w:szCs w:val="18"/>
              </w:rPr>
              <w:t>Technical capacity needs to be available for both the airline and the forwarder.</w:t>
            </w:r>
          </w:p>
          <w:p>
            <w:pPr>
              <w:keepNext/>
              <w:jc w:val="both"/>
              <w:rPr>
                <w:noProof/>
                <w:sz w:val="18"/>
                <w:szCs w:val="18"/>
              </w:rPr>
            </w:pPr>
            <w:r>
              <w:rPr>
                <w:noProof/>
                <w:sz w:val="18"/>
                <w:szCs w:val="18"/>
              </w:rPr>
              <w:t>The new initiative should create the necessary conditions, but should also leave room to include current initiatives.</w:t>
            </w:r>
          </w:p>
        </w:tc>
      </w:tr>
      <w:tr>
        <w:tc>
          <w:tcPr>
            <w:tcW w:w="805" w:type="pct"/>
          </w:tcPr>
          <w:p>
            <w:pPr>
              <w:rPr>
                <w:noProof/>
                <w:sz w:val="18"/>
                <w:szCs w:val="18"/>
              </w:rPr>
            </w:pPr>
            <w:r>
              <w:rPr>
                <w:noProof/>
                <w:sz w:val="18"/>
                <w:szCs w:val="18"/>
              </w:rPr>
              <w:t>Transport and logistics operators - Maritime</w:t>
            </w:r>
          </w:p>
        </w:tc>
        <w:tc>
          <w:tcPr>
            <w:tcW w:w="2049" w:type="pct"/>
          </w:tcPr>
          <w:p>
            <w:pPr>
              <w:rPr>
                <w:noProof/>
                <w:sz w:val="18"/>
                <w:szCs w:val="18"/>
              </w:rPr>
            </w:pPr>
            <w:r>
              <w:rPr>
                <w:noProof/>
                <w:sz w:val="18"/>
                <w:szCs w:val="18"/>
              </w:rPr>
              <w:t>Maritime operators -  by means of  vessel</w:t>
            </w:r>
          </w:p>
        </w:tc>
        <w:tc>
          <w:tcPr>
            <w:tcW w:w="2147" w:type="pct"/>
          </w:tcPr>
          <w:p>
            <w:pPr>
              <w:keepNext/>
              <w:jc w:val="both"/>
              <w:rPr>
                <w:noProof/>
                <w:sz w:val="18"/>
                <w:szCs w:val="18"/>
              </w:rPr>
            </w:pPr>
            <w:r>
              <w:rPr>
                <w:noProof/>
                <w:sz w:val="18"/>
                <w:szCs w:val="18"/>
              </w:rPr>
              <w:t xml:space="preserve">Point at the role of blockchain technology to overcome the issue of trust and information protection. </w:t>
            </w:r>
          </w:p>
          <w:p>
            <w:pPr>
              <w:keepNext/>
              <w:jc w:val="both"/>
              <w:rPr>
                <w:noProof/>
                <w:sz w:val="18"/>
                <w:szCs w:val="18"/>
              </w:rPr>
            </w:pPr>
            <w:r>
              <w:rPr>
                <w:noProof/>
                <w:sz w:val="18"/>
                <w:szCs w:val="18"/>
              </w:rPr>
              <w:t>Point at the international character of maritime transport and require that this is taken into account when developing / demanding standards.</w:t>
            </w:r>
          </w:p>
        </w:tc>
      </w:tr>
      <w:tr>
        <w:tc>
          <w:tcPr>
            <w:tcW w:w="805" w:type="pct"/>
          </w:tcPr>
          <w:p>
            <w:pPr>
              <w:rPr>
                <w:noProof/>
                <w:sz w:val="18"/>
                <w:szCs w:val="18"/>
              </w:rPr>
            </w:pPr>
            <w:r>
              <w:rPr>
                <w:noProof/>
                <w:sz w:val="18"/>
                <w:szCs w:val="18"/>
              </w:rPr>
              <w:t>Transport and logistics operators - Multimodal</w:t>
            </w:r>
          </w:p>
        </w:tc>
        <w:tc>
          <w:tcPr>
            <w:tcW w:w="2049" w:type="pct"/>
          </w:tcPr>
          <w:p>
            <w:pPr>
              <w:rPr>
                <w:noProof/>
                <w:sz w:val="18"/>
                <w:szCs w:val="18"/>
              </w:rPr>
            </w:pPr>
            <w:r>
              <w:rPr>
                <w:noProof/>
                <w:sz w:val="18"/>
                <w:szCs w:val="18"/>
              </w:rPr>
              <w:t>Operators providing transport services with a combination of different modes of transport (road +rail, road +IWT etc), including terminals at transfer points between modes</w:t>
            </w:r>
          </w:p>
        </w:tc>
        <w:tc>
          <w:tcPr>
            <w:tcW w:w="2147" w:type="pct"/>
          </w:tcPr>
          <w:p>
            <w:pPr>
              <w:keepNext/>
              <w:jc w:val="both"/>
              <w:rPr>
                <w:noProof/>
                <w:sz w:val="18"/>
                <w:szCs w:val="18"/>
              </w:rPr>
            </w:pPr>
            <w:r>
              <w:rPr>
                <w:noProof/>
                <w:sz w:val="18"/>
                <w:szCs w:val="18"/>
              </w:rPr>
              <w:t>Competition from road transport.</w:t>
            </w:r>
          </w:p>
          <w:p>
            <w:pPr>
              <w:keepNext/>
              <w:jc w:val="both"/>
              <w:rPr>
                <w:noProof/>
                <w:sz w:val="18"/>
                <w:szCs w:val="18"/>
              </w:rPr>
            </w:pPr>
            <w:r>
              <w:rPr>
                <w:noProof/>
                <w:sz w:val="18"/>
                <w:szCs w:val="18"/>
              </w:rPr>
              <w:t>Harmonisation between modes.</w:t>
            </w:r>
          </w:p>
        </w:tc>
      </w:tr>
      <w:tr>
        <w:tc>
          <w:tcPr>
            <w:tcW w:w="805" w:type="pct"/>
          </w:tcPr>
          <w:p>
            <w:pPr>
              <w:rPr>
                <w:noProof/>
                <w:sz w:val="18"/>
                <w:szCs w:val="18"/>
              </w:rPr>
            </w:pPr>
            <w:r>
              <w:rPr>
                <w:noProof/>
                <w:sz w:val="18"/>
                <w:szCs w:val="18"/>
              </w:rPr>
              <w:t>Solution providers</w:t>
            </w:r>
          </w:p>
        </w:tc>
        <w:tc>
          <w:tcPr>
            <w:tcW w:w="2049" w:type="pct"/>
          </w:tcPr>
          <w:p>
            <w:pPr>
              <w:rPr>
                <w:noProof/>
                <w:sz w:val="18"/>
                <w:szCs w:val="18"/>
              </w:rPr>
            </w:pPr>
          </w:p>
        </w:tc>
        <w:tc>
          <w:tcPr>
            <w:tcW w:w="2147" w:type="pct"/>
          </w:tcPr>
          <w:p>
            <w:pPr>
              <w:keepNext/>
              <w:jc w:val="both"/>
              <w:rPr>
                <w:noProof/>
                <w:sz w:val="18"/>
                <w:szCs w:val="18"/>
              </w:rPr>
            </w:pPr>
            <w:r>
              <w:rPr>
                <w:noProof/>
                <w:sz w:val="18"/>
                <w:szCs w:val="18"/>
              </w:rPr>
              <w:t>Development of interoperable solutions so that authorities and local governments can access them in a single environment.</w:t>
            </w:r>
          </w:p>
        </w:tc>
      </w:tr>
      <w:tr>
        <w:tc>
          <w:tcPr>
            <w:tcW w:w="805" w:type="pct"/>
          </w:tcPr>
          <w:p>
            <w:pPr>
              <w:rPr>
                <w:noProof/>
                <w:sz w:val="18"/>
                <w:szCs w:val="18"/>
              </w:rPr>
            </w:pPr>
            <w:r>
              <w:rPr>
                <w:noProof/>
                <w:sz w:val="18"/>
                <w:szCs w:val="18"/>
              </w:rPr>
              <w:t>Member States - Policy ministries</w:t>
            </w:r>
          </w:p>
        </w:tc>
        <w:tc>
          <w:tcPr>
            <w:tcW w:w="2049" w:type="pct"/>
          </w:tcPr>
          <w:p>
            <w:pPr>
              <w:rPr>
                <w:noProof/>
                <w:sz w:val="18"/>
                <w:szCs w:val="18"/>
              </w:rPr>
            </w:pPr>
            <w:r>
              <w:rPr>
                <w:noProof/>
                <w:sz w:val="18"/>
                <w:szCs w:val="18"/>
              </w:rPr>
              <w:t>Ministries of Transport, Justice</w:t>
            </w:r>
          </w:p>
        </w:tc>
        <w:tc>
          <w:tcPr>
            <w:tcW w:w="2147" w:type="pct"/>
          </w:tcPr>
          <w:p>
            <w:pPr>
              <w:keepNext/>
              <w:jc w:val="both"/>
              <w:rPr>
                <w:noProof/>
                <w:sz w:val="18"/>
                <w:szCs w:val="18"/>
              </w:rPr>
            </w:pPr>
            <w:r>
              <w:rPr>
                <w:noProof/>
                <w:sz w:val="18"/>
                <w:szCs w:val="18"/>
              </w:rPr>
              <w:t>All MS governments and authorities accept the documents in a digital format.</w:t>
            </w:r>
          </w:p>
          <w:p>
            <w:pPr>
              <w:keepNext/>
              <w:jc w:val="both"/>
              <w:rPr>
                <w:noProof/>
                <w:sz w:val="18"/>
                <w:szCs w:val="18"/>
              </w:rPr>
            </w:pPr>
            <w:r>
              <w:rPr>
                <w:noProof/>
                <w:sz w:val="18"/>
                <w:szCs w:val="18"/>
              </w:rPr>
              <w:t>Take into account national diversities.</w:t>
            </w:r>
          </w:p>
          <w:p>
            <w:pPr>
              <w:keepNext/>
              <w:jc w:val="both"/>
              <w:rPr>
                <w:noProof/>
                <w:sz w:val="18"/>
                <w:szCs w:val="18"/>
              </w:rPr>
            </w:pPr>
            <w:r>
              <w:rPr>
                <w:noProof/>
                <w:sz w:val="18"/>
                <w:szCs w:val="18"/>
              </w:rPr>
              <w:t>Rules on authenticity (Signature eIDAS) and on accessibility by control officers on the spot, and certification of IT solutions.</w:t>
            </w:r>
          </w:p>
        </w:tc>
      </w:tr>
      <w:tr>
        <w:tc>
          <w:tcPr>
            <w:tcW w:w="805" w:type="pct"/>
          </w:tcPr>
          <w:p>
            <w:pPr>
              <w:rPr>
                <w:noProof/>
                <w:sz w:val="18"/>
                <w:szCs w:val="18"/>
              </w:rPr>
            </w:pPr>
            <w:r>
              <w:rPr>
                <w:noProof/>
                <w:sz w:val="18"/>
                <w:szCs w:val="18"/>
              </w:rPr>
              <w:t>Member States - Authorities</w:t>
            </w:r>
          </w:p>
        </w:tc>
        <w:tc>
          <w:tcPr>
            <w:tcW w:w="2049" w:type="pct"/>
          </w:tcPr>
          <w:p>
            <w:pPr>
              <w:rPr>
                <w:noProof/>
                <w:sz w:val="18"/>
                <w:szCs w:val="18"/>
              </w:rPr>
            </w:pPr>
          </w:p>
        </w:tc>
        <w:tc>
          <w:tcPr>
            <w:tcW w:w="2147" w:type="pct"/>
          </w:tcPr>
          <w:p>
            <w:pPr>
              <w:keepNext/>
              <w:jc w:val="both"/>
              <w:rPr>
                <w:noProof/>
                <w:sz w:val="18"/>
                <w:szCs w:val="18"/>
              </w:rPr>
            </w:pPr>
            <w:r>
              <w:rPr>
                <w:noProof/>
                <w:sz w:val="18"/>
                <w:szCs w:val="18"/>
              </w:rPr>
              <w:t>Need for certification of IT providers, a need for a platform to which enforcement authorities have to have access and a need for common tools.</w:t>
            </w:r>
          </w:p>
        </w:tc>
      </w:tr>
      <w:tr>
        <w:tc>
          <w:tcPr>
            <w:tcW w:w="805" w:type="pct"/>
          </w:tcPr>
          <w:p>
            <w:pPr>
              <w:rPr>
                <w:noProof/>
                <w:sz w:val="18"/>
                <w:szCs w:val="18"/>
              </w:rPr>
            </w:pPr>
            <w:r>
              <w:rPr>
                <w:noProof/>
                <w:sz w:val="18"/>
                <w:szCs w:val="18"/>
              </w:rPr>
              <w:t>SMEs</w:t>
            </w:r>
          </w:p>
        </w:tc>
        <w:tc>
          <w:tcPr>
            <w:tcW w:w="2049" w:type="pct"/>
          </w:tcPr>
          <w:p>
            <w:pPr>
              <w:rPr>
                <w:noProof/>
                <w:sz w:val="18"/>
                <w:szCs w:val="18"/>
              </w:rPr>
            </w:pPr>
            <w:r>
              <w:rPr>
                <w:noProof/>
                <w:sz w:val="18"/>
                <w:szCs w:val="18"/>
              </w:rPr>
              <w:t>Small and medium enterprise companies, actives as a shipper, freight forwarder or transport operator.</w:t>
            </w:r>
          </w:p>
        </w:tc>
        <w:tc>
          <w:tcPr>
            <w:tcW w:w="2147" w:type="pct"/>
          </w:tcPr>
          <w:p>
            <w:pPr>
              <w:keepNext/>
              <w:jc w:val="both"/>
              <w:rPr>
                <w:noProof/>
                <w:sz w:val="18"/>
                <w:szCs w:val="18"/>
              </w:rPr>
            </w:pPr>
            <w:r>
              <w:rPr>
                <w:noProof/>
                <w:sz w:val="18"/>
                <w:szCs w:val="18"/>
              </w:rPr>
              <w:t>Acceptance of electronic transport documents by EU MS.  Usage of one IT application/ system to transmit the electronic transport documents to any EU Member State authority and with other companies.</w:t>
            </w:r>
          </w:p>
        </w:tc>
      </w:tr>
    </w:tbl>
    <w:p>
      <w:pPr>
        <w:pStyle w:val="Text1"/>
        <w:rPr>
          <w:noProof/>
        </w:rPr>
      </w:pPr>
    </w:p>
    <w:p>
      <w:pPr>
        <w:rPr>
          <w:noProof/>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pStyle w:val="AnnexTitle"/>
        <w:outlineLvl w:val="0"/>
        <w:rPr>
          <w:noProof/>
        </w:rPr>
      </w:pPr>
      <w:bookmarkStart w:id="274" w:name="_Toc512854960"/>
      <w:r>
        <w:rPr>
          <w:noProof/>
        </w:rPr>
        <w:t>Annex 4: Analytical methods</w:t>
      </w:r>
      <w:bookmarkEnd w:id="274"/>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analytical work for this impact assessment is based on the PRIMES-TREMOVE transport model, and the Ecorys model for the regulatory costs for business and the compliance and enforcement costs for public administrations.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PRIMES-TREMOVE transport model covers the entire transport system (e.g. transport activity, technologies and fuels, air pollution emissions and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emissions at Member State level):</w:t>
      </w:r>
    </w:p>
    <w:p>
      <w:pPr>
        <w:pStyle w:val="TOC3"/>
        <w:numPr>
          <w:ilvl w:val="0"/>
          <w:numId w:val="14"/>
        </w:numPr>
        <w:tabs>
          <w:tab w:val="left" w:pos="1276"/>
          <w:tab w:val="right" w:leader="dot" w:pos="9062"/>
        </w:tabs>
        <w:autoSpaceDE w:val="0"/>
        <w:autoSpaceDN w:val="0"/>
        <w:adjustRightInd w:val="0"/>
        <w:spacing w:before="120" w:after="120"/>
        <w:ind w:left="425" w:hanging="425"/>
        <w:jc w:val="both"/>
        <w:rPr>
          <w:rFonts w:ascii="Times New Roman" w:hAnsi="Times New Roman" w:cs="Times New Roman"/>
          <w:noProof/>
          <w:sz w:val="24"/>
          <w:szCs w:val="24"/>
        </w:rPr>
      </w:pPr>
      <w:r>
        <w:rPr>
          <w:rFonts w:ascii="Times New Roman" w:hAnsi="Times New Roman" w:cs="Times New Roman"/>
          <w:b/>
          <w:bCs/>
          <w:noProof/>
          <w:sz w:val="24"/>
          <w:szCs w:val="24"/>
          <w:lang w:eastAsia="en-GB"/>
        </w:rPr>
        <w:t>Geographical coverage:</w:t>
      </w:r>
      <w:r>
        <w:rPr>
          <w:rFonts w:ascii="Times New Roman" w:hAnsi="Times New Roman" w:cs="Times New Roman"/>
          <w:noProof/>
          <w:sz w:val="24"/>
          <w:szCs w:val="24"/>
          <w:lang w:eastAsia="en-GB"/>
        </w:rPr>
        <w:t xml:space="preserve"> EU level, all Member States separately. </w:t>
      </w:r>
    </w:p>
    <w:p>
      <w:pPr>
        <w:pStyle w:val="TOC3"/>
        <w:numPr>
          <w:ilvl w:val="0"/>
          <w:numId w:val="14"/>
        </w:numPr>
        <w:tabs>
          <w:tab w:val="left" w:pos="1276"/>
          <w:tab w:val="right" w:leader="dot" w:pos="9062"/>
        </w:tabs>
        <w:autoSpaceDE w:val="0"/>
        <w:autoSpaceDN w:val="0"/>
        <w:adjustRightInd w:val="0"/>
        <w:spacing w:before="120" w:after="120"/>
        <w:ind w:left="425" w:hanging="425"/>
        <w:jc w:val="both"/>
        <w:rPr>
          <w:rFonts w:ascii="Times New Roman" w:hAnsi="Times New Roman" w:cs="Times New Roman"/>
          <w:noProof/>
          <w:sz w:val="24"/>
          <w:szCs w:val="24"/>
        </w:rPr>
      </w:pPr>
      <w:r>
        <w:rPr>
          <w:rFonts w:ascii="Times New Roman" w:hAnsi="Times New Roman" w:cs="Times New Roman"/>
          <w:b/>
          <w:bCs/>
          <w:iCs/>
          <w:noProof/>
          <w:sz w:val="24"/>
          <w:szCs w:val="24"/>
        </w:rPr>
        <w:t>Time horizon:</w:t>
      </w:r>
      <w:r>
        <w:rPr>
          <w:rFonts w:ascii="Times New Roman" w:hAnsi="Times New Roman" w:cs="Times New Roman"/>
          <w:b/>
          <w:bCs/>
          <w:i/>
          <w:iCs/>
          <w:noProof/>
          <w:sz w:val="24"/>
          <w:szCs w:val="24"/>
        </w:rPr>
        <w:t xml:space="preserve"> </w:t>
      </w:r>
      <w:r>
        <w:rPr>
          <w:rFonts w:ascii="Times New Roman" w:hAnsi="Times New Roman" w:cs="Times New Roman"/>
          <w:noProof/>
          <w:sz w:val="24"/>
          <w:szCs w:val="24"/>
        </w:rPr>
        <w:t xml:space="preserve">2005 to 2050 (5-year time steps).  </w:t>
      </w:r>
    </w:p>
    <w:p>
      <w:pPr>
        <w:pStyle w:val="TOC3"/>
        <w:numPr>
          <w:ilvl w:val="0"/>
          <w:numId w:val="14"/>
        </w:numPr>
        <w:tabs>
          <w:tab w:val="left" w:pos="1276"/>
          <w:tab w:val="right" w:leader="dot" w:pos="9062"/>
        </w:tabs>
        <w:autoSpaceDE w:val="0"/>
        <w:autoSpaceDN w:val="0"/>
        <w:adjustRightInd w:val="0"/>
        <w:spacing w:before="120" w:after="120"/>
        <w:ind w:left="425" w:hanging="425"/>
        <w:jc w:val="both"/>
        <w:rPr>
          <w:rFonts w:ascii="Times New Roman" w:hAnsi="Times New Roman" w:cs="Times New Roman"/>
          <w:bCs/>
          <w:iCs/>
          <w:noProof/>
          <w:sz w:val="24"/>
          <w:szCs w:val="24"/>
        </w:rPr>
      </w:pPr>
      <w:r>
        <w:rPr>
          <w:rFonts w:ascii="Times New Roman" w:hAnsi="Times New Roman" w:cs="Times New Roman"/>
          <w:b/>
          <w:bCs/>
          <w:iCs/>
          <w:noProof/>
          <w:sz w:val="24"/>
          <w:szCs w:val="24"/>
        </w:rPr>
        <w:t>Transport modes covered for freight transport:</w:t>
      </w:r>
      <w:r>
        <w:rPr>
          <w:rFonts w:ascii="Times New Roman" w:hAnsi="Times New Roman" w:cs="Times New Roman"/>
          <w:bCs/>
          <w:iCs/>
          <w:noProof/>
          <w:sz w:val="24"/>
          <w:szCs w:val="24"/>
        </w:rPr>
        <w:t xml:space="preserve"> road freight (heavy goods vehicles, light commercial vehicles), freight rail, freight inland navigation, international shipping. Numerous classes of vehicles and transport means with tracking of technology vintages. </w:t>
      </w:r>
    </w:p>
    <w:p>
      <w:pPr>
        <w:pStyle w:val="TOC3"/>
        <w:numPr>
          <w:ilvl w:val="0"/>
          <w:numId w:val="14"/>
        </w:numPr>
        <w:tabs>
          <w:tab w:val="left" w:pos="1276"/>
          <w:tab w:val="right" w:leader="dot" w:pos="9062"/>
        </w:tabs>
        <w:autoSpaceDE w:val="0"/>
        <w:autoSpaceDN w:val="0"/>
        <w:adjustRightInd w:val="0"/>
        <w:spacing w:before="120" w:after="120"/>
        <w:ind w:left="425" w:hanging="425"/>
        <w:jc w:val="both"/>
        <w:rPr>
          <w:rFonts w:ascii="Times New Roman" w:hAnsi="Times New Roman" w:cs="Times New Roman"/>
          <w:bCs/>
          <w:iCs/>
          <w:noProof/>
          <w:sz w:val="24"/>
          <w:szCs w:val="24"/>
        </w:rPr>
      </w:pPr>
      <w:r>
        <w:rPr>
          <w:rFonts w:ascii="Times New Roman" w:hAnsi="Times New Roman" w:cs="Times New Roman"/>
          <w:b/>
          <w:bCs/>
          <w:iCs/>
          <w:noProof/>
          <w:sz w:val="24"/>
          <w:szCs w:val="24"/>
        </w:rPr>
        <w:t xml:space="preserve">Regions/road types: </w:t>
      </w:r>
      <w:r>
        <w:rPr>
          <w:rFonts w:ascii="Times New Roman" w:hAnsi="Times New Roman" w:cs="Times New Roman"/>
          <w:bCs/>
          <w:iCs/>
          <w:noProof/>
          <w:sz w:val="24"/>
          <w:szCs w:val="24"/>
        </w:rPr>
        <w:t xml:space="preserve">traffic represented at country. </w:t>
      </w:r>
    </w:p>
    <w:p>
      <w:pPr>
        <w:spacing w:after="120" w:line="240" w:lineRule="auto"/>
        <w:jc w:val="both"/>
        <w:rPr>
          <w:rFonts w:ascii="Times New Roman" w:hAnsi="Times New Roman" w:cs="Times New Roman"/>
          <w:noProof/>
          <w:sz w:val="24"/>
          <w:szCs w:val="24"/>
          <w:highlight w:val="yellow"/>
        </w:rPr>
      </w:pPr>
      <w:r>
        <w:rPr>
          <w:rFonts w:ascii="Times New Roman" w:hAnsi="Times New Roman" w:cs="Times New Roman"/>
          <w:noProof/>
          <w:sz w:val="24"/>
          <w:szCs w:val="24"/>
        </w:rPr>
        <w:t>The</w:t>
      </w:r>
      <w:r>
        <w:rPr>
          <w:rFonts w:ascii="Times New Roman" w:hAnsi="Times New Roman" w:cs="Times New Roman"/>
          <w:i/>
          <w:noProof/>
          <w:sz w:val="24"/>
          <w:szCs w:val="24"/>
        </w:rPr>
        <w:t xml:space="preserve"> PRIMES-TREMOVE</w:t>
      </w:r>
      <w:r>
        <w:rPr>
          <w:rFonts w:ascii="Times New Roman" w:hAnsi="Times New Roman" w:cs="Times New Roman"/>
          <w:noProof/>
          <w:sz w:val="24"/>
          <w:szCs w:val="24"/>
        </w:rPr>
        <w:t xml:space="preserve"> </w:t>
      </w:r>
      <w:r>
        <w:rPr>
          <w:rFonts w:ascii="Times New Roman" w:hAnsi="Times New Roman" w:cs="Times New Roman"/>
          <w:i/>
          <w:noProof/>
          <w:sz w:val="24"/>
          <w:szCs w:val="24"/>
        </w:rPr>
        <w:t>transport model</w:t>
      </w:r>
      <w:r>
        <w:rPr>
          <w:rFonts w:ascii="Times New Roman" w:hAnsi="Times New Roman" w:cs="Times New Roman"/>
          <w:noProof/>
          <w:sz w:val="24"/>
          <w:szCs w:val="24"/>
        </w:rPr>
        <w:t>, described in section 1 below, is a building block of the modelling framework used for developing the EU Reference scenario 2016, and has a successful record of use in the Commission's transport, climate and energy policy analytical work – it is the same model as used for the 2011 White Paper on Transport and the 2016 European strategy on low-emission mobility. In this impact assessment, it has been used to define the Baseline scenario (see section 1 below), having as a starting point the EU Reference scenario 2016 but additionally including few policy measures that have been adopted after its cut-off date (end of 2014). In addition, it has been used to derive the impacts of policy options on modal shares together with their impacts on external costs of congestion,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and air pollutant emissions. The main driver for modal shift and reduced costs of congestion in this context relates to changes in the relative costs between transport modes, and thus between their relative competitiveness. The changes in costs are induced by the lower administrative costs for businesses due to the uptake of electronic means for transport information and documentation exchange.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an excel based tool has been developed by Ecorys for calculating the regulatory costs for business and the compliance and enforcement costs for public administrations. This is described in section 2 followed by a description of the assumptions used for modelling the policy options in section 3 and of the uptake rates of electronic documents in section 4.  </w:t>
      </w:r>
    </w:p>
    <w:p>
      <w:pPr>
        <w:pStyle w:val="Heading1"/>
        <w:numPr>
          <w:ilvl w:val="0"/>
          <w:numId w:val="16"/>
        </w:numPr>
        <w:spacing w:before="0" w:after="200" w:line="276" w:lineRule="auto"/>
        <w:rPr>
          <w:noProof/>
          <w:szCs w:val="24"/>
        </w:rPr>
      </w:pPr>
      <w:bookmarkStart w:id="275" w:name="_Toc481681053"/>
      <w:bookmarkStart w:id="276" w:name="_Toc484592835"/>
      <w:bookmarkStart w:id="277" w:name="_Toc484593090"/>
      <w:bookmarkStart w:id="278" w:name="_Toc506397022"/>
      <w:bookmarkStart w:id="279" w:name="_Toc506397620"/>
      <w:bookmarkStart w:id="280" w:name="_Toc506398555"/>
      <w:bookmarkStart w:id="281" w:name="_Toc506408321"/>
      <w:bookmarkStart w:id="282" w:name="_Toc512589656"/>
      <w:bookmarkStart w:id="283" w:name="_Toc512854961"/>
      <w:r>
        <w:rPr>
          <w:noProof/>
          <w:szCs w:val="24"/>
        </w:rPr>
        <w:t>Description of analytical models used</w:t>
      </w:r>
      <w:bookmarkEnd w:id="275"/>
      <w:bookmarkEnd w:id="276"/>
      <w:bookmarkEnd w:id="277"/>
      <w:r>
        <w:rPr>
          <w:noProof/>
          <w:szCs w:val="24"/>
        </w:rPr>
        <w:t>: primes-tremove model</w:t>
      </w:r>
      <w:bookmarkEnd w:id="278"/>
      <w:bookmarkEnd w:id="279"/>
      <w:bookmarkEnd w:id="280"/>
      <w:bookmarkEnd w:id="281"/>
      <w:bookmarkEnd w:id="282"/>
      <w:bookmarkEnd w:id="283"/>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PRIMES-TREMOVE transport model projects the evolution of transport demand by transport mode and transport mean. It is essentially a dynamic system of multi-agent choices under several constraints, which are not necessarily binding simultaneously. The projections include details for a large number of transport means, technologies and fuels, including conventional and alternative types, and their penetration in various transport market segments for each EU Member State. They also include details about greenhouse gas and air pollution emissions (e.g. NOx, PM, SOx, CO), as well as impacts on external costs of congestion, noise and accidents.</w:t>
      </w: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rPr>
        <w:t xml:space="preserve">In the transport field, </w:t>
      </w:r>
      <w:r>
        <w:rPr>
          <w:rFonts w:ascii="Times New Roman" w:hAnsi="Times New Roman" w:cs="Times New Roman"/>
          <w:noProof/>
          <w:sz w:val="24"/>
          <w:szCs w:val="24"/>
          <w:lang w:eastAsia="en-GB"/>
        </w:rPr>
        <w:t xml:space="preserve">PRIMES-TREMOVE is suitable for modelling </w:t>
      </w:r>
      <w:r>
        <w:rPr>
          <w:rFonts w:ascii="Times New Roman" w:hAnsi="Times New Roman" w:cs="Times New Roman"/>
          <w:i/>
          <w:noProof/>
          <w:sz w:val="24"/>
          <w:szCs w:val="24"/>
          <w:lang w:eastAsia="en-GB"/>
        </w:rPr>
        <w:t>soft measures</w:t>
      </w:r>
      <w:r>
        <w:rPr>
          <w:rFonts w:ascii="Times New Roman" w:hAnsi="Times New Roman" w:cs="Times New Roman"/>
          <w:noProof/>
          <w:sz w:val="24"/>
          <w:szCs w:val="24"/>
          <w:lang w:eastAsia="en-GB"/>
        </w:rPr>
        <w:t xml:space="preserve"> (e.g. eco-driving, deployment of Intelligent Transport Systems, labelling), </w:t>
      </w:r>
      <w:r>
        <w:rPr>
          <w:rFonts w:ascii="Times New Roman" w:hAnsi="Times New Roman" w:cs="Times New Roman"/>
          <w:i/>
          <w:noProof/>
          <w:sz w:val="24"/>
          <w:szCs w:val="24"/>
          <w:lang w:eastAsia="en-GB"/>
        </w:rPr>
        <w:t>economic measures</w:t>
      </w:r>
      <w:r>
        <w:rPr>
          <w:rFonts w:ascii="Times New Roman" w:hAnsi="Times New Roman" w:cs="Times New Roman"/>
          <w:noProof/>
          <w:sz w:val="24"/>
          <w:szCs w:val="24"/>
          <w:lang w:eastAsia="en-GB"/>
        </w:rPr>
        <w:t xml:space="preserve"> (e.g. subsidies and taxes on fuels, vehicles, emissions; ETS for transport when linked with PRIMES; pricing of congestion and other externalities such as air pollution, accidents and noise; </w:t>
      </w:r>
      <w:r>
        <w:rPr>
          <w:rFonts w:ascii="Times New Roman" w:hAnsi="Times New Roman" w:cs="Times New Roman"/>
          <w:noProof/>
          <w:sz w:val="24"/>
          <w:szCs w:val="24"/>
        </w:rPr>
        <w:t>measures supporting R&amp;D</w:t>
      </w:r>
      <w:r>
        <w:rPr>
          <w:rFonts w:ascii="Times New Roman" w:hAnsi="Times New Roman" w:cs="Times New Roman"/>
          <w:noProof/>
          <w:sz w:val="24"/>
          <w:szCs w:val="24"/>
          <w:lang w:eastAsia="en-GB"/>
        </w:rPr>
        <w:t xml:space="preserve">), </w:t>
      </w:r>
      <w:r>
        <w:rPr>
          <w:rFonts w:ascii="Times New Roman" w:hAnsi="Times New Roman" w:cs="Times New Roman"/>
          <w:i/>
          <w:noProof/>
          <w:sz w:val="24"/>
          <w:szCs w:val="24"/>
          <w:lang w:eastAsia="en-GB"/>
        </w:rPr>
        <w:t>regulatory measures</w:t>
      </w:r>
      <w:r>
        <w:rPr>
          <w:rFonts w:ascii="Times New Roman" w:hAnsi="Times New Roman" w:cs="Times New Roman"/>
          <w:noProof/>
          <w:sz w:val="24"/>
          <w:szCs w:val="24"/>
          <w:lang w:eastAsia="en-GB"/>
        </w:rPr>
        <w:t xml:space="preserve"> (e.g. CO</w:t>
      </w:r>
      <w:r>
        <w:rPr>
          <w:rFonts w:ascii="Times New Roman" w:hAnsi="Times New Roman" w:cs="Times New Roman"/>
          <w:noProof/>
          <w:sz w:val="24"/>
          <w:szCs w:val="24"/>
          <w:vertAlign w:val="subscript"/>
          <w:lang w:eastAsia="en-GB"/>
        </w:rPr>
        <w:t>2</w:t>
      </w:r>
      <w:r>
        <w:rPr>
          <w:rFonts w:ascii="Times New Roman" w:hAnsi="Times New Roman" w:cs="Times New Roman"/>
          <w:noProof/>
          <w:sz w:val="24"/>
          <w:szCs w:val="24"/>
          <w:lang w:eastAsia="en-GB"/>
        </w:rPr>
        <w:t xml:space="preserve"> emission performance standards for new passenger cars and new light commercial vehicles; EURO standards on road transport vehicles; technology standards for non-road transport technologies), </w:t>
      </w:r>
      <w:r>
        <w:rPr>
          <w:rFonts w:ascii="Times New Roman" w:hAnsi="Times New Roman" w:cs="Times New Roman"/>
          <w:i/>
          <w:iCs/>
          <w:noProof/>
          <w:sz w:val="24"/>
          <w:szCs w:val="24"/>
        </w:rPr>
        <w:t>infrastructure policies for alternative fuels</w:t>
      </w:r>
      <w:r>
        <w:rPr>
          <w:rFonts w:ascii="Times New Roman" w:hAnsi="Times New Roman" w:cs="Times New Roman"/>
          <w:iCs/>
          <w:noProof/>
          <w:sz w:val="24"/>
          <w:szCs w:val="24"/>
        </w:rPr>
        <w:t xml:space="preserve"> (e.g. deployment of refuelling/recharging infrastructure for electricity, hydrogen, LNG, CNG)</w:t>
      </w:r>
      <w:r>
        <w:rPr>
          <w:rFonts w:ascii="Times New Roman" w:hAnsi="Times New Roman" w:cs="Times New Roman"/>
          <w:noProof/>
          <w:sz w:val="24"/>
          <w:szCs w:val="24"/>
          <w:lang w:eastAsia="en-GB"/>
        </w:rPr>
        <w:t xml:space="preserve">. Used as a module which contributes to a broader PRIMES scenario, it can show how policies and trends in the field of transport contribute to economy wide trends in energy use and emissions. Using data disaggregated per Member State, it can show differentiated trends across Member States.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PRIMES-TREMOVE transport model has been used for the 2011 White Paper on Transport, Low Carbon Economy and Energy 2050 Roadmaps, the 2030 policy framework for climate and energy and more recently for the Effort Sharing Regulation, the review of the Energy Efficiency Directive, the recast of the Renewables Energy Directive, the 2016 European strategy on low-emission mobility, the revision of the Eurovignette Directive and the recast of the Regulations on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standards for light duty vehicles. </w:t>
      </w:r>
    </w:p>
    <w:p>
      <w:pPr>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lang w:eastAsia="en-GB"/>
        </w:rPr>
        <w:t>The PRIMES-TREMOVE is a private model that has been developed and is maintained by E3MLab/ICCS of National Technical University of Athens</w:t>
      </w:r>
      <w:r>
        <w:rPr>
          <w:rStyle w:val="FootnoteReference"/>
          <w:noProof/>
          <w:szCs w:val="24"/>
          <w:lang w:eastAsia="en-GB"/>
        </w:rPr>
        <w:footnoteReference w:id="128"/>
      </w:r>
      <w:r>
        <w:rPr>
          <w:rFonts w:ascii="Times New Roman" w:hAnsi="Times New Roman" w:cs="Times New Roman"/>
          <w:noProof/>
          <w:sz w:val="24"/>
          <w:szCs w:val="24"/>
          <w:lang w:eastAsia="en-GB"/>
        </w:rPr>
        <w:t>, based on, but extending features of the open source TREMOVE model developed by the TREMOVE</w:t>
      </w:r>
      <w:r>
        <w:rPr>
          <w:rStyle w:val="FootnoteReference"/>
          <w:noProof/>
          <w:szCs w:val="24"/>
        </w:rPr>
        <w:footnoteReference w:id="129"/>
      </w:r>
      <w:r>
        <w:rPr>
          <w:rFonts w:ascii="Times New Roman" w:hAnsi="Times New Roman" w:cs="Times New Roman"/>
          <w:noProof/>
          <w:sz w:val="24"/>
          <w:szCs w:val="24"/>
          <w:lang w:eastAsia="en-GB"/>
        </w:rPr>
        <w:t xml:space="preserve"> modelling community. </w:t>
      </w:r>
      <w:r>
        <w:rPr>
          <w:rFonts w:ascii="Times New Roman" w:hAnsi="Times New Roman" w:cs="Times New Roman"/>
          <w:noProof/>
          <w:color w:val="000000"/>
          <w:sz w:val="24"/>
          <w:szCs w:val="24"/>
        </w:rPr>
        <w:t>Part of the model (e.g. the utility nested tree) was built following the TREMOVE model</w:t>
      </w:r>
      <w:r>
        <w:rPr>
          <w:rStyle w:val="FootnoteReference"/>
          <w:noProof/>
          <w:color w:val="000000"/>
          <w:szCs w:val="24"/>
        </w:rPr>
        <w:footnoteReference w:id="130"/>
      </w:r>
      <w:r>
        <w:rPr>
          <w:rFonts w:ascii="Times New Roman" w:hAnsi="Times New Roman" w:cs="Times New Roman"/>
          <w:noProof/>
          <w:color w:val="000000"/>
          <w:sz w:val="24"/>
          <w:szCs w:val="24"/>
        </w:rPr>
        <w:t xml:space="preserve">. Other parts, like the component on fuel consumption and emissions, follow the COPERT model.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t>As module of the PRIMES energy system model, PRIMES-TREMOVE</w:t>
      </w:r>
      <w:r>
        <w:rPr>
          <w:rStyle w:val="FootnoteReference"/>
          <w:noProof/>
          <w:szCs w:val="24"/>
        </w:rPr>
        <w:footnoteReference w:id="131"/>
      </w:r>
      <w:r>
        <w:rPr>
          <w:rFonts w:ascii="Times New Roman" w:hAnsi="Times New Roman" w:cs="Times New Roman"/>
          <w:noProof/>
          <w:sz w:val="24"/>
          <w:szCs w:val="24"/>
          <w:lang w:eastAsia="en-GB"/>
        </w:rPr>
        <w:t xml:space="preserve"> has been successfully peer reviewed</w:t>
      </w:r>
      <w:r>
        <w:rPr>
          <w:rFonts w:ascii="Times New Roman" w:hAnsi="Times New Roman" w:cs="Times New Roman"/>
          <w:noProof/>
          <w:sz w:val="24"/>
          <w:szCs w:val="24"/>
          <w:vertAlign w:val="superscript"/>
          <w:lang w:eastAsia="en-GB"/>
        </w:rPr>
        <w:footnoteReference w:id="132"/>
      </w:r>
      <w:r>
        <w:rPr>
          <w:rFonts w:ascii="Times New Roman" w:hAnsi="Times New Roman" w:cs="Times New Roman"/>
          <w:noProof/>
          <w:sz w:val="24"/>
          <w:szCs w:val="24"/>
          <w:lang w:eastAsia="en-GB"/>
        </w:rPr>
        <w:t>, most recently in 2011</w:t>
      </w:r>
      <w:r>
        <w:rPr>
          <w:rFonts w:ascii="Times New Roman" w:hAnsi="Times New Roman" w:cs="Times New Roman"/>
          <w:noProof/>
          <w:sz w:val="24"/>
          <w:szCs w:val="24"/>
          <w:vertAlign w:val="superscript"/>
          <w:lang w:eastAsia="en-GB"/>
        </w:rPr>
        <w:footnoteReference w:id="133"/>
      </w:r>
      <w:r>
        <w:rPr>
          <w:rFonts w:ascii="Times New Roman" w:hAnsi="Times New Roman" w:cs="Times New Roman"/>
          <w:noProof/>
          <w:sz w:val="24"/>
          <w:szCs w:val="24"/>
          <w:lang w:eastAsia="en-GB"/>
        </w:rPr>
        <w:t>.</w:t>
      </w:r>
      <w:r>
        <w:rPr>
          <w:rFonts w:ascii="Times New Roman" w:hAnsi="Times New Roman" w:cs="Times New Roman"/>
          <w:noProof/>
          <w:sz w:val="24"/>
          <w:szCs w:val="24"/>
        </w:rPr>
        <w:t xml:space="preserve">  </w:t>
      </w:r>
    </w:p>
    <w:p>
      <w:pPr>
        <w:pStyle w:val="Heading1"/>
        <w:numPr>
          <w:ilvl w:val="0"/>
          <w:numId w:val="0"/>
        </w:numPr>
        <w:spacing w:after="200" w:line="276" w:lineRule="auto"/>
        <w:ind w:left="482" w:hanging="482"/>
        <w:rPr>
          <w:noProof/>
          <w:szCs w:val="24"/>
        </w:rPr>
      </w:pPr>
      <w:bookmarkStart w:id="284" w:name="_Ref475177619"/>
      <w:bookmarkStart w:id="285" w:name="_Toc479365505"/>
      <w:bookmarkStart w:id="286" w:name="_Toc481681055"/>
      <w:bookmarkStart w:id="287" w:name="_Toc484592837"/>
      <w:bookmarkStart w:id="288" w:name="_Toc484593092"/>
      <w:bookmarkStart w:id="289" w:name="_Toc506397023"/>
      <w:bookmarkStart w:id="290" w:name="_Toc506397621"/>
      <w:bookmarkStart w:id="291" w:name="_Toc506398556"/>
      <w:bookmarkStart w:id="292" w:name="_Toc506408322"/>
      <w:bookmarkStart w:id="293" w:name="_Toc512589657"/>
      <w:bookmarkStart w:id="294" w:name="_Toc512854962"/>
      <w:r>
        <w:rPr>
          <w:noProof/>
          <w:szCs w:val="24"/>
        </w:rPr>
        <w:t>Baseline scenario</w:t>
      </w:r>
      <w:bookmarkEnd w:id="284"/>
      <w:bookmarkEnd w:id="285"/>
      <w:bookmarkEnd w:id="286"/>
      <w:bookmarkEnd w:id="287"/>
      <w:bookmarkEnd w:id="288"/>
      <w:bookmarkEnd w:id="289"/>
      <w:bookmarkEnd w:id="290"/>
      <w:bookmarkEnd w:id="291"/>
      <w:bookmarkEnd w:id="292"/>
      <w:bookmarkEnd w:id="293"/>
      <w:bookmarkEnd w:id="294"/>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Baseline scenario used in this impact assessment builds on the EU Reference scenario 2016 but additionally includes few policy measures adopted after its cut-off date (end of 2014). Building an EU Reference scenario is a regular exercise by the Commission. It is coordinated by DGs ENER, CLIMA and MOVE in association with the JRC, and the involvement of other services via a specific inter-service group. </w:t>
      </w:r>
    </w:p>
    <w:p>
      <w:pPr>
        <w:spacing w:after="120" w:line="240" w:lineRule="auto"/>
        <w:jc w:val="both"/>
        <w:rPr>
          <w:rFonts w:ascii="Times New Roman" w:hAnsi="Times New Roman" w:cs="Times New Roman"/>
          <w:b/>
          <w:noProof/>
          <w:sz w:val="24"/>
          <w:szCs w:val="24"/>
        </w:rPr>
      </w:pPr>
      <w:r>
        <w:rPr>
          <w:rFonts w:ascii="Times New Roman" w:eastAsia="Calibri" w:hAnsi="Times New Roman" w:cs="Times New Roman"/>
          <w:noProof/>
          <w:sz w:val="24"/>
          <w:szCs w:val="24"/>
          <w:lang w:eastAsia="en-GB"/>
        </w:rPr>
        <w:t xml:space="preserve">For the EU Reference scenario 2016, </w:t>
      </w:r>
      <w:r>
        <w:rPr>
          <w:rFonts w:ascii="Times New Roman" w:hAnsi="Times New Roman" w:cs="Times New Roman"/>
          <w:noProof/>
          <w:sz w:val="24"/>
          <w:szCs w:val="24"/>
        </w:rPr>
        <w:t>Member States were consulted throughout the development process through a specific Reference scenario expert group which met three times during its development. Member States provided information about adopted national policies via a specific questionnaire, key assumptions have been discussed and in each modelling step, draft Member State specific results were sent for consultation. Comments of Member States were addressed to the extent possible, keeping in mind the need for overall comparability and consistency of the results. Quality of modelling results was assured by using state of the art modelling tools, detailed checks of assumptions and results by the coordinating Commission services as well as by the country specific comments by Member States.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Reference scenario 2016</w:t>
      </w:r>
      <w:r>
        <w:rPr>
          <w:rFonts w:ascii="Times New Roman" w:eastAsia="Calibri" w:hAnsi="Times New Roman" w:cs="Times New Roman"/>
          <w:noProof/>
          <w:sz w:val="24"/>
          <w:szCs w:val="24"/>
          <w:lang w:eastAsia="en-GB"/>
        </w:rPr>
        <w:t xml:space="preserve"> </w:t>
      </w:r>
      <w:r>
        <w:rPr>
          <w:rFonts w:ascii="Times New Roman" w:hAnsi="Times New Roman" w:cs="Times New Roman"/>
          <w:noProof/>
          <w:sz w:val="24"/>
          <w:szCs w:val="24"/>
        </w:rPr>
        <w:t>projects EU and Member States energy, transport and GHG emission-related developments up to 2050, given current global and EU market trends and adopted EU and Member States' energy, transport, climate and related relevant policies. "Adopted policies" refer to those that have been cast in legislation in the EU or in MS (with a cut-off date end of 2014</w:t>
      </w:r>
      <w:r>
        <w:rPr>
          <w:rStyle w:val="FootnoteReference"/>
          <w:noProof/>
          <w:szCs w:val="24"/>
        </w:rPr>
        <w:footnoteReference w:id="134"/>
      </w:r>
      <w:r>
        <w:rPr>
          <w:rFonts w:ascii="Times New Roman" w:hAnsi="Times New Roman" w:cs="Times New Roman"/>
          <w:noProof/>
          <w:sz w:val="24"/>
          <w:szCs w:val="24"/>
        </w:rPr>
        <w:t xml:space="preserve">). Therefore, the binding 2020 targets are assumed to be reached in the projection. This concerns greenhouse gas emission reduction targets as well as renewables targets, including renewables energy in transport. The EU Reference scenario 2016 provides projections, not forecasts. Unlike forecasts, projections do not make predictions about what the future will be. They rather indicate what would happen if the assumptions which underpin the projection actually occur. Still, the scenario allows for a consistent approach in the assessment of energy and climate trends across the EU and its Member States.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report "EU Reference Scenario 2016: Energy, transport and GHG emissions-Trends to 2050"</w:t>
      </w:r>
      <w:r>
        <w:rPr>
          <w:rStyle w:val="FootnoteReference"/>
          <w:noProof/>
          <w:szCs w:val="24"/>
        </w:rPr>
        <w:footnoteReference w:id="135"/>
      </w:r>
      <w:r>
        <w:rPr>
          <w:rFonts w:ascii="Times New Roman" w:hAnsi="Times New Roman" w:cs="Times New Roman"/>
          <w:noProof/>
          <w:sz w:val="24"/>
          <w:szCs w:val="24"/>
        </w:rPr>
        <w:t xml:space="preserve"> describe the inputs and results in detail. In addition, its main messages are summarised in the impact assessments accompanying the Effort Sharing Regulation</w:t>
      </w:r>
      <w:r>
        <w:rPr>
          <w:rStyle w:val="FootnoteReference"/>
          <w:noProof/>
          <w:szCs w:val="24"/>
        </w:rPr>
        <w:footnoteReference w:id="136"/>
      </w:r>
      <w:r>
        <w:rPr>
          <w:rFonts w:ascii="Times New Roman" w:hAnsi="Times New Roman" w:cs="Times New Roman"/>
          <w:noProof/>
          <w:sz w:val="24"/>
          <w:szCs w:val="24"/>
        </w:rPr>
        <w:t xml:space="preserve"> and the revision of the Energy Efficiency Directive</w:t>
      </w:r>
      <w:r>
        <w:rPr>
          <w:rStyle w:val="FootnoteReference"/>
          <w:noProof/>
          <w:szCs w:val="24"/>
        </w:rPr>
        <w:footnoteReference w:id="137"/>
      </w:r>
      <w:r>
        <w:rPr>
          <w:rFonts w:ascii="Times New Roman" w:hAnsi="Times New Roman" w:cs="Times New Roman"/>
          <w:noProof/>
          <w:sz w:val="24"/>
          <w:szCs w:val="24"/>
        </w:rPr>
        <w:t>, and the analytical work accompanying the European strategy on low-emission mobility</w:t>
      </w:r>
      <w:r>
        <w:rPr>
          <w:rStyle w:val="FootnoteReference"/>
          <w:noProof/>
          <w:szCs w:val="24"/>
        </w:rPr>
        <w:footnoteReference w:id="138"/>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PRIMES-TREMOVE is one of the core models of the modelling framework used for developing the EU Reference scenario 2016 and has also been used for developing the Baseline scenario of this impact assessment. </w:t>
      </w:r>
      <w:r>
        <w:rPr>
          <w:rFonts w:ascii="Times New Roman" w:eastAsia="Calibri" w:hAnsi="Times New Roman" w:cs="Times New Roman"/>
          <w:noProof/>
          <w:sz w:val="24"/>
          <w:szCs w:val="24"/>
          <w:lang w:eastAsia="en-GB"/>
        </w:rPr>
        <w:t>The model was calibrated on transport and energy data up to year 2013 from Eurostat and other sources.</w:t>
      </w:r>
    </w:p>
    <w:p>
      <w:pPr>
        <w:outlineLvl w:val="2"/>
        <w:rPr>
          <w:rFonts w:ascii="Times New Roman" w:hAnsi="Times New Roman" w:cs="Times New Roman"/>
          <w:b/>
          <w:i/>
          <w:noProof/>
          <w:sz w:val="24"/>
          <w:szCs w:val="24"/>
        </w:rPr>
      </w:pPr>
      <w:bookmarkStart w:id="295" w:name="_Toc482873182"/>
      <w:bookmarkStart w:id="296" w:name="_Toc506397622"/>
      <w:bookmarkStart w:id="297" w:name="_Toc506398557"/>
      <w:bookmarkStart w:id="298" w:name="_Toc506408323"/>
      <w:bookmarkStart w:id="299" w:name="_Toc512589658"/>
      <w:bookmarkStart w:id="300" w:name="_Toc512854963"/>
      <w:r>
        <w:rPr>
          <w:rFonts w:ascii="Times New Roman" w:hAnsi="Times New Roman" w:cs="Times New Roman"/>
          <w:b/>
          <w:i/>
          <w:noProof/>
          <w:sz w:val="24"/>
          <w:szCs w:val="24"/>
        </w:rPr>
        <w:t>Main assumptions of the Baseline scenario</w:t>
      </w:r>
      <w:bookmarkEnd w:id="295"/>
      <w:bookmarkEnd w:id="296"/>
      <w:bookmarkEnd w:id="297"/>
      <w:bookmarkEnd w:id="298"/>
      <w:bookmarkEnd w:id="299"/>
      <w:bookmarkEnd w:id="300"/>
    </w:p>
    <w:p>
      <w:pPr>
        <w:keepLine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projections are based on a set of assumptions, including on population growth, macroeconomic and oil price developments, technology improvements, and policies. </w:t>
      </w:r>
    </w:p>
    <w:p>
      <w:pPr>
        <w:keepNext/>
        <w:keepLines/>
        <w:spacing w:after="120" w:line="240" w:lineRule="auto"/>
        <w:rPr>
          <w:rFonts w:ascii="Times New Roman" w:hAnsi="Times New Roman" w:cs="Times New Roman"/>
          <w:i/>
          <w:noProof/>
          <w:sz w:val="24"/>
          <w:szCs w:val="24"/>
        </w:rPr>
      </w:pPr>
      <w:r>
        <w:rPr>
          <w:rFonts w:ascii="Times New Roman" w:hAnsi="Times New Roman" w:cs="Times New Roman"/>
          <w:i/>
          <w:noProof/>
          <w:sz w:val="24"/>
          <w:szCs w:val="24"/>
        </w:rPr>
        <w:t>Macroeconomic assumptions</w:t>
      </w:r>
    </w:p>
    <w:p>
      <w:pPr>
        <w:keepNext/>
        <w:keepLine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Baseline scenario uses the same macroeconomic assumptions as the EU Reference scenario 2016. The population projections draw on the European Population Projections (EUROPOP 2013) by Eurostat. The key drivers for demographic change are: higher life expectancy, convergence in the fertility rates across Member States in the long term, and inward migration. The EU28 population is expected to grow by 0.2% per year during 2010-2030 (0.1% for 2010-2050), to 516 million in 2030 (522 million by 2050). Elderly people, aged 65 or more, would account for 24% of the total population by 2030 (28% by 2050) as opposed to 18% today.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GDP projections mirror the joint work of DG ECFIN and the Economic Policy Committee, presented in the 2015 Ageing Report</w:t>
      </w:r>
      <w:r>
        <w:rPr>
          <w:rFonts w:ascii="Times New Roman" w:hAnsi="Times New Roman" w:cs="Times New Roman"/>
          <w:noProof/>
          <w:sz w:val="24"/>
          <w:szCs w:val="24"/>
          <w:vertAlign w:val="superscript"/>
        </w:rPr>
        <w:footnoteReference w:id="139"/>
      </w:r>
      <w:r>
        <w:rPr>
          <w:rFonts w:ascii="Times New Roman" w:hAnsi="Times New Roman" w:cs="Times New Roman"/>
          <w:noProof/>
          <w:sz w:val="24"/>
          <w:szCs w:val="24"/>
        </w:rPr>
        <w:t xml:space="preserve">. The average EU GDP growth rate is projected to remain relatively low at 1.2% per year for 2010-2020, down from 1.9% per year during 1995-2010. In the medium to long term, higher expected growth rates (1.4% per year for 2020-2030 and 1.5% per year for 2030-2050) are taking account of the catching up potential of countries with relatively low GDP per capita, assuming convergence to a total factor productivity growth rate of 1% in the long run. </w:t>
      </w:r>
    </w:p>
    <w:p>
      <w:pPr>
        <w:keepNext/>
        <w:spacing w:after="120" w:line="240" w:lineRule="auto"/>
        <w:rPr>
          <w:rFonts w:ascii="Times New Roman" w:hAnsi="Times New Roman" w:cs="Times New Roman"/>
          <w:i/>
          <w:noProof/>
          <w:sz w:val="24"/>
          <w:szCs w:val="24"/>
        </w:rPr>
      </w:pPr>
      <w:r>
        <w:rPr>
          <w:rFonts w:ascii="Times New Roman" w:hAnsi="Times New Roman" w:cs="Times New Roman"/>
          <w:i/>
          <w:noProof/>
          <w:sz w:val="24"/>
          <w:szCs w:val="24"/>
        </w:rPr>
        <w:t>Fossil fuel price assumptions</w:t>
      </w:r>
    </w:p>
    <w:p>
      <w:pPr>
        <w:keepNext/>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Oil prices used in the Baseline scenario are the same with those of the EU Reference scenario 2016. Following a gradual adjustment process with reduced investments in upstream productive capacities by non-OPEC</w:t>
      </w:r>
      <w:r>
        <w:rPr>
          <w:rFonts w:ascii="Times New Roman" w:hAnsi="Times New Roman" w:cs="Times New Roman"/>
          <w:noProof/>
          <w:sz w:val="24"/>
          <w:szCs w:val="24"/>
          <w:vertAlign w:val="superscript"/>
        </w:rPr>
        <w:footnoteReference w:id="140"/>
      </w:r>
      <w:r>
        <w:rPr>
          <w:rFonts w:ascii="Times New Roman" w:hAnsi="Times New Roman" w:cs="Times New Roman"/>
          <w:noProof/>
          <w:sz w:val="24"/>
          <w:szCs w:val="24"/>
        </w:rPr>
        <w:t xml:space="preserve"> countries, the quota discipline is assumed to gradually improve among OPEC members and thus the oil price is projected to reach 87 $/barrel in 2020 (in year 2013-prices). Beyond 2020, as a result of persistent demand growth in non-OECD countries driven by economic growth and the increasing number of passenger cars, oil price would rise to 113 $/barrel by 2030 and 130 $/barrel by 2050.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No specific sensitivities were prepared with respect to oil price developments. Still, it can be recalled that lower oil price assumptions tend to increase energy consumption and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emissions not covered by the ETS. The magnitude of the change would depend on the price elasticities and on the share of taxation, like excise duties, in consumer prices. For transport, the high share of excise duties in the consumer prices act as a limiting factor for the increase in energy consumption and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emissions. </w:t>
      </w:r>
    </w:p>
    <w:p>
      <w:pPr>
        <w:keepNext/>
        <w:keepLines/>
        <w:spacing w:after="120" w:line="240" w:lineRule="auto"/>
        <w:rPr>
          <w:rFonts w:ascii="Times New Roman" w:hAnsi="Times New Roman" w:cs="Times New Roman"/>
          <w:i/>
          <w:noProof/>
          <w:sz w:val="24"/>
          <w:szCs w:val="24"/>
        </w:rPr>
      </w:pPr>
      <w:r>
        <w:rPr>
          <w:rFonts w:ascii="Times New Roman" w:hAnsi="Times New Roman" w:cs="Times New Roman"/>
          <w:i/>
          <w:noProof/>
          <w:sz w:val="24"/>
          <w:szCs w:val="24"/>
        </w:rPr>
        <w:t>Techno-economic assumptions</w:t>
      </w:r>
    </w:p>
    <w:p>
      <w:pPr>
        <w:keepNext/>
        <w:keepLine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most transport means, the Baseline scenario uses the same technology costs assumptions as the EU Reference scenario 2016. </w:t>
      </w:r>
    </w:p>
    <w:p>
      <w:pPr>
        <w:keepLine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light duty vehicles, the data for technology costs and emissions savings has been updated based on a recent study commissioned by DG CLIMA</w:t>
      </w:r>
      <w:r>
        <w:rPr>
          <w:rFonts w:ascii="Times New Roman" w:hAnsi="Times New Roman" w:cs="Times New Roman"/>
          <w:noProof/>
          <w:sz w:val="24"/>
          <w:szCs w:val="24"/>
          <w:vertAlign w:val="superscript"/>
        </w:rPr>
        <w:footnoteReference w:id="141"/>
      </w:r>
      <w:r>
        <w:rPr>
          <w:rFonts w:ascii="Times New Roman" w:hAnsi="Times New Roman" w:cs="Times New Roman"/>
          <w:noProof/>
          <w:sz w:val="24"/>
          <w:szCs w:val="24"/>
        </w:rPr>
        <w:t>. Battery costs for electric vehicles are assumed to go down to 205 euro/kWh by 2030 and 160 euro/kWh by 2050; further reductions in the cost of both spark ignition gasoline and compression ignition diesel are assumed to take place. Technology cost assumptions are based on extensive literature review, modelling and simulation, consultation with relevant stakeholders, and further assessment by the Joint Research Centre (JRC) of the European Commission.</w:t>
      </w:r>
    </w:p>
    <w:p>
      <w:pPr>
        <w:keepNext/>
        <w:spacing w:after="120" w:line="240" w:lineRule="auto"/>
        <w:rPr>
          <w:rFonts w:ascii="Times New Roman" w:hAnsi="Times New Roman" w:cs="Times New Roman"/>
          <w:i/>
          <w:noProof/>
          <w:sz w:val="24"/>
          <w:szCs w:val="24"/>
        </w:rPr>
      </w:pPr>
      <w:r>
        <w:rPr>
          <w:rFonts w:ascii="Times New Roman" w:hAnsi="Times New Roman" w:cs="Times New Roman"/>
          <w:i/>
          <w:noProof/>
          <w:sz w:val="24"/>
          <w:szCs w:val="24"/>
        </w:rPr>
        <w:t>Specific policy assumptions</w:t>
      </w:r>
    </w:p>
    <w:p>
      <w:pPr>
        <w:keepNext/>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The key policies included in the Baseline scenario, similarly to the EU Reference scenario 2016, are</w:t>
      </w:r>
      <w:r>
        <w:rPr>
          <w:rFonts w:ascii="Times New Roman" w:hAnsi="Times New Roman" w:cs="Times New Roman"/>
          <w:noProof/>
          <w:sz w:val="24"/>
          <w:szCs w:val="24"/>
          <w:vertAlign w:val="superscript"/>
        </w:rPr>
        <w:footnoteReference w:id="142"/>
      </w:r>
      <w:r>
        <w:rPr>
          <w:rFonts w:ascii="Times New Roman" w:hAnsi="Times New Roman" w:cs="Times New Roman"/>
          <w:noProof/>
          <w:sz w:val="24"/>
          <w:szCs w:val="24"/>
        </w:rPr>
        <w:t xml:space="preserve">:  </w:t>
      </w:r>
    </w:p>
    <w:p>
      <w:pPr>
        <w:numPr>
          <w:ilvl w:val="0"/>
          <w:numId w:val="1"/>
        </w:numPr>
        <w:spacing w:after="12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standards for cars and vans regulations (</w:t>
      </w:r>
      <w:hyperlink r:id="rId31" w:tgtFrame="_blank" w:history="1">
        <w:r>
          <w:rPr>
            <w:rFonts w:ascii="Times New Roman" w:hAnsi="Times New Roman" w:cs="Times New Roman"/>
            <w:noProof/>
            <w:sz w:val="24"/>
            <w:szCs w:val="24"/>
          </w:rPr>
          <w:t>Regulation (EC) No 443/2009</w:t>
        </w:r>
      </w:hyperlink>
      <w:r>
        <w:rPr>
          <w:rFonts w:ascii="Times New Roman" w:hAnsi="Times New Roman" w:cs="Times New Roman"/>
          <w:noProof/>
          <w:sz w:val="24"/>
          <w:szCs w:val="24"/>
        </w:rPr>
        <w:t>, amended by Regulation (EU) No 333/2014 and Regulation (EU) No 510/2011, amended by Regulation (EU) No 253/2014); CO2 standards for cars are assumed to be 95gCO2/km as of 2021 and for vans 147gCO2/km as of 2020, based on the NEDC test cycle, in line with current legislation. No policy action to strengthen the stringency of the target is assumed after 2020/2021.</w:t>
      </w:r>
    </w:p>
    <w:p>
      <w:pPr>
        <w:numPr>
          <w:ilvl w:val="0"/>
          <w:numId w:val="1"/>
        </w:numPr>
        <w:spacing w:after="12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The Renewable Energy Directive (Directive 2009/28/EC) and Fuel Quality Directive (Directive 2009/30/EC) including ILUC amendment (Directive 2015/1513/EU): achievement of the legally binding RES target for 2020 (10% RES in transport target) for each Member State, taking into account the use of flexibility mechanisms when relevant as well as of the cap on the amount of food or feed based biofuels (7%). Member States' specific renewable energy policies for the heating and cooling sector are also reflected where relevant.</w:t>
      </w:r>
    </w:p>
    <w:p>
      <w:pPr>
        <w:numPr>
          <w:ilvl w:val="0"/>
          <w:numId w:val="1"/>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Directive on the deployment of alternative fuels infrastructure (</w:t>
      </w:r>
      <w:hyperlink r:id="rId32" w:history="1">
        <w:r>
          <w:rPr>
            <w:rFonts w:ascii="Times New Roman" w:hAnsi="Times New Roman" w:cs="Times New Roman"/>
            <w:noProof/>
            <w:sz w:val="24"/>
            <w:szCs w:val="24"/>
            <w:lang w:eastAsia="en-GB"/>
          </w:rPr>
          <w:t>Directive 2014/94/EU</w:t>
        </w:r>
      </w:hyperlink>
      <w:r>
        <w:rPr>
          <w:rFonts w:ascii="Times New Roman" w:hAnsi="Times New Roman" w:cs="Times New Roman"/>
          <w:noProof/>
          <w:sz w:val="24"/>
          <w:szCs w:val="24"/>
          <w:lang w:eastAsia="en-GB"/>
        </w:rPr>
        <w:t>).</w:t>
      </w:r>
    </w:p>
    <w:p>
      <w:pPr>
        <w:numPr>
          <w:ilvl w:val="0"/>
          <w:numId w:val="1"/>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Directive on the charging of heavy goods vehicles for the use of certain infrastructures (Directive 2011/76/EU amending Directive 1999/62/EC). </w:t>
      </w:r>
    </w:p>
    <w:p>
      <w:pPr>
        <w:numPr>
          <w:ilvl w:val="0"/>
          <w:numId w:val="1"/>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Relevant national policies, for instance on the promotion of renewable energy, on fuel and vehicle taxation, are taken into account.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a few policy measures adopted after the cut-off date of the EU Reference scenario 2016 at both EU and Member State level, have been included in the Baseline scenario:</w:t>
      </w:r>
    </w:p>
    <w:p>
      <w:pPr>
        <w:numPr>
          <w:ilvl w:val="0"/>
          <w:numId w:val="1"/>
        </w:numPr>
        <w:spacing w:after="12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Directive on weights &amp; dimensions (Directive 2015/719/EU).</w:t>
      </w:r>
    </w:p>
    <w:p>
      <w:pPr>
        <w:numPr>
          <w:ilvl w:val="0"/>
          <w:numId w:val="1"/>
        </w:numPr>
        <w:spacing w:after="12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Directive as regards the opening of the market for domestic passenger transport services by rail and the governance of the railway infrastructure (Directive 2016/2370/EU).</w:t>
      </w:r>
    </w:p>
    <w:p>
      <w:pPr>
        <w:numPr>
          <w:ilvl w:val="0"/>
          <w:numId w:val="1"/>
        </w:numPr>
        <w:spacing w:after="12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Directive on technical requirements for inland waterway vessels (Directive 2016/1629/EU), part of the Naiades II package.</w:t>
      </w:r>
    </w:p>
    <w:p>
      <w:pPr>
        <w:numPr>
          <w:ilvl w:val="0"/>
          <w:numId w:val="1"/>
        </w:numPr>
        <w:spacing w:after="12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Regulation establishing a framework on market access to port services and financial transparency of ports</w:t>
      </w:r>
      <w:r>
        <w:rPr>
          <w:rFonts w:ascii="Times New Roman" w:hAnsi="Times New Roman" w:cs="Times New Roman"/>
          <w:noProof/>
          <w:sz w:val="24"/>
          <w:szCs w:val="24"/>
          <w:vertAlign w:val="superscript"/>
        </w:rPr>
        <w:footnoteReference w:id="143"/>
      </w:r>
      <w:r>
        <w:rPr>
          <w:rFonts w:ascii="Times New Roman" w:hAnsi="Times New Roman" w:cs="Times New Roman"/>
          <w:noProof/>
          <w:sz w:val="24"/>
          <w:szCs w:val="24"/>
        </w:rPr>
        <w:t>.</w:t>
      </w:r>
    </w:p>
    <w:p>
      <w:pPr>
        <w:numPr>
          <w:ilvl w:val="0"/>
          <w:numId w:val="15"/>
        </w:numPr>
        <w:spacing w:after="12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The replacement of the New European Driving Cycle (NEDC) test cycle by the new Worldwide harmonized Light-vehicles Test Procedure (WLTP) has been implemented in the Baseline scenario, drawing on work by JRC. Estimates by JRC show a WLTP to NEDC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emissions ratio of approximately 1.21 when comparing the sales-weighted fleet-wide average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emissions. WLTP to NEDC conversion factors are considered by individual vehicle segments, representing different vehicle and technology categories</w:t>
      </w:r>
      <w:r>
        <w:rPr>
          <w:rFonts w:ascii="Times New Roman" w:hAnsi="Times New Roman" w:cs="Times New Roman"/>
          <w:noProof/>
          <w:sz w:val="24"/>
          <w:szCs w:val="24"/>
          <w:vertAlign w:val="superscript"/>
        </w:rPr>
        <w:footnoteReference w:id="144"/>
      </w:r>
      <w:r>
        <w:rPr>
          <w:rFonts w:ascii="Times New Roman" w:hAnsi="Times New Roman" w:cs="Times New Roman"/>
          <w:noProof/>
          <w:sz w:val="24"/>
          <w:szCs w:val="24"/>
        </w:rPr>
        <w:t xml:space="preserve">. </w:t>
      </w:r>
    </w:p>
    <w:p>
      <w:pPr>
        <w:pStyle w:val="ListBullet"/>
        <w:spacing w:after="120"/>
        <w:ind w:left="284" w:hanging="284"/>
        <w:rPr>
          <w:noProof/>
          <w:szCs w:val="24"/>
        </w:rPr>
      </w:pPr>
      <w:r>
        <w:rPr>
          <w:noProof/>
          <w:szCs w:val="24"/>
        </w:rPr>
        <w:t>Changes in road charges in Germany, Austria, Belgium and Latvia.</w:t>
      </w:r>
    </w:p>
    <w:p>
      <w:pPr>
        <w:pStyle w:val="ListBullet"/>
        <w:spacing w:after="120"/>
        <w:ind w:left="284" w:hanging="284"/>
        <w:rPr>
          <w:noProof/>
          <w:szCs w:val="24"/>
        </w:rPr>
      </w:pPr>
      <w:r>
        <w:rPr>
          <w:noProof/>
          <w:szCs w:val="24"/>
        </w:rPr>
        <w:t xml:space="preserve">Reflecting the plateauing in the number of fatalities and injuries in the recent years, in the Baseline scenario it has been assumed that post-2016 vehicle technologies would be the main source of reduction in fatalities, serious and slight injuries while measures addressing infrastructure safety (such as the existing RISM and Tunnel Directives), and driver behaviour (such as legislation improving enforcement across borders, namely Directive 2015/413/EU facilitating cross-border exchange of information on road safety related traffic offences) would compensate for the increase in traffic over time. </w:t>
      </w:r>
    </w:p>
    <w:p>
      <w:pPr>
        <w:keepNext/>
        <w:spacing w:after="120" w:line="240" w:lineRule="auto"/>
        <w:outlineLvl w:val="2"/>
        <w:rPr>
          <w:rFonts w:ascii="Times New Roman" w:hAnsi="Times New Roman" w:cs="Times New Roman"/>
          <w:b/>
          <w:i/>
          <w:noProof/>
          <w:sz w:val="24"/>
          <w:szCs w:val="24"/>
        </w:rPr>
      </w:pPr>
      <w:bookmarkStart w:id="301" w:name="_Toc482873183"/>
      <w:bookmarkStart w:id="302" w:name="_Toc506397623"/>
      <w:bookmarkStart w:id="303" w:name="_Toc506398558"/>
      <w:bookmarkStart w:id="304" w:name="_Toc506408324"/>
      <w:bookmarkStart w:id="305" w:name="_Toc512589659"/>
      <w:bookmarkStart w:id="306" w:name="_Toc512854964"/>
      <w:r>
        <w:rPr>
          <w:rFonts w:ascii="Times New Roman" w:hAnsi="Times New Roman" w:cs="Times New Roman"/>
          <w:b/>
          <w:i/>
          <w:noProof/>
          <w:sz w:val="24"/>
          <w:szCs w:val="24"/>
        </w:rPr>
        <w:t>Summary of main results of the Baseline scenario</w:t>
      </w:r>
      <w:bookmarkEnd w:id="301"/>
      <w:bookmarkEnd w:id="302"/>
      <w:bookmarkEnd w:id="303"/>
      <w:bookmarkEnd w:id="304"/>
      <w:bookmarkEnd w:id="305"/>
      <w:bookmarkEnd w:id="306"/>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EU transport activity is expected to continue growing</w:t>
      </w:r>
      <w:r>
        <w:rPr>
          <w:rFonts w:ascii="Times New Roman" w:hAnsi="Times New Roman" w:cs="Times New Roman"/>
          <w:noProof/>
          <w:sz w:val="24"/>
          <w:szCs w:val="24"/>
        </w:rPr>
        <w:t xml:space="preserve"> under current trends and adopted policies beyond 2015, albeit at a slower pace than in the past. Freight transport activity for inland modes is projected to increase by 36% between 2010 and 2030 (1.5% per year) and 60% for 2010-2050 (1.2% per year). The annual growth rates by mode, for freight transport, are provided in Figure </w:t>
      </w:r>
      <w:r>
        <w:rPr>
          <w:rFonts w:ascii="Times New Roman" w:hAnsi="Times New Roman" w:cs="Times New Roman"/>
          <w:bCs/>
          <w:noProof/>
          <w:sz w:val="24"/>
          <w:szCs w:val="24"/>
          <w:lang w:eastAsia="de-DE"/>
        </w:rPr>
        <w:t>Annex 4-1</w:t>
      </w:r>
      <w:r>
        <w:rPr>
          <w:rFonts w:ascii="Times New Roman" w:hAnsi="Times New Roman" w:cs="Times New Roman"/>
          <w:noProof/>
          <w:sz w:val="24"/>
          <w:szCs w:val="24"/>
          <w:vertAlign w:val="superscript"/>
        </w:rPr>
        <w:footnoteReference w:id="145"/>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Road transport would maintain its dominant role within the EU. The share of road transport in inland freight is expected to slightly decrease at 70% by 2030 and 69% by 2050. The activity of heavy goods vehicles expressed in tonnes kilometres is projected to grow by 35% between 2010 and 2030 (56% for 2010-2050) in the Baseline scenario, while light goods vehicles activity would go up by 27% during 2010-2030 (50% for 2010-2050). </w:t>
      </w:r>
    </w:p>
    <w:p>
      <w:pPr>
        <w:keepNext/>
        <w:keepLines/>
        <w:spacing w:after="120" w:line="240" w:lineRule="auto"/>
        <w:rPr>
          <w:rFonts w:ascii="Times New Roman" w:hAnsi="Times New Roman" w:cs="Times New Roman"/>
          <w:b/>
          <w:bCs/>
          <w:noProof/>
          <w:sz w:val="20"/>
          <w:szCs w:val="20"/>
          <w:lang w:eastAsia="de-DE"/>
        </w:rPr>
      </w:pPr>
      <w:bookmarkStart w:id="307" w:name="_Ref452934831"/>
      <w:bookmarkStart w:id="308" w:name="_Toc456532387"/>
      <w:r>
        <w:rPr>
          <w:rFonts w:ascii="Times New Roman" w:hAnsi="Times New Roman" w:cs="Times New Roman"/>
          <w:b/>
          <w:bCs/>
          <w:noProof/>
          <w:sz w:val="20"/>
          <w:szCs w:val="20"/>
          <w:lang w:eastAsia="de-DE"/>
        </w:rPr>
        <w:t xml:space="preserve">Figure </w:t>
      </w:r>
      <w:bookmarkEnd w:id="307"/>
      <w:r>
        <w:rPr>
          <w:rFonts w:ascii="Times New Roman" w:hAnsi="Times New Roman" w:cs="Times New Roman"/>
          <w:b/>
          <w:bCs/>
          <w:noProof/>
          <w:sz w:val="20"/>
          <w:szCs w:val="20"/>
          <w:lang w:eastAsia="de-DE"/>
        </w:rPr>
        <w:t>Annex 4-1: Freight transport projections (average growth rate per year)</w:t>
      </w:r>
      <w:bookmarkEnd w:id="308"/>
    </w:p>
    <w:p>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lang w:val="en-US"/>
        </w:rPr>
        <w:drawing>
          <wp:inline distT="0" distB="0" distL="0" distR="0">
            <wp:extent cx="3162300" cy="2114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67998" cy="2118360"/>
                    </a:xfrm>
                    <a:prstGeom prst="rect">
                      <a:avLst/>
                    </a:prstGeom>
                    <a:noFill/>
                    <a:ln>
                      <a:noFill/>
                    </a:ln>
                  </pic:spPr>
                </pic:pic>
              </a:graphicData>
            </a:graphic>
          </wp:inline>
        </w:drawing>
      </w:r>
    </w:p>
    <w:p>
      <w:pPr>
        <w:keepNext/>
        <w:keepLines/>
        <w:autoSpaceDE w:val="0"/>
        <w:autoSpaceDN w:val="0"/>
        <w:adjustRightInd w:val="0"/>
        <w:spacing w:after="120" w:line="240" w:lineRule="auto"/>
        <w:rPr>
          <w:rFonts w:ascii="Times New Roman" w:hAnsi="Times New Roman" w:cs="Times New Roman"/>
          <w:i/>
          <w:noProof/>
          <w:sz w:val="18"/>
          <w:szCs w:val="18"/>
          <w:lang w:val="it-IT"/>
        </w:rPr>
      </w:pPr>
      <w:r>
        <w:rPr>
          <w:rFonts w:ascii="Times New Roman" w:hAnsi="Times New Roman" w:cs="Times New Roman"/>
          <w:i/>
          <w:noProof/>
          <w:sz w:val="18"/>
          <w:szCs w:val="18"/>
          <w:lang w:val="it-IT"/>
        </w:rPr>
        <w:t>Source: Baseline scenario, PRIMES-TREMOVE transport model (ICCS-E3MLab)</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Rail freight transport activity is projected to grow significantly faster than for road, driven in particular by the effective implementation of the TEN-T guidelines, supported by the CEF funding, leading to the completion of the TEN-T core network by 2030 and of the comprehensive network by 2050. Rail freight activity grows by 51% by 2030 and 90% during 2010-2050, resulting in 2 percentage points increase in modal share by 2030 and an additional percentage point by 2050.</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Transport activity of freight inland navigation</w:t>
      </w:r>
      <w:r>
        <w:rPr>
          <w:rFonts w:ascii="Times New Roman" w:hAnsi="Times New Roman" w:cs="Times New Roman"/>
          <w:noProof/>
          <w:sz w:val="24"/>
          <w:szCs w:val="24"/>
          <w:vertAlign w:val="superscript"/>
        </w:rPr>
        <w:footnoteReference w:id="146"/>
      </w:r>
      <w:r>
        <w:rPr>
          <w:rFonts w:ascii="Times New Roman" w:hAnsi="Times New Roman" w:cs="Times New Roman"/>
          <w:noProof/>
          <w:sz w:val="24"/>
          <w:szCs w:val="24"/>
        </w:rPr>
        <w:t xml:space="preserve"> also benefits from the completion of the TEN-T core and comprehensive network, the promotion of inland waterway transport and the recovery in the economic activity and would grow by 26% by 2030 (1.2% per year) and by 46% during 2010-2050 (0.9% per year).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International maritime transport activity is projected to continue growing strongly with rising demand for oil, coal, steel and other primary resources – which would be more distantly sourced – increasing by 37% by 2030 and by 71% during 2010-2050.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Transport accounts today for about one third of final energy consumption. In the context of growing activity, energy use in transport is projected to decrease by 5% between 2010 and 2030 and to stabilise post-2030. These developments are mainly driven by the implementation of the Regulations setting emission performance standards for new light duty vehicles. At the same time, heavy goods vehicles are projected to increase their share in final energy demand from 2010 onwards, continuing the historic trend from 1995. Energy demand by heavy goods vehicles would grow by 14% between 2010 and 2030 (23% for 2010-2050).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Bunker fuels for maritime transport are projected to increase significantly: by 24% by 2030 (42% for 2010-2050).</w:t>
      </w:r>
    </w:p>
    <w:p>
      <w:pPr>
        <w:autoSpaceDE w:val="0"/>
        <w:autoSpaceDN w:val="0"/>
        <w:spacing w:after="12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 xml:space="preserve">LNG becomes a candidate energy carrier for road freight and waterborne transport, especially in the medium to long term, driven by the implementation of the Directive on the deployment of alternative fuels infrastructure and the revised TEN-T guidelines which represent important drivers for the higher penetration of alternative fuels in the transport mix. In the Baseline scenario, the share of LNG is projected to go up to 3% by 2030 (8% by 2050) for road freight and 4% by 2030 (7% by 2050) for inland navigation. LNG would provide about 4% of maritime bunker fuels by 2030 and 10% by 2050 – especially in the segment of short sea shipping. </w:t>
      </w:r>
    </w:p>
    <w:p>
      <w:pPr>
        <w:autoSpaceDE w:val="0"/>
        <w:autoSpaceDN w:val="0"/>
        <w:spacing w:after="12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 xml:space="preserve">Biofuels uptake is driven by the legally binding target of 10% renewable energy in transport (Renewables Directive), as amended by the ILUC Directive, and by the requirement for fuel suppliers to reduce the GHG intensity of road transport fuel by 6% (Fuel Quality Directive). Beyond 2020, biofuel levels would remain relatively stable at around 6% in the Baseline scenario. The Baseline scenario does not take into account the recent proposal by the Commission for a recast of the Renewables Energy Directive.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Baseline scenario, </w:t>
      </w:r>
      <w:r>
        <w:rPr>
          <w:rFonts w:ascii="Times New Roman" w:hAnsi="Times New Roman" w:cs="Times New Roman"/>
          <w:b/>
          <w:noProof/>
          <w:sz w:val="24"/>
          <w:szCs w:val="24"/>
        </w:rPr>
        <w:t>oil products would still represent about 90% of the EU transport sector needs in 2030</w:t>
      </w:r>
      <w:r>
        <w:rPr>
          <w:rFonts w:ascii="Times New Roman" w:hAnsi="Times New Roman" w:cs="Times New Roman"/>
          <w:noProof/>
          <w:sz w:val="24"/>
          <w:szCs w:val="24"/>
        </w:rPr>
        <w:t xml:space="preserve"> and 85% in 2050, despite the renewables policies and the deployment of alternative fuels infrastructure which support some substitution effects towards biofuels, electricity, hydrogen and natural gas.</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declining trend in transport emissions is expected to continue</w:t>
      </w:r>
      <w:r>
        <w:rPr>
          <w:rFonts w:ascii="Times New Roman" w:hAnsi="Times New Roman" w:cs="Times New Roman"/>
          <w:noProof/>
          <w:sz w:val="24"/>
          <w:szCs w:val="24"/>
        </w:rPr>
        <w:t>, leading to 13% lower emissions by 2030 compared to 2005, and 15% by 2050.</w:t>
      </w:r>
      <w:r>
        <w:rPr>
          <w:rFonts w:ascii="Times New Roman" w:hAnsi="Times New Roman" w:cs="Times New Roman"/>
          <w:noProof/>
          <w:sz w:val="24"/>
          <w:szCs w:val="24"/>
          <w:vertAlign w:val="superscript"/>
        </w:rPr>
        <w:footnoteReference w:id="147"/>
      </w:r>
      <w:r>
        <w:rPr>
          <w:rFonts w:ascii="Times New Roman" w:hAnsi="Times New Roman" w:cs="Times New Roman"/>
          <w:noProof/>
          <w:sz w:val="24"/>
          <w:szCs w:val="24"/>
        </w:rPr>
        <w:t xml:space="preserve"> However, relative to 1990 levels, emissions would still be 13% higher by 2030 and 10% by 2050, owing to the fast rise in the transport emissions during the 1990s. The share of transport in total GHG emissions would continue increasing, going up from 23% currently (excluding international maritime) to 25% in 2030 and 31% in 2050, following a relatively lower decline of emissions from transport compared to power generation and other sectors. Maritime bunker fuel emissions are also projected to grow strongly, increasing by 22% during 2010-2030 (38% for 2010-2050).</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emissions from road freight transport (heavy goods and light goods vehicles) are projected to increase by 6% between 2010 and 2030 (11% for 2010-2050) in the Baseline scenario. For heavy goods vehicles, the increase would be somewhat higher (10% for 2010-2030 and 17% for 2010-2050), in lack of specific measures in place. At the same time, emissions from passenger cars and passenger vans are projected to decrease by 22% between 2010 and 2030 (32% for 2010-2050) thanks to the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standards in place and the uptake of electromobility. </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NOx emissions</w:t>
      </w:r>
      <w:r>
        <w:rPr>
          <w:rFonts w:ascii="Times New Roman" w:hAnsi="Times New Roman" w:cs="Times New Roman"/>
          <w:noProof/>
          <w:sz w:val="24"/>
          <w:szCs w:val="24"/>
        </w:rPr>
        <w:t xml:space="preserve"> would drop by about 56% by 2030 (64% by 2050) with respect to 2010 levels. The decline in </w:t>
      </w:r>
      <w:r>
        <w:rPr>
          <w:rFonts w:ascii="Times New Roman" w:hAnsi="Times New Roman" w:cs="Times New Roman"/>
          <w:b/>
          <w:noProof/>
          <w:sz w:val="24"/>
          <w:szCs w:val="24"/>
        </w:rPr>
        <w:t>particulate matter</w:t>
      </w:r>
      <w:r>
        <w:rPr>
          <w:rFonts w:ascii="Times New Roman" w:hAnsi="Times New Roman" w:cs="Times New Roman"/>
          <w:noProof/>
          <w:sz w:val="24"/>
          <w:szCs w:val="24"/>
        </w:rPr>
        <w:t xml:space="preserve"> (PM2.5) would be less pronounced by 2030 at 51% (65% by 2050). Overall, external costs related to air pollutants would decrease by about 56% by 2030 (65% by 2050).</w:t>
      </w:r>
      <w:r>
        <w:rPr>
          <w:rFonts w:ascii="Times New Roman" w:hAnsi="Times New Roman" w:cs="Times New Roman"/>
          <w:noProof/>
          <w:sz w:val="24"/>
          <w:szCs w:val="24"/>
          <w:vertAlign w:val="superscript"/>
        </w:rPr>
        <w:footnoteReference w:id="148"/>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High congestion levels are expected to seriously affect road transport in several Member States by 2030 in the absence of effective countervailing measures such as road pricing. While urban congestion will mainly depend on car ownership levels, urban sprawl and the availability of public transport alternatives, congestion on the inter-urban network would be the result of growing freight transport activity along specific corridors, in particular where these corridors cross urban areas with heavy local traffic. </w:t>
      </w:r>
      <w:r>
        <w:rPr>
          <w:rFonts w:ascii="Times New Roman" w:hAnsi="Times New Roman" w:cs="Times New Roman"/>
          <w:noProof/>
          <w:sz w:val="24"/>
          <w:szCs w:val="24"/>
          <w:lang w:eastAsia="en-GB"/>
        </w:rPr>
        <w:t xml:space="preserve">Estimating the costs of congestion is not straightforward, because it occurs mostly during certain times of the day, often caused by specific bottlenecks in the network. In the Baseline scenario, total </w:t>
      </w:r>
      <w:r>
        <w:rPr>
          <w:rFonts w:ascii="Times New Roman" w:hAnsi="Times New Roman" w:cs="Times New Roman"/>
          <w:b/>
          <w:noProof/>
          <w:sz w:val="24"/>
          <w:szCs w:val="24"/>
          <w:lang w:eastAsia="en-GB"/>
        </w:rPr>
        <w:t>c</w:t>
      </w:r>
      <w:r>
        <w:rPr>
          <w:rFonts w:ascii="Times New Roman" w:hAnsi="Times New Roman" w:cs="Times New Roman"/>
          <w:b/>
          <w:noProof/>
          <w:sz w:val="24"/>
          <w:szCs w:val="24"/>
        </w:rPr>
        <w:t>ongestion costs for urban and inter-urban network are projected to increase</w:t>
      </w:r>
      <w:r>
        <w:rPr>
          <w:rFonts w:ascii="Times New Roman" w:hAnsi="Times New Roman" w:cs="Times New Roman"/>
          <w:noProof/>
          <w:sz w:val="24"/>
          <w:szCs w:val="24"/>
        </w:rPr>
        <w:t xml:space="preserve"> by about 24% by 2030 and 43% by 2050, relative to 2010. </w:t>
      </w:r>
      <w:r>
        <w:rPr>
          <w:rFonts w:ascii="Times New Roman" w:hAnsi="Times New Roman" w:cs="Times New Roman"/>
          <w:b/>
          <w:noProof/>
          <w:sz w:val="24"/>
          <w:szCs w:val="24"/>
        </w:rPr>
        <w:t>Noise related external costs</w:t>
      </w:r>
      <w:r>
        <w:rPr>
          <w:rFonts w:ascii="Times New Roman" w:hAnsi="Times New Roman" w:cs="Times New Roman"/>
          <w:noProof/>
          <w:sz w:val="24"/>
          <w:szCs w:val="24"/>
        </w:rPr>
        <w:t xml:space="preserve"> of transport would continue to increase, by about 17% during 2010-2030 (24% for 2010-2050), driven by the rise in traffic. </w:t>
      </w:r>
    </w:p>
    <w:p>
      <w:pPr>
        <w:jc w:val="both"/>
        <w:rPr>
          <w:noProof/>
        </w:rPr>
      </w:pPr>
      <w:r>
        <w:rPr>
          <w:rFonts w:ascii="Times New Roman" w:hAnsi="Times New Roman" w:cs="Times New Roman"/>
          <w:noProof/>
          <w:sz w:val="24"/>
          <w:szCs w:val="24"/>
        </w:rPr>
        <w:t>Further details on the Baseline scenario are available in the Impact Assessment accompanying the review of the Eurovignette Directive.</w:t>
      </w:r>
      <w:r>
        <w:rPr>
          <w:rStyle w:val="FootnoteReference"/>
          <w:noProof/>
          <w:szCs w:val="24"/>
        </w:rPr>
        <w:footnoteReference w:id="149"/>
      </w:r>
    </w:p>
    <w:p>
      <w:pPr>
        <w:pStyle w:val="Heading1"/>
        <w:numPr>
          <w:ilvl w:val="0"/>
          <w:numId w:val="16"/>
        </w:numPr>
        <w:spacing w:after="200" w:line="276" w:lineRule="auto"/>
        <w:ind w:left="482" w:hanging="482"/>
        <w:rPr>
          <w:noProof/>
          <w:szCs w:val="24"/>
        </w:rPr>
      </w:pPr>
      <w:bookmarkStart w:id="309" w:name="_Toc506397024"/>
      <w:bookmarkStart w:id="310" w:name="_Toc506397624"/>
      <w:bookmarkStart w:id="311" w:name="_Toc506398559"/>
      <w:bookmarkStart w:id="312" w:name="_Toc506408325"/>
      <w:bookmarkStart w:id="313" w:name="_Toc512589660"/>
      <w:bookmarkStart w:id="314" w:name="_Toc512854965"/>
      <w:r>
        <w:rPr>
          <w:noProof/>
          <w:szCs w:val="24"/>
        </w:rPr>
        <w:t>Description of analytical models used: Ecorys model for the regulatory costs for business</w:t>
      </w:r>
      <w:bookmarkEnd w:id="309"/>
      <w:bookmarkEnd w:id="310"/>
      <w:bookmarkEnd w:id="311"/>
      <w:bookmarkEnd w:id="312"/>
      <w:r>
        <w:rPr>
          <w:noProof/>
          <w:szCs w:val="24"/>
        </w:rPr>
        <w:t>es and public administrations</w:t>
      </w:r>
      <w:bookmarkEnd w:id="313"/>
      <w:bookmarkEnd w:id="314"/>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model for the regulatory costs for businesses and public administrations was developed by Ecorys. It is essentially an excel-based tool that covers the baseline developments, the compliance costs and the reduction in the administrative costs for business as well as the compliance and enforcement costs for public administrations in all policy options. The model estimates these costs at Member State and EU level.</w:t>
      </w:r>
    </w:p>
    <w:p>
      <w:pPr>
        <w:spacing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Administrative costs for businesses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estimate the</w:t>
      </w:r>
      <w:r>
        <w:rPr>
          <w:rFonts w:ascii="Times New Roman" w:hAnsi="Times New Roman" w:cs="Times New Roman"/>
          <w:b/>
          <w:bCs/>
          <w:noProof/>
          <w:sz w:val="24"/>
          <w:szCs w:val="24"/>
        </w:rPr>
        <w:t xml:space="preserve"> </w:t>
      </w:r>
      <w:r>
        <w:rPr>
          <w:rFonts w:ascii="Times New Roman" w:hAnsi="Times New Roman" w:cs="Times New Roman"/>
          <w:bCs/>
          <w:noProof/>
          <w:sz w:val="24"/>
          <w:szCs w:val="24"/>
        </w:rPr>
        <w:t>administrative costs for businesses</w:t>
      </w:r>
      <w:r>
        <w:rPr>
          <w:rFonts w:ascii="Times New Roman" w:hAnsi="Times New Roman" w:cs="Times New Roman"/>
          <w:noProof/>
          <w:sz w:val="24"/>
          <w:szCs w:val="24"/>
        </w:rPr>
        <w:t xml:space="preserve">, assumptions on </w:t>
      </w:r>
      <w:r>
        <w:rPr>
          <w:rFonts w:ascii="Times New Roman" w:hAnsi="Times New Roman" w:cs="Times New Roman"/>
          <w:b/>
          <w:bCs/>
          <w:noProof/>
          <w:sz w:val="24"/>
          <w:szCs w:val="24"/>
        </w:rPr>
        <w:t>the uptake levels of electronic documents</w:t>
      </w:r>
      <w:r>
        <w:rPr>
          <w:rFonts w:ascii="Times New Roman" w:hAnsi="Times New Roman" w:cs="Times New Roman"/>
          <w:noProof/>
          <w:sz w:val="24"/>
          <w:szCs w:val="24"/>
        </w:rPr>
        <w:t xml:space="preserve"> were made for the baseline and for the four policy options, on the basis of the desk research and consultations with the stakeholders. The baseline levels for the uptake of electronic transport information exchange systems/solutions, as reported by the stakeholders, are provided in section 4 below. More detailed explanations are presented in the Impact Assessment support study.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Several steps have been followed to calculate the administrative costs for businesses in the baseline and in the policy options:</w:t>
      </w:r>
    </w:p>
    <w:p>
      <w:pPr>
        <w:pStyle w:val="ListParagraph"/>
        <w:rPr>
          <w:noProof/>
        </w:rPr>
      </w:pPr>
    </w:p>
    <w:p>
      <w:pPr>
        <w:pStyle w:val="ListParagraph"/>
        <w:numPr>
          <w:ilvl w:val="0"/>
          <w:numId w:val="15"/>
        </w:numPr>
        <w:ind w:left="714" w:hanging="357"/>
        <w:contextualSpacing w:val="0"/>
        <w:rPr>
          <w:noProof/>
        </w:rPr>
      </w:pPr>
      <w:r>
        <w:rPr>
          <w:noProof/>
        </w:rPr>
        <w:t xml:space="preserve">The number of transport electronic documents per Member State has been derived for the base year, linked to the number of shipments. Eurostat data for 2015 has been used for this purpose. The evolution over time of the numbers of transport electronic documents was linked to the transport activity projections from the Baseline scenario (i.e. updated EU Reference scenario 2016), developed by ICCS-E3MLab with the TREMOVE-PRIMES and presented in the previous section. </w:t>
      </w:r>
    </w:p>
    <w:p>
      <w:pPr>
        <w:pStyle w:val="ListParagraph"/>
        <w:numPr>
          <w:ilvl w:val="0"/>
          <w:numId w:val="15"/>
        </w:numPr>
        <w:ind w:left="714" w:hanging="357"/>
        <w:contextualSpacing w:val="0"/>
        <w:rPr>
          <w:noProof/>
        </w:rPr>
      </w:pPr>
      <w:r>
        <w:rPr>
          <w:noProof/>
        </w:rPr>
        <w:t>Drawing on a study of SIRA Consulting (2012), it has been assumed that 15 minutes are allocated for paper documents for each shipment, independent of the transport mode. The time saved per shipment by using electronic documents is provided in the table below, drawing on desk research and consultations with the stakeholders in the course of the impact assessment support study. A range has been used (minimum and maximum values) to account for the uncertainty.</w:t>
      </w:r>
    </w:p>
    <w:p>
      <w:pPr>
        <w:pStyle w:val="ListParagraph"/>
        <w:numPr>
          <w:ilvl w:val="0"/>
          <w:numId w:val="15"/>
        </w:numPr>
        <w:ind w:left="714" w:hanging="357"/>
        <w:contextualSpacing w:val="0"/>
        <w:rPr>
          <w:noProof/>
        </w:rPr>
      </w:pPr>
      <w:r>
        <w:rPr>
          <w:noProof/>
        </w:rPr>
        <w:t>The total time spent for paper documents and for electronic documents in the baseline and in each policy option has been estimated based on the total number of shipments and the assumptions on the digitalization level.</w:t>
      </w:r>
    </w:p>
    <w:p>
      <w:pPr>
        <w:pStyle w:val="ListParagraph"/>
        <w:numPr>
          <w:ilvl w:val="0"/>
          <w:numId w:val="15"/>
        </w:numPr>
        <w:ind w:left="714" w:hanging="357"/>
        <w:contextualSpacing w:val="0"/>
        <w:rPr>
          <w:noProof/>
        </w:rPr>
      </w:pPr>
      <w:r>
        <w:rPr>
          <w:noProof/>
        </w:rPr>
        <w:t xml:space="preserve">The administrative costs savings have been monetized drawing on the standard cost model. </w:t>
      </w:r>
    </w:p>
    <w:p>
      <w:pPr>
        <w:spacing w:after="0"/>
        <w:rPr>
          <w:rFonts w:ascii="Times New Roman" w:hAnsi="Times New Roman" w:cs="Times New Roman"/>
          <w:noProof/>
          <w:sz w:val="24"/>
          <w:szCs w:val="24"/>
        </w:rPr>
      </w:pPr>
      <w:r>
        <w:rPr>
          <w:rFonts w:ascii="Times New Roman" w:hAnsi="Times New Roman" w:cs="Times New Roman"/>
          <w:b/>
          <w:bCs/>
          <w:noProof/>
          <w:sz w:val="20"/>
          <w:szCs w:val="20"/>
        </w:rPr>
        <w:t>Table Annex 4-1: Time saved per shipment for digital solutions</w:t>
      </w:r>
    </w:p>
    <w:tbl>
      <w:tblPr>
        <w:tblW w:w="5000" w:type="pct"/>
        <w:tblLook w:val="04A0" w:firstRow="1" w:lastRow="0" w:firstColumn="1" w:lastColumn="0" w:noHBand="0" w:noVBand="1"/>
      </w:tblPr>
      <w:tblGrid>
        <w:gridCol w:w="4396"/>
        <w:gridCol w:w="2219"/>
        <w:gridCol w:w="2219"/>
      </w:tblGrid>
      <w:tr>
        <w:trPr>
          <w:trHeight w:val="384"/>
        </w:trPr>
        <w:tc>
          <w:tcPr>
            <w:tcW w:w="2488" w:type="pct"/>
            <w:tcBorders>
              <w:top w:val="single" w:sz="4" w:space="0" w:color="auto"/>
              <w:left w:val="single" w:sz="4" w:space="0" w:color="auto"/>
              <w:bottom w:val="single" w:sz="4" w:space="0" w:color="auto"/>
              <w:right w:val="single" w:sz="4" w:space="0" w:color="auto"/>
            </w:tcBorders>
            <w:shd w:val="clear" w:color="000000" w:fill="0070C0"/>
            <w:noWrap/>
            <w:hideMark/>
          </w:tcPr>
          <w:p>
            <w:pPr>
              <w:spacing w:after="0" w:line="240" w:lineRule="auto"/>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Time saved – Digital (minutes)</w:t>
            </w:r>
          </w:p>
        </w:tc>
        <w:tc>
          <w:tcPr>
            <w:tcW w:w="1256" w:type="pct"/>
            <w:tcBorders>
              <w:top w:val="single" w:sz="4" w:space="0" w:color="auto"/>
              <w:left w:val="nil"/>
              <w:bottom w:val="single" w:sz="4" w:space="0" w:color="auto"/>
              <w:right w:val="single" w:sz="4" w:space="0" w:color="auto"/>
            </w:tcBorders>
            <w:shd w:val="clear" w:color="000000" w:fill="0070C0"/>
            <w:noWrap/>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Minimum</w:t>
            </w:r>
          </w:p>
        </w:tc>
        <w:tc>
          <w:tcPr>
            <w:tcW w:w="1256" w:type="pct"/>
            <w:tcBorders>
              <w:top w:val="single" w:sz="4" w:space="0" w:color="auto"/>
              <w:left w:val="nil"/>
              <w:bottom w:val="single" w:sz="4" w:space="0" w:color="auto"/>
              <w:right w:val="single" w:sz="4" w:space="0" w:color="auto"/>
            </w:tcBorders>
            <w:shd w:val="clear" w:color="000000" w:fill="0070C0"/>
            <w:noWrap/>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Maximum</w:t>
            </w:r>
          </w:p>
        </w:tc>
      </w:tr>
      <w:tr>
        <w:trPr>
          <w:trHeight w:val="216"/>
        </w:trPr>
        <w:tc>
          <w:tcPr>
            <w:tcW w:w="2488"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xml:space="preserve">Road </w:t>
            </w:r>
          </w:p>
        </w:tc>
        <w:tc>
          <w:tcPr>
            <w:tcW w:w="1256"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4.5</w:t>
            </w:r>
          </w:p>
        </w:tc>
        <w:tc>
          <w:tcPr>
            <w:tcW w:w="1256"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5.5</w:t>
            </w:r>
          </w:p>
        </w:tc>
      </w:tr>
      <w:tr>
        <w:trPr>
          <w:trHeight w:val="216"/>
        </w:trPr>
        <w:tc>
          <w:tcPr>
            <w:tcW w:w="2488"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Rail</w:t>
            </w:r>
          </w:p>
        </w:tc>
        <w:tc>
          <w:tcPr>
            <w:tcW w:w="1256"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w:t>
            </w:r>
          </w:p>
        </w:tc>
        <w:tc>
          <w:tcPr>
            <w:tcW w:w="1256"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w:t>
            </w:r>
          </w:p>
        </w:tc>
      </w:tr>
      <w:tr>
        <w:trPr>
          <w:trHeight w:val="216"/>
        </w:trPr>
        <w:tc>
          <w:tcPr>
            <w:tcW w:w="2488"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IWW</w:t>
            </w:r>
          </w:p>
        </w:tc>
        <w:tc>
          <w:tcPr>
            <w:tcW w:w="1256"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7</w:t>
            </w:r>
          </w:p>
        </w:tc>
        <w:tc>
          <w:tcPr>
            <w:tcW w:w="1256"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w:t>
            </w:r>
          </w:p>
        </w:tc>
      </w:tr>
      <w:tr>
        <w:trPr>
          <w:trHeight w:val="216"/>
        </w:trPr>
        <w:tc>
          <w:tcPr>
            <w:tcW w:w="2488"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Maritime</w:t>
            </w:r>
          </w:p>
        </w:tc>
        <w:tc>
          <w:tcPr>
            <w:tcW w:w="1256"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7</w:t>
            </w:r>
          </w:p>
        </w:tc>
        <w:tc>
          <w:tcPr>
            <w:tcW w:w="1256"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w:t>
            </w:r>
          </w:p>
        </w:tc>
      </w:tr>
      <w:tr>
        <w:trPr>
          <w:trHeight w:val="216"/>
        </w:trPr>
        <w:tc>
          <w:tcPr>
            <w:tcW w:w="2488"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Aviation</w:t>
            </w:r>
          </w:p>
        </w:tc>
        <w:tc>
          <w:tcPr>
            <w:tcW w:w="1256"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4.5</w:t>
            </w:r>
          </w:p>
        </w:tc>
        <w:tc>
          <w:tcPr>
            <w:tcW w:w="1256"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w:t>
            </w:r>
          </w:p>
        </w:tc>
      </w:tr>
    </w:tbl>
    <w:p>
      <w:pPr>
        <w:pStyle w:val="ListParagraph"/>
        <w:spacing w:before="0"/>
        <w:ind w:left="0"/>
        <w:rPr>
          <w:i/>
          <w:noProof/>
          <w:sz w:val="18"/>
          <w:szCs w:val="18"/>
        </w:rPr>
      </w:pPr>
      <w:r>
        <w:rPr>
          <w:i/>
          <w:noProof/>
          <w:sz w:val="18"/>
          <w:szCs w:val="18"/>
        </w:rPr>
        <w:t xml:space="preserve">Source: Ecorys et al. (2018) Impact Assessment support study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main impact assessment report presents the administrative costs savings in ranges, considering the various sources of information used and the associated uncertainty. For the final table on efficiency of the policy options, it was decided to present conservative values of potential cost saving (i.e. minimum values), to account for the fact that due to a voluntary implementation of the measures some of the benefits might not be realized. </w:t>
      </w:r>
    </w:p>
    <w:p>
      <w:pPr>
        <w:spacing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Compliance costs for businesses</w:t>
      </w:r>
    </w:p>
    <w:p>
      <w:pPr>
        <w:keepNext/>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one-off costs for businesses to adjust their working practices to the new digitalised business environment would cover both hardware and software systems. The costs have been assessed depending on the company size and the uptake rates of electronic documents. According to stakeholders' feedback, small market players will face lower cost levels as they handle limited numbers of transport operations, and therefore related information exchanges. Thus, the adjustment of their working practices (including through deployment of IT solutions and hardware) would not be as demanding as for bigger market players. The assumptions regarding the compliance costs per company are provided in Table Annex 4-2, differentiated by company size.</w:t>
      </w:r>
    </w:p>
    <w:p>
      <w:pPr>
        <w:keepNext/>
        <w:keepLines/>
        <w:spacing w:after="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Table Annex 4-2: Compliance costs for electronic transport document per size of company</w:t>
      </w:r>
    </w:p>
    <w:tbl>
      <w:tblPr>
        <w:tblStyle w:val="table-style-blauw-100-outline"/>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850"/>
        <w:gridCol w:w="1850"/>
        <w:gridCol w:w="1850"/>
        <w:gridCol w:w="1850"/>
      </w:tblGrid>
      <w:tr>
        <w:trPr>
          <w:cnfStyle w:val="100000000000" w:firstRow="1" w:lastRow="0" w:firstColumn="0" w:lastColumn="0" w:oddVBand="0" w:evenVBand="0" w:oddHBand="0" w:evenHBand="0" w:firstRowFirstColumn="0" w:firstRowLastColumn="0" w:lastRowFirstColumn="0" w:lastRowLastColumn="0"/>
          <w:trHeight w:val="699"/>
          <w:tblHeader/>
        </w:trPr>
        <w:tc>
          <w:tcPr>
            <w:tcW w:w="787" w:type="pct"/>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Company size</w:t>
            </w:r>
          </w:p>
        </w:tc>
        <w:tc>
          <w:tcPr>
            <w:tcW w:w="1053" w:type="pct"/>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Number of trucks / Mobiles</w:t>
            </w:r>
          </w:p>
        </w:tc>
        <w:tc>
          <w:tcPr>
            <w:tcW w:w="1053" w:type="pct"/>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Total mobile costs per company in EUR*</w:t>
            </w:r>
          </w:p>
        </w:tc>
        <w:tc>
          <w:tcPr>
            <w:tcW w:w="1053" w:type="pct"/>
          </w:tcPr>
          <w:p>
            <w:pPr>
              <w:pStyle w:val="table-text"/>
              <w:jc w:val="center"/>
              <w:rPr>
                <w:rFonts w:ascii="Times New Roman" w:hAnsi="Times New Roman"/>
                <w:b w:val="0"/>
                <w:noProof/>
                <w:sz w:val="18"/>
                <w:szCs w:val="18"/>
                <w:lang w:val="en-GB"/>
              </w:rPr>
            </w:pPr>
            <w:r>
              <w:rPr>
                <w:rFonts w:ascii="Times New Roman" w:hAnsi="Times New Roman"/>
                <w:noProof/>
                <w:sz w:val="18"/>
                <w:szCs w:val="18"/>
                <w:lang w:val="en-GB"/>
              </w:rPr>
              <w:t>Total software costs per company in EUR</w:t>
            </w:r>
          </w:p>
        </w:tc>
        <w:tc>
          <w:tcPr>
            <w:tcW w:w="1053" w:type="pct"/>
          </w:tcPr>
          <w:p>
            <w:pPr>
              <w:pStyle w:val="table-text"/>
              <w:jc w:val="center"/>
              <w:rPr>
                <w:rFonts w:ascii="Times New Roman" w:hAnsi="Times New Roman"/>
                <w:b w:val="0"/>
                <w:noProof/>
                <w:sz w:val="18"/>
                <w:szCs w:val="18"/>
                <w:lang w:val="en-GB"/>
              </w:rPr>
            </w:pPr>
            <w:r>
              <w:rPr>
                <w:rFonts w:ascii="Times New Roman" w:hAnsi="Times New Roman"/>
                <w:noProof/>
                <w:sz w:val="18"/>
                <w:szCs w:val="18"/>
                <w:lang w:val="en-GB"/>
              </w:rPr>
              <w:t>Total costs per company in EUR</w:t>
            </w:r>
          </w:p>
        </w:tc>
      </w:tr>
      <w:tr>
        <w:trPr>
          <w:cnfStyle w:val="000000100000" w:firstRow="0" w:lastRow="0" w:firstColumn="0" w:lastColumn="0" w:oddVBand="0" w:evenVBand="0" w:oddHBand="1" w:evenHBand="0" w:firstRowFirstColumn="0" w:firstRowLastColumn="0" w:lastRowFirstColumn="0" w:lastRowLastColumn="0"/>
        </w:trPr>
        <w:tc>
          <w:tcPr>
            <w:tcW w:w="787" w:type="pct"/>
            <w:tcBorders>
              <w:top w:val="none" w:sz="0" w:space="0" w:color="auto"/>
            </w:tcBorders>
          </w:tcPr>
          <w:p>
            <w:pPr>
              <w:pStyle w:val="table-text"/>
              <w:rPr>
                <w:rFonts w:ascii="Times New Roman" w:hAnsi="Times New Roman"/>
                <w:noProof/>
                <w:sz w:val="18"/>
                <w:szCs w:val="18"/>
                <w:lang w:val="en-GB"/>
              </w:rPr>
            </w:pPr>
            <w:r>
              <w:rPr>
                <w:rFonts w:ascii="Times New Roman" w:hAnsi="Times New Roman"/>
                <w:noProof/>
                <w:sz w:val="18"/>
                <w:szCs w:val="18"/>
                <w:lang w:val="en-GB"/>
              </w:rPr>
              <w:t xml:space="preserve">Micro </w:t>
            </w:r>
            <w:r>
              <w:rPr>
                <w:rFonts w:ascii="Times New Roman" w:hAnsi="Times New Roman"/>
                <w:noProof/>
                <w:sz w:val="18"/>
                <w:szCs w:val="18"/>
                <w:lang w:val="en-GB" w:eastAsia="en-GB"/>
              </w:rPr>
              <w:t>(0-9 employees)</w:t>
            </w:r>
          </w:p>
        </w:tc>
        <w:tc>
          <w:tcPr>
            <w:tcW w:w="1053" w:type="pct"/>
            <w:tcBorders>
              <w:top w:val="none" w:sz="0" w:space="0" w:color="auto"/>
            </w:tcBorders>
          </w:tcPr>
          <w:p>
            <w:pPr>
              <w:pStyle w:val="table-text"/>
              <w:jc w:val="center"/>
              <w:rPr>
                <w:rFonts w:ascii="Times New Roman" w:hAnsi="Times New Roman"/>
                <w:b/>
                <w:noProof/>
                <w:sz w:val="18"/>
                <w:szCs w:val="18"/>
                <w:lang w:val="en-GB"/>
              </w:rPr>
            </w:pPr>
            <w:r>
              <w:rPr>
                <w:rFonts w:ascii="Times New Roman" w:hAnsi="Times New Roman"/>
                <w:b/>
                <w:noProof/>
                <w:sz w:val="18"/>
                <w:szCs w:val="18"/>
                <w:lang w:val="en-GB"/>
              </w:rPr>
              <w:t>-</w:t>
            </w:r>
          </w:p>
        </w:tc>
        <w:tc>
          <w:tcPr>
            <w:tcW w:w="1053" w:type="pct"/>
            <w:tcBorders>
              <w:top w:val="none" w:sz="0" w:space="0" w:color="auto"/>
            </w:tcBorders>
          </w:tcPr>
          <w:p>
            <w:pPr>
              <w:pStyle w:val="table-text"/>
              <w:jc w:val="center"/>
              <w:rPr>
                <w:rFonts w:ascii="Times New Roman" w:hAnsi="Times New Roman"/>
                <w:b/>
                <w:noProof/>
                <w:sz w:val="18"/>
                <w:szCs w:val="18"/>
                <w:lang w:val="en-GB"/>
              </w:rPr>
            </w:pPr>
            <w:r>
              <w:rPr>
                <w:rFonts w:ascii="Times New Roman" w:hAnsi="Times New Roman"/>
                <w:b/>
                <w:noProof/>
                <w:sz w:val="18"/>
                <w:szCs w:val="18"/>
                <w:lang w:val="en-GB"/>
              </w:rPr>
              <w:t>-</w:t>
            </w:r>
          </w:p>
        </w:tc>
        <w:tc>
          <w:tcPr>
            <w:tcW w:w="1053" w:type="pct"/>
            <w:tcBorders>
              <w:top w:val="none" w:sz="0" w:space="0" w:color="auto"/>
            </w:tcBorders>
          </w:tcPr>
          <w:p>
            <w:pPr>
              <w:pStyle w:val="table-text"/>
              <w:jc w:val="center"/>
              <w:rPr>
                <w:rFonts w:ascii="Times New Roman" w:hAnsi="Times New Roman"/>
                <w:b/>
                <w:noProof/>
                <w:sz w:val="18"/>
                <w:szCs w:val="18"/>
                <w:lang w:val="en-GB"/>
              </w:rPr>
            </w:pPr>
            <w:r>
              <w:rPr>
                <w:rFonts w:ascii="Times New Roman" w:hAnsi="Times New Roman"/>
                <w:b/>
                <w:noProof/>
                <w:sz w:val="18"/>
                <w:szCs w:val="18"/>
                <w:lang w:val="en-GB"/>
              </w:rPr>
              <w:t>-</w:t>
            </w:r>
          </w:p>
        </w:tc>
        <w:tc>
          <w:tcPr>
            <w:tcW w:w="1053" w:type="pct"/>
            <w:tcBorders>
              <w:top w:val="none" w:sz="0" w:space="0" w:color="auto"/>
            </w:tcBorders>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w:t>
            </w:r>
          </w:p>
        </w:tc>
      </w:tr>
      <w:tr>
        <w:trPr>
          <w:cnfStyle w:val="000000010000" w:firstRow="0" w:lastRow="0" w:firstColumn="0" w:lastColumn="0" w:oddVBand="0" w:evenVBand="0" w:oddHBand="0" w:evenHBand="1" w:firstRowFirstColumn="0" w:firstRowLastColumn="0" w:lastRowFirstColumn="0" w:lastRowLastColumn="0"/>
        </w:trPr>
        <w:tc>
          <w:tcPr>
            <w:tcW w:w="787" w:type="pct"/>
            <w:tcBorders>
              <w:top w:val="none" w:sz="0" w:space="0" w:color="auto"/>
            </w:tcBorders>
          </w:tcPr>
          <w:p>
            <w:pPr>
              <w:pStyle w:val="table-text"/>
              <w:rPr>
                <w:rFonts w:ascii="Times New Roman" w:hAnsi="Times New Roman"/>
                <w:noProof/>
                <w:sz w:val="18"/>
                <w:szCs w:val="18"/>
                <w:lang w:val="en-GB"/>
              </w:rPr>
            </w:pPr>
            <w:r>
              <w:rPr>
                <w:rFonts w:ascii="Times New Roman" w:hAnsi="Times New Roman"/>
                <w:noProof/>
                <w:sz w:val="18"/>
                <w:szCs w:val="18"/>
                <w:lang w:val="en-GB"/>
              </w:rPr>
              <w:t xml:space="preserve">Small </w:t>
            </w:r>
            <w:r>
              <w:rPr>
                <w:rFonts w:ascii="Times New Roman" w:hAnsi="Times New Roman"/>
                <w:noProof/>
                <w:sz w:val="18"/>
                <w:szCs w:val="18"/>
                <w:lang w:val="en-GB" w:eastAsia="en-GB"/>
              </w:rPr>
              <w:t>(10-49 employees)</w:t>
            </w:r>
          </w:p>
        </w:tc>
        <w:tc>
          <w:tcPr>
            <w:tcW w:w="1053" w:type="pct"/>
            <w:tcBorders>
              <w:top w:val="none" w:sz="0" w:space="0" w:color="auto"/>
            </w:tcBorders>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10</w:t>
            </w:r>
          </w:p>
        </w:tc>
        <w:tc>
          <w:tcPr>
            <w:tcW w:w="1053" w:type="pct"/>
            <w:tcBorders>
              <w:top w:val="none" w:sz="0" w:space="0" w:color="auto"/>
            </w:tcBorders>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3.000</w:t>
            </w:r>
          </w:p>
        </w:tc>
        <w:tc>
          <w:tcPr>
            <w:tcW w:w="1053" w:type="pct"/>
            <w:tcBorders>
              <w:top w:val="none" w:sz="0" w:space="0" w:color="auto"/>
            </w:tcBorders>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5,000</w:t>
            </w:r>
          </w:p>
        </w:tc>
        <w:tc>
          <w:tcPr>
            <w:tcW w:w="1053" w:type="pct"/>
            <w:tcBorders>
              <w:top w:val="none" w:sz="0" w:space="0" w:color="auto"/>
            </w:tcBorders>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8,000</w:t>
            </w:r>
          </w:p>
        </w:tc>
      </w:tr>
      <w:tr>
        <w:trPr>
          <w:cnfStyle w:val="000000100000" w:firstRow="0" w:lastRow="0" w:firstColumn="0" w:lastColumn="0" w:oddVBand="0" w:evenVBand="0" w:oddHBand="1" w:evenHBand="0" w:firstRowFirstColumn="0" w:firstRowLastColumn="0" w:lastRowFirstColumn="0" w:lastRowLastColumn="0"/>
        </w:trPr>
        <w:tc>
          <w:tcPr>
            <w:tcW w:w="787" w:type="pct"/>
            <w:tcBorders>
              <w:top w:val="none" w:sz="0" w:space="0" w:color="auto"/>
            </w:tcBorders>
          </w:tcPr>
          <w:p>
            <w:pPr>
              <w:pStyle w:val="table-text"/>
              <w:rPr>
                <w:rFonts w:ascii="Times New Roman" w:hAnsi="Times New Roman"/>
                <w:noProof/>
                <w:sz w:val="18"/>
                <w:szCs w:val="18"/>
                <w:lang w:val="en-GB"/>
              </w:rPr>
            </w:pPr>
            <w:r>
              <w:rPr>
                <w:rFonts w:ascii="Times New Roman" w:hAnsi="Times New Roman"/>
                <w:noProof/>
                <w:sz w:val="18"/>
                <w:szCs w:val="18"/>
                <w:lang w:val="en-GB"/>
              </w:rPr>
              <w:t xml:space="preserve">Medium </w:t>
            </w:r>
            <w:r>
              <w:rPr>
                <w:rFonts w:ascii="Times New Roman" w:hAnsi="Times New Roman"/>
                <w:noProof/>
                <w:sz w:val="18"/>
                <w:szCs w:val="18"/>
                <w:lang w:val="en-GB" w:eastAsia="en-GB"/>
              </w:rPr>
              <w:t>(50-249 employees)</w:t>
            </w:r>
          </w:p>
        </w:tc>
        <w:tc>
          <w:tcPr>
            <w:tcW w:w="1053" w:type="pct"/>
            <w:tcBorders>
              <w:top w:val="none" w:sz="0" w:space="0" w:color="auto"/>
            </w:tcBorders>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50</w:t>
            </w:r>
          </w:p>
        </w:tc>
        <w:tc>
          <w:tcPr>
            <w:tcW w:w="1053" w:type="pct"/>
            <w:tcBorders>
              <w:top w:val="none" w:sz="0" w:space="0" w:color="auto"/>
            </w:tcBorders>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15,000</w:t>
            </w:r>
          </w:p>
        </w:tc>
        <w:tc>
          <w:tcPr>
            <w:tcW w:w="1053" w:type="pct"/>
            <w:tcBorders>
              <w:top w:val="none" w:sz="0" w:space="0" w:color="auto"/>
            </w:tcBorders>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€10,000</w:t>
            </w:r>
          </w:p>
        </w:tc>
        <w:tc>
          <w:tcPr>
            <w:tcW w:w="1053" w:type="pct"/>
            <w:tcBorders>
              <w:top w:val="none" w:sz="0" w:space="0" w:color="auto"/>
            </w:tcBorders>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25,000</w:t>
            </w:r>
          </w:p>
        </w:tc>
      </w:tr>
      <w:tr>
        <w:trPr>
          <w:cnfStyle w:val="000000010000" w:firstRow="0" w:lastRow="0" w:firstColumn="0" w:lastColumn="0" w:oddVBand="0" w:evenVBand="0" w:oddHBand="0" w:evenHBand="1" w:firstRowFirstColumn="0" w:firstRowLastColumn="0" w:lastRowFirstColumn="0" w:lastRowLastColumn="0"/>
        </w:trPr>
        <w:tc>
          <w:tcPr>
            <w:tcW w:w="787" w:type="pct"/>
            <w:tcBorders>
              <w:top w:val="none" w:sz="0" w:space="0" w:color="auto"/>
            </w:tcBorders>
          </w:tcPr>
          <w:p>
            <w:pPr>
              <w:pStyle w:val="table-text"/>
              <w:rPr>
                <w:rFonts w:ascii="Times New Roman" w:hAnsi="Times New Roman"/>
                <w:noProof/>
                <w:sz w:val="18"/>
                <w:szCs w:val="18"/>
                <w:lang w:val="en-GB"/>
              </w:rPr>
            </w:pPr>
            <w:r>
              <w:rPr>
                <w:rFonts w:ascii="Times New Roman" w:hAnsi="Times New Roman"/>
                <w:noProof/>
                <w:sz w:val="18"/>
                <w:szCs w:val="18"/>
                <w:lang w:val="en-GB"/>
              </w:rPr>
              <w:t xml:space="preserve">Large </w:t>
            </w:r>
            <w:r>
              <w:rPr>
                <w:rFonts w:ascii="Times New Roman" w:hAnsi="Times New Roman"/>
                <w:noProof/>
                <w:sz w:val="18"/>
                <w:szCs w:val="18"/>
                <w:lang w:val="en-GB" w:eastAsia="en-GB"/>
              </w:rPr>
              <w:t>(above 250 employees)</w:t>
            </w:r>
          </w:p>
        </w:tc>
        <w:tc>
          <w:tcPr>
            <w:tcW w:w="1053" w:type="pct"/>
            <w:tcBorders>
              <w:top w:val="none" w:sz="0" w:space="0" w:color="auto"/>
            </w:tcBorders>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300</w:t>
            </w:r>
          </w:p>
        </w:tc>
        <w:tc>
          <w:tcPr>
            <w:tcW w:w="1053" w:type="pct"/>
            <w:tcBorders>
              <w:top w:val="none" w:sz="0" w:space="0" w:color="auto"/>
            </w:tcBorders>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90,000</w:t>
            </w:r>
          </w:p>
        </w:tc>
        <w:tc>
          <w:tcPr>
            <w:tcW w:w="1053" w:type="pct"/>
            <w:tcBorders>
              <w:top w:val="none" w:sz="0" w:space="0" w:color="auto"/>
            </w:tcBorders>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€60,000</w:t>
            </w:r>
          </w:p>
        </w:tc>
        <w:tc>
          <w:tcPr>
            <w:tcW w:w="1053" w:type="pct"/>
            <w:tcBorders>
              <w:top w:val="none" w:sz="0" w:space="0" w:color="auto"/>
            </w:tcBorders>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150,000</w:t>
            </w:r>
          </w:p>
        </w:tc>
      </w:tr>
    </w:tbl>
    <w:p>
      <w:pPr>
        <w:spacing w:after="120" w:line="240" w:lineRule="auto"/>
        <w:jc w:val="both"/>
        <w:rPr>
          <w:rFonts w:ascii="Times New Roman" w:eastAsia="Times New Roman" w:hAnsi="Times New Roman" w:cs="Times New Roman"/>
          <w:i/>
          <w:noProof/>
          <w:sz w:val="18"/>
          <w:szCs w:val="18"/>
        </w:rPr>
      </w:pPr>
      <w:r>
        <w:rPr>
          <w:rFonts w:ascii="Times New Roman" w:eastAsia="Times New Roman" w:hAnsi="Times New Roman" w:cs="Times New Roman"/>
          <w:i/>
          <w:noProof/>
          <w:sz w:val="18"/>
          <w:szCs w:val="18"/>
        </w:rPr>
        <w:t xml:space="preserve">Source: Ecorys et al. (2018) Impact Assessment support study; Note: </w:t>
      </w:r>
      <w:r>
        <w:rPr>
          <w:rFonts w:ascii="Times New Roman" w:hAnsi="Times New Roman" w:cs="Times New Roman"/>
          <w:i/>
          <w:noProof/>
          <w:sz w:val="18"/>
          <w:szCs w:val="18"/>
        </w:rPr>
        <w:t>*Total mobile costs per company are calculated assuming a price of EUR 300/ smartphone</w:t>
      </w:r>
    </w:p>
    <w:p>
      <w:pPr>
        <w:spacing w:after="120" w:line="240" w:lineRule="auto"/>
        <w:jc w:val="both"/>
        <w:rPr>
          <w:rFonts w:ascii="Times New Roman" w:eastAsia="Times New Roman" w:hAnsi="Times New Roman" w:cs="Times New Roman"/>
          <w:noProof/>
          <w:sz w:val="24"/>
          <w:szCs w:val="20"/>
        </w:rPr>
      </w:pPr>
      <w:r>
        <w:rPr>
          <w:rFonts w:ascii="Times New Roman" w:hAnsi="Times New Roman" w:cs="Times New Roman"/>
          <w:noProof/>
          <w:sz w:val="24"/>
          <w:szCs w:val="24"/>
        </w:rPr>
        <w:t>The following steps have been followed to calculate the compliance costs for businesses in the baseline and in the policy options:</w:t>
      </w:r>
      <w:r>
        <w:rPr>
          <w:rFonts w:ascii="Times New Roman" w:eastAsia="Times New Roman" w:hAnsi="Times New Roman" w:cs="Times New Roman"/>
          <w:noProof/>
          <w:sz w:val="24"/>
          <w:szCs w:val="20"/>
        </w:rPr>
        <w:t xml:space="preserve"> </w:t>
      </w:r>
    </w:p>
    <w:p>
      <w:pPr>
        <w:pStyle w:val="ListParagraph"/>
        <w:numPr>
          <w:ilvl w:val="0"/>
          <w:numId w:val="15"/>
        </w:numPr>
        <w:ind w:left="714" w:hanging="357"/>
        <w:contextualSpacing w:val="0"/>
        <w:rPr>
          <w:noProof/>
        </w:rPr>
      </w:pPr>
      <w:r>
        <w:rPr>
          <w:noProof/>
        </w:rPr>
        <w:t>The number of companies by size and by Member State has been derived for the base year. Eurostat data for 2015 has been used for this purpose. The number of companies has been assumed to be constant over time.</w:t>
      </w:r>
    </w:p>
    <w:p>
      <w:pPr>
        <w:pStyle w:val="ListParagraph"/>
        <w:numPr>
          <w:ilvl w:val="0"/>
          <w:numId w:val="15"/>
        </w:numPr>
        <w:ind w:left="714" w:hanging="357"/>
        <w:contextualSpacing w:val="0"/>
        <w:rPr>
          <w:noProof/>
        </w:rPr>
      </w:pPr>
      <w:r>
        <w:rPr>
          <w:noProof/>
        </w:rPr>
        <w:t>The compliance costs for electronic transport document per size of company and the uptake levels of electronic documents have been used to derive the total compliance costs in the baseline and the policy options.</w:t>
      </w:r>
    </w:p>
    <w:p>
      <w:pPr>
        <w:spacing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Compliance costs for public administrations</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costs related to the certification of solution providers for public administrations will depend on the requirements that will be actually set. Indicatively, drawing on the experience of the Belgian e-CMR pilot, setting-up such system may imply about 1,050 hours for the relevant authority for the initial set-up plus recurrent costs estimated at 20-40 hours per week</w:t>
      </w:r>
      <w:r>
        <w:rPr>
          <w:rStyle w:val="FootnoteReference"/>
          <w:rFonts w:ascii="Times New Roman" w:eastAsia="Times New Roman" w:hAnsi="Times New Roman" w:cs="Times New Roman"/>
          <w:noProof/>
          <w:sz w:val="24"/>
          <w:szCs w:val="24"/>
        </w:rPr>
        <w:footnoteReference w:id="150"/>
      </w:r>
      <w:r>
        <w:rPr>
          <w:rFonts w:ascii="Times New Roman" w:eastAsia="Times New Roman" w:hAnsi="Times New Roman" w:cs="Times New Roman"/>
          <w:noProof/>
          <w:sz w:val="24"/>
          <w:szCs w:val="24"/>
        </w:rPr>
        <w:t xml:space="preserve">. Drawing on this example, the set-up of the system would imply one-off certification costs of about EUR 30,000 per Member State and recurrent costs of about EUR 45,000 per year per Member State. For the calculation of the total compliance costs for public administrations at EU level, similar costs have been assumed for all Member States in lack of more specific information. </w:t>
      </w:r>
    </w:p>
    <w:p>
      <w:pPr>
        <w:spacing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Enforcement costs for public administrations</w:t>
      </w:r>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Regarding the time spent on inspections, the availability of all relevant cargo information before inspections will facilitate the processes and allow more and better targeted (risk-based) controls. This does not only increase the efficiency and effectiveness of enforcement but could also reward businesses with a tracking record of compliance. Interviews with national authorities show that they do not expect the increased information availability to change the number of inspections they are performing, but rather to allow better targeting.</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total level of enforcement costs would be highly dependent on the actual system architecture, which will depend on the choice of a Member State or specific authority. Nevertheless, the experience of EUCARIS</w:t>
      </w:r>
      <w:r>
        <w:rPr>
          <w:rStyle w:val="FootnoteReference"/>
          <w:rFonts w:ascii="Times New Roman" w:eastAsia="Times New Roman" w:hAnsi="Times New Roman" w:cs="Times New Roman"/>
          <w:noProof/>
          <w:sz w:val="24"/>
          <w:szCs w:val="24"/>
        </w:rPr>
        <w:footnoteReference w:id="151"/>
      </w:r>
      <w:r>
        <w:rPr>
          <w:rFonts w:ascii="Times New Roman" w:eastAsia="Times New Roman" w:hAnsi="Times New Roman" w:cs="Times New Roman"/>
          <w:noProof/>
          <w:sz w:val="24"/>
          <w:szCs w:val="24"/>
        </w:rPr>
        <w:t xml:space="preserve">, where the basic subscription is set at EUR 16,000 and additional functionalities add to this cost between EUR 20,000-40,000 yearly, sets the scene to understand the potential order of magnitude of potential additional costs for authorities. In total, the EUCARIS system costs slightly less than EUR 1 million annually and handles 75 million transactions annually. Considering a proportional cost approach, a system that would need to handle more than 1.5 billion documents a year could cost in the range of EUR 20 million annually. If divided proportionally between the authorities of all 28 EU MS this is slightly more than EUR 700,000 per Member State yearly.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Drawing on the </w:t>
      </w:r>
      <w:r>
        <w:rPr>
          <w:rFonts w:ascii="Times New Roman" w:eastAsia="Times New Roman" w:hAnsi="Times New Roman" w:cs="Times New Roman"/>
          <w:noProof/>
          <w:sz w:val="24"/>
          <w:szCs w:val="20"/>
        </w:rPr>
        <w:t>experience of EUCARIS, t</w:t>
      </w:r>
      <w:r>
        <w:rPr>
          <w:rFonts w:ascii="Times New Roman" w:eastAsia="Times New Roman" w:hAnsi="Times New Roman" w:cs="Times New Roman"/>
          <w:noProof/>
          <w:sz w:val="24"/>
          <w:szCs w:val="24"/>
        </w:rPr>
        <w:t xml:space="preserve">he total enforcement costs for the public administrations at EU level in PO2, PO3 and PO4 has been assumed equal to EUR 20 million annually.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All costs/benefits are expressed as present value using a 4% discount rate.</w:t>
      </w:r>
    </w:p>
    <w:p>
      <w:pPr>
        <w:pStyle w:val="Heading1"/>
        <w:numPr>
          <w:ilvl w:val="0"/>
          <w:numId w:val="16"/>
        </w:numPr>
        <w:spacing w:after="200" w:line="276" w:lineRule="auto"/>
        <w:ind w:left="482" w:hanging="482"/>
        <w:rPr>
          <w:noProof/>
          <w:szCs w:val="24"/>
        </w:rPr>
      </w:pPr>
      <w:bookmarkStart w:id="315" w:name="_Toc506397025"/>
      <w:bookmarkStart w:id="316" w:name="_Toc506397625"/>
      <w:bookmarkStart w:id="317" w:name="_Toc506398560"/>
      <w:bookmarkStart w:id="318" w:name="_Toc506408326"/>
      <w:bookmarkStart w:id="319" w:name="_Toc512589661"/>
      <w:bookmarkStart w:id="320" w:name="_Toc512854966"/>
      <w:r>
        <w:rPr>
          <w:noProof/>
          <w:szCs w:val="24"/>
        </w:rPr>
        <w:t xml:space="preserve">Assumptions used for </w:t>
      </w:r>
      <w:bookmarkEnd w:id="315"/>
      <w:bookmarkEnd w:id="316"/>
      <w:bookmarkEnd w:id="317"/>
      <w:bookmarkEnd w:id="318"/>
      <w:r>
        <w:rPr>
          <w:noProof/>
          <w:szCs w:val="24"/>
        </w:rPr>
        <w:t>assessing impacts on modal shift</w:t>
      </w:r>
      <w:bookmarkEnd w:id="319"/>
      <w:bookmarkEnd w:id="320"/>
    </w:p>
    <w:p>
      <w:pPr>
        <w:spacing w:after="120" w:line="240" w:lineRule="auto"/>
        <w:jc w:val="both"/>
        <w:rPr>
          <w:noProof/>
          <w:szCs w:val="24"/>
        </w:rPr>
      </w:pPr>
      <w:r>
        <w:rPr>
          <w:rFonts w:ascii="Times New Roman" w:hAnsi="Times New Roman" w:cs="Times New Roman"/>
          <w:noProof/>
          <w:sz w:val="24"/>
          <w:szCs w:val="24"/>
        </w:rPr>
        <w:t>The reduction in the time and transport costs per tonne-kilometre (i.e. due to higher uptake of electronic transport information exchange systems/solutions) for transport operators in the policy options (and the sensitivity analysis PO3a/PO4a) relative to the baseline scenario are presented in Table Annex 4-3 to Table Annex 4-10 below. They are used as input in the PRIMES-TREMOVE model for deriving the impacts of policy options on modal shares, together with the impacts congestion, on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and air pollutant emissions. These input assumptions are based on the Ecorys et al. (2018) Impact Assessment support study. They draw on stakeholders’ consultation and literature review and are derived based on the time and administrative costs saved due to the use of electronic documents and their respective shares in the total time and transport costs per tonne-kilometre. </w:t>
      </w:r>
    </w:p>
    <w:p>
      <w:pPr>
        <w:spacing w:before="240" w:after="0" w:line="280" w:lineRule="atLeast"/>
        <w:jc w:val="both"/>
        <w:rPr>
          <w:rFonts w:ascii="Times New Roman" w:eastAsia="Times New Roman" w:hAnsi="Times New Roman" w:cs="Times New Roman"/>
          <w:b/>
          <w:bCs/>
          <w:noProof/>
          <w:sz w:val="20"/>
          <w:szCs w:val="20"/>
          <w:lang w:eastAsia="nl-NL"/>
        </w:rPr>
      </w:pPr>
      <w:r>
        <w:rPr>
          <w:rFonts w:ascii="Times New Roman" w:eastAsia="Times New Roman" w:hAnsi="Times New Roman" w:cs="Times New Roman"/>
          <w:b/>
          <w:bCs/>
          <w:noProof/>
          <w:sz w:val="20"/>
          <w:szCs w:val="20"/>
          <w:lang w:eastAsia="nl-NL"/>
        </w:rPr>
        <w:t>Table Annex 4-3: Assumptions regarding the changes in transport costs per tonne-kilometre relative to the baseline in PO1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55"/>
        <w:gridCol w:w="1256"/>
        <w:gridCol w:w="1254"/>
        <w:gridCol w:w="1254"/>
        <w:gridCol w:w="1254"/>
        <w:gridCol w:w="1253"/>
      </w:tblGrid>
      <w:tr>
        <w:trPr>
          <w:trHeight w:val="288"/>
          <w:tblHeader/>
        </w:trPr>
        <w:tc>
          <w:tcPr>
            <w:tcW w:w="740" w:type="pct"/>
            <w:vMerge w:val="restart"/>
            <w:shd w:val="clear" w:color="000000" w:fill="0070C0"/>
            <w:noWrap/>
            <w:vAlign w:val="bottom"/>
          </w:tcPr>
          <w:p>
            <w:pPr>
              <w:spacing w:after="0" w:line="240" w:lineRule="auto"/>
              <w:rPr>
                <w:rFonts w:ascii="Times New Roman" w:eastAsia="Times New Roman" w:hAnsi="Times New Roman" w:cs="Times New Roman"/>
                <w:noProof/>
                <w:color w:val="FFFFFF"/>
                <w:sz w:val="18"/>
                <w:szCs w:val="18"/>
                <w:lang w:eastAsia="en-GB"/>
              </w:rPr>
            </w:pPr>
          </w:p>
        </w:tc>
        <w:tc>
          <w:tcPr>
            <w:tcW w:w="4260" w:type="pct"/>
            <w:gridSpan w:val="6"/>
            <w:shd w:val="clear" w:color="000000" w:fill="0070C0"/>
            <w:noWrap/>
            <w:vAlign w:val="bottom"/>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PO1</w:t>
            </w:r>
          </w:p>
        </w:tc>
      </w:tr>
      <w:tr>
        <w:trPr>
          <w:trHeight w:val="288"/>
          <w:tblHeader/>
        </w:trPr>
        <w:tc>
          <w:tcPr>
            <w:tcW w:w="740" w:type="pct"/>
            <w:vMerge/>
            <w:shd w:val="clear" w:color="000000" w:fill="0070C0"/>
            <w:noWrap/>
            <w:vAlign w:val="bottom"/>
          </w:tcPr>
          <w:p>
            <w:pPr>
              <w:spacing w:after="0" w:line="240" w:lineRule="auto"/>
              <w:rPr>
                <w:rFonts w:ascii="Times New Roman" w:eastAsia="Times New Roman" w:hAnsi="Times New Roman" w:cs="Times New Roman"/>
                <w:noProof/>
                <w:color w:val="FFFFFF"/>
                <w:sz w:val="18"/>
                <w:szCs w:val="18"/>
                <w:lang w:eastAsia="en-GB"/>
              </w:rPr>
            </w:pPr>
          </w:p>
        </w:tc>
        <w:tc>
          <w:tcPr>
            <w:tcW w:w="710" w:type="pct"/>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2025</w:t>
            </w:r>
          </w:p>
        </w:tc>
        <w:tc>
          <w:tcPr>
            <w:tcW w:w="711" w:type="pct"/>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2030</w:t>
            </w:r>
          </w:p>
        </w:tc>
        <w:tc>
          <w:tcPr>
            <w:tcW w:w="710" w:type="pct"/>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2025</w:t>
            </w:r>
          </w:p>
        </w:tc>
        <w:tc>
          <w:tcPr>
            <w:tcW w:w="710" w:type="pct"/>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2030</w:t>
            </w:r>
          </w:p>
        </w:tc>
        <w:tc>
          <w:tcPr>
            <w:tcW w:w="710" w:type="pct"/>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2025</w:t>
            </w:r>
          </w:p>
        </w:tc>
        <w:tc>
          <w:tcPr>
            <w:tcW w:w="709" w:type="pct"/>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2030</w:t>
            </w:r>
          </w:p>
        </w:tc>
      </w:tr>
      <w:tr>
        <w:trPr>
          <w:trHeight w:val="288"/>
          <w:tblHeader/>
        </w:trPr>
        <w:tc>
          <w:tcPr>
            <w:tcW w:w="740" w:type="pct"/>
            <w:vMerge/>
            <w:shd w:val="clear" w:color="000000" w:fill="0070C0"/>
            <w:noWrap/>
            <w:vAlign w:val="bottom"/>
          </w:tcPr>
          <w:p>
            <w:pPr>
              <w:spacing w:after="0" w:line="240" w:lineRule="auto"/>
              <w:rPr>
                <w:rFonts w:ascii="Times New Roman" w:eastAsia="Times New Roman" w:hAnsi="Times New Roman" w:cs="Times New Roman"/>
                <w:noProof/>
                <w:color w:val="FFFFFF"/>
                <w:sz w:val="18"/>
                <w:szCs w:val="18"/>
                <w:lang w:eastAsia="en-GB"/>
              </w:rPr>
            </w:pPr>
          </w:p>
        </w:tc>
        <w:tc>
          <w:tcPr>
            <w:tcW w:w="1421" w:type="pct"/>
            <w:gridSpan w:val="2"/>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Road</w:t>
            </w:r>
          </w:p>
        </w:tc>
        <w:tc>
          <w:tcPr>
            <w:tcW w:w="1420" w:type="pct"/>
            <w:gridSpan w:val="2"/>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Rail</w:t>
            </w:r>
          </w:p>
        </w:tc>
        <w:tc>
          <w:tcPr>
            <w:tcW w:w="1419" w:type="pct"/>
            <w:gridSpan w:val="2"/>
            <w:shd w:val="clear" w:color="000000" w:fill="0070C0"/>
            <w:noWrap/>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 xml:space="preserve">Waterborne transport* </w:t>
            </w:r>
          </w:p>
        </w:tc>
      </w:tr>
      <w:tr>
        <w:trPr>
          <w:trHeight w:val="288"/>
        </w:trPr>
        <w:tc>
          <w:tcPr>
            <w:tcW w:w="740" w:type="pct"/>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BE</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1"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09"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r>
      <w:tr>
        <w:trPr>
          <w:trHeight w:val="288"/>
        </w:trPr>
        <w:tc>
          <w:tcPr>
            <w:tcW w:w="740" w:type="pct"/>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BG</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1"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09"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r>
      <w:tr>
        <w:trPr>
          <w:trHeight w:val="288"/>
        </w:trPr>
        <w:tc>
          <w:tcPr>
            <w:tcW w:w="740" w:type="pct"/>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CZ</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1"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09"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88"/>
        </w:trPr>
        <w:tc>
          <w:tcPr>
            <w:tcW w:w="740" w:type="pct"/>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DK</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1"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09"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r>
      <w:tr>
        <w:trPr>
          <w:trHeight w:val="288"/>
        </w:trPr>
        <w:tc>
          <w:tcPr>
            <w:tcW w:w="740" w:type="pct"/>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DE</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1"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09"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r>
      <w:tr>
        <w:trPr>
          <w:trHeight w:val="288"/>
        </w:trPr>
        <w:tc>
          <w:tcPr>
            <w:tcW w:w="740" w:type="pct"/>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EE</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1"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09"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r>
      <w:tr>
        <w:trPr>
          <w:trHeight w:val="288"/>
        </w:trPr>
        <w:tc>
          <w:tcPr>
            <w:tcW w:w="740" w:type="pct"/>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IE</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1"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09"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r>
      <w:tr>
        <w:trPr>
          <w:trHeight w:val="288"/>
        </w:trPr>
        <w:tc>
          <w:tcPr>
            <w:tcW w:w="740" w:type="pct"/>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EL</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1"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09"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r>
      <w:tr>
        <w:trPr>
          <w:trHeight w:val="288"/>
        </w:trPr>
        <w:tc>
          <w:tcPr>
            <w:tcW w:w="740" w:type="pct"/>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ES</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1"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09"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r>
      <w:tr>
        <w:trPr>
          <w:trHeight w:val="288"/>
        </w:trPr>
        <w:tc>
          <w:tcPr>
            <w:tcW w:w="740" w:type="pct"/>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FR</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1"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09"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r>
      <w:tr>
        <w:trPr>
          <w:trHeight w:val="288"/>
        </w:trPr>
        <w:tc>
          <w:tcPr>
            <w:tcW w:w="740" w:type="pct"/>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HR</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1"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09"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r>
      <w:tr>
        <w:trPr>
          <w:trHeight w:val="288"/>
        </w:trPr>
        <w:tc>
          <w:tcPr>
            <w:tcW w:w="740" w:type="pct"/>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IT</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1"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09"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r>
      <w:tr>
        <w:trPr>
          <w:trHeight w:val="288"/>
        </w:trPr>
        <w:tc>
          <w:tcPr>
            <w:tcW w:w="740" w:type="pct"/>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CY</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1"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09"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88"/>
        </w:trPr>
        <w:tc>
          <w:tcPr>
            <w:tcW w:w="740" w:type="pct"/>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LV</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1"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09"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r>
      <w:tr>
        <w:trPr>
          <w:trHeight w:val="288"/>
        </w:trPr>
        <w:tc>
          <w:tcPr>
            <w:tcW w:w="740" w:type="pct"/>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LT</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1"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09"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r>
      <w:tr>
        <w:trPr>
          <w:trHeight w:val="288"/>
        </w:trPr>
        <w:tc>
          <w:tcPr>
            <w:tcW w:w="740" w:type="pct"/>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LU</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1"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09"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r>
      <w:tr>
        <w:trPr>
          <w:trHeight w:val="288"/>
        </w:trPr>
        <w:tc>
          <w:tcPr>
            <w:tcW w:w="740" w:type="pct"/>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HU</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1"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09"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r>
      <w:tr>
        <w:trPr>
          <w:trHeight w:val="288"/>
        </w:trPr>
        <w:tc>
          <w:tcPr>
            <w:tcW w:w="740" w:type="pct"/>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MT</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1"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09"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88"/>
        </w:trPr>
        <w:tc>
          <w:tcPr>
            <w:tcW w:w="740" w:type="pct"/>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NL</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1"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09"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r>
      <w:tr>
        <w:trPr>
          <w:trHeight w:val="288"/>
        </w:trPr>
        <w:tc>
          <w:tcPr>
            <w:tcW w:w="740" w:type="pct"/>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AT</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1"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09"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r>
      <w:tr>
        <w:trPr>
          <w:trHeight w:val="288"/>
        </w:trPr>
        <w:tc>
          <w:tcPr>
            <w:tcW w:w="740" w:type="pct"/>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PL</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1"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09"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r>
      <w:tr>
        <w:trPr>
          <w:trHeight w:val="288"/>
        </w:trPr>
        <w:tc>
          <w:tcPr>
            <w:tcW w:w="740" w:type="pct"/>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PT</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1"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09"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r>
      <w:tr>
        <w:trPr>
          <w:trHeight w:val="288"/>
        </w:trPr>
        <w:tc>
          <w:tcPr>
            <w:tcW w:w="740" w:type="pct"/>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RO</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1"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09"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r>
      <w:tr>
        <w:trPr>
          <w:trHeight w:val="288"/>
        </w:trPr>
        <w:tc>
          <w:tcPr>
            <w:tcW w:w="740" w:type="pct"/>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SI</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1"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09"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88"/>
        </w:trPr>
        <w:tc>
          <w:tcPr>
            <w:tcW w:w="740" w:type="pct"/>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SK</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1"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09"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r>
      <w:tr>
        <w:trPr>
          <w:trHeight w:val="288"/>
        </w:trPr>
        <w:tc>
          <w:tcPr>
            <w:tcW w:w="740" w:type="pct"/>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FI</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1"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09"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r>
      <w:tr>
        <w:trPr>
          <w:trHeight w:val="288"/>
        </w:trPr>
        <w:tc>
          <w:tcPr>
            <w:tcW w:w="740" w:type="pct"/>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SE</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1"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09"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r>
      <w:tr>
        <w:trPr>
          <w:trHeight w:val="288"/>
        </w:trPr>
        <w:tc>
          <w:tcPr>
            <w:tcW w:w="740" w:type="pct"/>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UK</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1"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09" w:type="pct"/>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r>
    </w:tbl>
    <w:p>
      <w:pPr>
        <w:autoSpaceDE w:val="0"/>
        <w:autoSpaceDN w:val="0"/>
        <w:adjustRightInd w:val="0"/>
        <w:spacing w:after="0"/>
        <w:rPr>
          <w:rFonts w:ascii="Times New Roman" w:hAnsi="Times New Roman" w:cs="Times New Roman"/>
          <w:i/>
          <w:noProof/>
          <w:sz w:val="16"/>
          <w:szCs w:val="16"/>
        </w:rPr>
      </w:pPr>
      <w:r>
        <w:rPr>
          <w:rFonts w:ascii="Times New Roman" w:hAnsi="Times New Roman" w:cs="Times New Roman"/>
          <w:i/>
          <w:noProof/>
          <w:sz w:val="16"/>
          <w:szCs w:val="16"/>
        </w:rPr>
        <w:t>Source: Ecorys et al. (2018) Impact Assessment support study.</w:t>
      </w:r>
    </w:p>
    <w:p>
      <w:pPr>
        <w:autoSpaceDE w:val="0"/>
        <w:autoSpaceDN w:val="0"/>
        <w:adjustRightInd w:val="0"/>
        <w:spacing w:after="0"/>
        <w:rPr>
          <w:rFonts w:ascii="Times New Roman" w:hAnsi="Times New Roman" w:cs="Times New Roman"/>
          <w:i/>
          <w:noProof/>
          <w:sz w:val="16"/>
          <w:szCs w:val="16"/>
        </w:rPr>
      </w:pPr>
      <w:r>
        <w:rPr>
          <w:rFonts w:ascii="Times New Roman" w:eastAsia="Times New Roman" w:hAnsi="Times New Roman" w:cs="Times New Roman"/>
          <w:i/>
          <w:noProof/>
          <w:sz w:val="18"/>
          <w:szCs w:val="18"/>
        </w:rPr>
        <w:t>* Waterborne transport covers inland waterways and national maritime.</w:t>
      </w:r>
    </w:p>
    <w:p>
      <w:pPr>
        <w:spacing w:before="240" w:after="0" w:line="280" w:lineRule="atLeast"/>
        <w:jc w:val="both"/>
        <w:rPr>
          <w:rFonts w:ascii="Times New Roman" w:eastAsia="Times New Roman" w:hAnsi="Times New Roman" w:cs="Times New Roman"/>
          <w:b/>
          <w:bCs/>
          <w:noProof/>
          <w:sz w:val="20"/>
          <w:szCs w:val="20"/>
          <w:lang w:eastAsia="nl-NL"/>
        </w:rPr>
      </w:pPr>
      <w:r>
        <w:rPr>
          <w:rFonts w:ascii="Times New Roman" w:eastAsia="Times New Roman" w:hAnsi="Times New Roman" w:cs="Times New Roman"/>
          <w:b/>
          <w:bCs/>
          <w:noProof/>
          <w:sz w:val="20"/>
          <w:szCs w:val="20"/>
          <w:lang w:eastAsia="nl-NL"/>
        </w:rPr>
        <w:t>Table Annex 4-4: Assumptions regarding the changes in transport costs per tonne-kilometre relative to the baseline in PO2</w:t>
      </w:r>
    </w:p>
    <w:tbl>
      <w:tblPr>
        <w:tblW w:w="5000" w:type="pct"/>
        <w:tblLook w:val="04A0" w:firstRow="1" w:lastRow="0" w:firstColumn="1" w:lastColumn="0" w:noHBand="0" w:noVBand="1"/>
      </w:tblPr>
      <w:tblGrid>
        <w:gridCol w:w="1308"/>
        <w:gridCol w:w="1255"/>
        <w:gridCol w:w="1256"/>
        <w:gridCol w:w="1254"/>
        <w:gridCol w:w="1254"/>
        <w:gridCol w:w="1254"/>
        <w:gridCol w:w="1253"/>
      </w:tblGrid>
      <w:tr>
        <w:trPr>
          <w:trHeight w:val="288"/>
          <w:tblHeader/>
        </w:trPr>
        <w:tc>
          <w:tcPr>
            <w:tcW w:w="740" w:type="pct"/>
            <w:vMerge w:val="restart"/>
            <w:tcBorders>
              <w:top w:val="single" w:sz="4" w:space="0" w:color="auto"/>
              <w:left w:val="single" w:sz="4" w:space="0" w:color="auto"/>
              <w:bottom w:val="single" w:sz="4" w:space="0" w:color="auto"/>
              <w:right w:val="single" w:sz="4" w:space="0" w:color="auto"/>
            </w:tcBorders>
            <w:shd w:val="clear" w:color="000000" w:fill="0070C0"/>
            <w:noWrap/>
            <w:vAlign w:val="bottom"/>
            <w:hideMark/>
          </w:tcPr>
          <w:p>
            <w:pPr>
              <w:spacing w:after="0" w:line="240" w:lineRule="auto"/>
              <w:jc w:val="center"/>
              <w:rPr>
                <w:rFonts w:ascii="Times New Roman" w:eastAsia="Times New Roman" w:hAnsi="Times New Roman" w:cs="Times New Roman"/>
                <w:noProof/>
                <w:color w:val="FFFFFF"/>
                <w:sz w:val="18"/>
                <w:szCs w:val="18"/>
                <w:lang w:eastAsia="en-GB"/>
              </w:rPr>
            </w:pPr>
            <w:r>
              <w:rPr>
                <w:rFonts w:ascii="Times New Roman" w:eastAsia="Times New Roman" w:hAnsi="Times New Roman" w:cs="Times New Roman"/>
                <w:noProof/>
                <w:color w:val="FFFFFF"/>
                <w:sz w:val="18"/>
                <w:szCs w:val="18"/>
                <w:lang w:eastAsia="en-GB"/>
              </w:rPr>
              <w:t> </w:t>
            </w:r>
          </w:p>
        </w:tc>
        <w:tc>
          <w:tcPr>
            <w:tcW w:w="4260" w:type="pct"/>
            <w:gridSpan w:val="6"/>
            <w:tcBorders>
              <w:top w:val="single" w:sz="4" w:space="0" w:color="auto"/>
              <w:left w:val="nil"/>
              <w:bottom w:val="single" w:sz="4" w:space="0" w:color="auto"/>
              <w:right w:val="single" w:sz="4" w:space="0" w:color="auto"/>
            </w:tcBorders>
            <w:shd w:val="clear" w:color="000000" w:fill="0070C0"/>
            <w:noWrap/>
            <w:vAlign w:val="bottom"/>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PO2</w:t>
            </w:r>
          </w:p>
        </w:tc>
      </w:tr>
      <w:tr>
        <w:trPr>
          <w:trHeight w:val="288"/>
          <w:tblHeader/>
        </w:trPr>
        <w:tc>
          <w:tcPr>
            <w:tcW w:w="740"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noProof/>
                <w:color w:val="FFFFFF"/>
                <w:sz w:val="18"/>
                <w:szCs w:val="18"/>
                <w:lang w:eastAsia="en-GB"/>
              </w:rPr>
            </w:pPr>
          </w:p>
        </w:tc>
        <w:tc>
          <w:tcPr>
            <w:tcW w:w="710"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2025</w:t>
            </w:r>
          </w:p>
        </w:tc>
        <w:tc>
          <w:tcPr>
            <w:tcW w:w="710"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2030</w:t>
            </w:r>
          </w:p>
        </w:tc>
        <w:tc>
          <w:tcPr>
            <w:tcW w:w="710"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2025</w:t>
            </w:r>
          </w:p>
        </w:tc>
        <w:tc>
          <w:tcPr>
            <w:tcW w:w="710"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2030</w:t>
            </w:r>
          </w:p>
        </w:tc>
        <w:tc>
          <w:tcPr>
            <w:tcW w:w="710"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2025</w:t>
            </w:r>
          </w:p>
        </w:tc>
        <w:tc>
          <w:tcPr>
            <w:tcW w:w="710"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2030</w:t>
            </w:r>
          </w:p>
        </w:tc>
      </w:tr>
      <w:tr>
        <w:trPr>
          <w:trHeight w:val="288"/>
          <w:tblHeader/>
        </w:trPr>
        <w:tc>
          <w:tcPr>
            <w:tcW w:w="740"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noProof/>
                <w:color w:val="FFFFFF"/>
                <w:sz w:val="18"/>
                <w:szCs w:val="18"/>
                <w:lang w:eastAsia="en-GB"/>
              </w:rPr>
            </w:pPr>
          </w:p>
        </w:tc>
        <w:tc>
          <w:tcPr>
            <w:tcW w:w="1421" w:type="pct"/>
            <w:gridSpan w:val="2"/>
            <w:tcBorders>
              <w:top w:val="single" w:sz="4" w:space="0" w:color="auto"/>
              <w:left w:val="nil"/>
              <w:bottom w:val="single" w:sz="4" w:space="0" w:color="auto"/>
              <w:right w:val="single" w:sz="4" w:space="0" w:color="auto"/>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Road</w:t>
            </w:r>
          </w:p>
        </w:tc>
        <w:tc>
          <w:tcPr>
            <w:tcW w:w="1420" w:type="pct"/>
            <w:gridSpan w:val="2"/>
            <w:tcBorders>
              <w:top w:val="single" w:sz="4" w:space="0" w:color="auto"/>
              <w:left w:val="nil"/>
              <w:bottom w:val="single" w:sz="4" w:space="0" w:color="auto"/>
              <w:right w:val="single" w:sz="4" w:space="0" w:color="auto"/>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Rail</w:t>
            </w:r>
          </w:p>
        </w:tc>
        <w:tc>
          <w:tcPr>
            <w:tcW w:w="1420" w:type="pct"/>
            <w:gridSpan w:val="2"/>
            <w:tcBorders>
              <w:top w:val="single" w:sz="4" w:space="0" w:color="auto"/>
              <w:left w:val="nil"/>
              <w:bottom w:val="single" w:sz="4" w:space="0" w:color="auto"/>
              <w:right w:val="single" w:sz="4" w:space="0" w:color="auto"/>
            </w:tcBorders>
            <w:shd w:val="clear" w:color="000000" w:fill="0070C0"/>
            <w:noWrap/>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 xml:space="preserve">Waterborne transport* </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BE</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-0.9%</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-2.1%</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-2.6%</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BG</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CZ</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-0.8%</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DK</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-1.6%</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-3.1%</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DE</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-2.7%</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EE</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-1.6%</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-3.1%</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IE</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-0.9%</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-3.0%</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EL</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-2.7%</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-4.0%</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-1.9%</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-2.6%</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ES</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-0.8%</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-1.8%</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-2.5%</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FR</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-0.9%</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-2.7%</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HR</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-2.0%</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-2.8%</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IT</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-0.7%</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-2.0%</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-2.8%</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CY</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LV</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-1.7%</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-2.3%</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LT</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-1.7%</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-2.4%</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LU</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-1.9%</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-1.8%</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HU</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-0.7%</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-0.8%</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MT</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NL</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-1.8%</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-2.9%</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AT</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-2.1%</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-2.5%</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PL</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-1.6%</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-2.2%</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PT</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-1.8%</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-2.5%</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RO</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-0.7%</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SI</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SK</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-0.8%</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-1.5%</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FI</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-0.9%</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-2.0%</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-2.8%</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SE</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-1.6%</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-2.0%</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-2.8%</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UK</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-0.7%</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-3.4%</w:t>
            </w:r>
          </w:p>
        </w:tc>
      </w:tr>
    </w:tbl>
    <w:p>
      <w:pPr>
        <w:autoSpaceDE w:val="0"/>
        <w:autoSpaceDN w:val="0"/>
        <w:adjustRightInd w:val="0"/>
        <w:spacing w:after="0"/>
        <w:rPr>
          <w:rFonts w:ascii="Times New Roman" w:hAnsi="Times New Roman" w:cs="Times New Roman"/>
          <w:i/>
          <w:noProof/>
          <w:sz w:val="16"/>
          <w:szCs w:val="16"/>
        </w:rPr>
      </w:pPr>
      <w:r>
        <w:rPr>
          <w:rFonts w:ascii="Times New Roman" w:hAnsi="Times New Roman" w:cs="Times New Roman"/>
          <w:i/>
          <w:noProof/>
          <w:sz w:val="16"/>
          <w:szCs w:val="16"/>
        </w:rPr>
        <w:t>Source: Ecorys et al. (2018) Impact Assessment support study.</w:t>
      </w:r>
    </w:p>
    <w:p>
      <w:pPr>
        <w:autoSpaceDE w:val="0"/>
        <w:autoSpaceDN w:val="0"/>
        <w:adjustRightInd w:val="0"/>
        <w:spacing w:after="0"/>
        <w:rPr>
          <w:rFonts w:ascii="Times New Roman" w:hAnsi="Times New Roman" w:cs="Times New Roman"/>
          <w:i/>
          <w:noProof/>
          <w:sz w:val="16"/>
          <w:szCs w:val="16"/>
        </w:rPr>
      </w:pPr>
      <w:r>
        <w:rPr>
          <w:rFonts w:ascii="Times New Roman" w:eastAsia="Times New Roman" w:hAnsi="Times New Roman" w:cs="Times New Roman"/>
          <w:i/>
          <w:noProof/>
          <w:sz w:val="18"/>
          <w:szCs w:val="18"/>
        </w:rPr>
        <w:t>* Waterborne transport covers inland waterways and national maritime.</w:t>
      </w:r>
    </w:p>
    <w:p>
      <w:pPr>
        <w:spacing w:before="240" w:after="0" w:line="280" w:lineRule="atLeast"/>
        <w:jc w:val="both"/>
        <w:rPr>
          <w:rFonts w:ascii="Times New Roman" w:eastAsia="Times New Roman" w:hAnsi="Times New Roman" w:cs="Times New Roman"/>
          <w:b/>
          <w:bCs/>
          <w:noProof/>
          <w:sz w:val="20"/>
          <w:szCs w:val="20"/>
          <w:lang w:eastAsia="nl-NL"/>
        </w:rPr>
      </w:pPr>
      <w:r>
        <w:rPr>
          <w:rFonts w:ascii="Times New Roman" w:eastAsia="Times New Roman" w:hAnsi="Times New Roman" w:cs="Times New Roman"/>
          <w:b/>
          <w:bCs/>
          <w:noProof/>
          <w:sz w:val="20"/>
          <w:szCs w:val="20"/>
          <w:lang w:eastAsia="nl-NL"/>
        </w:rPr>
        <w:t>Table Annex 4-5: Assumptions regarding the changes in transport costs per tonne-kilometre relative to the baseline in PO3/PO4</w:t>
      </w:r>
    </w:p>
    <w:tbl>
      <w:tblPr>
        <w:tblW w:w="5000" w:type="pct"/>
        <w:tblLook w:val="04A0" w:firstRow="1" w:lastRow="0" w:firstColumn="1" w:lastColumn="0" w:noHBand="0" w:noVBand="1"/>
      </w:tblPr>
      <w:tblGrid>
        <w:gridCol w:w="1308"/>
        <w:gridCol w:w="1255"/>
        <w:gridCol w:w="1256"/>
        <w:gridCol w:w="1254"/>
        <w:gridCol w:w="1254"/>
        <w:gridCol w:w="1254"/>
        <w:gridCol w:w="1253"/>
      </w:tblGrid>
      <w:tr>
        <w:trPr>
          <w:trHeight w:val="288"/>
          <w:tblHeader/>
        </w:trPr>
        <w:tc>
          <w:tcPr>
            <w:tcW w:w="740" w:type="pct"/>
            <w:vMerge w:val="restart"/>
            <w:tcBorders>
              <w:top w:val="single" w:sz="4" w:space="0" w:color="auto"/>
              <w:left w:val="single" w:sz="4" w:space="0" w:color="auto"/>
              <w:bottom w:val="single" w:sz="4" w:space="0" w:color="auto"/>
              <w:right w:val="single" w:sz="4" w:space="0" w:color="auto"/>
            </w:tcBorders>
            <w:shd w:val="clear" w:color="000000" w:fill="0070C0"/>
            <w:noWrap/>
            <w:vAlign w:val="bottom"/>
            <w:hideMark/>
          </w:tcPr>
          <w:p>
            <w:pPr>
              <w:spacing w:after="0" w:line="240" w:lineRule="auto"/>
              <w:jc w:val="center"/>
              <w:rPr>
                <w:rFonts w:ascii="Times New Roman" w:eastAsia="Times New Roman" w:hAnsi="Times New Roman" w:cs="Times New Roman"/>
                <w:noProof/>
                <w:color w:val="FFFFFF"/>
                <w:sz w:val="18"/>
                <w:szCs w:val="18"/>
                <w:lang w:eastAsia="en-GB"/>
              </w:rPr>
            </w:pPr>
            <w:r>
              <w:rPr>
                <w:rFonts w:ascii="Times New Roman" w:eastAsia="Times New Roman" w:hAnsi="Times New Roman" w:cs="Times New Roman"/>
                <w:noProof/>
                <w:color w:val="FFFFFF"/>
                <w:sz w:val="18"/>
                <w:szCs w:val="18"/>
                <w:lang w:eastAsia="en-GB"/>
              </w:rPr>
              <w:t> </w:t>
            </w:r>
          </w:p>
        </w:tc>
        <w:tc>
          <w:tcPr>
            <w:tcW w:w="4260" w:type="pct"/>
            <w:gridSpan w:val="6"/>
            <w:tcBorders>
              <w:top w:val="single" w:sz="4" w:space="0" w:color="auto"/>
              <w:left w:val="nil"/>
              <w:bottom w:val="single" w:sz="4" w:space="0" w:color="auto"/>
              <w:right w:val="single" w:sz="4" w:space="0" w:color="auto"/>
            </w:tcBorders>
            <w:shd w:val="clear" w:color="000000" w:fill="0070C0"/>
            <w:noWrap/>
            <w:vAlign w:val="bottom"/>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PO3/PO4</w:t>
            </w:r>
          </w:p>
        </w:tc>
      </w:tr>
      <w:tr>
        <w:trPr>
          <w:trHeight w:val="288"/>
          <w:tblHeader/>
        </w:trPr>
        <w:tc>
          <w:tcPr>
            <w:tcW w:w="740"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noProof/>
                <w:color w:val="FFFFFF"/>
                <w:sz w:val="18"/>
                <w:szCs w:val="18"/>
                <w:lang w:eastAsia="en-GB"/>
              </w:rPr>
            </w:pPr>
          </w:p>
        </w:tc>
        <w:tc>
          <w:tcPr>
            <w:tcW w:w="710"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2025</w:t>
            </w:r>
          </w:p>
        </w:tc>
        <w:tc>
          <w:tcPr>
            <w:tcW w:w="710"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2030</w:t>
            </w:r>
          </w:p>
        </w:tc>
        <w:tc>
          <w:tcPr>
            <w:tcW w:w="710"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2025</w:t>
            </w:r>
          </w:p>
        </w:tc>
        <w:tc>
          <w:tcPr>
            <w:tcW w:w="710"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2030</w:t>
            </w:r>
          </w:p>
        </w:tc>
        <w:tc>
          <w:tcPr>
            <w:tcW w:w="710"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2025</w:t>
            </w:r>
          </w:p>
        </w:tc>
        <w:tc>
          <w:tcPr>
            <w:tcW w:w="710"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2030</w:t>
            </w:r>
          </w:p>
        </w:tc>
      </w:tr>
      <w:tr>
        <w:trPr>
          <w:trHeight w:val="288"/>
          <w:tblHeader/>
        </w:trPr>
        <w:tc>
          <w:tcPr>
            <w:tcW w:w="740"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noProof/>
                <w:color w:val="FFFFFF"/>
                <w:sz w:val="18"/>
                <w:szCs w:val="18"/>
                <w:lang w:eastAsia="en-GB"/>
              </w:rPr>
            </w:pPr>
          </w:p>
        </w:tc>
        <w:tc>
          <w:tcPr>
            <w:tcW w:w="1421" w:type="pct"/>
            <w:gridSpan w:val="2"/>
            <w:tcBorders>
              <w:top w:val="single" w:sz="4" w:space="0" w:color="auto"/>
              <w:left w:val="nil"/>
              <w:bottom w:val="single" w:sz="4" w:space="0" w:color="auto"/>
              <w:right w:val="single" w:sz="4" w:space="0" w:color="auto"/>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Road</w:t>
            </w:r>
          </w:p>
        </w:tc>
        <w:tc>
          <w:tcPr>
            <w:tcW w:w="1420" w:type="pct"/>
            <w:gridSpan w:val="2"/>
            <w:tcBorders>
              <w:top w:val="single" w:sz="4" w:space="0" w:color="auto"/>
              <w:left w:val="nil"/>
              <w:bottom w:val="single" w:sz="4" w:space="0" w:color="auto"/>
              <w:right w:val="single" w:sz="4" w:space="0" w:color="auto"/>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Rail</w:t>
            </w:r>
          </w:p>
        </w:tc>
        <w:tc>
          <w:tcPr>
            <w:tcW w:w="1420" w:type="pct"/>
            <w:gridSpan w:val="2"/>
            <w:tcBorders>
              <w:top w:val="single" w:sz="4" w:space="0" w:color="auto"/>
              <w:left w:val="nil"/>
              <w:bottom w:val="single" w:sz="4" w:space="0" w:color="auto"/>
              <w:right w:val="single" w:sz="4" w:space="0" w:color="auto"/>
            </w:tcBorders>
            <w:shd w:val="clear" w:color="000000" w:fill="0070C0"/>
            <w:noWrap/>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 xml:space="preserve">Waterborne transport* </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BE</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-1.6%</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-3.7%</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-4.2%</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BG</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-0.9%</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CZ</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DK</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-0.9%</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-2.8%</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-4.3%</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DE</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-1.7%</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-3.9%</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-4.4%</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EE</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-1.6%</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-1.9%</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-4.2%</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IE</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-0.9%</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-1.6%</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-4.2%</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EL</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-3.8%</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-2.9%</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-3.6%</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ES</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-2.7%</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-3.4%</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FR</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-1.6%</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-3.7%</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-4.3%</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HR</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-3.1%</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-3.9%</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IT</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-0.7%</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-0.8%</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-3.1%</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-3.9%</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CY</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LV</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-3.2%</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LT</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-2.6%</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-3.3%</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LU</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-1.8%</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-2.1%</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-2.7%</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-3.1%</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HU</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-0.7%</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-1.4%</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MT</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NL</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-1.7%</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-2.1%</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-4.1%</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-4.7%</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AT</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-1.7%</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-3.7%</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-4.2%</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PL</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-0.7%</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-3.0%</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PT</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-2.7%</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-3.4%</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RO</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-1.2%</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SI</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-1.7%</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SK</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-0.7%</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-2.5%</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FI</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-0.9%</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-3.1%</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-3.9%</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SE</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-1.9%</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-3.0%</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-3.8%</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UK</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-3.7%</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-4.7%</w:t>
            </w:r>
          </w:p>
        </w:tc>
      </w:tr>
    </w:tbl>
    <w:p>
      <w:pPr>
        <w:autoSpaceDE w:val="0"/>
        <w:autoSpaceDN w:val="0"/>
        <w:adjustRightInd w:val="0"/>
        <w:spacing w:after="0"/>
        <w:rPr>
          <w:rFonts w:ascii="Times New Roman" w:hAnsi="Times New Roman" w:cs="Times New Roman"/>
          <w:i/>
          <w:noProof/>
          <w:sz w:val="16"/>
          <w:szCs w:val="16"/>
        </w:rPr>
      </w:pPr>
      <w:r>
        <w:rPr>
          <w:rFonts w:ascii="Times New Roman" w:hAnsi="Times New Roman" w:cs="Times New Roman"/>
          <w:i/>
          <w:noProof/>
          <w:sz w:val="16"/>
          <w:szCs w:val="16"/>
        </w:rPr>
        <w:t>Source: Ecorys et al. (2018) Impact Assessment support study.</w:t>
      </w:r>
    </w:p>
    <w:p>
      <w:pPr>
        <w:autoSpaceDE w:val="0"/>
        <w:autoSpaceDN w:val="0"/>
        <w:adjustRightInd w:val="0"/>
        <w:spacing w:after="0"/>
        <w:rPr>
          <w:rFonts w:ascii="Times New Roman" w:hAnsi="Times New Roman" w:cs="Times New Roman"/>
          <w:i/>
          <w:noProof/>
          <w:sz w:val="16"/>
          <w:szCs w:val="16"/>
        </w:rPr>
      </w:pPr>
      <w:r>
        <w:rPr>
          <w:rFonts w:ascii="Times New Roman" w:eastAsia="Times New Roman" w:hAnsi="Times New Roman" w:cs="Times New Roman"/>
          <w:i/>
          <w:noProof/>
          <w:sz w:val="18"/>
          <w:szCs w:val="18"/>
        </w:rPr>
        <w:t>* Waterborne transport covers inland waterways and national maritime.</w:t>
      </w:r>
    </w:p>
    <w:p>
      <w:pPr>
        <w:spacing w:before="240" w:after="0" w:line="280" w:lineRule="atLeast"/>
        <w:jc w:val="both"/>
        <w:rPr>
          <w:rFonts w:ascii="Times New Roman" w:eastAsia="Times New Roman" w:hAnsi="Times New Roman" w:cs="Times New Roman"/>
          <w:b/>
          <w:bCs/>
          <w:noProof/>
          <w:sz w:val="20"/>
          <w:szCs w:val="20"/>
          <w:lang w:eastAsia="nl-NL"/>
        </w:rPr>
      </w:pPr>
      <w:r>
        <w:rPr>
          <w:rFonts w:ascii="Times New Roman" w:eastAsia="Times New Roman" w:hAnsi="Times New Roman" w:cs="Times New Roman"/>
          <w:b/>
          <w:bCs/>
          <w:noProof/>
          <w:sz w:val="20"/>
          <w:szCs w:val="20"/>
          <w:lang w:eastAsia="nl-NL"/>
        </w:rPr>
        <w:t>Table Annex 4-6: Assumptions regarding the changes in transport costs per tonne-kilometre relative to the baseline in PO3a/PO4a</w:t>
      </w:r>
    </w:p>
    <w:tbl>
      <w:tblPr>
        <w:tblW w:w="5000" w:type="pct"/>
        <w:tblLook w:val="04A0" w:firstRow="1" w:lastRow="0" w:firstColumn="1" w:lastColumn="0" w:noHBand="0" w:noVBand="1"/>
      </w:tblPr>
      <w:tblGrid>
        <w:gridCol w:w="1308"/>
        <w:gridCol w:w="1255"/>
        <w:gridCol w:w="1256"/>
        <w:gridCol w:w="1254"/>
        <w:gridCol w:w="1254"/>
        <w:gridCol w:w="1254"/>
        <w:gridCol w:w="1253"/>
      </w:tblGrid>
      <w:tr>
        <w:trPr>
          <w:trHeight w:val="288"/>
          <w:tblHeader/>
        </w:trPr>
        <w:tc>
          <w:tcPr>
            <w:tcW w:w="740" w:type="pct"/>
            <w:vMerge w:val="restart"/>
            <w:tcBorders>
              <w:top w:val="single" w:sz="4" w:space="0" w:color="auto"/>
              <w:left w:val="single" w:sz="4" w:space="0" w:color="auto"/>
              <w:bottom w:val="single" w:sz="4" w:space="0" w:color="auto"/>
              <w:right w:val="single" w:sz="4" w:space="0" w:color="auto"/>
            </w:tcBorders>
            <w:shd w:val="clear" w:color="000000" w:fill="0070C0"/>
            <w:noWrap/>
            <w:vAlign w:val="bottom"/>
            <w:hideMark/>
          </w:tcPr>
          <w:p>
            <w:pPr>
              <w:spacing w:after="0" w:line="240" w:lineRule="auto"/>
              <w:jc w:val="center"/>
              <w:rPr>
                <w:rFonts w:ascii="Times New Roman" w:eastAsia="Times New Roman" w:hAnsi="Times New Roman" w:cs="Times New Roman"/>
                <w:noProof/>
                <w:color w:val="FFFFFF"/>
                <w:sz w:val="18"/>
                <w:szCs w:val="18"/>
                <w:lang w:eastAsia="en-GB"/>
              </w:rPr>
            </w:pPr>
            <w:r>
              <w:rPr>
                <w:rFonts w:ascii="Times New Roman" w:eastAsia="Times New Roman" w:hAnsi="Times New Roman" w:cs="Times New Roman"/>
                <w:noProof/>
                <w:color w:val="FFFFFF"/>
                <w:sz w:val="18"/>
                <w:szCs w:val="18"/>
                <w:lang w:eastAsia="en-GB"/>
              </w:rPr>
              <w:t> </w:t>
            </w:r>
          </w:p>
        </w:tc>
        <w:tc>
          <w:tcPr>
            <w:tcW w:w="4260" w:type="pct"/>
            <w:gridSpan w:val="6"/>
            <w:tcBorders>
              <w:top w:val="single" w:sz="4" w:space="0" w:color="auto"/>
              <w:left w:val="nil"/>
              <w:bottom w:val="single" w:sz="4" w:space="0" w:color="auto"/>
              <w:right w:val="single" w:sz="4" w:space="0" w:color="auto"/>
            </w:tcBorders>
            <w:shd w:val="clear" w:color="000000" w:fill="0070C0"/>
            <w:noWrap/>
            <w:vAlign w:val="bottom"/>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PO3a/PO4a</w:t>
            </w:r>
          </w:p>
        </w:tc>
      </w:tr>
      <w:tr>
        <w:trPr>
          <w:trHeight w:val="288"/>
          <w:tblHeader/>
        </w:trPr>
        <w:tc>
          <w:tcPr>
            <w:tcW w:w="740"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noProof/>
                <w:color w:val="FFFFFF"/>
                <w:sz w:val="18"/>
                <w:szCs w:val="18"/>
                <w:lang w:eastAsia="en-GB"/>
              </w:rPr>
            </w:pPr>
          </w:p>
        </w:tc>
        <w:tc>
          <w:tcPr>
            <w:tcW w:w="710"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2025</w:t>
            </w:r>
          </w:p>
        </w:tc>
        <w:tc>
          <w:tcPr>
            <w:tcW w:w="711"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2030</w:t>
            </w:r>
          </w:p>
        </w:tc>
        <w:tc>
          <w:tcPr>
            <w:tcW w:w="710"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2025</w:t>
            </w:r>
          </w:p>
        </w:tc>
        <w:tc>
          <w:tcPr>
            <w:tcW w:w="710"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2030</w:t>
            </w:r>
          </w:p>
        </w:tc>
        <w:tc>
          <w:tcPr>
            <w:tcW w:w="710"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2025</w:t>
            </w:r>
          </w:p>
        </w:tc>
        <w:tc>
          <w:tcPr>
            <w:tcW w:w="709"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2030</w:t>
            </w:r>
          </w:p>
        </w:tc>
      </w:tr>
      <w:tr>
        <w:trPr>
          <w:trHeight w:val="288"/>
          <w:tblHeader/>
        </w:trPr>
        <w:tc>
          <w:tcPr>
            <w:tcW w:w="740"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noProof/>
                <w:color w:val="FFFFFF"/>
                <w:sz w:val="18"/>
                <w:szCs w:val="18"/>
                <w:lang w:eastAsia="en-GB"/>
              </w:rPr>
            </w:pPr>
          </w:p>
        </w:tc>
        <w:tc>
          <w:tcPr>
            <w:tcW w:w="1421" w:type="pct"/>
            <w:gridSpan w:val="2"/>
            <w:tcBorders>
              <w:top w:val="single" w:sz="4" w:space="0" w:color="auto"/>
              <w:left w:val="nil"/>
              <w:bottom w:val="single" w:sz="4" w:space="0" w:color="auto"/>
              <w:right w:val="single" w:sz="4" w:space="0" w:color="auto"/>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Road</w:t>
            </w:r>
          </w:p>
        </w:tc>
        <w:tc>
          <w:tcPr>
            <w:tcW w:w="1420" w:type="pct"/>
            <w:gridSpan w:val="2"/>
            <w:tcBorders>
              <w:top w:val="single" w:sz="4" w:space="0" w:color="auto"/>
              <w:left w:val="nil"/>
              <w:bottom w:val="single" w:sz="4" w:space="0" w:color="auto"/>
              <w:right w:val="single" w:sz="4" w:space="0" w:color="auto"/>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Rail</w:t>
            </w:r>
          </w:p>
        </w:tc>
        <w:tc>
          <w:tcPr>
            <w:tcW w:w="1419" w:type="pct"/>
            <w:gridSpan w:val="2"/>
            <w:tcBorders>
              <w:top w:val="single" w:sz="4" w:space="0" w:color="auto"/>
              <w:left w:val="nil"/>
              <w:bottom w:val="single" w:sz="4" w:space="0" w:color="auto"/>
              <w:right w:val="single" w:sz="4" w:space="0" w:color="auto"/>
            </w:tcBorders>
            <w:shd w:val="clear" w:color="000000" w:fill="0070C0"/>
            <w:noWrap/>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 xml:space="preserve">Waterborne transport* </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BE</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1"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-3.2%</w:t>
            </w:r>
          </w:p>
        </w:tc>
        <w:tc>
          <w:tcPr>
            <w:tcW w:w="709"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-3.7%</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BG</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1"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-0.8%</w:t>
            </w:r>
          </w:p>
        </w:tc>
        <w:tc>
          <w:tcPr>
            <w:tcW w:w="709"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-0.9%</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CZ</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1"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-0.9%</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09"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DK</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1"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-0.7%</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-2.0%</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-2.9%</w:t>
            </w:r>
          </w:p>
        </w:tc>
        <w:tc>
          <w:tcPr>
            <w:tcW w:w="709"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-3.8%</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DE</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1"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-3.3%</w:t>
            </w:r>
          </w:p>
        </w:tc>
        <w:tc>
          <w:tcPr>
            <w:tcW w:w="709"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-3.8%</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EE</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1"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-1.6%</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-2.9%</w:t>
            </w:r>
          </w:p>
        </w:tc>
        <w:tc>
          <w:tcPr>
            <w:tcW w:w="709"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-3.8%</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IE</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11"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-0.7%</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-2.9%</w:t>
            </w:r>
          </w:p>
        </w:tc>
        <w:tc>
          <w:tcPr>
            <w:tcW w:w="709"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-3.7%</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EL</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1"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-4.0%</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-2.5%</w:t>
            </w:r>
          </w:p>
        </w:tc>
        <w:tc>
          <w:tcPr>
            <w:tcW w:w="709"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-3.2%</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ES</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1"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-2.4%</w:t>
            </w:r>
          </w:p>
        </w:tc>
        <w:tc>
          <w:tcPr>
            <w:tcW w:w="709"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-3.1%</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FR</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1"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-3.0%</w:t>
            </w:r>
          </w:p>
        </w:tc>
        <w:tc>
          <w:tcPr>
            <w:tcW w:w="709"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-3.6%</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HR</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1"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-2.7%</w:t>
            </w:r>
          </w:p>
        </w:tc>
        <w:tc>
          <w:tcPr>
            <w:tcW w:w="709"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-3.4%</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IT</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1"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-0.7%</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-2.7%</w:t>
            </w:r>
          </w:p>
        </w:tc>
        <w:tc>
          <w:tcPr>
            <w:tcW w:w="709"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-3.4%</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CY</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1"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09"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LV</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1"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-2.2%</w:t>
            </w:r>
          </w:p>
        </w:tc>
        <w:tc>
          <w:tcPr>
            <w:tcW w:w="709"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-2.8%</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LT</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1"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-2.2%</w:t>
            </w:r>
          </w:p>
        </w:tc>
        <w:tc>
          <w:tcPr>
            <w:tcW w:w="709"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-2.9%</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LU</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1"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-1.6%</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-1.9%</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-2.3%</w:t>
            </w:r>
          </w:p>
        </w:tc>
        <w:tc>
          <w:tcPr>
            <w:tcW w:w="709"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-2.7%</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HU</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1"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w:t>
            </w:r>
          </w:p>
        </w:tc>
        <w:tc>
          <w:tcPr>
            <w:tcW w:w="709"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-1.2%</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MT</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1"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09"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NL</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1"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-1.8%</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-3.4%</w:t>
            </w:r>
          </w:p>
        </w:tc>
        <w:tc>
          <w:tcPr>
            <w:tcW w:w="709"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-4.0%</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AT</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1"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-3.2%</w:t>
            </w:r>
          </w:p>
        </w:tc>
        <w:tc>
          <w:tcPr>
            <w:tcW w:w="709"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-3.6%</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PL</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1"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-2.1%</w:t>
            </w:r>
          </w:p>
        </w:tc>
        <w:tc>
          <w:tcPr>
            <w:tcW w:w="709"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-2.7%</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PT</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1"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-2.4%</w:t>
            </w:r>
          </w:p>
        </w:tc>
        <w:tc>
          <w:tcPr>
            <w:tcW w:w="709"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-3.1%</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RO</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11"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-0.9%</w:t>
            </w:r>
          </w:p>
        </w:tc>
        <w:tc>
          <w:tcPr>
            <w:tcW w:w="709"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SI</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1"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09"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SK</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11"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-1.2%</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-1.9%</w:t>
            </w:r>
          </w:p>
        </w:tc>
        <w:tc>
          <w:tcPr>
            <w:tcW w:w="709"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-2.2%</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FI</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1"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-0.7%</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-0.9%</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-2.7%</w:t>
            </w:r>
          </w:p>
        </w:tc>
        <w:tc>
          <w:tcPr>
            <w:tcW w:w="709"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-3.4%</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SE</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1"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-1.3%</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-1.6%</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-2.6%</w:t>
            </w:r>
          </w:p>
        </w:tc>
        <w:tc>
          <w:tcPr>
            <w:tcW w:w="709"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-3.4%</w:t>
            </w:r>
          </w:p>
        </w:tc>
      </w:tr>
      <w:tr>
        <w:trPr>
          <w:trHeight w:val="288"/>
        </w:trPr>
        <w:tc>
          <w:tcPr>
            <w:tcW w:w="740"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UK</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11"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-0.8%</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w:t>
            </w:r>
          </w:p>
        </w:tc>
        <w:tc>
          <w:tcPr>
            <w:tcW w:w="710"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-3.2%</w:t>
            </w:r>
          </w:p>
        </w:tc>
        <w:tc>
          <w:tcPr>
            <w:tcW w:w="709"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-4.2%</w:t>
            </w:r>
          </w:p>
        </w:tc>
      </w:tr>
    </w:tbl>
    <w:p>
      <w:pPr>
        <w:autoSpaceDE w:val="0"/>
        <w:autoSpaceDN w:val="0"/>
        <w:adjustRightInd w:val="0"/>
        <w:spacing w:after="0"/>
        <w:rPr>
          <w:rFonts w:ascii="Times New Roman" w:hAnsi="Times New Roman" w:cs="Times New Roman"/>
          <w:i/>
          <w:noProof/>
          <w:sz w:val="16"/>
          <w:szCs w:val="16"/>
        </w:rPr>
      </w:pPr>
      <w:r>
        <w:rPr>
          <w:rFonts w:ascii="Times New Roman" w:hAnsi="Times New Roman" w:cs="Times New Roman"/>
          <w:i/>
          <w:noProof/>
          <w:sz w:val="16"/>
          <w:szCs w:val="16"/>
        </w:rPr>
        <w:t>Source: Ecorys et al. (2018) Impact Assessment support study.</w:t>
      </w:r>
    </w:p>
    <w:p>
      <w:pPr>
        <w:autoSpaceDE w:val="0"/>
        <w:autoSpaceDN w:val="0"/>
        <w:adjustRightInd w:val="0"/>
        <w:spacing w:after="0"/>
        <w:rPr>
          <w:rFonts w:ascii="Times New Roman" w:hAnsi="Times New Roman" w:cs="Times New Roman"/>
          <w:i/>
          <w:noProof/>
          <w:sz w:val="16"/>
          <w:szCs w:val="16"/>
        </w:rPr>
      </w:pPr>
      <w:r>
        <w:rPr>
          <w:rFonts w:ascii="Times New Roman" w:eastAsia="Times New Roman" w:hAnsi="Times New Roman" w:cs="Times New Roman"/>
          <w:i/>
          <w:noProof/>
          <w:sz w:val="18"/>
          <w:szCs w:val="18"/>
        </w:rPr>
        <w:t>* Waterborne transport covers inland waterways and national maritime.</w:t>
      </w:r>
    </w:p>
    <w:p>
      <w:pPr>
        <w:spacing w:before="240" w:after="0" w:line="280" w:lineRule="atLeast"/>
        <w:jc w:val="both"/>
        <w:rPr>
          <w:rFonts w:ascii="Times New Roman" w:eastAsia="Times New Roman" w:hAnsi="Times New Roman" w:cs="Times New Roman"/>
          <w:b/>
          <w:bCs/>
          <w:noProof/>
          <w:sz w:val="20"/>
          <w:szCs w:val="20"/>
          <w:lang w:eastAsia="nl-NL"/>
        </w:rPr>
      </w:pPr>
      <w:r>
        <w:rPr>
          <w:rFonts w:ascii="Times New Roman" w:eastAsia="Times New Roman" w:hAnsi="Times New Roman" w:cs="Times New Roman"/>
          <w:b/>
          <w:bCs/>
          <w:noProof/>
          <w:sz w:val="20"/>
          <w:szCs w:val="20"/>
          <w:lang w:eastAsia="nl-NL"/>
        </w:rPr>
        <w:t>Table Annex 4-7: Assumptions regarding the transport time savings relative to the baseline in PO1</w:t>
      </w:r>
    </w:p>
    <w:tbl>
      <w:tblPr>
        <w:tblW w:w="5000" w:type="pct"/>
        <w:tblLook w:val="04A0" w:firstRow="1" w:lastRow="0" w:firstColumn="1" w:lastColumn="0" w:noHBand="0" w:noVBand="1"/>
      </w:tblPr>
      <w:tblGrid>
        <w:gridCol w:w="1172"/>
        <w:gridCol w:w="1278"/>
        <w:gridCol w:w="1277"/>
        <w:gridCol w:w="1277"/>
        <w:gridCol w:w="1277"/>
        <w:gridCol w:w="1277"/>
        <w:gridCol w:w="1276"/>
      </w:tblGrid>
      <w:tr>
        <w:trPr>
          <w:trHeight w:val="240"/>
          <w:tblHeader/>
        </w:trPr>
        <w:tc>
          <w:tcPr>
            <w:tcW w:w="663" w:type="pct"/>
            <w:vMerge w:val="restart"/>
            <w:tcBorders>
              <w:top w:val="single" w:sz="4" w:space="0" w:color="auto"/>
              <w:left w:val="single" w:sz="4" w:space="0" w:color="auto"/>
              <w:bottom w:val="single" w:sz="4" w:space="0" w:color="auto"/>
              <w:right w:val="single" w:sz="4" w:space="0" w:color="auto"/>
            </w:tcBorders>
            <w:shd w:val="clear" w:color="000000" w:fill="0070C0"/>
            <w:noWrap/>
            <w:vAlign w:val="bottom"/>
            <w:hideMark/>
          </w:tcPr>
          <w:p>
            <w:pPr>
              <w:spacing w:after="0" w:line="240" w:lineRule="auto"/>
              <w:jc w:val="center"/>
              <w:rPr>
                <w:rFonts w:ascii="Times New Roman" w:eastAsia="Times New Roman" w:hAnsi="Times New Roman" w:cs="Times New Roman"/>
                <w:noProof/>
                <w:color w:val="FFFFFF"/>
                <w:sz w:val="18"/>
                <w:szCs w:val="18"/>
                <w:lang w:eastAsia="en-GB"/>
              </w:rPr>
            </w:pPr>
            <w:r>
              <w:rPr>
                <w:rFonts w:ascii="Times New Roman" w:eastAsia="Times New Roman" w:hAnsi="Times New Roman" w:cs="Times New Roman"/>
                <w:noProof/>
                <w:color w:val="FFFFFF"/>
                <w:sz w:val="18"/>
                <w:szCs w:val="18"/>
                <w:lang w:eastAsia="en-GB"/>
              </w:rPr>
              <w:t> </w:t>
            </w:r>
          </w:p>
        </w:tc>
        <w:tc>
          <w:tcPr>
            <w:tcW w:w="4337" w:type="pct"/>
            <w:gridSpan w:val="6"/>
            <w:tcBorders>
              <w:top w:val="single" w:sz="4" w:space="0" w:color="auto"/>
              <w:left w:val="nil"/>
              <w:bottom w:val="single" w:sz="4" w:space="0" w:color="auto"/>
              <w:right w:val="single" w:sz="4" w:space="0" w:color="auto"/>
            </w:tcBorders>
            <w:shd w:val="clear" w:color="000000" w:fill="0070C0"/>
            <w:noWrap/>
            <w:vAlign w:val="bottom"/>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PO1</w:t>
            </w:r>
          </w:p>
        </w:tc>
      </w:tr>
      <w:tr>
        <w:trPr>
          <w:trHeight w:val="240"/>
          <w:tblHeader/>
        </w:trPr>
        <w:tc>
          <w:tcPr>
            <w:tcW w:w="663"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noProof/>
                <w:color w:val="FFFFFF"/>
                <w:sz w:val="18"/>
                <w:szCs w:val="18"/>
                <w:lang w:eastAsia="en-GB"/>
              </w:rPr>
            </w:pPr>
          </w:p>
        </w:tc>
        <w:tc>
          <w:tcPr>
            <w:tcW w:w="723"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2025</w:t>
            </w:r>
          </w:p>
        </w:tc>
        <w:tc>
          <w:tcPr>
            <w:tcW w:w="723"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2030</w:t>
            </w:r>
          </w:p>
        </w:tc>
        <w:tc>
          <w:tcPr>
            <w:tcW w:w="723"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2025</w:t>
            </w:r>
          </w:p>
        </w:tc>
        <w:tc>
          <w:tcPr>
            <w:tcW w:w="723"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2030</w:t>
            </w:r>
          </w:p>
        </w:tc>
        <w:tc>
          <w:tcPr>
            <w:tcW w:w="723"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2025</w:t>
            </w:r>
          </w:p>
        </w:tc>
        <w:tc>
          <w:tcPr>
            <w:tcW w:w="723"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2030</w:t>
            </w:r>
          </w:p>
        </w:tc>
      </w:tr>
      <w:tr>
        <w:trPr>
          <w:trHeight w:val="240"/>
          <w:tblHeader/>
        </w:trPr>
        <w:tc>
          <w:tcPr>
            <w:tcW w:w="663"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noProof/>
                <w:color w:val="FFFFFF"/>
                <w:sz w:val="18"/>
                <w:szCs w:val="18"/>
                <w:lang w:eastAsia="en-GB"/>
              </w:rPr>
            </w:pPr>
          </w:p>
        </w:tc>
        <w:tc>
          <w:tcPr>
            <w:tcW w:w="1446" w:type="pct"/>
            <w:gridSpan w:val="2"/>
            <w:tcBorders>
              <w:top w:val="single" w:sz="4" w:space="0" w:color="auto"/>
              <w:left w:val="nil"/>
              <w:bottom w:val="single" w:sz="4" w:space="0" w:color="auto"/>
              <w:right w:val="single" w:sz="4" w:space="0" w:color="auto"/>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Road</w:t>
            </w:r>
          </w:p>
        </w:tc>
        <w:tc>
          <w:tcPr>
            <w:tcW w:w="1446" w:type="pct"/>
            <w:gridSpan w:val="2"/>
            <w:tcBorders>
              <w:top w:val="single" w:sz="4" w:space="0" w:color="auto"/>
              <w:left w:val="nil"/>
              <w:bottom w:val="single" w:sz="4" w:space="0" w:color="auto"/>
              <w:right w:val="single" w:sz="4" w:space="0" w:color="auto"/>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Rail</w:t>
            </w:r>
          </w:p>
        </w:tc>
        <w:tc>
          <w:tcPr>
            <w:tcW w:w="1446" w:type="pct"/>
            <w:gridSpan w:val="2"/>
            <w:tcBorders>
              <w:top w:val="single" w:sz="4" w:space="0" w:color="auto"/>
              <w:left w:val="nil"/>
              <w:bottom w:val="single" w:sz="4" w:space="0" w:color="auto"/>
              <w:right w:val="single" w:sz="4" w:space="0" w:color="auto"/>
            </w:tcBorders>
            <w:shd w:val="clear" w:color="000000" w:fill="0070C0"/>
            <w:noWrap/>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 xml:space="preserve">Waterborne transport* </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BE</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BG</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CZ</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DK</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DE</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EE</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IE</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EL</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ES</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FR</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HR</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IT</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CY</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LV</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LT</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LU</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HU</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MT</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NL</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AT</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PL</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PT</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RO</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SI</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SK</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FI</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SE</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UK</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bl>
    <w:p>
      <w:pPr>
        <w:autoSpaceDE w:val="0"/>
        <w:autoSpaceDN w:val="0"/>
        <w:adjustRightInd w:val="0"/>
        <w:spacing w:after="0"/>
        <w:rPr>
          <w:rFonts w:ascii="Times New Roman" w:hAnsi="Times New Roman" w:cs="Times New Roman"/>
          <w:i/>
          <w:noProof/>
          <w:sz w:val="16"/>
          <w:szCs w:val="16"/>
        </w:rPr>
      </w:pPr>
      <w:r>
        <w:rPr>
          <w:rFonts w:ascii="Times New Roman" w:hAnsi="Times New Roman" w:cs="Times New Roman"/>
          <w:i/>
          <w:noProof/>
          <w:sz w:val="16"/>
          <w:szCs w:val="16"/>
        </w:rPr>
        <w:t>Source: Ecorys et al. (2018) Impact Assessment support study.</w:t>
      </w:r>
    </w:p>
    <w:p>
      <w:pPr>
        <w:autoSpaceDE w:val="0"/>
        <w:autoSpaceDN w:val="0"/>
        <w:adjustRightInd w:val="0"/>
        <w:spacing w:after="0"/>
        <w:rPr>
          <w:rFonts w:ascii="Times New Roman" w:hAnsi="Times New Roman" w:cs="Times New Roman"/>
          <w:i/>
          <w:noProof/>
          <w:sz w:val="16"/>
          <w:szCs w:val="16"/>
        </w:rPr>
      </w:pPr>
      <w:r>
        <w:rPr>
          <w:rFonts w:ascii="Times New Roman" w:eastAsia="Times New Roman" w:hAnsi="Times New Roman" w:cs="Times New Roman"/>
          <w:i/>
          <w:noProof/>
          <w:sz w:val="18"/>
          <w:szCs w:val="18"/>
        </w:rPr>
        <w:t>* Waterborne transport covers inland waterways and national maritime.</w:t>
      </w:r>
    </w:p>
    <w:p>
      <w:pPr>
        <w:spacing w:before="240" w:after="0" w:line="280" w:lineRule="atLeast"/>
        <w:jc w:val="both"/>
        <w:rPr>
          <w:rFonts w:ascii="Times New Roman" w:eastAsia="Times New Roman" w:hAnsi="Times New Roman" w:cs="Times New Roman"/>
          <w:b/>
          <w:bCs/>
          <w:noProof/>
          <w:sz w:val="20"/>
          <w:szCs w:val="20"/>
          <w:lang w:eastAsia="nl-NL"/>
        </w:rPr>
      </w:pPr>
      <w:r>
        <w:rPr>
          <w:rFonts w:ascii="Times New Roman" w:eastAsia="Times New Roman" w:hAnsi="Times New Roman" w:cs="Times New Roman"/>
          <w:b/>
          <w:bCs/>
          <w:noProof/>
          <w:sz w:val="20"/>
          <w:szCs w:val="20"/>
          <w:lang w:eastAsia="nl-NL"/>
        </w:rPr>
        <w:t>Table Annex 4-8: Assumptions regarding the transport time savings relative to the baseline in PO2</w:t>
      </w:r>
    </w:p>
    <w:tbl>
      <w:tblPr>
        <w:tblW w:w="5000" w:type="pct"/>
        <w:tblLook w:val="04A0" w:firstRow="1" w:lastRow="0" w:firstColumn="1" w:lastColumn="0" w:noHBand="0" w:noVBand="1"/>
      </w:tblPr>
      <w:tblGrid>
        <w:gridCol w:w="1172"/>
        <w:gridCol w:w="1278"/>
        <w:gridCol w:w="1277"/>
        <w:gridCol w:w="1277"/>
        <w:gridCol w:w="1277"/>
        <w:gridCol w:w="1277"/>
        <w:gridCol w:w="1276"/>
      </w:tblGrid>
      <w:tr>
        <w:trPr>
          <w:trHeight w:val="240"/>
          <w:tblHeader/>
        </w:trPr>
        <w:tc>
          <w:tcPr>
            <w:tcW w:w="663" w:type="pct"/>
            <w:vMerge w:val="restart"/>
            <w:tcBorders>
              <w:top w:val="single" w:sz="4" w:space="0" w:color="auto"/>
              <w:left w:val="single" w:sz="4" w:space="0" w:color="auto"/>
              <w:bottom w:val="single" w:sz="4" w:space="0" w:color="auto"/>
              <w:right w:val="single" w:sz="4" w:space="0" w:color="auto"/>
            </w:tcBorders>
            <w:shd w:val="clear" w:color="000000" w:fill="0070C0"/>
            <w:noWrap/>
            <w:vAlign w:val="bottom"/>
            <w:hideMark/>
          </w:tcPr>
          <w:p>
            <w:pPr>
              <w:spacing w:after="0" w:line="240" w:lineRule="auto"/>
              <w:jc w:val="center"/>
              <w:rPr>
                <w:rFonts w:ascii="Times New Roman" w:eastAsia="Times New Roman" w:hAnsi="Times New Roman" w:cs="Times New Roman"/>
                <w:noProof/>
                <w:color w:val="FFFFFF"/>
                <w:sz w:val="18"/>
                <w:szCs w:val="18"/>
                <w:lang w:eastAsia="en-GB"/>
              </w:rPr>
            </w:pPr>
            <w:r>
              <w:rPr>
                <w:rFonts w:ascii="Times New Roman" w:eastAsia="Times New Roman" w:hAnsi="Times New Roman" w:cs="Times New Roman"/>
                <w:noProof/>
                <w:color w:val="FFFFFF"/>
                <w:sz w:val="18"/>
                <w:szCs w:val="18"/>
                <w:lang w:eastAsia="en-GB"/>
              </w:rPr>
              <w:t> </w:t>
            </w:r>
          </w:p>
        </w:tc>
        <w:tc>
          <w:tcPr>
            <w:tcW w:w="4337" w:type="pct"/>
            <w:gridSpan w:val="6"/>
            <w:tcBorders>
              <w:top w:val="single" w:sz="4" w:space="0" w:color="auto"/>
              <w:left w:val="nil"/>
              <w:bottom w:val="single" w:sz="4" w:space="0" w:color="auto"/>
              <w:right w:val="single" w:sz="4" w:space="0" w:color="auto"/>
            </w:tcBorders>
            <w:shd w:val="clear" w:color="000000" w:fill="0070C0"/>
            <w:noWrap/>
            <w:vAlign w:val="bottom"/>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PO2</w:t>
            </w:r>
          </w:p>
        </w:tc>
      </w:tr>
      <w:tr>
        <w:trPr>
          <w:trHeight w:val="240"/>
          <w:tblHeader/>
        </w:trPr>
        <w:tc>
          <w:tcPr>
            <w:tcW w:w="663"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noProof/>
                <w:color w:val="FFFFFF"/>
                <w:sz w:val="18"/>
                <w:szCs w:val="18"/>
                <w:lang w:eastAsia="en-GB"/>
              </w:rPr>
            </w:pPr>
          </w:p>
        </w:tc>
        <w:tc>
          <w:tcPr>
            <w:tcW w:w="723"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2025</w:t>
            </w:r>
          </w:p>
        </w:tc>
        <w:tc>
          <w:tcPr>
            <w:tcW w:w="723"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2030</w:t>
            </w:r>
          </w:p>
        </w:tc>
        <w:tc>
          <w:tcPr>
            <w:tcW w:w="723"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2025</w:t>
            </w:r>
          </w:p>
        </w:tc>
        <w:tc>
          <w:tcPr>
            <w:tcW w:w="723"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2030</w:t>
            </w:r>
          </w:p>
        </w:tc>
        <w:tc>
          <w:tcPr>
            <w:tcW w:w="723"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2025</w:t>
            </w:r>
          </w:p>
        </w:tc>
        <w:tc>
          <w:tcPr>
            <w:tcW w:w="723"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2030</w:t>
            </w:r>
          </w:p>
        </w:tc>
      </w:tr>
      <w:tr>
        <w:trPr>
          <w:trHeight w:val="240"/>
          <w:tblHeader/>
        </w:trPr>
        <w:tc>
          <w:tcPr>
            <w:tcW w:w="663"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noProof/>
                <w:color w:val="FFFFFF"/>
                <w:sz w:val="18"/>
                <w:szCs w:val="18"/>
                <w:lang w:eastAsia="en-GB"/>
              </w:rPr>
            </w:pPr>
          </w:p>
        </w:tc>
        <w:tc>
          <w:tcPr>
            <w:tcW w:w="1446" w:type="pct"/>
            <w:gridSpan w:val="2"/>
            <w:tcBorders>
              <w:top w:val="single" w:sz="4" w:space="0" w:color="auto"/>
              <w:left w:val="nil"/>
              <w:bottom w:val="single" w:sz="4" w:space="0" w:color="auto"/>
              <w:right w:val="single" w:sz="4" w:space="0" w:color="auto"/>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Road</w:t>
            </w:r>
          </w:p>
        </w:tc>
        <w:tc>
          <w:tcPr>
            <w:tcW w:w="1446" w:type="pct"/>
            <w:gridSpan w:val="2"/>
            <w:tcBorders>
              <w:top w:val="single" w:sz="4" w:space="0" w:color="auto"/>
              <w:left w:val="nil"/>
              <w:bottom w:val="single" w:sz="4" w:space="0" w:color="auto"/>
              <w:right w:val="single" w:sz="4" w:space="0" w:color="auto"/>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Rail</w:t>
            </w:r>
          </w:p>
        </w:tc>
        <w:tc>
          <w:tcPr>
            <w:tcW w:w="1446" w:type="pct"/>
            <w:gridSpan w:val="2"/>
            <w:tcBorders>
              <w:top w:val="single" w:sz="4" w:space="0" w:color="auto"/>
              <w:left w:val="nil"/>
              <w:bottom w:val="single" w:sz="4" w:space="0" w:color="auto"/>
              <w:right w:val="single" w:sz="4" w:space="0" w:color="auto"/>
            </w:tcBorders>
            <w:shd w:val="clear" w:color="000000" w:fill="0070C0"/>
            <w:noWrap/>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 xml:space="preserve">Waterborne transport* </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BE</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BG</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CZ</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-0.8%</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DK</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DE</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EE</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IE</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EL</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-0.8%</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ES</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FR</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HR</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IT</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CY</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-0.7%</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LV</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-0.9%</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LT</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LU</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-0.9%</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-1.3%</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HU</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MT</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-1.5%</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NL</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-0.7%</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AT</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PL</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PT</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RO</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SI</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SK</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-0.7%</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FI</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SE</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UK</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bl>
    <w:p>
      <w:pPr>
        <w:autoSpaceDE w:val="0"/>
        <w:autoSpaceDN w:val="0"/>
        <w:adjustRightInd w:val="0"/>
        <w:spacing w:after="0"/>
        <w:rPr>
          <w:rFonts w:ascii="Times New Roman" w:hAnsi="Times New Roman" w:cs="Times New Roman"/>
          <w:i/>
          <w:noProof/>
          <w:sz w:val="16"/>
          <w:szCs w:val="16"/>
        </w:rPr>
      </w:pPr>
      <w:r>
        <w:rPr>
          <w:rFonts w:ascii="Times New Roman" w:hAnsi="Times New Roman" w:cs="Times New Roman"/>
          <w:i/>
          <w:noProof/>
          <w:sz w:val="16"/>
          <w:szCs w:val="16"/>
        </w:rPr>
        <w:t>Source: Ecorys et al. (2018) Impact Assessment support study.</w:t>
      </w:r>
    </w:p>
    <w:p>
      <w:pPr>
        <w:autoSpaceDE w:val="0"/>
        <w:autoSpaceDN w:val="0"/>
        <w:adjustRightInd w:val="0"/>
        <w:spacing w:after="0"/>
        <w:rPr>
          <w:rFonts w:ascii="Times New Roman" w:hAnsi="Times New Roman" w:cs="Times New Roman"/>
          <w:i/>
          <w:noProof/>
          <w:sz w:val="16"/>
          <w:szCs w:val="16"/>
        </w:rPr>
      </w:pPr>
      <w:r>
        <w:rPr>
          <w:rFonts w:ascii="Times New Roman" w:eastAsia="Times New Roman" w:hAnsi="Times New Roman" w:cs="Times New Roman"/>
          <w:i/>
          <w:noProof/>
          <w:sz w:val="18"/>
          <w:szCs w:val="18"/>
        </w:rPr>
        <w:t>* Waterborne transport covers inland waterways and national maritime.</w:t>
      </w:r>
    </w:p>
    <w:p>
      <w:pPr>
        <w:keepNext/>
        <w:keepLines/>
        <w:spacing w:before="240" w:after="0" w:line="280" w:lineRule="atLeast"/>
        <w:rPr>
          <w:rFonts w:ascii="Times New Roman" w:eastAsia="Times New Roman" w:hAnsi="Times New Roman" w:cs="Times New Roman"/>
          <w:b/>
          <w:bCs/>
          <w:noProof/>
          <w:sz w:val="20"/>
          <w:szCs w:val="20"/>
          <w:lang w:eastAsia="nl-NL"/>
        </w:rPr>
      </w:pPr>
      <w:r>
        <w:rPr>
          <w:rFonts w:ascii="Times New Roman" w:eastAsia="Times New Roman" w:hAnsi="Times New Roman" w:cs="Times New Roman"/>
          <w:b/>
          <w:bCs/>
          <w:noProof/>
          <w:sz w:val="20"/>
          <w:szCs w:val="20"/>
          <w:lang w:eastAsia="nl-NL"/>
        </w:rPr>
        <w:t>Table Annex 4-9: Assumptions regarding the transport time savings relative to the baseline in PO3/PO4</w:t>
      </w:r>
    </w:p>
    <w:tbl>
      <w:tblPr>
        <w:tblW w:w="5000" w:type="pct"/>
        <w:tblLook w:val="04A0" w:firstRow="1" w:lastRow="0" w:firstColumn="1" w:lastColumn="0" w:noHBand="0" w:noVBand="1"/>
      </w:tblPr>
      <w:tblGrid>
        <w:gridCol w:w="1172"/>
        <w:gridCol w:w="1278"/>
        <w:gridCol w:w="1277"/>
        <w:gridCol w:w="1277"/>
        <w:gridCol w:w="1277"/>
        <w:gridCol w:w="1277"/>
        <w:gridCol w:w="1276"/>
      </w:tblGrid>
      <w:tr>
        <w:trPr>
          <w:trHeight w:val="240"/>
          <w:tblHeader/>
        </w:trPr>
        <w:tc>
          <w:tcPr>
            <w:tcW w:w="663" w:type="pct"/>
            <w:vMerge w:val="restart"/>
            <w:tcBorders>
              <w:top w:val="single" w:sz="4" w:space="0" w:color="auto"/>
              <w:left w:val="single" w:sz="4" w:space="0" w:color="auto"/>
              <w:bottom w:val="single" w:sz="4" w:space="0" w:color="auto"/>
              <w:right w:val="single" w:sz="4" w:space="0" w:color="auto"/>
            </w:tcBorders>
            <w:shd w:val="clear" w:color="000000" w:fill="0070C0"/>
            <w:noWrap/>
            <w:vAlign w:val="bottom"/>
            <w:hideMark/>
          </w:tcPr>
          <w:p>
            <w:pPr>
              <w:keepNext/>
              <w:keepLines/>
              <w:spacing w:after="0" w:line="240" w:lineRule="auto"/>
              <w:jc w:val="center"/>
              <w:rPr>
                <w:rFonts w:ascii="Times New Roman" w:eastAsia="Times New Roman" w:hAnsi="Times New Roman" w:cs="Times New Roman"/>
                <w:noProof/>
                <w:color w:val="FFFFFF"/>
                <w:sz w:val="18"/>
                <w:szCs w:val="18"/>
                <w:lang w:eastAsia="en-GB"/>
              </w:rPr>
            </w:pPr>
            <w:r>
              <w:rPr>
                <w:rFonts w:ascii="Times New Roman" w:eastAsia="Times New Roman" w:hAnsi="Times New Roman" w:cs="Times New Roman"/>
                <w:noProof/>
                <w:color w:val="FFFFFF"/>
                <w:sz w:val="18"/>
                <w:szCs w:val="18"/>
                <w:lang w:eastAsia="en-GB"/>
              </w:rPr>
              <w:t> </w:t>
            </w:r>
          </w:p>
        </w:tc>
        <w:tc>
          <w:tcPr>
            <w:tcW w:w="4337" w:type="pct"/>
            <w:gridSpan w:val="6"/>
            <w:tcBorders>
              <w:top w:val="single" w:sz="4" w:space="0" w:color="auto"/>
              <w:left w:val="nil"/>
              <w:bottom w:val="single" w:sz="4" w:space="0" w:color="auto"/>
              <w:right w:val="single" w:sz="4" w:space="0" w:color="auto"/>
            </w:tcBorders>
            <w:shd w:val="clear" w:color="000000" w:fill="0070C0"/>
            <w:noWrap/>
            <w:vAlign w:val="bottom"/>
            <w:hideMark/>
          </w:tcPr>
          <w:p>
            <w:pPr>
              <w:keepNext/>
              <w:keepLines/>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PO3/PO4</w:t>
            </w:r>
          </w:p>
        </w:tc>
      </w:tr>
      <w:tr>
        <w:trPr>
          <w:trHeight w:val="240"/>
          <w:tblHeader/>
        </w:trPr>
        <w:tc>
          <w:tcPr>
            <w:tcW w:w="663" w:type="pct"/>
            <w:vMerge/>
            <w:tcBorders>
              <w:top w:val="single" w:sz="4" w:space="0" w:color="auto"/>
              <w:left w:val="single" w:sz="4" w:space="0" w:color="auto"/>
              <w:bottom w:val="single" w:sz="4" w:space="0" w:color="auto"/>
              <w:right w:val="single" w:sz="4" w:space="0" w:color="auto"/>
            </w:tcBorders>
            <w:vAlign w:val="center"/>
            <w:hideMark/>
          </w:tcPr>
          <w:p>
            <w:pPr>
              <w:keepNext/>
              <w:keepLines/>
              <w:spacing w:after="0" w:line="240" w:lineRule="auto"/>
              <w:rPr>
                <w:rFonts w:ascii="Times New Roman" w:eastAsia="Times New Roman" w:hAnsi="Times New Roman" w:cs="Times New Roman"/>
                <w:noProof/>
                <w:color w:val="FFFFFF"/>
                <w:sz w:val="18"/>
                <w:szCs w:val="18"/>
                <w:lang w:eastAsia="en-GB"/>
              </w:rPr>
            </w:pPr>
          </w:p>
        </w:tc>
        <w:tc>
          <w:tcPr>
            <w:tcW w:w="723" w:type="pct"/>
            <w:tcBorders>
              <w:top w:val="nil"/>
              <w:left w:val="nil"/>
              <w:bottom w:val="single" w:sz="4" w:space="0" w:color="auto"/>
              <w:right w:val="single" w:sz="4" w:space="0" w:color="auto"/>
            </w:tcBorders>
            <w:shd w:val="clear" w:color="000000" w:fill="0070C0"/>
            <w:noWrap/>
            <w:vAlign w:val="bottom"/>
            <w:hideMark/>
          </w:tcPr>
          <w:p>
            <w:pPr>
              <w:keepNext/>
              <w:keepLines/>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2025</w:t>
            </w:r>
          </w:p>
        </w:tc>
        <w:tc>
          <w:tcPr>
            <w:tcW w:w="723" w:type="pct"/>
            <w:tcBorders>
              <w:top w:val="nil"/>
              <w:left w:val="nil"/>
              <w:bottom w:val="single" w:sz="4" w:space="0" w:color="auto"/>
              <w:right w:val="single" w:sz="4" w:space="0" w:color="auto"/>
            </w:tcBorders>
            <w:shd w:val="clear" w:color="000000" w:fill="0070C0"/>
            <w:noWrap/>
            <w:vAlign w:val="bottom"/>
            <w:hideMark/>
          </w:tcPr>
          <w:p>
            <w:pPr>
              <w:keepNext/>
              <w:keepLines/>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2030</w:t>
            </w:r>
          </w:p>
        </w:tc>
        <w:tc>
          <w:tcPr>
            <w:tcW w:w="723" w:type="pct"/>
            <w:tcBorders>
              <w:top w:val="nil"/>
              <w:left w:val="nil"/>
              <w:bottom w:val="single" w:sz="4" w:space="0" w:color="auto"/>
              <w:right w:val="single" w:sz="4" w:space="0" w:color="auto"/>
            </w:tcBorders>
            <w:shd w:val="clear" w:color="000000" w:fill="0070C0"/>
            <w:noWrap/>
            <w:vAlign w:val="bottom"/>
            <w:hideMark/>
          </w:tcPr>
          <w:p>
            <w:pPr>
              <w:keepNext/>
              <w:keepLines/>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2025</w:t>
            </w:r>
          </w:p>
        </w:tc>
        <w:tc>
          <w:tcPr>
            <w:tcW w:w="723" w:type="pct"/>
            <w:tcBorders>
              <w:top w:val="nil"/>
              <w:left w:val="nil"/>
              <w:bottom w:val="single" w:sz="4" w:space="0" w:color="auto"/>
              <w:right w:val="single" w:sz="4" w:space="0" w:color="auto"/>
            </w:tcBorders>
            <w:shd w:val="clear" w:color="000000" w:fill="0070C0"/>
            <w:noWrap/>
            <w:vAlign w:val="bottom"/>
            <w:hideMark/>
          </w:tcPr>
          <w:p>
            <w:pPr>
              <w:keepNext/>
              <w:keepLines/>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2030</w:t>
            </w:r>
          </w:p>
        </w:tc>
        <w:tc>
          <w:tcPr>
            <w:tcW w:w="723" w:type="pct"/>
            <w:tcBorders>
              <w:top w:val="nil"/>
              <w:left w:val="nil"/>
              <w:bottom w:val="single" w:sz="4" w:space="0" w:color="auto"/>
              <w:right w:val="single" w:sz="4" w:space="0" w:color="auto"/>
            </w:tcBorders>
            <w:shd w:val="clear" w:color="000000" w:fill="0070C0"/>
            <w:noWrap/>
            <w:vAlign w:val="bottom"/>
            <w:hideMark/>
          </w:tcPr>
          <w:p>
            <w:pPr>
              <w:keepNext/>
              <w:keepLines/>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2025</w:t>
            </w:r>
          </w:p>
        </w:tc>
        <w:tc>
          <w:tcPr>
            <w:tcW w:w="723" w:type="pct"/>
            <w:tcBorders>
              <w:top w:val="nil"/>
              <w:left w:val="nil"/>
              <w:bottom w:val="single" w:sz="4" w:space="0" w:color="auto"/>
              <w:right w:val="single" w:sz="4" w:space="0" w:color="auto"/>
            </w:tcBorders>
            <w:shd w:val="clear" w:color="000000" w:fill="0070C0"/>
            <w:noWrap/>
            <w:vAlign w:val="bottom"/>
            <w:hideMark/>
          </w:tcPr>
          <w:p>
            <w:pPr>
              <w:keepNext/>
              <w:keepLines/>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2030</w:t>
            </w:r>
          </w:p>
        </w:tc>
      </w:tr>
      <w:tr>
        <w:trPr>
          <w:trHeight w:val="240"/>
          <w:tblHeader/>
        </w:trPr>
        <w:tc>
          <w:tcPr>
            <w:tcW w:w="663" w:type="pct"/>
            <w:vMerge/>
            <w:tcBorders>
              <w:top w:val="single" w:sz="4" w:space="0" w:color="auto"/>
              <w:left w:val="single" w:sz="4" w:space="0" w:color="auto"/>
              <w:bottom w:val="single" w:sz="4" w:space="0" w:color="auto"/>
              <w:right w:val="single" w:sz="4" w:space="0" w:color="auto"/>
            </w:tcBorders>
            <w:vAlign w:val="center"/>
            <w:hideMark/>
          </w:tcPr>
          <w:p>
            <w:pPr>
              <w:keepNext/>
              <w:keepLines/>
              <w:spacing w:after="0" w:line="240" w:lineRule="auto"/>
              <w:rPr>
                <w:rFonts w:ascii="Times New Roman" w:eastAsia="Times New Roman" w:hAnsi="Times New Roman" w:cs="Times New Roman"/>
                <w:noProof/>
                <w:color w:val="FFFFFF"/>
                <w:sz w:val="18"/>
                <w:szCs w:val="18"/>
                <w:lang w:eastAsia="en-GB"/>
              </w:rPr>
            </w:pPr>
          </w:p>
        </w:tc>
        <w:tc>
          <w:tcPr>
            <w:tcW w:w="1446" w:type="pct"/>
            <w:gridSpan w:val="2"/>
            <w:tcBorders>
              <w:top w:val="single" w:sz="4" w:space="0" w:color="auto"/>
              <w:left w:val="nil"/>
              <w:bottom w:val="single" w:sz="4" w:space="0" w:color="auto"/>
              <w:right w:val="single" w:sz="4" w:space="0" w:color="auto"/>
            </w:tcBorders>
            <w:shd w:val="clear" w:color="000000" w:fill="0070C0"/>
            <w:vAlign w:val="center"/>
            <w:hideMark/>
          </w:tcPr>
          <w:p>
            <w:pPr>
              <w:keepNext/>
              <w:keepLines/>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Road</w:t>
            </w:r>
          </w:p>
        </w:tc>
        <w:tc>
          <w:tcPr>
            <w:tcW w:w="1446" w:type="pct"/>
            <w:gridSpan w:val="2"/>
            <w:tcBorders>
              <w:top w:val="single" w:sz="4" w:space="0" w:color="auto"/>
              <w:left w:val="nil"/>
              <w:bottom w:val="single" w:sz="4" w:space="0" w:color="auto"/>
              <w:right w:val="single" w:sz="4" w:space="0" w:color="auto"/>
            </w:tcBorders>
            <w:shd w:val="clear" w:color="000000" w:fill="0070C0"/>
            <w:vAlign w:val="center"/>
            <w:hideMark/>
          </w:tcPr>
          <w:p>
            <w:pPr>
              <w:keepNext/>
              <w:keepLines/>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Rail</w:t>
            </w:r>
          </w:p>
        </w:tc>
        <w:tc>
          <w:tcPr>
            <w:tcW w:w="1446" w:type="pct"/>
            <w:gridSpan w:val="2"/>
            <w:tcBorders>
              <w:top w:val="single" w:sz="4" w:space="0" w:color="auto"/>
              <w:left w:val="nil"/>
              <w:bottom w:val="single" w:sz="4" w:space="0" w:color="auto"/>
              <w:right w:val="single" w:sz="4" w:space="0" w:color="auto"/>
            </w:tcBorders>
            <w:shd w:val="clear" w:color="000000" w:fill="0070C0"/>
            <w:noWrap/>
            <w:vAlign w:val="center"/>
            <w:hideMark/>
          </w:tcPr>
          <w:p>
            <w:pPr>
              <w:keepNext/>
              <w:keepLines/>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 xml:space="preserve">Waterborne transport* </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keepNext/>
              <w:keepLines/>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BE</w:t>
            </w:r>
          </w:p>
        </w:tc>
        <w:tc>
          <w:tcPr>
            <w:tcW w:w="723" w:type="pct"/>
            <w:tcBorders>
              <w:top w:val="nil"/>
              <w:left w:val="nil"/>
              <w:bottom w:val="single" w:sz="4" w:space="0" w:color="auto"/>
              <w:right w:val="single" w:sz="4" w:space="0" w:color="auto"/>
            </w:tcBorders>
            <w:shd w:val="clear" w:color="000000" w:fill="FFFFFF"/>
            <w:noWrap/>
            <w:vAlign w:val="bottom"/>
            <w:hideMark/>
          </w:tcPr>
          <w:p>
            <w:pPr>
              <w:keepNext/>
              <w:keepLines/>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23" w:type="pct"/>
            <w:tcBorders>
              <w:top w:val="nil"/>
              <w:left w:val="nil"/>
              <w:bottom w:val="single" w:sz="4" w:space="0" w:color="auto"/>
              <w:right w:val="single" w:sz="4" w:space="0" w:color="auto"/>
            </w:tcBorders>
            <w:shd w:val="clear" w:color="000000" w:fill="FFFFFF"/>
            <w:noWrap/>
            <w:vAlign w:val="bottom"/>
            <w:hideMark/>
          </w:tcPr>
          <w:p>
            <w:pPr>
              <w:keepNext/>
              <w:keepLines/>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23" w:type="pct"/>
            <w:tcBorders>
              <w:top w:val="nil"/>
              <w:left w:val="nil"/>
              <w:bottom w:val="single" w:sz="4" w:space="0" w:color="auto"/>
              <w:right w:val="single" w:sz="4" w:space="0" w:color="auto"/>
            </w:tcBorders>
            <w:shd w:val="clear" w:color="000000" w:fill="FFFFFF"/>
            <w:noWrap/>
            <w:vAlign w:val="bottom"/>
            <w:hideMark/>
          </w:tcPr>
          <w:p>
            <w:pPr>
              <w:keepNext/>
              <w:keepLines/>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keepNext/>
              <w:keepLines/>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23" w:type="pct"/>
            <w:tcBorders>
              <w:top w:val="nil"/>
              <w:left w:val="nil"/>
              <w:bottom w:val="single" w:sz="4" w:space="0" w:color="auto"/>
              <w:right w:val="single" w:sz="4" w:space="0" w:color="auto"/>
            </w:tcBorders>
            <w:shd w:val="clear" w:color="000000" w:fill="FFFFFF"/>
            <w:noWrap/>
            <w:vAlign w:val="bottom"/>
            <w:hideMark/>
          </w:tcPr>
          <w:p>
            <w:pPr>
              <w:keepNext/>
              <w:keepLines/>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keepNext/>
              <w:keepLines/>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BG</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-1.5%</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CZ</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-0.8%</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-1.2%</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DK</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-0.8%</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DE</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EE</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-0.7%</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IE</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-0.7%</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EL</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-0.9%</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-1.3%</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ES</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FR</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HR</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-0.8%</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IT</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CY</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-0.8%</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-1.2%</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LV</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-1.5%</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LT</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-0.7%</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LU</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-1.5%</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HU</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-0.9%</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MT</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-1.6%</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-2.4%</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NL</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-0.8%</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AT</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-0.8%</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PL</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-0.8%</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PT</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-0.7%</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RO</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-0.9%</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SI</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-0.9%</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SK</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-0.7%</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FI</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-0.9%</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SE</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-0.9%</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UK</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-0.8%</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bl>
    <w:p>
      <w:pPr>
        <w:autoSpaceDE w:val="0"/>
        <w:autoSpaceDN w:val="0"/>
        <w:adjustRightInd w:val="0"/>
        <w:spacing w:after="0"/>
        <w:rPr>
          <w:rFonts w:ascii="Times New Roman" w:hAnsi="Times New Roman" w:cs="Times New Roman"/>
          <w:i/>
          <w:noProof/>
          <w:sz w:val="16"/>
          <w:szCs w:val="16"/>
        </w:rPr>
      </w:pPr>
      <w:r>
        <w:rPr>
          <w:rFonts w:ascii="Times New Roman" w:hAnsi="Times New Roman" w:cs="Times New Roman"/>
          <w:i/>
          <w:noProof/>
          <w:sz w:val="16"/>
          <w:szCs w:val="16"/>
        </w:rPr>
        <w:t>Source: Ecorys et al. (2018) Impact Assessment support study.</w:t>
      </w:r>
    </w:p>
    <w:p>
      <w:pPr>
        <w:autoSpaceDE w:val="0"/>
        <w:autoSpaceDN w:val="0"/>
        <w:adjustRightInd w:val="0"/>
        <w:spacing w:after="0"/>
        <w:rPr>
          <w:rFonts w:ascii="Times New Roman" w:hAnsi="Times New Roman" w:cs="Times New Roman"/>
          <w:i/>
          <w:noProof/>
          <w:sz w:val="16"/>
          <w:szCs w:val="16"/>
        </w:rPr>
      </w:pPr>
      <w:r>
        <w:rPr>
          <w:rFonts w:ascii="Times New Roman" w:eastAsia="Times New Roman" w:hAnsi="Times New Roman" w:cs="Times New Roman"/>
          <w:i/>
          <w:noProof/>
          <w:sz w:val="18"/>
          <w:szCs w:val="18"/>
        </w:rPr>
        <w:t>* Waterborne transport covers inland waterways and national maritime.</w:t>
      </w:r>
    </w:p>
    <w:p>
      <w:pPr>
        <w:spacing w:before="240" w:after="0" w:line="280" w:lineRule="atLeast"/>
        <w:rPr>
          <w:rFonts w:ascii="Times New Roman" w:eastAsia="Times New Roman" w:hAnsi="Times New Roman" w:cs="Times New Roman"/>
          <w:b/>
          <w:bCs/>
          <w:noProof/>
          <w:sz w:val="20"/>
          <w:szCs w:val="20"/>
          <w:lang w:eastAsia="nl-NL"/>
        </w:rPr>
      </w:pPr>
      <w:r>
        <w:rPr>
          <w:rFonts w:ascii="Times New Roman" w:eastAsia="Times New Roman" w:hAnsi="Times New Roman" w:cs="Times New Roman"/>
          <w:b/>
          <w:bCs/>
          <w:noProof/>
          <w:sz w:val="20"/>
          <w:szCs w:val="20"/>
          <w:lang w:eastAsia="nl-NL"/>
        </w:rPr>
        <w:t>Table Annex 4-10: Assumptions regarding the transport time savings relative to the baseline in PO3a/PO4a</w:t>
      </w:r>
    </w:p>
    <w:tbl>
      <w:tblPr>
        <w:tblW w:w="5000" w:type="pct"/>
        <w:tblLook w:val="04A0" w:firstRow="1" w:lastRow="0" w:firstColumn="1" w:lastColumn="0" w:noHBand="0" w:noVBand="1"/>
      </w:tblPr>
      <w:tblGrid>
        <w:gridCol w:w="1172"/>
        <w:gridCol w:w="1278"/>
        <w:gridCol w:w="1277"/>
        <w:gridCol w:w="1277"/>
        <w:gridCol w:w="1277"/>
        <w:gridCol w:w="1277"/>
        <w:gridCol w:w="1276"/>
      </w:tblGrid>
      <w:tr>
        <w:trPr>
          <w:trHeight w:val="240"/>
          <w:tblHeader/>
        </w:trPr>
        <w:tc>
          <w:tcPr>
            <w:tcW w:w="663" w:type="pct"/>
            <w:vMerge w:val="restart"/>
            <w:tcBorders>
              <w:top w:val="single" w:sz="4" w:space="0" w:color="auto"/>
              <w:left w:val="single" w:sz="4" w:space="0" w:color="auto"/>
              <w:bottom w:val="single" w:sz="4" w:space="0" w:color="auto"/>
              <w:right w:val="single" w:sz="4" w:space="0" w:color="auto"/>
            </w:tcBorders>
            <w:shd w:val="clear" w:color="000000" w:fill="0070C0"/>
            <w:noWrap/>
            <w:vAlign w:val="bottom"/>
            <w:hideMark/>
          </w:tcPr>
          <w:p>
            <w:pPr>
              <w:spacing w:after="0" w:line="240" w:lineRule="auto"/>
              <w:jc w:val="center"/>
              <w:rPr>
                <w:rFonts w:ascii="Times New Roman" w:eastAsia="Times New Roman" w:hAnsi="Times New Roman" w:cs="Times New Roman"/>
                <w:noProof/>
                <w:color w:val="FFFFFF"/>
                <w:sz w:val="18"/>
                <w:szCs w:val="18"/>
                <w:lang w:eastAsia="en-GB"/>
              </w:rPr>
            </w:pPr>
            <w:r>
              <w:rPr>
                <w:rFonts w:ascii="Times New Roman" w:eastAsia="Times New Roman" w:hAnsi="Times New Roman" w:cs="Times New Roman"/>
                <w:noProof/>
                <w:color w:val="FFFFFF"/>
                <w:sz w:val="18"/>
                <w:szCs w:val="18"/>
                <w:lang w:eastAsia="en-GB"/>
              </w:rPr>
              <w:t> </w:t>
            </w:r>
          </w:p>
        </w:tc>
        <w:tc>
          <w:tcPr>
            <w:tcW w:w="4337" w:type="pct"/>
            <w:gridSpan w:val="6"/>
            <w:tcBorders>
              <w:top w:val="single" w:sz="4" w:space="0" w:color="auto"/>
              <w:left w:val="nil"/>
              <w:bottom w:val="single" w:sz="4" w:space="0" w:color="auto"/>
              <w:right w:val="single" w:sz="4" w:space="0" w:color="auto"/>
            </w:tcBorders>
            <w:shd w:val="clear" w:color="000000" w:fill="0070C0"/>
            <w:noWrap/>
            <w:vAlign w:val="bottom"/>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PO3a/PO4a</w:t>
            </w:r>
          </w:p>
        </w:tc>
      </w:tr>
      <w:tr>
        <w:trPr>
          <w:trHeight w:val="240"/>
          <w:tblHeader/>
        </w:trPr>
        <w:tc>
          <w:tcPr>
            <w:tcW w:w="663"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noProof/>
                <w:color w:val="FFFFFF"/>
                <w:sz w:val="18"/>
                <w:szCs w:val="18"/>
                <w:lang w:eastAsia="en-GB"/>
              </w:rPr>
            </w:pPr>
          </w:p>
        </w:tc>
        <w:tc>
          <w:tcPr>
            <w:tcW w:w="723"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2025</w:t>
            </w:r>
          </w:p>
        </w:tc>
        <w:tc>
          <w:tcPr>
            <w:tcW w:w="723"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2030</w:t>
            </w:r>
          </w:p>
        </w:tc>
        <w:tc>
          <w:tcPr>
            <w:tcW w:w="723"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2025</w:t>
            </w:r>
          </w:p>
        </w:tc>
        <w:tc>
          <w:tcPr>
            <w:tcW w:w="723"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2030</w:t>
            </w:r>
          </w:p>
        </w:tc>
        <w:tc>
          <w:tcPr>
            <w:tcW w:w="723"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2025</w:t>
            </w:r>
          </w:p>
        </w:tc>
        <w:tc>
          <w:tcPr>
            <w:tcW w:w="723" w:type="pct"/>
            <w:tcBorders>
              <w:top w:val="nil"/>
              <w:left w:val="nil"/>
              <w:bottom w:val="single" w:sz="4" w:space="0" w:color="auto"/>
              <w:right w:val="single" w:sz="4" w:space="0" w:color="auto"/>
            </w:tcBorders>
            <w:shd w:val="clear" w:color="000000" w:fill="0070C0"/>
            <w:noWrap/>
            <w:vAlign w:val="bottom"/>
            <w:hideMark/>
          </w:tcPr>
          <w:p>
            <w:pPr>
              <w:spacing w:after="0" w:line="240" w:lineRule="auto"/>
              <w:ind w:firstLineChars="200" w:firstLine="361"/>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2030</w:t>
            </w:r>
          </w:p>
        </w:tc>
      </w:tr>
      <w:tr>
        <w:trPr>
          <w:trHeight w:val="240"/>
          <w:tblHeader/>
        </w:trPr>
        <w:tc>
          <w:tcPr>
            <w:tcW w:w="663"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noProof/>
                <w:color w:val="FFFFFF"/>
                <w:sz w:val="18"/>
                <w:szCs w:val="18"/>
                <w:lang w:eastAsia="en-GB"/>
              </w:rPr>
            </w:pPr>
          </w:p>
        </w:tc>
        <w:tc>
          <w:tcPr>
            <w:tcW w:w="1446" w:type="pct"/>
            <w:gridSpan w:val="2"/>
            <w:tcBorders>
              <w:top w:val="single" w:sz="4" w:space="0" w:color="auto"/>
              <w:left w:val="nil"/>
              <w:bottom w:val="single" w:sz="4" w:space="0" w:color="auto"/>
              <w:right w:val="single" w:sz="4" w:space="0" w:color="auto"/>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Road</w:t>
            </w:r>
          </w:p>
        </w:tc>
        <w:tc>
          <w:tcPr>
            <w:tcW w:w="1446" w:type="pct"/>
            <w:gridSpan w:val="2"/>
            <w:tcBorders>
              <w:top w:val="single" w:sz="4" w:space="0" w:color="auto"/>
              <w:left w:val="nil"/>
              <w:bottom w:val="single" w:sz="4" w:space="0" w:color="auto"/>
              <w:right w:val="single" w:sz="4" w:space="0" w:color="auto"/>
            </w:tcBorders>
            <w:shd w:val="clear" w:color="000000" w:fill="0070C0"/>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Rail</w:t>
            </w:r>
          </w:p>
        </w:tc>
        <w:tc>
          <w:tcPr>
            <w:tcW w:w="1446" w:type="pct"/>
            <w:gridSpan w:val="2"/>
            <w:tcBorders>
              <w:top w:val="single" w:sz="4" w:space="0" w:color="auto"/>
              <w:left w:val="nil"/>
              <w:bottom w:val="single" w:sz="4" w:space="0" w:color="auto"/>
              <w:right w:val="single" w:sz="4" w:space="0" w:color="auto"/>
            </w:tcBorders>
            <w:shd w:val="clear" w:color="000000" w:fill="0070C0"/>
            <w:noWrap/>
            <w:vAlign w:val="center"/>
            <w:hideMark/>
          </w:tcPr>
          <w:p>
            <w:pPr>
              <w:spacing w:after="0" w:line="240" w:lineRule="auto"/>
              <w:jc w:val="center"/>
              <w:rPr>
                <w:rFonts w:ascii="Times New Roman" w:eastAsia="Times New Roman" w:hAnsi="Times New Roman" w:cs="Times New Roman"/>
                <w:b/>
                <w:bCs/>
                <w:noProof/>
                <w:color w:val="FFFFFF"/>
                <w:sz w:val="18"/>
                <w:szCs w:val="18"/>
                <w:lang w:eastAsia="en-GB"/>
              </w:rPr>
            </w:pPr>
            <w:r>
              <w:rPr>
                <w:rFonts w:ascii="Times New Roman" w:eastAsia="Times New Roman" w:hAnsi="Times New Roman" w:cs="Times New Roman"/>
                <w:b/>
                <w:bCs/>
                <w:noProof/>
                <w:color w:val="FFFFFF"/>
                <w:sz w:val="18"/>
                <w:szCs w:val="18"/>
                <w:lang w:eastAsia="en-GB"/>
              </w:rPr>
              <w:t xml:space="preserve">Waterborne transport* </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BE</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BG</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-0.8%</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-1.3%</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CZ</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DK</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-0.7%</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DE</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EE</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-0.8%</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IE</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-0.8%</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EL</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ES</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FR</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HR</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IT</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CY</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LV</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-0.8%</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-1.3%</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LT</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-0.8%</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LU</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-1.2%</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-1.8%</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HU</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-0.7%</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MT</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-1.2%</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NL</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AT</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PL</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-0.7%</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PT</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RO</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-0.8%</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SI</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-0.7%</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SK</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-0.9%</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FI</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-0.7%</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SE</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-0.7%</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r>
        <w:trPr>
          <w:trHeight w:val="240"/>
        </w:trPr>
        <w:tc>
          <w:tcPr>
            <w:tcW w:w="66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ind w:firstLineChars="200" w:firstLine="36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UK</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-0.7%</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723"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r>
    </w:tbl>
    <w:p>
      <w:pPr>
        <w:autoSpaceDE w:val="0"/>
        <w:autoSpaceDN w:val="0"/>
        <w:adjustRightInd w:val="0"/>
        <w:spacing w:after="0"/>
        <w:rPr>
          <w:rFonts w:ascii="Times New Roman" w:hAnsi="Times New Roman" w:cs="Times New Roman"/>
          <w:i/>
          <w:noProof/>
          <w:sz w:val="16"/>
          <w:szCs w:val="16"/>
        </w:rPr>
      </w:pPr>
      <w:r>
        <w:rPr>
          <w:rFonts w:ascii="Times New Roman" w:hAnsi="Times New Roman" w:cs="Times New Roman"/>
          <w:i/>
          <w:noProof/>
          <w:sz w:val="16"/>
          <w:szCs w:val="16"/>
        </w:rPr>
        <w:t>Source: Ecorys et al. (2018) Impact Assessment support study.</w:t>
      </w:r>
    </w:p>
    <w:p>
      <w:pPr>
        <w:autoSpaceDE w:val="0"/>
        <w:autoSpaceDN w:val="0"/>
        <w:adjustRightInd w:val="0"/>
        <w:spacing w:after="0"/>
        <w:rPr>
          <w:rFonts w:ascii="Times New Roman" w:hAnsi="Times New Roman" w:cs="Times New Roman"/>
          <w:i/>
          <w:noProof/>
          <w:sz w:val="16"/>
          <w:szCs w:val="16"/>
        </w:rPr>
      </w:pPr>
      <w:r>
        <w:rPr>
          <w:rFonts w:ascii="Times New Roman" w:eastAsia="Times New Roman" w:hAnsi="Times New Roman" w:cs="Times New Roman"/>
          <w:i/>
          <w:noProof/>
          <w:sz w:val="18"/>
          <w:szCs w:val="18"/>
        </w:rPr>
        <w:t>* Waterborne transport covers inland waterways and national maritime.</w:t>
      </w:r>
    </w:p>
    <w:p>
      <w:pPr>
        <w:pStyle w:val="Heading1"/>
        <w:numPr>
          <w:ilvl w:val="0"/>
          <w:numId w:val="16"/>
        </w:numPr>
        <w:spacing w:after="200" w:line="276" w:lineRule="auto"/>
        <w:ind w:left="482" w:hanging="482"/>
        <w:rPr>
          <w:noProof/>
          <w:szCs w:val="24"/>
        </w:rPr>
      </w:pPr>
      <w:bookmarkStart w:id="321" w:name="_Toc512589662"/>
      <w:bookmarkStart w:id="322" w:name="_Toc512854967"/>
      <w:r>
        <w:rPr>
          <w:noProof/>
          <w:szCs w:val="24"/>
        </w:rPr>
        <w:t>Assumptions used for the uptake of electronic documents</w:t>
      </w:r>
      <w:bookmarkEnd w:id="321"/>
      <w:bookmarkEnd w:id="322"/>
    </w:p>
    <w:p>
      <w:pPr>
        <w:pStyle w:val="DefaultText"/>
        <w:spacing w:before="120" w:after="120"/>
        <w:jc w:val="both"/>
        <w:rPr>
          <w:rFonts w:ascii="Times New Roman" w:hAnsi="Times New Roman"/>
          <w:noProof/>
          <w:sz w:val="24"/>
        </w:rPr>
      </w:pPr>
      <w:r>
        <w:rPr>
          <w:rFonts w:ascii="Times New Roman" w:hAnsi="Times New Roman"/>
          <w:noProof/>
          <w:sz w:val="24"/>
        </w:rPr>
        <w:t>Drawing on the Impact Assessment support study</w:t>
      </w:r>
      <w:r>
        <w:rPr>
          <w:rStyle w:val="FootnoteReference"/>
          <w:rFonts w:ascii="Times New Roman" w:hAnsi="Times New Roman"/>
          <w:noProof/>
          <w:sz w:val="24"/>
        </w:rPr>
        <w:footnoteReference w:id="152"/>
      </w:r>
      <w:r>
        <w:rPr>
          <w:rFonts w:ascii="Times New Roman" w:hAnsi="Times New Roman"/>
          <w:noProof/>
          <w:sz w:val="24"/>
        </w:rPr>
        <w:t>, this section presents the rational for choosing the level of uptake of electronic documents in the baseline scenario.</w:t>
      </w:r>
    </w:p>
    <w:p>
      <w:pPr>
        <w:pStyle w:val="DefaultText"/>
        <w:spacing w:before="120" w:after="120"/>
        <w:jc w:val="both"/>
        <w:rPr>
          <w:rFonts w:ascii="Times New Roman" w:hAnsi="Times New Roman"/>
          <w:noProof/>
          <w:sz w:val="24"/>
        </w:rPr>
      </w:pPr>
      <w:r>
        <w:rPr>
          <w:rFonts w:ascii="Times New Roman" w:hAnsi="Times New Roman"/>
          <w:b/>
          <w:noProof/>
          <w:sz w:val="24"/>
        </w:rPr>
        <w:t xml:space="preserve">Aviation </w:t>
      </w:r>
      <w:r>
        <w:rPr>
          <w:rFonts w:ascii="Times New Roman" w:hAnsi="Times New Roman"/>
          <w:noProof/>
          <w:sz w:val="24"/>
        </w:rPr>
        <w:t xml:space="preserve">is the transport mode that can showcase the most significant success in the uptake of electronic documents so far. This can be attributed to several factors: the highly concentrated and international nature of this sector; the high level of organisation achieved via IATA; the fact that there are less authorities involved in inspecting transport documents which facilitates the uptake of industry-led initiatives, etc. </w:t>
      </w:r>
    </w:p>
    <w:p>
      <w:pPr>
        <w:pStyle w:val="list-bullet-color"/>
        <w:numPr>
          <w:ilvl w:val="0"/>
          <w:numId w:val="0"/>
        </w:numPr>
        <w:spacing w:before="120" w:after="120"/>
        <w:jc w:val="both"/>
        <w:rPr>
          <w:rFonts w:ascii="Times New Roman" w:hAnsi="Times New Roman"/>
          <w:noProof/>
          <w:sz w:val="24"/>
        </w:rPr>
      </w:pPr>
      <w:r>
        <w:rPr>
          <w:rFonts w:ascii="Times New Roman" w:hAnsi="Times New Roman"/>
          <w:noProof/>
          <w:sz w:val="24"/>
        </w:rPr>
        <w:t>The use of the e-AWB in aviation in Europe is currently assessed at being around 40% but the uptake rate has already been slowing down with the increase being limited to about 3 p.p in the last year.</w:t>
      </w:r>
      <w:r>
        <w:rPr>
          <w:rStyle w:val="FootnoteReference"/>
          <w:rFonts w:ascii="Times New Roman" w:hAnsi="Times New Roman"/>
          <w:noProof/>
          <w:sz w:val="24"/>
        </w:rPr>
        <w:footnoteReference w:id="153"/>
      </w:r>
      <w:r>
        <w:rPr>
          <w:rFonts w:ascii="Times New Roman" w:hAnsi="Times New Roman"/>
          <w:noProof/>
          <w:sz w:val="24"/>
        </w:rPr>
        <w:t xml:space="preserve"> A curbing point may be reached soon, possibly at a similar level to the global average (52%). This is because there is no indication that the barriers identified at global level would be resolved without coordinated action in the timeframe up to 2030:</w:t>
      </w:r>
    </w:p>
    <w:p>
      <w:pPr>
        <w:pStyle w:val="ListParagraph"/>
        <w:numPr>
          <w:ilvl w:val="0"/>
          <w:numId w:val="15"/>
        </w:numPr>
        <w:ind w:left="714" w:hanging="357"/>
        <w:contextualSpacing w:val="0"/>
        <w:rPr>
          <w:noProof/>
        </w:rPr>
      </w:pPr>
      <w:r>
        <w:rPr>
          <w:noProof/>
        </w:rPr>
        <w:t>Persisting regulatory constraints and limitations in specific airports and countries;</w:t>
      </w:r>
    </w:p>
    <w:p>
      <w:pPr>
        <w:pStyle w:val="ListParagraph"/>
        <w:numPr>
          <w:ilvl w:val="0"/>
          <w:numId w:val="15"/>
        </w:numPr>
        <w:ind w:left="714" w:hanging="357"/>
        <w:contextualSpacing w:val="0"/>
        <w:rPr>
          <w:noProof/>
        </w:rPr>
      </w:pPr>
      <w:r>
        <w:rPr>
          <w:noProof/>
        </w:rPr>
        <w:t>Lack of harmonisation between the stakeholders involved;</w:t>
      </w:r>
    </w:p>
    <w:p>
      <w:pPr>
        <w:pStyle w:val="ListParagraph"/>
        <w:numPr>
          <w:ilvl w:val="0"/>
          <w:numId w:val="15"/>
        </w:numPr>
        <w:ind w:left="714" w:hanging="357"/>
        <w:contextualSpacing w:val="0"/>
        <w:rPr>
          <w:noProof/>
        </w:rPr>
      </w:pPr>
      <w:r>
        <w:rPr>
          <w:noProof/>
        </w:rPr>
        <w:t>Technological limitation and especially the capacity/willingness of SMEs to develop relevant systems; and</w:t>
      </w:r>
    </w:p>
    <w:p>
      <w:pPr>
        <w:pStyle w:val="ListParagraph"/>
        <w:numPr>
          <w:ilvl w:val="0"/>
          <w:numId w:val="15"/>
        </w:numPr>
        <w:ind w:left="714" w:hanging="357"/>
        <w:contextualSpacing w:val="0"/>
        <w:rPr>
          <w:noProof/>
        </w:rPr>
      </w:pPr>
      <w:r>
        <w:rPr>
          <w:noProof/>
        </w:rPr>
        <w:t>Perceived complexity of e-AWB when multiple operators are involved.</w:t>
      </w:r>
    </w:p>
    <w:p>
      <w:pPr>
        <w:pStyle w:val="list-bullet-color"/>
        <w:numPr>
          <w:ilvl w:val="0"/>
          <w:numId w:val="0"/>
        </w:numPr>
        <w:spacing w:before="120" w:after="120"/>
        <w:jc w:val="both"/>
        <w:rPr>
          <w:rFonts w:ascii="Times New Roman" w:hAnsi="Times New Roman"/>
          <w:noProof/>
          <w:sz w:val="24"/>
        </w:rPr>
      </w:pPr>
      <w:r>
        <w:rPr>
          <w:rFonts w:ascii="Times New Roman" w:hAnsi="Times New Roman"/>
          <w:noProof/>
          <w:sz w:val="24"/>
        </w:rPr>
        <w:t>Based on these considerations, in the baseline it has been assumed that the uptake rate of electronic documents in Europe will reach about 45% by 2025 and 50% by 2030.</w:t>
      </w:r>
    </w:p>
    <w:p>
      <w:pPr>
        <w:pStyle w:val="DefaultText"/>
        <w:spacing w:before="120" w:after="120"/>
        <w:jc w:val="both"/>
        <w:rPr>
          <w:rFonts w:ascii="Times New Roman" w:hAnsi="Times New Roman"/>
          <w:noProof/>
          <w:sz w:val="24"/>
        </w:rPr>
      </w:pPr>
      <w:r>
        <w:rPr>
          <w:rFonts w:ascii="Times New Roman" w:hAnsi="Times New Roman"/>
          <w:noProof/>
          <w:sz w:val="24"/>
        </w:rPr>
        <w:t>The assumed developments in</w:t>
      </w:r>
      <w:r>
        <w:rPr>
          <w:rFonts w:ascii="Times New Roman" w:hAnsi="Times New Roman"/>
          <w:b/>
          <w:noProof/>
          <w:sz w:val="24"/>
        </w:rPr>
        <w:t xml:space="preserve"> </w:t>
      </w:r>
      <w:r>
        <w:rPr>
          <w:rFonts w:ascii="Times New Roman" w:hAnsi="Times New Roman"/>
          <w:noProof/>
          <w:sz w:val="24"/>
        </w:rPr>
        <w:t xml:space="preserve">the </w:t>
      </w:r>
      <w:r>
        <w:rPr>
          <w:rFonts w:ascii="Times New Roman" w:hAnsi="Times New Roman"/>
          <w:b/>
          <w:noProof/>
          <w:sz w:val="24"/>
        </w:rPr>
        <w:t xml:space="preserve">maritime </w:t>
      </w:r>
      <w:r>
        <w:rPr>
          <w:rFonts w:ascii="Times New Roman" w:hAnsi="Times New Roman"/>
          <w:noProof/>
          <w:sz w:val="24"/>
        </w:rPr>
        <w:t>transport, is based on the experience of the Reporting Formalities Directive (RFD) which has not been as successful in creating a digital environment for B2A interaction. The uptake rate in the sector is currently negligible. Assuming the continuation of current RFD framework, an uptake rate of 5% by 2030 has been assumed in the baseline scenario.</w:t>
      </w:r>
    </w:p>
    <w:p>
      <w:pPr>
        <w:pStyle w:val="DefaultText"/>
        <w:spacing w:before="120" w:after="120"/>
        <w:jc w:val="both"/>
        <w:rPr>
          <w:rFonts w:ascii="Times New Roman" w:hAnsi="Times New Roman"/>
          <w:noProof/>
          <w:sz w:val="24"/>
        </w:rPr>
      </w:pPr>
      <w:r>
        <w:rPr>
          <w:rFonts w:ascii="Times New Roman" w:hAnsi="Times New Roman"/>
          <w:b/>
          <w:noProof/>
          <w:sz w:val="24"/>
        </w:rPr>
        <w:t xml:space="preserve">Rail </w:t>
      </w:r>
      <w:r>
        <w:rPr>
          <w:rFonts w:ascii="Times New Roman" w:hAnsi="Times New Roman"/>
          <w:noProof/>
          <w:sz w:val="24"/>
        </w:rPr>
        <w:t>transport displays more significant use of digital solutions up to date, however in the majority of cases this has not led to a digital-only environment and only 5-10% of rail transport is fully-digital. This is mainly attributed to the uncertainty regarding the necessity to have paper documents. In the baseline scenario there is no indication that this situation would change and thus only a limited increase in the uptake of digital solutions is assumed (15% by 2030).</w:t>
      </w:r>
    </w:p>
    <w:p>
      <w:pPr>
        <w:pStyle w:val="DefaultText"/>
        <w:spacing w:before="120" w:after="120"/>
        <w:jc w:val="both"/>
        <w:rPr>
          <w:rFonts w:ascii="Times New Roman" w:hAnsi="Times New Roman"/>
          <w:noProof/>
          <w:sz w:val="24"/>
        </w:rPr>
      </w:pPr>
      <w:r>
        <w:rPr>
          <w:rFonts w:ascii="Times New Roman" w:hAnsi="Times New Roman"/>
          <w:noProof/>
          <w:sz w:val="24"/>
        </w:rPr>
        <w:t xml:space="preserve">In </w:t>
      </w:r>
      <w:r>
        <w:rPr>
          <w:rFonts w:ascii="Times New Roman" w:hAnsi="Times New Roman"/>
          <w:b/>
          <w:noProof/>
          <w:sz w:val="24"/>
        </w:rPr>
        <w:t>road transport</w:t>
      </w:r>
      <w:r>
        <w:rPr>
          <w:rFonts w:ascii="Times New Roman" w:hAnsi="Times New Roman"/>
          <w:noProof/>
          <w:sz w:val="24"/>
        </w:rPr>
        <w:t xml:space="preserve">, despite the adoption of the e-CMR protocol in 2008, the uptake rate of digital solutions remains low at 1-3%. The uncoordinated development of different solutions and standards with a regional, national or local focus, the patchwork of protocol ratifications by EU Member States, and the variety of authority requirements and approaches between and within Member States, currently deters the uptake of digital solutions. There is currently no expectation for a coordinated industry-wide initiative for the sector or for a significant change in approach by authorities. In addition, the dominance of the SMEs in the sector does not facilitate the uptake. For these reasons, in the baseline scenario an uptake rate of 5% has been assumed by 2030. </w:t>
      </w:r>
    </w:p>
    <w:p>
      <w:pPr>
        <w:pStyle w:val="DefaultText"/>
        <w:spacing w:before="120" w:after="120"/>
        <w:jc w:val="both"/>
        <w:rPr>
          <w:rFonts w:ascii="Times New Roman" w:hAnsi="Times New Roman"/>
          <w:noProof/>
          <w:sz w:val="24"/>
        </w:rPr>
      </w:pPr>
      <w:r>
        <w:rPr>
          <w:rFonts w:ascii="Times New Roman" w:hAnsi="Times New Roman"/>
          <w:noProof/>
          <w:sz w:val="24"/>
        </w:rPr>
        <w:t xml:space="preserve">In </w:t>
      </w:r>
      <w:r>
        <w:rPr>
          <w:rFonts w:ascii="Times New Roman" w:hAnsi="Times New Roman"/>
          <w:b/>
          <w:noProof/>
          <w:sz w:val="24"/>
        </w:rPr>
        <w:t xml:space="preserve">inland waterway transport, </w:t>
      </w:r>
      <w:r>
        <w:rPr>
          <w:rFonts w:ascii="Times New Roman" w:hAnsi="Times New Roman"/>
          <w:noProof/>
          <w:sz w:val="24"/>
        </w:rPr>
        <w:t xml:space="preserve">similarly to road transport, the dominance of SMEs and the low level of industrial coordination does not facilitate the uptake of transport information exchange systems/solutions. Therefore, an uptake rate of 5% has been assumed by 2030 similarly to the road transport sector.  </w:t>
      </w:r>
    </w:p>
    <w:p>
      <w:pPr>
        <w:pStyle w:val="Caption"/>
        <w:rPr>
          <w:rFonts w:ascii="Times New Roman" w:hAnsi="Times New Roman"/>
          <w:noProof/>
          <w:sz w:val="20"/>
          <w:szCs w:val="20"/>
        </w:rPr>
      </w:pPr>
      <w:r>
        <w:rPr>
          <w:rFonts w:ascii="Times New Roman" w:hAnsi="Times New Roman"/>
          <w:bCs w:val="0"/>
          <w:noProof/>
          <w:sz w:val="20"/>
          <w:szCs w:val="20"/>
        </w:rPr>
        <w:t xml:space="preserve">Table Annex 4-11: </w:t>
      </w:r>
      <w:r>
        <w:rPr>
          <w:rFonts w:ascii="Times New Roman" w:hAnsi="Times New Roman"/>
          <w:noProof/>
          <w:sz w:val="20"/>
          <w:szCs w:val="20"/>
        </w:rPr>
        <w:t>Baseline scenario – assumptions on the uptake of electronic documents</w:t>
      </w:r>
    </w:p>
    <w:tbl>
      <w:tblPr>
        <w:tblStyle w:val="table-style-blauw-100-outlin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2525"/>
        <w:gridCol w:w="2525"/>
        <w:gridCol w:w="2523"/>
      </w:tblGrid>
      <w:tr>
        <w:trPr>
          <w:cnfStyle w:val="100000000000" w:firstRow="1" w:lastRow="0" w:firstColumn="0" w:lastColumn="0" w:oddVBand="0" w:evenVBand="0" w:oddHBand="0" w:evenHBand="0" w:firstRowFirstColumn="0" w:firstRowLastColumn="0" w:lastRowFirstColumn="0" w:lastRowLastColumn="0"/>
          <w:trHeight w:val="385"/>
          <w:tblHeader/>
        </w:trPr>
        <w:tc>
          <w:tcPr>
            <w:tcW w:w="714" w:type="pct"/>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pPr>
              <w:pStyle w:val="table-text"/>
              <w:jc w:val="center"/>
              <w:rPr>
                <w:rFonts w:ascii="Times New Roman" w:hAnsi="Times New Roman"/>
                <w:noProof/>
                <w:sz w:val="18"/>
                <w:szCs w:val="18"/>
                <w:lang w:val="en-GB"/>
              </w:rPr>
            </w:pPr>
          </w:p>
        </w:tc>
        <w:tc>
          <w:tcPr>
            <w:tcW w:w="1429" w:type="pct"/>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pPr>
              <w:pStyle w:val="table-text"/>
              <w:jc w:val="center"/>
              <w:rPr>
                <w:rFonts w:ascii="Times New Roman" w:hAnsi="Times New Roman"/>
                <w:bCs/>
                <w:noProof/>
                <w:sz w:val="18"/>
                <w:szCs w:val="18"/>
                <w:lang w:val="en-GB"/>
              </w:rPr>
            </w:pPr>
            <w:r>
              <w:rPr>
                <w:rFonts w:ascii="Times New Roman" w:hAnsi="Times New Roman"/>
                <w:bCs/>
                <w:noProof/>
                <w:sz w:val="18"/>
                <w:szCs w:val="18"/>
                <w:lang w:val="en-GB"/>
              </w:rPr>
              <w:t>2018</w:t>
            </w:r>
          </w:p>
        </w:tc>
        <w:tc>
          <w:tcPr>
            <w:tcW w:w="1429" w:type="pct"/>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pPr>
              <w:pStyle w:val="table-text"/>
              <w:jc w:val="center"/>
              <w:rPr>
                <w:rFonts w:ascii="Times New Roman" w:hAnsi="Times New Roman"/>
                <w:bCs/>
                <w:noProof/>
                <w:sz w:val="18"/>
                <w:szCs w:val="18"/>
                <w:lang w:val="en-GB"/>
              </w:rPr>
            </w:pPr>
            <w:r>
              <w:rPr>
                <w:rFonts w:ascii="Times New Roman" w:hAnsi="Times New Roman"/>
                <w:bCs/>
                <w:noProof/>
                <w:sz w:val="18"/>
                <w:szCs w:val="18"/>
                <w:lang w:val="en-GB"/>
              </w:rPr>
              <w:t>2025</w:t>
            </w:r>
          </w:p>
        </w:tc>
        <w:tc>
          <w:tcPr>
            <w:tcW w:w="1429" w:type="pct"/>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pPr>
              <w:pStyle w:val="table-text"/>
              <w:jc w:val="center"/>
              <w:rPr>
                <w:rFonts w:ascii="Times New Roman" w:hAnsi="Times New Roman"/>
                <w:bCs/>
                <w:noProof/>
                <w:sz w:val="18"/>
                <w:szCs w:val="18"/>
                <w:lang w:val="en-GB"/>
              </w:rPr>
            </w:pPr>
            <w:r>
              <w:rPr>
                <w:rFonts w:ascii="Times New Roman" w:hAnsi="Times New Roman"/>
                <w:bCs/>
                <w:noProof/>
                <w:sz w:val="18"/>
                <w:szCs w:val="18"/>
                <w:lang w:val="en-GB"/>
              </w:rPr>
              <w:t>2030</w:t>
            </w:r>
          </w:p>
        </w:tc>
      </w:tr>
      <w:tr>
        <w:trPr>
          <w:cnfStyle w:val="000000100000" w:firstRow="0" w:lastRow="0" w:firstColumn="0" w:lastColumn="0" w:oddVBand="0" w:evenVBand="0" w:oddHBand="1" w:evenHBand="0" w:firstRowFirstColumn="0" w:firstRowLastColumn="0" w:lastRowFirstColumn="0" w:lastRowLastColumn="0"/>
          <w:trHeight w:val="300"/>
        </w:trPr>
        <w:tc>
          <w:tcPr>
            <w:tcW w:w="714" w:type="pct"/>
            <w:tcBorders>
              <w:top w:val="none" w:sz="0" w:space="0" w:color="auto"/>
            </w:tcBorders>
            <w:noWrap/>
            <w:hideMark/>
          </w:tcPr>
          <w:p>
            <w:pPr>
              <w:pStyle w:val="table-text"/>
              <w:rPr>
                <w:rFonts w:ascii="Times New Roman" w:hAnsi="Times New Roman"/>
                <w:b/>
                <w:bCs/>
                <w:noProof/>
                <w:sz w:val="18"/>
                <w:szCs w:val="18"/>
                <w:lang w:val="en-GB"/>
              </w:rPr>
            </w:pPr>
            <w:r>
              <w:rPr>
                <w:rFonts w:ascii="Times New Roman" w:hAnsi="Times New Roman"/>
                <w:b/>
                <w:bCs/>
                <w:noProof/>
                <w:sz w:val="18"/>
                <w:szCs w:val="18"/>
                <w:lang w:val="en-GB"/>
              </w:rPr>
              <w:t>Road</w:t>
            </w:r>
          </w:p>
        </w:tc>
        <w:tc>
          <w:tcPr>
            <w:tcW w:w="1429" w:type="pct"/>
            <w:tcBorders>
              <w:top w:val="none" w:sz="0" w:space="0" w:color="auto"/>
            </w:tcBorders>
            <w:noWrap/>
            <w:hideMark/>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1%</w:t>
            </w:r>
          </w:p>
        </w:tc>
        <w:tc>
          <w:tcPr>
            <w:tcW w:w="1429" w:type="pct"/>
            <w:tcBorders>
              <w:top w:val="none" w:sz="0" w:space="0" w:color="auto"/>
            </w:tcBorders>
            <w:noWrap/>
            <w:hideMark/>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3%</w:t>
            </w:r>
          </w:p>
        </w:tc>
        <w:tc>
          <w:tcPr>
            <w:tcW w:w="1429" w:type="pct"/>
            <w:tcBorders>
              <w:top w:val="none" w:sz="0" w:space="0" w:color="auto"/>
            </w:tcBorders>
            <w:noWrap/>
            <w:hideMark/>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5%</w:t>
            </w:r>
          </w:p>
        </w:tc>
      </w:tr>
      <w:tr>
        <w:trPr>
          <w:cnfStyle w:val="000000010000" w:firstRow="0" w:lastRow="0" w:firstColumn="0" w:lastColumn="0" w:oddVBand="0" w:evenVBand="0" w:oddHBand="0" w:evenHBand="1" w:firstRowFirstColumn="0" w:firstRowLastColumn="0" w:lastRowFirstColumn="0" w:lastRowLastColumn="0"/>
          <w:trHeight w:val="300"/>
        </w:trPr>
        <w:tc>
          <w:tcPr>
            <w:tcW w:w="714" w:type="pct"/>
            <w:tcBorders>
              <w:top w:val="none" w:sz="0" w:space="0" w:color="auto"/>
            </w:tcBorders>
            <w:noWrap/>
            <w:hideMark/>
          </w:tcPr>
          <w:p>
            <w:pPr>
              <w:pStyle w:val="table-text"/>
              <w:rPr>
                <w:rFonts w:ascii="Times New Roman" w:hAnsi="Times New Roman"/>
                <w:b/>
                <w:bCs/>
                <w:noProof/>
                <w:sz w:val="18"/>
                <w:szCs w:val="18"/>
                <w:lang w:val="en-GB"/>
              </w:rPr>
            </w:pPr>
            <w:r>
              <w:rPr>
                <w:rFonts w:ascii="Times New Roman" w:hAnsi="Times New Roman"/>
                <w:b/>
                <w:bCs/>
                <w:noProof/>
                <w:sz w:val="18"/>
                <w:szCs w:val="18"/>
                <w:lang w:val="en-GB"/>
              </w:rPr>
              <w:t>Rail</w:t>
            </w:r>
          </w:p>
        </w:tc>
        <w:tc>
          <w:tcPr>
            <w:tcW w:w="1429" w:type="pct"/>
            <w:tcBorders>
              <w:top w:val="none" w:sz="0" w:space="0" w:color="auto"/>
            </w:tcBorders>
            <w:noWrap/>
            <w:hideMark/>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5%</w:t>
            </w:r>
          </w:p>
        </w:tc>
        <w:tc>
          <w:tcPr>
            <w:tcW w:w="1429" w:type="pct"/>
            <w:tcBorders>
              <w:top w:val="none" w:sz="0" w:space="0" w:color="auto"/>
            </w:tcBorders>
            <w:noWrap/>
            <w:hideMark/>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10%</w:t>
            </w:r>
          </w:p>
        </w:tc>
        <w:tc>
          <w:tcPr>
            <w:tcW w:w="1429" w:type="pct"/>
            <w:tcBorders>
              <w:top w:val="none" w:sz="0" w:space="0" w:color="auto"/>
            </w:tcBorders>
            <w:noWrap/>
            <w:hideMark/>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15%</w:t>
            </w:r>
          </w:p>
        </w:tc>
      </w:tr>
      <w:tr>
        <w:trPr>
          <w:cnfStyle w:val="000000100000" w:firstRow="0" w:lastRow="0" w:firstColumn="0" w:lastColumn="0" w:oddVBand="0" w:evenVBand="0" w:oddHBand="1" w:evenHBand="0" w:firstRowFirstColumn="0" w:firstRowLastColumn="0" w:lastRowFirstColumn="0" w:lastRowLastColumn="0"/>
          <w:trHeight w:val="300"/>
        </w:trPr>
        <w:tc>
          <w:tcPr>
            <w:tcW w:w="714" w:type="pct"/>
            <w:tcBorders>
              <w:top w:val="none" w:sz="0" w:space="0" w:color="auto"/>
            </w:tcBorders>
            <w:noWrap/>
            <w:hideMark/>
          </w:tcPr>
          <w:p>
            <w:pPr>
              <w:pStyle w:val="table-text"/>
              <w:rPr>
                <w:rFonts w:ascii="Times New Roman" w:hAnsi="Times New Roman"/>
                <w:b/>
                <w:bCs/>
                <w:noProof/>
                <w:sz w:val="18"/>
                <w:szCs w:val="18"/>
                <w:lang w:val="en-GB"/>
              </w:rPr>
            </w:pPr>
            <w:r>
              <w:rPr>
                <w:rFonts w:ascii="Times New Roman" w:hAnsi="Times New Roman"/>
                <w:b/>
                <w:bCs/>
                <w:noProof/>
                <w:sz w:val="18"/>
                <w:szCs w:val="18"/>
                <w:lang w:val="en-GB"/>
              </w:rPr>
              <w:t>IWT</w:t>
            </w:r>
          </w:p>
        </w:tc>
        <w:tc>
          <w:tcPr>
            <w:tcW w:w="1429" w:type="pct"/>
            <w:tcBorders>
              <w:top w:val="none" w:sz="0" w:space="0" w:color="auto"/>
            </w:tcBorders>
            <w:noWrap/>
            <w:hideMark/>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0%</w:t>
            </w:r>
          </w:p>
        </w:tc>
        <w:tc>
          <w:tcPr>
            <w:tcW w:w="1429" w:type="pct"/>
            <w:tcBorders>
              <w:top w:val="none" w:sz="0" w:space="0" w:color="auto"/>
            </w:tcBorders>
            <w:noWrap/>
            <w:hideMark/>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2%</w:t>
            </w:r>
          </w:p>
        </w:tc>
        <w:tc>
          <w:tcPr>
            <w:tcW w:w="1429" w:type="pct"/>
            <w:tcBorders>
              <w:top w:val="none" w:sz="0" w:space="0" w:color="auto"/>
            </w:tcBorders>
            <w:noWrap/>
            <w:hideMark/>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5%</w:t>
            </w:r>
          </w:p>
        </w:tc>
      </w:tr>
      <w:tr>
        <w:trPr>
          <w:cnfStyle w:val="000000010000" w:firstRow="0" w:lastRow="0" w:firstColumn="0" w:lastColumn="0" w:oddVBand="0" w:evenVBand="0" w:oddHBand="0" w:evenHBand="1" w:firstRowFirstColumn="0" w:firstRowLastColumn="0" w:lastRowFirstColumn="0" w:lastRowLastColumn="0"/>
          <w:trHeight w:val="300"/>
        </w:trPr>
        <w:tc>
          <w:tcPr>
            <w:tcW w:w="714" w:type="pct"/>
            <w:tcBorders>
              <w:top w:val="none" w:sz="0" w:space="0" w:color="auto"/>
            </w:tcBorders>
            <w:noWrap/>
            <w:hideMark/>
          </w:tcPr>
          <w:p>
            <w:pPr>
              <w:pStyle w:val="table-text"/>
              <w:rPr>
                <w:rFonts w:ascii="Times New Roman" w:hAnsi="Times New Roman"/>
                <w:b/>
                <w:bCs/>
                <w:noProof/>
                <w:sz w:val="18"/>
                <w:szCs w:val="18"/>
                <w:lang w:val="en-GB"/>
              </w:rPr>
            </w:pPr>
            <w:r>
              <w:rPr>
                <w:rFonts w:ascii="Times New Roman" w:hAnsi="Times New Roman"/>
                <w:b/>
                <w:bCs/>
                <w:noProof/>
                <w:sz w:val="18"/>
                <w:szCs w:val="18"/>
                <w:lang w:val="en-GB"/>
              </w:rPr>
              <w:t>Maritime</w:t>
            </w:r>
          </w:p>
        </w:tc>
        <w:tc>
          <w:tcPr>
            <w:tcW w:w="1429" w:type="pct"/>
            <w:tcBorders>
              <w:top w:val="none" w:sz="0" w:space="0" w:color="auto"/>
            </w:tcBorders>
            <w:noWrap/>
            <w:hideMark/>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0%</w:t>
            </w:r>
          </w:p>
        </w:tc>
        <w:tc>
          <w:tcPr>
            <w:tcW w:w="1429" w:type="pct"/>
            <w:tcBorders>
              <w:top w:val="none" w:sz="0" w:space="0" w:color="auto"/>
            </w:tcBorders>
            <w:noWrap/>
            <w:hideMark/>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2%</w:t>
            </w:r>
          </w:p>
        </w:tc>
        <w:tc>
          <w:tcPr>
            <w:tcW w:w="1429" w:type="pct"/>
            <w:tcBorders>
              <w:top w:val="none" w:sz="0" w:space="0" w:color="auto"/>
            </w:tcBorders>
            <w:noWrap/>
            <w:hideMark/>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5%</w:t>
            </w:r>
          </w:p>
        </w:tc>
      </w:tr>
      <w:tr>
        <w:trPr>
          <w:cnfStyle w:val="000000100000" w:firstRow="0" w:lastRow="0" w:firstColumn="0" w:lastColumn="0" w:oddVBand="0" w:evenVBand="0" w:oddHBand="1" w:evenHBand="0" w:firstRowFirstColumn="0" w:firstRowLastColumn="0" w:lastRowFirstColumn="0" w:lastRowLastColumn="0"/>
          <w:trHeight w:val="300"/>
        </w:trPr>
        <w:tc>
          <w:tcPr>
            <w:tcW w:w="714" w:type="pct"/>
            <w:tcBorders>
              <w:top w:val="none" w:sz="0" w:space="0" w:color="auto"/>
            </w:tcBorders>
            <w:noWrap/>
            <w:hideMark/>
          </w:tcPr>
          <w:p>
            <w:pPr>
              <w:pStyle w:val="table-text"/>
              <w:rPr>
                <w:rFonts w:ascii="Times New Roman" w:hAnsi="Times New Roman"/>
                <w:b/>
                <w:bCs/>
                <w:noProof/>
                <w:sz w:val="18"/>
                <w:szCs w:val="18"/>
                <w:lang w:val="en-GB"/>
              </w:rPr>
            </w:pPr>
            <w:r>
              <w:rPr>
                <w:rFonts w:ascii="Times New Roman" w:hAnsi="Times New Roman"/>
                <w:b/>
                <w:bCs/>
                <w:noProof/>
                <w:sz w:val="18"/>
                <w:szCs w:val="18"/>
                <w:lang w:val="en-GB"/>
              </w:rPr>
              <w:t>Aviation</w:t>
            </w:r>
          </w:p>
        </w:tc>
        <w:tc>
          <w:tcPr>
            <w:tcW w:w="1429" w:type="pct"/>
            <w:tcBorders>
              <w:top w:val="none" w:sz="0" w:space="0" w:color="auto"/>
            </w:tcBorders>
            <w:noWrap/>
            <w:hideMark/>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40%</w:t>
            </w:r>
          </w:p>
        </w:tc>
        <w:tc>
          <w:tcPr>
            <w:tcW w:w="1429" w:type="pct"/>
            <w:tcBorders>
              <w:top w:val="none" w:sz="0" w:space="0" w:color="auto"/>
            </w:tcBorders>
            <w:noWrap/>
            <w:hideMark/>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45%</w:t>
            </w:r>
          </w:p>
        </w:tc>
        <w:tc>
          <w:tcPr>
            <w:tcW w:w="1429" w:type="pct"/>
            <w:tcBorders>
              <w:top w:val="none" w:sz="0" w:space="0" w:color="auto"/>
            </w:tcBorders>
            <w:noWrap/>
            <w:hideMark/>
          </w:tcPr>
          <w:p>
            <w:pPr>
              <w:pStyle w:val="table-text"/>
              <w:jc w:val="center"/>
              <w:rPr>
                <w:rFonts w:ascii="Times New Roman" w:hAnsi="Times New Roman"/>
                <w:noProof/>
                <w:sz w:val="18"/>
                <w:szCs w:val="18"/>
                <w:lang w:val="en-GB"/>
              </w:rPr>
            </w:pPr>
            <w:r>
              <w:rPr>
                <w:rFonts w:ascii="Times New Roman" w:hAnsi="Times New Roman"/>
                <w:noProof/>
                <w:sz w:val="18"/>
                <w:szCs w:val="18"/>
                <w:lang w:val="en-GB"/>
              </w:rPr>
              <w:t>50%</w:t>
            </w:r>
          </w:p>
        </w:tc>
      </w:tr>
    </w:tbl>
    <w:p>
      <w:pPr>
        <w:rPr>
          <w:noProof/>
        </w:rPr>
      </w:pPr>
    </w:p>
    <w:p>
      <w:pPr>
        <w:rPr>
          <w:noProof/>
        </w:rPr>
        <w:sectPr>
          <w:headerReference w:type="even" r:id="rId34"/>
          <w:headerReference w:type="default" r:id="rId35"/>
          <w:footerReference w:type="even" r:id="rId36"/>
          <w:footerReference w:type="default" r:id="rId37"/>
          <w:headerReference w:type="first" r:id="rId38"/>
          <w:footerReference w:type="first" r:id="rId39"/>
          <w:pgSz w:w="11906" w:h="16838"/>
          <w:pgMar w:top="1020" w:right="1701" w:bottom="1020" w:left="1587" w:header="601" w:footer="1077" w:gutter="0"/>
          <w:cols w:space="720"/>
          <w:titlePg/>
          <w:docGrid w:linePitch="299"/>
        </w:sectPr>
      </w:pPr>
      <w:r>
        <w:rPr>
          <w:noProof/>
        </w:rPr>
        <w:br w:type="page"/>
      </w:r>
    </w:p>
    <w:p>
      <w:pPr>
        <w:pStyle w:val="AnnexTitle"/>
        <w:outlineLvl w:val="0"/>
        <w:rPr>
          <w:noProof/>
        </w:rPr>
      </w:pPr>
      <w:bookmarkStart w:id="323" w:name="_Toc481484494"/>
      <w:bookmarkStart w:id="324" w:name="_Toc512854968"/>
      <w:r>
        <w:rPr>
          <w:noProof/>
        </w:rPr>
        <w:t xml:space="preserve">Annex 5: </w:t>
      </w:r>
      <w:bookmarkEnd w:id="323"/>
      <w:r>
        <w:rPr>
          <w:noProof/>
        </w:rPr>
        <w:t>Monitoring arrangements</w:t>
      </w:r>
      <w:bookmarkEnd w:id="324"/>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A monitoring and evaluation framework has been developed on the basis that </w:t>
      </w:r>
      <w:r>
        <w:rPr>
          <w:rFonts w:ascii="Times New Roman" w:eastAsia="Times New Roman" w:hAnsi="Times New Roman" w:cs="Times New Roman"/>
          <w:b/>
          <w:noProof/>
          <w:sz w:val="24"/>
          <w:szCs w:val="24"/>
          <w:lang w:eastAsia="de-DE"/>
        </w:rPr>
        <w:t>Option 3</w:t>
      </w:r>
      <w:r>
        <w:rPr>
          <w:rFonts w:ascii="Times New Roman" w:eastAsia="Times New Roman" w:hAnsi="Times New Roman" w:cs="Times New Roman"/>
          <w:noProof/>
          <w:sz w:val="24"/>
          <w:szCs w:val="24"/>
          <w:lang w:eastAsia="de-DE"/>
        </w:rPr>
        <w:t xml:space="preserve"> is the preferred policy option. </w:t>
      </w:r>
    </w:p>
    <w:p>
      <w:pPr>
        <w:keepNext/>
        <w:tabs>
          <w:tab w:val="num" w:pos="1200"/>
        </w:tabs>
        <w:spacing w:after="120" w:line="240" w:lineRule="auto"/>
        <w:ind w:left="850" w:hanging="850"/>
        <w:jc w:val="both"/>
        <w:outlineLvl w:val="1"/>
        <w:rPr>
          <w:rFonts w:ascii="Times New Roman" w:eastAsia="Times New Roman" w:hAnsi="Times New Roman" w:cs="Times New Roman"/>
          <w:b/>
          <w:noProof/>
          <w:sz w:val="24"/>
          <w:szCs w:val="20"/>
        </w:rPr>
      </w:pPr>
      <w:bookmarkStart w:id="325" w:name="_Toc474440178"/>
      <w:bookmarkStart w:id="326" w:name="_Toc474745538"/>
      <w:bookmarkStart w:id="327" w:name="_Toc475969641"/>
      <w:bookmarkStart w:id="328" w:name="_Toc506408328"/>
      <w:bookmarkStart w:id="329" w:name="_Toc512589664"/>
      <w:bookmarkStart w:id="330" w:name="_Toc512854969"/>
      <w:r>
        <w:rPr>
          <w:rFonts w:ascii="Times New Roman" w:eastAsia="Times New Roman" w:hAnsi="Times New Roman" w:cs="Times New Roman"/>
          <w:b/>
          <w:noProof/>
          <w:sz w:val="24"/>
          <w:szCs w:val="20"/>
        </w:rPr>
        <w:t>Operational objectives of the preferred policy option</w:t>
      </w:r>
      <w:bookmarkEnd w:id="325"/>
      <w:bookmarkEnd w:id="326"/>
      <w:bookmarkEnd w:id="327"/>
      <w:bookmarkEnd w:id="328"/>
      <w:bookmarkEnd w:id="329"/>
      <w:bookmarkEnd w:id="330"/>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As a first step, the development of the monitoring and evaluation framework requires the establishment of the operational objectives of the preferred policy option. </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A set of operational objectives that are derived from the respective generic and specific objectives and reflect the nature and type of measures adopted is presented in Table Annex 5-1 below. </w:t>
      </w:r>
    </w:p>
    <w:p>
      <w:pPr>
        <w:spacing w:after="120" w:line="240" w:lineRule="auto"/>
        <w:jc w:val="both"/>
        <w:rPr>
          <w:rFonts w:ascii="Times New Roman" w:eastAsia="Times New Roman" w:hAnsi="Times New Roman" w:cs="Times New Roman"/>
          <w:noProof/>
          <w:sz w:val="20"/>
          <w:szCs w:val="20"/>
          <w:lang w:eastAsia="de-DE"/>
        </w:rPr>
      </w:pPr>
      <w:bookmarkStart w:id="331" w:name="_Ref474703958"/>
      <w:r>
        <w:rPr>
          <w:rFonts w:ascii="Times New Roman" w:eastAsia="Times New Roman" w:hAnsi="Times New Roman" w:cs="Times New Roman"/>
          <w:b/>
          <w:noProof/>
          <w:sz w:val="20"/>
          <w:szCs w:val="20"/>
          <w:lang w:eastAsia="de-DE"/>
        </w:rPr>
        <w:t xml:space="preserve">Table </w:t>
      </w:r>
      <w:bookmarkEnd w:id="331"/>
      <w:r>
        <w:rPr>
          <w:rFonts w:ascii="Times New Roman" w:eastAsia="Times New Roman" w:hAnsi="Times New Roman" w:cs="Times New Roman"/>
          <w:b/>
          <w:noProof/>
          <w:sz w:val="20"/>
          <w:szCs w:val="20"/>
          <w:lang w:eastAsia="de-DE"/>
        </w:rPr>
        <w:t xml:space="preserve">Annex 5 -1 – Operational objectives </w:t>
      </w:r>
    </w:p>
    <w:tbl>
      <w:tblPr>
        <w:tblStyle w:val="DocumentTable2"/>
        <w:tblW w:w="4713" w:type="pct"/>
        <w:tblLook w:val="04A0" w:firstRow="1" w:lastRow="0" w:firstColumn="1" w:lastColumn="0" w:noHBand="0" w:noVBand="1"/>
      </w:tblPr>
      <w:tblGrid>
        <w:gridCol w:w="2071"/>
        <w:gridCol w:w="3021"/>
        <w:gridCol w:w="3234"/>
      </w:tblGrid>
      <w:tr>
        <w:tc>
          <w:tcPr>
            <w:tcW w:w="1243" w:type="pct"/>
            <w:tcBorders>
              <w:top w:val="single" w:sz="4" w:space="0" w:color="FFFFFF"/>
              <w:left w:val="single" w:sz="4" w:space="0" w:color="FFFFFF"/>
              <w:bottom w:val="single" w:sz="4" w:space="0" w:color="FFFFFF"/>
              <w:right w:val="single" w:sz="4" w:space="0" w:color="FFFFFF"/>
            </w:tcBorders>
            <w:hideMark/>
          </w:tcPr>
          <w:p>
            <w:pPr>
              <w:keepNext/>
              <w:spacing w:before="120" w:after="120"/>
              <w:jc w:val="center"/>
              <w:rPr>
                <w:rFonts w:ascii="Times New Roman" w:hAnsi="Times New Roman" w:cs="Times New Roman"/>
                <w:b/>
                <w:noProof/>
                <w:lang w:eastAsia="de-DE"/>
              </w:rPr>
            </w:pPr>
            <w:r>
              <w:rPr>
                <w:rFonts w:ascii="Times New Roman" w:hAnsi="Times New Roman" w:cs="Times New Roman"/>
                <w:b/>
                <w:noProof/>
                <w:lang w:eastAsia="de-DE"/>
              </w:rPr>
              <w:t>General objectives</w:t>
            </w:r>
          </w:p>
        </w:tc>
        <w:tc>
          <w:tcPr>
            <w:tcW w:w="1814" w:type="pct"/>
            <w:tcBorders>
              <w:top w:val="single" w:sz="4" w:space="0" w:color="FFFFFF"/>
              <w:left w:val="single" w:sz="4" w:space="0" w:color="FFFFFF"/>
              <w:bottom w:val="single" w:sz="4" w:space="0" w:color="FFFFFF"/>
              <w:right w:val="single" w:sz="4" w:space="0" w:color="FFFFFF"/>
            </w:tcBorders>
            <w:hideMark/>
          </w:tcPr>
          <w:p>
            <w:pPr>
              <w:keepNext/>
              <w:spacing w:before="120" w:after="120"/>
              <w:jc w:val="center"/>
              <w:rPr>
                <w:rFonts w:ascii="Times New Roman" w:hAnsi="Times New Roman" w:cs="Times New Roman"/>
                <w:b/>
                <w:noProof/>
                <w:lang w:eastAsia="de-DE"/>
              </w:rPr>
            </w:pPr>
            <w:r>
              <w:rPr>
                <w:rFonts w:ascii="Times New Roman" w:hAnsi="Times New Roman" w:cs="Times New Roman"/>
                <w:b/>
                <w:noProof/>
                <w:lang w:eastAsia="de-DE"/>
              </w:rPr>
              <w:t>Specific objectives</w:t>
            </w:r>
          </w:p>
        </w:tc>
        <w:tc>
          <w:tcPr>
            <w:tcW w:w="1942" w:type="pct"/>
            <w:tcBorders>
              <w:top w:val="single" w:sz="4" w:space="0" w:color="FFFFFF"/>
              <w:left w:val="single" w:sz="4" w:space="0" w:color="FFFFFF"/>
              <w:bottom w:val="single" w:sz="4" w:space="0" w:color="FFFFFF"/>
              <w:right w:val="single" w:sz="4" w:space="0" w:color="FFFFFF"/>
            </w:tcBorders>
            <w:hideMark/>
          </w:tcPr>
          <w:p>
            <w:pPr>
              <w:keepNext/>
              <w:spacing w:before="120" w:after="120"/>
              <w:jc w:val="center"/>
              <w:rPr>
                <w:rFonts w:ascii="Times New Roman" w:hAnsi="Times New Roman" w:cs="Times New Roman"/>
                <w:b/>
                <w:noProof/>
                <w:lang w:eastAsia="de-DE"/>
              </w:rPr>
            </w:pPr>
            <w:r>
              <w:rPr>
                <w:rFonts w:ascii="Times New Roman" w:hAnsi="Times New Roman" w:cs="Times New Roman"/>
                <w:b/>
                <w:noProof/>
                <w:lang w:eastAsia="de-DE"/>
              </w:rPr>
              <w:t>Operational objectives</w:t>
            </w:r>
          </w:p>
        </w:tc>
      </w:tr>
      <w:tr>
        <w:tc>
          <w:tcPr>
            <w:tcW w:w="1243" w:type="pct"/>
            <w:vMerge w:val="restart"/>
            <w:tcBorders>
              <w:top w:val="single" w:sz="4" w:space="0" w:color="FFFFFF"/>
              <w:left w:val="single" w:sz="4" w:space="0" w:color="FFFFFF"/>
              <w:right w:val="single" w:sz="4" w:space="0" w:color="FFFFFF"/>
            </w:tcBorders>
            <w:vAlign w:val="center"/>
          </w:tcPr>
          <w:p>
            <w:pPr>
              <w:keepNext/>
              <w:spacing w:before="120" w:after="120"/>
              <w:rPr>
                <w:rFonts w:ascii="Times New Roman" w:hAnsi="Times New Roman" w:cs="Times New Roman"/>
                <w:noProof/>
                <w:lang w:eastAsia="de-DE"/>
              </w:rPr>
            </w:pPr>
            <w:r>
              <w:rPr>
                <w:rFonts w:ascii="Times New Roman" w:hAnsi="Times New Roman" w:cs="Times New Roman"/>
                <w:noProof/>
                <w:sz w:val="20"/>
                <w:lang w:eastAsia="ar-SA"/>
              </w:rPr>
              <w:t>Contribute to removing barriers to the smooth functioning of the Single Market, to the modernisation of the economy and to the greater efficiency of the transport sector, through enabling wider use of digital technologies.</w:t>
            </w:r>
          </w:p>
        </w:tc>
        <w:tc>
          <w:tcPr>
            <w:tcW w:w="1814" w:type="pct"/>
            <w:tcBorders>
              <w:top w:val="single" w:sz="4" w:space="0" w:color="FFFFFF"/>
              <w:left w:val="single" w:sz="4" w:space="0" w:color="FFFFFF"/>
              <w:bottom w:val="single" w:sz="4" w:space="0" w:color="FFFFFF"/>
              <w:right w:val="single" w:sz="4" w:space="0" w:color="FFFFFF"/>
            </w:tcBorders>
            <w:hideMark/>
          </w:tcPr>
          <w:p>
            <w:pPr>
              <w:spacing w:before="60" w:after="60"/>
              <w:rPr>
                <w:rFonts w:ascii="Times New Roman" w:hAnsi="Times New Roman" w:cs="Times New Roman"/>
                <w:noProof/>
                <w:sz w:val="20"/>
                <w:lang w:eastAsia="de-DE"/>
              </w:rPr>
            </w:pPr>
            <w:r>
              <w:rPr>
                <w:rFonts w:ascii="Times New Roman" w:hAnsi="Times New Roman" w:cs="Times New Roman"/>
                <w:noProof/>
                <w:sz w:val="20"/>
                <w:lang w:eastAsia="ar-SA"/>
              </w:rPr>
              <w:t>Ensure the establishment, in all EU Member States, of the obligation of acceptance of electronic cargo transport documents/information by all relevant public authorities</w:t>
            </w:r>
          </w:p>
        </w:tc>
        <w:tc>
          <w:tcPr>
            <w:tcW w:w="1942" w:type="pct"/>
            <w:vMerge w:val="restart"/>
            <w:tcBorders>
              <w:top w:val="single" w:sz="4" w:space="0" w:color="FFFFFF"/>
              <w:left w:val="single" w:sz="4" w:space="0" w:color="FFFFFF"/>
              <w:right w:val="single" w:sz="4" w:space="0" w:color="FFFFFF"/>
            </w:tcBorders>
          </w:tcPr>
          <w:p>
            <w:pPr>
              <w:keepNext/>
              <w:numPr>
                <w:ilvl w:val="0"/>
                <w:numId w:val="7"/>
              </w:numPr>
              <w:spacing w:before="240" w:after="120"/>
              <w:ind w:left="357" w:hanging="357"/>
              <w:jc w:val="center"/>
              <w:rPr>
                <w:rFonts w:ascii="Times New Roman" w:hAnsi="Times New Roman" w:cs="Times New Roman"/>
                <w:noProof/>
                <w:lang w:eastAsia="de-DE"/>
              </w:rPr>
            </w:pPr>
            <w:r>
              <w:rPr>
                <w:rFonts w:ascii="Times New Roman" w:hAnsi="Times New Roman" w:cs="Times New Roman"/>
                <w:noProof/>
                <w:sz w:val="20"/>
                <w:lang w:eastAsia="de-DE"/>
              </w:rPr>
              <w:t>Ensure the adoption of common criteria</w:t>
            </w:r>
            <w:r>
              <w:rPr>
                <w:noProof/>
                <w:lang w:eastAsia="de-DE"/>
              </w:rPr>
              <w:t xml:space="preserve"> for compliance by</w:t>
            </w:r>
            <w:r>
              <w:rPr>
                <w:rFonts w:ascii="Times New Roman" w:hAnsi="Times New Roman" w:cs="Times New Roman"/>
                <w:noProof/>
                <w:sz w:val="20"/>
                <w:lang w:eastAsia="de-DE"/>
              </w:rPr>
              <w:t xml:space="preserve"> transport documents/information in order to be accepted by all Member States authorities</w:t>
            </w:r>
          </w:p>
          <w:p>
            <w:pPr>
              <w:keepNext/>
              <w:numPr>
                <w:ilvl w:val="0"/>
                <w:numId w:val="7"/>
              </w:numPr>
              <w:spacing w:before="240" w:after="120"/>
              <w:ind w:left="357" w:hanging="357"/>
              <w:jc w:val="center"/>
              <w:rPr>
                <w:rFonts w:ascii="Times New Roman" w:hAnsi="Times New Roman" w:cs="Times New Roman"/>
                <w:noProof/>
                <w:lang w:eastAsia="de-DE"/>
              </w:rPr>
            </w:pPr>
            <w:r>
              <w:rPr>
                <w:rFonts w:ascii="Times New Roman" w:hAnsi="Times New Roman" w:cs="Times New Roman"/>
                <w:noProof/>
                <w:sz w:val="20"/>
                <w:lang w:eastAsia="de-DE"/>
              </w:rPr>
              <w:t>Ensure the adoption of common rules for the access to and checks of electronic freight transport documents/information by Member States’ authorities</w:t>
            </w:r>
          </w:p>
          <w:p>
            <w:pPr>
              <w:keepNext/>
              <w:numPr>
                <w:ilvl w:val="0"/>
                <w:numId w:val="7"/>
              </w:numPr>
              <w:spacing w:before="240" w:after="120"/>
              <w:ind w:left="357" w:hanging="357"/>
              <w:jc w:val="center"/>
              <w:rPr>
                <w:rFonts w:ascii="Times New Roman" w:hAnsi="Times New Roman" w:cs="Times New Roman"/>
                <w:noProof/>
                <w:lang w:eastAsia="de-DE"/>
              </w:rPr>
            </w:pPr>
            <w:r>
              <w:rPr>
                <w:rFonts w:ascii="Times New Roman" w:hAnsi="Times New Roman" w:cs="Times New Roman"/>
                <w:noProof/>
                <w:sz w:val="20"/>
                <w:lang w:eastAsia="de-DE"/>
              </w:rPr>
              <w:t xml:space="preserve">Ensure the adoption of common technical requirements for the </w:t>
            </w:r>
            <w:r>
              <w:rPr>
                <w:noProof/>
                <w:lang w:eastAsia="de-DE"/>
              </w:rPr>
              <w:t xml:space="preserve">criteria for </w:t>
            </w:r>
            <w:r>
              <w:rPr>
                <w:rFonts w:ascii="Times New Roman" w:hAnsi="Times New Roman" w:cs="Times New Roman"/>
                <w:noProof/>
                <w:sz w:val="20"/>
                <w:lang w:eastAsia="de-DE"/>
              </w:rPr>
              <w:t xml:space="preserve">compliance </w:t>
            </w:r>
            <w:r>
              <w:rPr>
                <w:noProof/>
                <w:lang w:eastAsia="de-DE"/>
              </w:rPr>
              <w:t xml:space="preserve">by </w:t>
            </w:r>
            <w:r>
              <w:rPr>
                <w:rFonts w:ascii="Times New Roman" w:hAnsi="Times New Roman" w:cs="Times New Roman"/>
                <w:noProof/>
                <w:sz w:val="20"/>
                <w:lang w:eastAsia="de-DE"/>
              </w:rPr>
              <w:t xml:space="preserve">electronic transport documents/information </w:t>
            </w:r>
          </w:p>
        </w:tc>
      </w:tr>
      <w:tr>
        <w:tc>
          <w:tcPr>
            <w:tcW w:w="1243" w:type="pct"/>
            <w:vMerge/>
            <w:tcBorders>
              <w:left w:val="single" w:sz="4" w:space="0" w:color="FFFFFF"/>
              <w:right w:val="single" w:sz="4" w:space="0" w:color="FFFFFF"/>
            </w:tcBorders>
            <w:vAlign w:val="center"/>
            <w:hideMark/>
          </w:tcPr>
          <w:p>
            <w:pPr>
              <w:spacing w:before="120"/>
              <w:rPr>
                <w:noProof/>
                <w:lang w:eastAsia="de-DE"/>
              </w:rPr>
            </w:pPr>
          </w:p>
        </w:tc>
        <w:tc>
          <w:tcPr>
            <w:tcW w:w="1814" w:type="pct"/>
            <w:tcBorders>
              <w:top w:val="single" w:sz="4" w:space="0" w:color="FFFFFF"/>
              <w:left w:val="single" w:sz="4" w:space="0" w:color="FFFFFF"/>
              <w:bottom w:val="single" w:sz="4" w:space="0" w:color="FFFFFF"/>
              <w:right w:val="single" w:sz="4" w:space="0" w:color="FFFFFF"/>
            </w:tcBorders>
            <w:hideMark/>
          </w:tcPr>
          <w:p>
            <w:pPr>
              <w:spacing w:before="60" w:after="60"/>
              <w:rPr>
                <w:rFonts w:ascii="Times New Roman" w:hAnsi="Times New Roman" w:cs="Times New Roman"/>
                <w:noProof/>
                <w:sz w:val="20"/>
                <w:lang w:eastAsia="ar-SA"/>
              </w:rPr>
            </w:pPr>
            <w:r>
              <w:rPr>
                <w:rFonts w:ascii="Times New Roman" w:hAnsi="Times New Roman" w:cs="Times New Roman"/>
                <w:noProof/>
                <w:sz w:val="20"/>
                <w:lang w:eastAsia="ar-SA"/>
              </w:rPr>
              <w:t>Ensure the uniform implementation by authorities of the obligation of acceptance</w:t>
            </w:r>
          </w:p>
        </w:tc>
        <w:tc>
          <w:tcPr>
            <w:tcW w:w="1942" w:type="pct"/>
            <w:vMerge/>
            <w:tcBorders>
              <w:left w:val="single" w:sz="4" w:space="0" w:color="FFFFFF"/>
              <w:right w:val="single" w:sz="4" w:space="0" w:color="FFFFFF"/>
            </w:tcBorders>
          </w:tcPr>
          <w:p>
            <w:pPr>
              <w:keepNext/>
              <w:spacing w:before="60" w:after="60"/>
              <w:jc w:val="center"/>
              <w:rPr>
                <w:noProof/>
                <w:lang w:eastAsia="de-DE"/>
              </w:rPr>
            </w:pPr>
          </w:p>
        </w:tc>
      </w:tr>
      <w:tr>
        <w:tc>
          <w:tcPr>
            <w:tcW w:w="1243" w:type="pct"/>
            <w:vMerge/>
            <w:tcBorders>
              <w:left w:val="single" w:sz="4" w:space="0" w:color="FFFFFF"/>
              <w:bottom w:val="single" w:sz="4" w:space="0" w:color="FFFFFF"/>
              <w:right w:val="single" w:sz="4" w:space="0" w:color="FFFFFF"/>
            </w:tcBorders>
            <w:hideMark/>
          </w:tcPr>
          <w:p>
            <w:pPr>
              <w:spacing w:before="120" w:after="120"/>
              <w:rPr>
                <w:noProof/>
                <w:lang w:eastAsia="de-DE"/>
              </w:rPr>
            </w:pPr>
          </w:p>
        </w:tc>
        <w:tc>
          <w:tcPr>
            <w:tcW w:w="1814" w:type="pct"/>
            <w:tcBorders>
              <w:top w:val="single" w:sz="4" w:space="0" w:color="FFFFFF"/>
              <w:left w:val="single" w:sz="4" w:space="0" w:color="FFFFFF"/>
              <w:bottom w:val="single" w:sz="4" w:space="0" w:color="FFFFFF"/>
              <w:right w:val="single" w:sz="4" w:space="0" w:color="FFFFFF"/>
            </w:tcBorders>
            <w:hideMark/>
          </w:tcPr>
          <w:p>
            <w:pPr>
              <w:spacing w:before="60" w:after="60"/>
              <w:rPr>
                <w:rFonts w:ascii="Times New Roman" w:hAnsi="Times New Roman" w:cs="Times New Roman"/>
                <w:noProof/>
                <w:sz w:val="20"/>
                <w:lang w:eastAsia="ar-SA"/>
              </w:rPr>
            </w:pPr>
            <w:r>
              <w:rPr>
                <w:rFonts w:ascii="Times New Roman" w:hAnsi="Times New Roman" w:cs="Times New Roman"/>
                <w:noProof/>
                <w:sz w:val="20"/>
                <w:lang w:eastAsia="ar-SA"/>
              </w:rPr>
              <w:t xml:space="preserve">Ensure the interoperability of IT systems and solutions for electronic exchange of cargo transport information, in particular for B2A regulatory information communication </w:t>
            </w:r>
          </w:p>
        </w:tc>
        <w:tc>
          <w:tcPr>
            <w:tcW w:w="1942" w:type="pct"/>
            <w:vMerge/>
            <w:tcBorders>
              <w:left w:val="single" w:sz="4" w:space="0" w:color="FFFFFF"/>
              <w:bottom w:val="single" w:sz="4" w:space="0" w:color="FFFFFF"/>
              <w:right w:val="single" w:sz="4" w:space="0" w:color="FFFFFF"/>
            </w:tcBorders>
          </w:tcPr>
          <w:p>
            <w:pPr>
              <w:numPr>
                <w:ilvl w:val="0"/>
                <w:numId w:val="3"/>
              </w:numPr>
              <w:spacing w:before="60" w:after="60"/>
              <w:ind w:left="360" w:firstLine="0"/>
              <w:rPr>
                <w:noProof/>
                <w:lang w:eastAsia="de-DE"/>
              </w:rPr>
            </w:pPr>
          </w:p>
        </w:tc>
      </w:tr>
    </w:tbl>
    <w:p>
      <w:pPr>
        <w:keepNext/>
        <w:spacing w:after="120" w:line="240" w:lineRule="auto"/>
        <w:ind w:left="850" w:hanging="850"/>
        <w:jc w:val="both"/>
        <w:outlineLvl w:val="1"/>
        <w:rPr>
          <w:rFonts w:ascii="Times New Roman" w:eastAsia="Times New Roman" w:hAnsi="Times New Roman" w:cs="Times New Roman"/>
          <w:b/>
          <w:noProof/>
          <w:sz w:val="24"/>
          <w:szCs w:val="20"/>
        </w:rPr>
      </w:pPr>
      <w:bookmarkStart w:id="332" w:name="_Toc474440179"/>
      <w:bookmarkStart w:id="333" w:name="_Toc474745539"/>
      <w:bookmarkStart w:id="334" w:name="_Toc475969642"/>
      <w:bookmarkStart w:id="335" w:name="_Toc506408329"/>
      <w:bookmarkStart w:id="336" w:name="_Toc512589665"/>
      <w:bookmarkStart w:id="337" w:name="_Toc512854970"/>
      <w:r>
        <w:rPr>
          <w:rFonts w:ascii="Times New Roman" w:eastAsia="Times New Roman" w:hAnsi="Times New Roman" w:cs="Times New Roman"/>
          <w:b/>
          <w:noProof/>
          <w:sz w:val="24"/>
          <w:szCs w:val="20"/>
        </w:rPr>
        <w:t>Monitoring and evaluation framework – Relevant indicators and data sources</w:t>
      </w:r>
      <w:bookmarkEnd w:id="332"/>
      <w:bookmarkEnd w:id="333"/>
      <w:bookmarkEnd w:id="334"/>
      <w:bookmarkEnd w:id="335"/>
      <w:bookmarkEnd w:id="336"/>
      <w:bookmarkEnd w:id="337"/>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The monitoring framework should cover the following aspects of the initiative: </w:t>
      </w:r>
    </w:p>
    <w:p>
      <w:pPr>
        <w:numPr>
          <w:ilvl w:val="0"/>
          <w:numId w:val="13"/>
        </w:numPr>
        <w:spacing w:after="60" w:line="240" w:lineRule="auto"/>
        <w:ind w:left="454" w:hanging="227"/>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Application: Focuses on the actual changes observed as a result of the realisation of the policy and is closely linked with the specific and general objectives. Data for some of the relevant indicators should be relatively easily available and should be possible to include in the reports submitted by authorities or collected directly by the Commission services. Other aspects will have to be covered as part of the evaluation of the legislation where surveys and other tools will be used to collect relevant information (such as costs of compliance).  </w:t>
      </w:r>
    </w:p>
    <w:p>
      <w:pPr>
        <w:numPr>
          <w:ilvl w:val="0"/>
          <w:numId w:val="13"/>
        </w:numPr>
        <w:spacing w:after="60" w:line="240" w:lineRule="auto"/>
        <w:ind w:left="454" w:hanging="227"/>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Implementation: Covers changes to the legal framework and adoption of measures that are necessary to enable the implementation of the selected policy measures. The relevant indicators are closely linked with the operational objectives. Moreover, the section covers cost to various actors related to the implementation of the measure. In most cases, relevant data should be available from the Commission services or possibly rely on reporting from the national authorities.  </w:t>
      </w:r>
    </w:p>
    <w:p>
      <w:pPr>
        <w:numPr>
          <w:ilvl w:val="0"/>
          <w:numId w:val="13"/>
        </w:numPr>
        <w:spacing w:after="60" w:line="240" w:lineRule="auto"/>
        <w:ind w:left="454" w:hanging="227"/>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Contextual information, if applicable: We consider that greater information on the level of use of electronic documentation but also overall level of the technological development. This is in addition to the more contextual information concerning the evolution of road freight transport (international) which is already monitored and overall level of administrative costs for both authorities and business. </w:t>
      </w:r>
    </w:p>
    <w:p>
      <w:pPr>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Table Annex 5-2 below presents the indicators and data sources proposed for the four different aspects.</w:t>
      </w:r>
    </w:p>
    <w:p>
      <w:pPr>
        <w:rPr>
          <w:b/>
          <w:noProof/>
          <w:sz w:val="20"/>
          <w:szCs w:val="20"/>
        </w:rPr>
      </w:pPr>
      <w:bookmarkStart w:id="338" w:name="_Ref472496944"/>
      <w:bookmarkStart w:id="339" w:name="_Ref468119346"/>
      <w:r>
        <w:rPr>
          <w:b/>
          <w:noProof/>
          <w:sz w:val="20"/>
          <w:szCs w:val="20"/>
        </w:rPr>
        <w:t xml:space="preserve">Table </w:t>
      </w:r>
      <w:bookmarkEnd w:id="338"/>
      <w:bookmarkEnd w:id="339"/>
      <w:r>
        <w:rPr>
          <w:b/>
          <w:noProof/>
          <w:sz w:val="20"/>
          <w:szCs w:val="20"/>
        </w:rPr>
        <w:t>Annex 5-2: Proposed monitoring and evaluation framework</w:t>
      </w:r>
    </w:p>
    <w:tbl>
      <w:tblPr>
        <w:tblStyle w:val="TableGrid"/>
        <w:tblW w:w="0" w:type="auto"/>
        <w:tblLook w:val="04A0" w:firstRow="1" w:lastRow="0" w:firstColumn="1" w:lastColumn="0" w:noHBand="0" w:noVBand="1"/>
      </w:tblPr>
      <w:tblGrid>
        <w:gridCol w:w="3228"/>
        <w:gridCol w:w="1781"/>
        <w:gridCol w:w="2665"/>
        <w:gridCol w:w="1159"/>
      </w:tblGrid>
      <w:tr>
        <w:trPr>
          <w:tblHeader/>
        </w:trPr>
        <w:tc>
          <w:tcPr>
            <w:tcW w:w="0" w:type="auto"/>
            <w:shd w:val="clear" w:color="auto" w:fill="948A54" w:themeFill="background2" w:themeFillShade="80"/>
          </w:tcPr>
          <w:p>
            <w:pPr>
              <w:spacing w:before="60" w:after="60"/>
              <w:jc w:val="center"/>
              <w:rPr>
                <w:b/>
                <w:noProof/>
              </w:rPr>
            </w:pPr>
            <w:r>
              <w:rPr>
                <w:b/>
                <w:noProof/>
              </w:rPr>
              <w:t>Relevant objectives</w:t>
            </w:r>
          </w:p>
        </w:tc>
        <w:tc>
          <w:tcPr>
            <w:tcW w:w="0" w:type="auto"/>
            <w:shd w:val="clear" w:color="auto" w:fill="948A54" w:themeFill="background2" w:themeFillShade="80"/>
          </w:tcPr>
          <w:p>
            <w:pPr>
              <w:spacing w:before="60" w:after="60"/>
              <w:jc w:val="center"/>
              <w:rPr>
                <w:b/>
                <w:noProof/>
              </w:rPr>
            </w:pPr>
            <w:r>
              <w:rPr>
                <w:b/>
                <w:noProof/>
              </w:rPr>
              <w:t>Level of indicator (i.e. impacts/ results and outputs) and (if relevant) area of intervention</w:t>
            </w:r>
          </w:p>
        </w:tc>
        <w:tc>
          <w:tcPr>
            <w:tcW w:w="0" w:type="auto"/>
            <w:shd w:val="clear" w:color="auto" w:fill="948A54" w:themeFill="background2" w:themeFillShade="80"/>
          </w:tcPr>
          <w:p>
            <w:pPr>
              <w:spacing w:before="60" w:after="60"/>
              <w:jc w:val="center"/>
              <w:rPr>
                <w:b/>
                <w:noProof/>
              </w:rPr>
            </w:pPr>
            <w:r>
              <w:rPr>
                <w:b/>
                <w:noProof/>
              </w:rPr>
              <w:t>Indicator(s)</w:t>
            </w:r>
          </w:p>
        </w:tc>
        <w:tc>
          <w:tcPr>
            <w:tcW w:w="0" w:type="auto"/>
            <w:shd w:val="clear" w:color="auto" w:fill="948A54" w:themeFill="background2" w:themeFillShade="80"/>
          </w:tcPr>
          <w:p>
            <w:pPr>
              <w:spacing w:before="60" w:after="60"/>
              <w:jc w:val="center"/>
              <w:rPr>
                <w:b/>
                <w:noProof/>
              </w:rPr>
            </w:pPr>
            <w:r>
              <w:rPr>
                <w:b/>
                <w:noProof/>
              </w:rPr>
              <w:t>Source(s)</w:t>
            </w:r>
          </w:p>
        </w:tc>
      </w:tr>
      <w:tr>
        <w:tc>
          <w:tcPr>
            <w:tcW w:w="0" w:type="auto"/>
            <w:gridSpan w:val="4"/>
            <w:shd w:val="clear" w:color="auto" w:fill="DDD9C3" w:themeFill="background2" w:themeFillShade="E6"/>
          </w:tcPr>
          <w:p>
            <w:pPr>
              <w:spacing w:before="60" w:after="60"/>
              <w:rPr>
                <w:b/>
                <w:noProof/>
                <w:highlight w:val="yellow"/>
              </w:rPr>
            </w:pPr>
            <w:r>
              <w:rPr>
                <w:b/>
                <w:noProof/>
              </w:rPr>
              <w:t>Application</w:t>
            </w:r>
          </w:p>
        </w:tc>
      </w:tr>
      <w:tr>
        <w:tc>
          <w:tcPr>
            <w:tcW w:w="0" w:type="auto"/>
            <w:vMerge w:val="restart"/>
          </w:tcPr>
          <w:p>
            <w:pPr>
              <w:rPr>
                <w:noProof/>
                <w:sz w:val="24"/>
                <w:szCs w:val="24"/>
              </w:rPr>
            </w:pPr>
            <w:r>
              <w:rPr>
                <w:noProof/>
                <w:sz w:val="24"/>
                <w:szCs w:val="24"/>
              </w:rPr>
              <w:t>The general objective of the initiative is</w:t>
            </w:r>
            <w:r>
              <w:rPr>
                <w:noProof/>
              </w:rPr>
              <w:t xml:space="preserve"> </w:t>
            </w:r>
            <w:r>
              <w:rPr>
                <w:noProof/>
                <w:sz w:val="24"/>
                <w:szCs w:val="24"/>
              </w:rPr>
              <w:t>to contribute to removing barriers to the smooth functioning of the Single Market, to the modernisation of the economy and to the greater efficiency of the transport sector, through enabling wider use of digital technologies.</w:t>
            </w:r>
          </w:p>
          <w:p>
            <w:pPr>
              <w:spacing w:before="60" w:after="60"/>
              <w:rPr>
                <w:noProof/>
              </w:rPr>
            </w:pPr>
          </w:p>
        </w:tc>
        <w:tc>
          <w:tcPr>
            <w:tcW w:w="0" w:type="auto"/>
          </w:tcPr>
          <w:p>
            <w:pPr>
              <w:spacing w:before="60" w:after="60"/>
              <w:rPr>
                <w:noProof/>
                <w:u w:val="single"/>
              </w:rPr>
            </w:pPr>
            <w:r>
              <w:rPr>
                <w:noProof/>
                <w:u w:val="single"/>
              </w:rPr>
              <w:t>Impacts on the internal market</w:t>
            </w:r>
          </w:p>
        </w:tc>
        <w:tc>
          <w:tcPr>
            <w:tcW w:w="0" w:type="auto"/>
          </w:tcPr>
          <w:p>
            <w:pPr>
              <w:spacing w:before="60" w:after="60"/>
              <w:rPr>
                <w:noProof/>
              </w:rPr>
            </w:pPr>
            <w:r>
              <w:rPr>
                <w:noProof/>
              </w:rPr>
              <w:t>Percentage of fully digitalised cross-border transport operations on the territory of the EU</w:t>
            </w:r>
          </w:p>
          <w:p>
            <w:pPr>
              <w:keepNext/>
              <w:spacing w:before="60" w:after="60"/>
              <w:rPr>
                <w:noProof/>
              </w:rPr>
            </w:pPr>
            <w:r>
              <w:rPr>
                <w:noProof/>
              </w:rPr>
              <w:t xml:space="preserve">Number of companies providing of IT solutions to business and authorities </w:t>
            </w:r>
          </w:p>
        </w:tc>
        <w:tc>
          <w:tcPr>
            <w:tcW w:w="0" w:type="auto"/>
          </w:tcPr>
          <w:p>
            <w:pPr>
              <w:spacing w:before="60" w:after="60"/>
              <w:rPr>
                <w:noProof/>
                <w:highlight w:val="yellow"/>
              </w:rPr>
            </w:pPr>
            <w:r>
              <w:rPr>
                <w:noProof/>
              </w:rPr>
              <w:t>Evaluation (survey)</w:t>
            </w:r>
          </w:p>
        </w:tc>
      </w:tr>
      <w:tr>
        <w:tc>
          <w:tcPr>
            <w:tcW w:w="0" w:type="auto"/>
            <w:vMerge/>
          </w:tcPr>
          <w:p>
            <w:pPr>
              <w:spacing w:before="60" w:after="60"/>
              <w:rPr>
                <w:noProof/>
                <w:highlight w:val="yellow"/>
              </w:rPr>
            </w:pPr>
          </w:p>
        </w:tc>
        <w:tc>
          <w:tcPr>
            <w:tcW w:w="0" w:type="auto"/>
          </w:tcPr>
          <w:p>
            <w:pPr>
              <w:spacing w:before="60" w:after="60"/>
              <w:rPr>
                <w:noProof/>
                <w:u w:val="single"/>
              </w:rPr>
            </w:pPr>
            <w:r>
              <w:rPr>
                <w:noProof/>
                <w:u w:val="single"/>
              </w:rPr>
              <w:t xml:space="preserve">Impacts on multimodality </w:t>
            </w:r>
          </w:p>
        </w:tc>
        <w:tc>
          <w:tcPr>
            <w:tcW w:w="0" w:type="auto"/>
          </w:tcPr>
          <w:p>
            <w:pPr>
              <w:spacing w:before="60" w:after="60"/>
              <w:rPr>
                <w:noProof/>
              </w:rPr>
            </w:pPr>
            <w:r>
              <w:rPr>
                <w:noProof/>
              </w:rPr>
              <w:t>Percentage of fully digitalised multimodal transport operations on the territory of the EU</w:t>
            </w:r>
          </w:p>
          <w:p>
            <w:pPr>
              <w:spacing w:before="60" w:after="60"/>
              <w:rPr>
                <w:noProof/>
              </w:rPr>
            </w:pPr>
          </w:p>
        </w:tc>
        <w:tc>
          <w:tcPr>
            <w:tcW w:w="0" w:type="auto"/>
          </w:tcPr>
          <w:p>
            <w:pPr>
              <w:spacing w:before="60" w:after="60"/>
              <w:rPr>
                <w:noProof/>
                <w:highlight w:val="yellow"/>
              </w:rPr>
            </w:pPr>
            <w:r>
              <w:rPr>
                <w:noProof/>
              </w:rPr>
              <w:t>Evaluation (survey)</w:t>
            </w:r>
          </w:p>
        </w:tc>
      </w:tr>
      <w:tr>
        <w:tc>
          <w:tcPr>
            <w:tcW w:w="0" w:type="auto"/>
          </w:tcPr>
          <w:p>
            <w:pPr>
              <w:spacing w:before="60" w:after="60"/>
              <w:rPr>
                <w:noProof/>
                <w:lang w:eastAsia="ar-SA"/>
              </w:rPr>
            </w:pPr>
          </w:p>
        </w:tc>
        <w:tc>
          <w:tcPr>
            <w:tcW w:w="0" w:type="auto"/>
          </w:tcPr>
          <w:p>
            <w:pPr>
              <w:spacing w:before="60" w:after="60"/>
              <w:rPr>
                <w:noProof/>
                <w:u w:val="single"/>
              </w:rPr>
            </w:pPr>
            <w:r>
              <w:rPr>
                <w:noProof/>
                <w:u w:val="single"/>
              </w:rPr>
              <w:t>Impacts on enforcement levels</w:t>
            </w:r>
          </w:p>
        </w:tc>
        <w:tc>
          <w:tcPr>
            <w:tcW w:w="0" w:type="auto"/>
          </w:tcPr>
          <w:p>
            <w:pPr>
              <w:spacing w:before="60" w:after="60"/>
              <w:rPr>
                <w:noProof/>
              </w:rPr>
            </w:pPr>
            <w:r>
              <w:rPr>
                <w:noProof/>
              </w:rPr>
              <w:t>Percentage of regulatory checks performed electronically of total regulatory checks, per transport mode</w:t>
            </w:r>
          </w:p>
          <w:p>
            <w:pPr>
              <w:spacing w:before="60" w:after="60"/>
              <w:rPr>
                <w:noProof/>
              </w:rPr>
            </w:pPr>
            <w:r>
              <w:rPr>
                <w:noProof/>
              </w:rPr>
              <w:t>Percentage of irregularities discovered of total regulatory checks when performed digitally compared to checks performed on paper documents</w:t>
            </w:r>
          </w:p>
        </w:tc>
        <w:tc>
          <w:tcPr>
            <w:tcW w:w="0" w:type="auto"/>
          </w:tcPr>
          <w:p>
            <w:pPr>
              <w:spacing w:before="60" w:after="60"/>
              <w:rPr>
                <w:noProof/>
                <w:highlight w:val="yellow"/>
              </w:rPr>
            </w:pPr>
            <w:r>
              <w:rPr>
                <w:noProof/>
              </w:rPr>
              <w:t>Evaluation (survey)</w:t>
            </w:r>
          </w:p>
        </w:tc>
      </w:tr>
      <w:tr>
        <w:tc>
          <w:tcPr>
            <w:tcW w:w="0" w:type="auto"/>
          </w:tcPr>
          <w:p>
            <w:pPr>
              <w:spacing w:before="60" w:after="60"/>
              <w:rPr>
                <w:noProof/>
                <w:highlight w:val="yellow"/>
              </w:rPr>
            </w:pPr>
            <w:r>
              <w:rPr>
                <w:noProof/>
                <w:lang w:eastAsia="ar-SA"/>
              </w:rPr>
              <w:t>Ensure the establishment, in all Member States, of the obligation of acceptance of electronic cargo transport documents/information by all relevant public authorities</w:t>
            </w:r>
          </w:p>
        </w:tc>
        <w:tc>
          <w:tcPr>
            <w:tcW w:w="0" w:type="auto"/>
          </w:tcPr>
          <w:p>
            <w:pPr>
              <w:spacing w:before="60" w:after="60"/>
              <w:rPr>
                <w:noProof/>
                <w:u w:val="single"/>
              </w:rPr>
            </w:pPr>
            <w:r>
              <w:rPr>
                <w:noProof/>
                <w:u w:val="single"/>
              </w:rPr>
              <w:t>Impacts on the acceptance level</w:t>
            </w:r>
          </w:p>
        </w:tc>
        <w:tc>
          <w:tcPr>
            <w:tcW w:w="0" w:type="auto"/>
          </w:tcPr>
          <w:p>
            <w:pPr>
              <w:spacing w:before="60" w:after="60"/>
              <w:rPr>
                <w:noProof/>
              </w:rPr>
            </w:pPr>
            <w:r>
              <w:rPr>
                <w:noProof/>
              </w:rPr>
              <w:t>Number of Member States (and authorities) accepting electronic transport information and documentation</w:t>
            </w:r>
          </w:p>
        </w:tc>
        <w:tc>
          <w:tcPr>
            <w:tcW w:w="0" w:type="auto"/>
          </w:tcPr>
          <w:p>
            <w:pPr>
              <w:spacing w:before="60" w:after="60"/>
              <w:rPr>
                <w:noProof/>
                <w:highlight w:val="yellow"/>
              </w:rPr>
            </w:pPr>
            <w:r>
              <w:rPr>
                <w:noProof/>
              </w:rPr>
              <w:t>Member States reporting</w:t>
            </w:r>
          </w:p>
        </w:tc>
      </w:tr>
      <w:tr>
        <w:tc>
          <w:tcPr>
            <w:tcW w:w="0" w:type="auto"/>
            <w:vMerge w:val="restart"/>
          </w:tcPr>
          <w:p>
            <w:pPr>
              <w:spacing w:before="60" w:after="60"/>
              <w:rPr>
                <w:noProof/>
              </w:rPr>
            </w:pPr>
            <w:r>
              <w:rPr>
                <w:noProof/>
              </w:rPr>
              <w:t>Ensure uniform application by authorities of the obligation of acceptance</w:t>
            </w:r>
          </w:p>
        </w:tc>
        <w:tc>
          <w:tcPr>
            <w:tcW w:w="0" w:type="auto"/>
          </w:tcPr>
          <w:p>
            <w:pPr>
              <w:spacing w:before="60" w:after="60"/>
              <w:rPr>
                <w:noProof/>
                <w:u w:val="single"/>
              </w:rPr>
            </w:pPr>
            <w:r>
              <w:rPr>
                <w:noProof/>
                <w:u w:val="single"/>
              </w:rPr>
              <w:t xml:space="preserve">Impacts on the administrative costs for businesses </w:t>
            </w:r>
          </w:p>
        </w:tc>
        <w:tc>
          <w:tcPr>
            <w:tcW w:w="0" w:type="auto"/>
          </w:tcPr>
          <w:p>
            <w:pPr>
              <w:spacing w:before="60" w:after="60"/>
              <w:rPr>
                <w:noProof/>
              </w:rPr>
            </w:pPr>
            <w:r>
              <w:rPr>
                <w:noProof/>
              </w:rPr>
              <w:t>FTE spent on B2A regulatory information communication in absolute values and as a percentage to all FTE spent on managing transport information and documentation (paper vs electronic)</w:t>
            </w:r>
          </w:p>
          <w:p>
            <w:pPr>
              <w:spacing w:before="60" w:after="60"/>
              <w:rPr>
                <w:noProof/>
              </w:rPr>
            </w:pPr>
            <w:r>
              <w:rPr>
                <w:noProof/>
              </w:rPr>
              <w:t>Administrative costs related to B2A regulatory information communication in absolute values and as a percentage to the all FTE spent on managing transport information and documentation exchanges (paper vs electronic)</w:t>
            </w:r>
          </w:p>
          <w:p>
            <w:pPr>
              <w:spacing w:before="60" w:after="60"/>
              <w:rPr>
                <w:noProof/>
              </w:rPr>
            </w:pPr>
            <w:r>
              <w:rPr>
                <w:noProof/>
              </w:rPr>
              <w:t>Staff training costs</w:t>
            </w:r>
          </w:p>
        </w:tc>
        <w:tc>
          <w:tcPr>
            <w:tcW w:w="0" w:type="auto"/>
          </w:tcPr>
          <w:p>
            <w:pPr>
              <w:spacing w:before="60" w:after="60"/>
              <w:rPr>
                <w:noProof/>
                <w:highlight w:val="yellow"/>
              </w:rPr>
            </w:pPr>
            <w:r>
              <w:rPr>
                <w:noProof/>
              </w:rPr>
              <w:t>Evaluation (survey)</w:t>
            </w:r>
          </w:p>
        </w:tc>
      </w:tr>
      <w:tr>
        <w:tc>
          <w:tcPr>
            <w:tcW w:w="0" w:type="auto"/>
            <w:vMerge/>
          </w:tcPr>
          <w:p>
            <w:pPr>
              <w:spacing w:before="60" w:after="60"/>
              <w:rPr>
                <w:noProof/>
                <w:lang w:eastAsia="ar-SA"/>
              </w:rPr>
            </w:pPr>
          </w:p>
        </w:tc>
        <w:tc>
          <w:tcPr>
            <w:tcW w:w="0" w:type="auto"/>
          </w:tcPr>
          <w:p>
            <w:pPr>
              <w:spacing w:before="60" w:after="60"/>
              <w:rPr>
                <w:noProof/>
                <w:u w:val="single"/>
              </w:rPr>
            </w:pPr>
            <w:r>
              <w:rPr>
                <w:noProof/>
                <w:u w:val="single"/>
              </w:rPr>
              <w:t xml:space="preserve">Impacts on the administrative costs for the authorities </w:t>
            </w:r>
          </w:p>
        </w:tc>
        <w:tc>
          <w:tcPr>
            <w:tcW w:w="0" w:type="auto"/>
          </w:tcPr>
          <w:p>
            <w:pPr>
              <w:spacing w:before="60" w:after="60"/>
              <w:rPr>
                <w:noProof/>
              </w:rPr>
            </w:pPr>
            <w:r>
              <w:rPr>
                <w:noProof/>
              </w:rPr>
              <w:t xml:space="preserve">FTE spent on managing (issuing/inspecting) transport information and documentation (paper vs electronic) in absolute values and as a percentage to the all FTE spent on enforcement activities   </w:t>
            </w:r>
          </w:p>
          <w:p>
            <w:pPr>
              <w:spacing w:before="60" w:after="60"/>
              <w:rPr>
                <w:noProof/>
                <w:highlight w:val="yellow"/>
              </w:rPr>
            </w:pPr>
          </w:p>
        </w:tc>
        <w:tc>
          <w:tcPr>
            <w:tcW w:w="0" w:type="auto"/>
          </w:tcPr>
          <w:p>
            <w:pPr>
              <w:spacing w:before="60" w:after="60"/>
              <w:rPr>
                <w:noProof/>
              </w:rPr>
            </w:pPr>
            <w:r>
              <w:rPr>
                <w:noProof/>
              </w:rPr>
              <w:t>Evaluation</w:t>
            </w:r>
          </w:p>
          <w:p>
            <w:pPr>
              <w:spacing w:before="60" w:after="60"/>
              <w:rPr>
                <w:noProof/>
              </w:rPr>
            </w:pPr>
            <w:r>
              <w:rPr>
                <w:noProof/>
              </w:rPr>
              <w:t>(survey)</w:t>
            </w:r>
          </w:p>
        </w:tc>
      </w:tr>
      <w:tr>
        <w:tc>
          <w:tcPr>
            <w:tcW w:w="0" w:type="auto"/>
          </w:tcPr>
          <w:p>
            <w:pPr>
              <w:spacing w:before="60" w:after="60"/>
              <w:rPr>
                <w:noProof/>
                <w:highlight w:val="yellow"/>
              </w:rPr>
            </w:pPr>
            <w:r>
              <w:rPr>
                <w:noProof/>
                <w:lang w:eastAsia="ar-SA"/>
              </w:rPr>
              <w:t>Ensure the interoperability of IT systems and solutions for electronic exchange of cargo transport information, in particular for B2A regulatory information communication</w:t>
            </w:r>
            <w:r>
              <w:rPr>
                <w:noProof/>
              </w:rPr>
              <w:t xml:space="preserve"> </w:t>
            </w:r>
          </w:p>
        </w:tc>
        <w:tc>
          <w:tcPr>
            <w:tcW w:w="0" w:type="auto"/>
          </w:tcPr>
          <w:p>
            <w:pPr>
              <w:spacing w:before="60" w:after="60"/>
              <w:rPr>
                <w:noProof/>
                <w:u w:val="single"/>
              </w:rPr>
            </w:pPr>
            <w:r>
              <w:rPr>
                <w:noProof/>
                <w:u w:val="single"/>
              </w:rPr>
              <w:t xml:space="preserve">Impacts on digitalisation levels by businesses </w:t>
            </w:r>
          </w:p>
        </w:tc>
        <w:tc>
          <w:tcPr>
            <w:tcW w:w="0" w:type="auto"/>
          </w:tcPr>
          <w:p>
            <w:pPr>
              <w:keepNext/>
              <w:spacing w:before="60" w:after="60"/>
              <w:rPr>
                <w:noProof/>
              </w:rPr>
            </w:pPr>
            <w:r>
              <w:rPr>
                <w:noProof/>
              </w:rPr>
              <w:t>Number of  compliant IT solutions and services providers available for B2B and B2A communication</w:t>
            </w:r>
          </w:p>
          <w:p>
            <w:pPr>
              <w:spacing w:before="60" w:after="60"/>
              <w:rPr>
                <w:noProof/>
                <w:highlight w:val="yellow"/>
              </w:rPr>
            </w:pPr>
          </w:p>
        </w:tc>
        <w:tc>
          <w:tcPr>
            <w:tcW w:w="0" w:type="auto"/>
          </w:tcPr>
          <w:p>
            <w:pPr>
              <w:spacing w:before="60" w:after="60"/>
              <w:rPr>
                <w:noProof/>
              </w:rPr>
            </w:pPr>
            <w:r>
              <w:rPr>
                <w:noProof/>
              </w:rPr>
              <w:t>Member States reporting</w:t>
            </w:r>
          </w:p>
          <w:p>
            <w:pPr>
              <w:spacing w:before="60" w:after="60"/>
              <w:rPr>
                <w:noProof/>
                <w:highlight w:val="yellow"/>
              </w:rPr>
            </w:pPr>
          </w:p>
        </w:tc>
      </w:tr>
      <w:tr>
        <w:tc>
          <w:tcPr>
            <w:tcW w:w="0" w:type="auto"/>
            <w:gridSpan w:val="4"/>
            <w:shd w:val="clear" w:color="auto" w:fill="DDD9C3" w:themeFill="background2" w:themeFillShade="E6"/>
          </w:tcPr>
          <w:p>
            <w:pPr>
              <w:tabs>
                <w:tab w:val="left" w:pos="945"/>
              </w:tabs>
              <w:spacing w:before="60" w:after="60"/>
              <w:rPr>
                <w:noProof/>
              </w:rPr>
            </w:pPr>
            <w:r>
              <w:rPr>
                <w:noProof/>
              </w:rPr>
              <w:tab/>
            </w:r>
            <w:r>
              <w:rPr>
                <w:b/>
                <w:noProof/>
              </w:rPr>
              <w:t>Implementation of adopted measure</w:t>
            </w:r>
          </w:p>
        </w:tc>
      </w:tr>
      <w:tr>
        <w:tc>
          <w:tcPr>
            <w:tcW w:w="0" w:type="auto"/>
            <w:shd w:val="clear" w:color="auto" w:fill="FFFFFF" w:themeFill="background1"/>
          </w:tcPr>
          <w:p>
            <w:pPr>
              <w:spacing w:before="60" w:after="60"/>
              <w:rPr>
                <w:b/>
                <w:noProof/>
              </w:rPr>
            </w:pPr>
            <w:r>
              <w:rPr>
                <w:noProof/>
                <w:lang w:eastAsia="de-DE"/>
              </w:rPr>
              <w:t>Ensure the adoption of common criteria for compliance by transport documents/information in order to be accepted by all Member States authorities</w:t>
            </w:r>
          </w:p>
          <w:p>
            <w:pPr>
              <w:spacing w:before="60" w:after="60"/>
              <w:rPr>
                <w:noProof/>
                <w:lang w:eastAsia="de-DE"/>
              </w:rPr>
            </w:pPr>
          </w:p>
        </w:tc>
        <w:tc>
          <w:tcPr>
            <w:tcW w:w="0" w:type="auto"/>
            <w:shd w:val="clear" w:color="auto" w:fill="FFFFFF" w:themeFill="background1"/>
          </w:tcPr>
          <w:p>
            <w:pPr>
              <w:keepNext/>
              <w:spacing w:before="60" w:after="60"/>
              <w:rPr>
                <w:noProof/>
              </w:rPr>
            </w:pPr>
            <w:r>
              <w:rPr>
                <w:noProof/>
              </w:rPr>
              <w:t xml:space="preserve">Output – implementation </w:t>
            </w:r>
          </w:p>
          <w:p>
            <w:pPr>
              <w:keepNext/>
              <w:spacing w:before="60" w:after="60"/>
              <w:rPr>
                <w:noProof/>
              </w:rPr>
            </w:pPr>
          </w:p>
        </w:tc>
        <w:tc>
          <w:tcPr>
            <w:tcW w:w="0" w:type="auto"/>
            <w:shd w:val="clear" w:color="auto" w:fill="FFFFFF" w:themeFill="background1"/>
          </w:tcPr>
          <w:p>
            <w:pPr>
              <w:spacing w:before="60" w:after="60"/>
              <w:rPr>
                <w:noProof/>
              </w:rPr>
            </w:pPr>
            <w:r>
              <w:rPr>
                <w:noProof/>
              </w:rPr>
              <w:t>Percentage of companies and, respectively, percentage of SMEs using IT solutions for electronic exchanges of transport information and documentation (in both B2a and B2B communication), per transport mode and in multimodal operations</w:t>
            </w:r>
          </w:p>
          <w:p>
            <w:pPr>
              <w:spacing w:before="60" w:after="60"/>
              <w:rPr>
                <w:noProof/>
                <w:highlight w:val="yellow"/>
              </w:rPr>
            </w:pPr>
          </w:p>
        </w:tc>
        <w:tc>
          <w:tcPr>
            <w:tcW w:w="0" w:type="auto"/>
            <w:shd w:val="clear" w:color="auto" w:fill="FFFFFF" w:themeFill="background1"/>
          </w:tcPr>
          <w:p>
            <w:pPr>
              <w:spacing w:before="60" w:after="60"/>
              <w:rPr>
                <w:noProof/>
              </w:rPr>
            </w:pPr>
            <w:r>
              <w:rPr>
                <w:noProof/>
              </w:rPr>
              <w:t>Member States reporting</w:t>
            </w:r>
          </w:p>
          <w:p>
            <w:pPr>
              <w:spacing w:before="60" w:after="60"/>
              <w:rPr>
                <w:noProof/>
              </w:rPr>
            </w:pPr>
            <w:r>
              <w:rPr>
                <w:noProof/>
              </w:rPr>
              <w:t>Evaluation (survey)</w:t>
            </w:r>
          </w:p>
        </w:tc>
      </w:tr>
      <w:tr>
        <w:trPr>
          <w:trHeight w:val="1016"/>
        </w:trPr>
        <w:tc>
          <w:tcPr>
            <w:tcW w:w="0" w:type="auto"/>
            <w:shd w:val="clear" w:color="auto" w:fill="FFFFFF" w:themeFill="background1"/>
          </w:tcPr>
          <w:p>
            <w:pPr>
              <w:spacing w:before="60" w:after="60"/>
              <w:rPr>
                <w:b/>
                <w:noProof/>
              </w:rPr>
            </w:pPr>
            <w:r>
              <w:rPr>
                <w:noProof/>
                <w:lang w:eastAsia="de-DE"/>
              </w:rPr>
              <w:t>Ensure the adoption of common rules for the access to and checks of electronic freight transport documents/information by Member States’ authorities</w:t>
            </w:r>
          </w:p>
          <w:p>
            <w:pPr>
              <w:spacing w:before="60" w:after="60"/>
              <w:rPr>
                <w:b/>
                <w:noProof/>
              </w:rPr>
            </w:pPr>
          </w:p>
        </w:tc>
        <w:tc>
          <w:tcPr>
            <w:tcW w:w="0" w:type="auto"/>
            <w:shd w:val="clear" w:color="auto" w:fill="FFFFFF" w:themeFill="background1"/>
          </w:tcPr>
          <w:p>
            <w:pPr>
              <w:keepNext/>
              <w:spacing w:before="60" w:after="60"/>
              <w:rPr>
                <w:noProof/>
              </w:rPr>
            </w:pPr>
            <w:r>
              <w:rPr>
                <w:noProof/>
              </w:rPr>
              <w:t>Impacts – compliance costs for authorities</w:t>
            </w:r>
          </w:p>
        </w:tc>
        <w:tc>
          <w:tcPr>
            <w:tcW w:w="0" w:type="auto"/>
            <w:shd w:val="clear" w:color="auto" w:fill="FFFFFF" w:themeFill="background1"/>
          </w:tcPr>
          <w:p>
            <w:pPr>
              <w:keepNext/>
              <w:spacing w:before="60" w:after="60"/>
              <w:rPr>
                <w:noProof/>
              </w:rPr>
            </w:pPr>
            <w:r>
              <w:rPr>
                <w:noProof/>
              </w:rPr>
              <w:t xml:space="preserve">IT investment costs </w:t>
            </w:r>
          </w:p>
          <w:p>
            <w:pPr>
              <w:keepNext/>
              <w:spacing w:before="60" w:after="60"/>
              <w:rPr>
                <w:noProof/>
              </w:rPr>
            </w:pPr>
            <w:r>
              <w:rPr>
                <w:noProof/>
              </w:rPr>
              <w:t>Staff training costs</w:t>
            </w:r>
          </w:p>
          <w:p>
            <w:pPr>
              <w:keepNext/>
              <w:spacing w:before="60" w:after="60"/>
              <w:rPr>
                <w:noProof/>
              </w:rPr>
            </w:pPr>
          </w:p>
        </w:tc>
        <w:tc>
          <w:tcPr>
            <w:tcW w:w="0" w:type="auto"/>
            <w:shd w:val="clear" w:color="auto" w:fill="FFFFFF" w:themeFill="background1"/>
          </w:tcPr>
          <w:p>
            <w:pPr>
              <w:spacing w:before="60" w:after="60"/>
              <w:rPr>
                <w:noProof/>
              </w:rPr>
            </w:pPr>
            <w:r>
              <w:rPr>
                <w:noProof/>
              </w:rPr>
              <w:t>Evaluation (survey)</w:t>
            </w:r>
          </w:p>
        </w:tc>
      </w:tr>
      <w:tr>
        <w:trPr>
          <w:trHeight w:val="1555"/>
        </w:trPr>
        <w:tc>
          <w:tcPr>
            <w:tcW w:w="0" w:type="auto"/>
            <w:shd w:val="clear" w:color="auto" w:fill="FFFFFF" w:themeFill="background1"/>
          </w:tcPr>
          <w:p>
            <w:pPr>
              <w:spacing w:before="60" w:after="60"/>
              <w:rPr>
                <w:noProof/>
                <w:lang w:eastAsia="de-DE"/>
              </w:rPr>
            </w:pPr>
            <w:r>
              <w:rPr>
                <w:noProof/>
                <w:lang w:eastAsia="de-DE"/>
              </w:rPr>
              <w:t>Ensure the adoption of common technical requirements for the criteria for compliance by electronic transport documents/information</w:t>
            </w:r>
          </w:p>
        </w:tc>
        <w:tc>
          <w:tcPr>
            <w:tcW w:w="0" w:type="auto"/>
            <w:shd w:val="clear" w:color="auto" w:fill="FFFFFF" w:themeFill="background1"/>
          </w:tcPr>
          <w:p>
            <w:pPr>
              <w:keepNext/>
              <w:spacing w:before="60" w:after="60"/>
              <w:rPr>
                <w:noProof/>
              </w:rPr>
            </w:pPr>
            <w:r>
              <w:rPr>
                <w:noProof/>
              </w:rPr>
              <w:t>Impact – costs for businesses</w:t>
            </w:r>
          </w:p>
          <w:p>
            <w:pPr>
              <w:keepNext/>
              <w:spacing w:before="60" w:after="60"/>
              <w:rPr>
                <w:noProof/>
              </w:rPr>
            </w:pPr>
            <w:r>
              <w:rPr>
                <w:noProof/>
              </w:rPr>
              <w:t>Impact – costs for authorities</w:t>
            </w:r>
          </w:p>
        </w:tc>
        <w:tc>
          <w:tcPr>
            <w:tcW w:w="0" w:type="auto"/>
            <w:shd w:val="clear" w:color="auto" w:fill="FFFFFF" w:themeFill="background1"/>
          </w:tcPr>
          <w:p>
            <w:pPr>
              <w:keepNext/>
              <w:spacing w:before="60" w:after="60"/>
              <w:rPr>
                <w:noProof/>
              </w:rPr>
            </w:pPr>
            <w:r>
              <w:rPr>
                <w:noProof/>
              </w:rPr>
              <w:t>Average hardware costs for deploying IT solutions by businesses(on the market)</w:t>
            </w:r>
          </w:p>
          <w:p>
            <w:pPr>
              <w:keepNext/>
              <w:spacing w:before="60" w:after="60"/>
              <w:rPr>
                <w:noProof/>
              </w:rPr>
            </w:pPr>
            <w:r>
              <w:rPr>
                <w:noProof/>
              </w:rPr>
              <w:t>Average costs of IT solutions on the market</w:t>
            </w:r>
          </w:p>
          <w:p>
            <w:pPr>
              <w:keepNext/>
              <w:spacing w:before="60" w:after="60"/>
              <w:rPr>
                <w:noProof/>
              </w:rPr>
            </w:pPr>
            <w:r>
              <w:rPr>
                <w:noProof/>
              </w:rPr>
              <w:t>Average hardware and software costs for IT solutions (on the market)</w:t>
            </w:r>
          </w:p>
          <w:p>
            <w:pPr>
              <w:keepNext/>
              <w:spacing w:before="60" w:after="60"/>
              <w:rPr>
                <w:noProof/>
              </w:rPr>
            </w:pPr>
          </w:p>
        </w:tc>
        <w:tc>
          <w:tcPr>
            <w:tcW w:w="0" w:type="auto"/>
            <w:shd w:val="clear" w:color="auto" w:fill="FFFFFF" w:themeFill="background1"/>
          </w:tcPr>
          <w:p>
            <w:pPr>
              <w:spacing w:before="60" w:after="60"/>
              <w:rPr>
                <w:noProof/>
              </w:rPr>
            </w:pPr>
            <w:r>
              <w:rPr>
                <w:noProof/>
              </w:rPr>
              <w:t>Market monitoring</w:t>
            </w:r>
          </w:p>
          <w:p>
            <w:pPr>
              <w:spacing w:before="60" w:after="60"/>
              <w:rPr>
                <w:noProof/>
              </w:rPr>
            </w:pPr>
            <w:r>
              <w:rPr>
                <w:noProof/>
              </w:rPr>
              <w:t>Evaluation (survey)</w:t>
            </w:r>
          </w:p>
        </w:tc>
      </w:tr>
      <w:tr>
        <w:tc>
          <w:tcPr>
            <w:tcW w:w="0" w:type="auto"/>
            <w:shd w:val="clear" w:color="auto" w:fill="BFBFBF" w:themeFill="background1" w:themeFillShade="BF"/>
          </w:tcPr>
          <w:p>
            <w:pPr>
              <w:spacing w:before="60" w:after="60"/>
              <w:rPr>
                <w:b/>
                <w:noProof/>
              </w:rPr>
            </w:pPr>
            <w:r>
              <w:rPr>
                <w:b/>
                <w:noProof/>
              </w:rPr>
              <w:t>Contextual information</w:t>
            </w:r>
          </w:p>
        </w:tc>
        <w:tc>
          <w:tcPr>
            <w:tcW w:w="0" w:type="auto"/>
            <w:shd w:val="clear" w:color="auto" w:fill="BFBFBF" w:themeFill="background1" w:themeFillShade="BF"/>
          </w:tcPr>
          <w:p>
            <w:pPr>
              <w:keepNext/>
              <w:spacing w:before="60" w:after="60"/>
              <w:rPr>
                <w:noProof/>
              </w:rPr>
            </w:pPr>
          </w:p>
        </w:tc>
        <w:tc>
          <w:tcPr>
            <w:tcW w:w="0" w:type="auto"/>
            <w:shd w:val="clear" w:color="auto" w:fill="BFBFBF" w:themeFill="background1" w:themeFillShade="BF"/>
          </w:tcPr>
          <w:p>
            <w:pPr>
              <w:keepNext/>
              <w:spacing w:before="60" w:after="60"/>
              <w:rPr>
                <w:noProof/>
              </w:rPr>
            </w:pPr>
          </w:p>
        </w:tc>
        <w:tc>
          <w:tcPr>
            <w:tcW w:w="0" w:type="auto"/>
            <w:shd w:val="clear" w:color="auto" w:fill="BFBFBF" w:themeFill="background1" w:themeFillShade="BF"/>
          </w:tcPr>
          <w:p>
            <w:pPr>
              <w:spacing w:before="60" w:after="60"/>
              <w:rPr>
                <w:noProof/>
              </w:rPr>
            </w:pPr>
          </w:p>
        </w:tc>
      </w:tr>
      <w:tr>
        <w:tc>
          <w:tcPr>
            <w:tcW w:w="0" w:type="auto"/>
          </w:tcPr>
          <w:p>
            <w:pPr>
              <w:spacing w:before="60" w:after="60"/>
              <w:rPr>
                <w:noProof/>
              </w:rPr>
            </w:pPr>
            <w:r>
              <w:rPr>
                <w:noProof/>
              </w:rPr>
              <w:t xml:space="preserve">Evolution of freight transport </w:t>
            </w:r>
          </w:p>
        </w:tc>
        <w:tc>
          <w:tcPr>
            <w:tcW w:w="0" w:type="auto"/>
          </w:tcPr>
          <w:p>
            <w:pPr>
              <w:keepNext/>
              <w:spacing w:before="60" w:after="60"/>
              <w:rPr>
                <w:noProof/>
              </w:rPr>
            </w:pPr>
          </w:p>
        </w:tc>
        <w:tc>
          <w:tcPr>
            <w:tcW w:w="0" w:type="auto"/>
          </w:tcPr>
          <w:p>
            <w:pPr>
              <w:keepNext/>
              <w:spacing w:before="60" w:after="60"/>
              <w:rPr>
                <w:noProof/>
              </w:rPr>
            </w:pPr>
            <w:r>
              <w:rPr>
                <w:noProof/>
              </w:rPr>
              <w:t>Level of freight transport activity (domestic, international and cabotage operations) (in t-kms and v-kms)</w:t>
            </w:r>
          </w:p>
        </w:tc>
        <w:tc>
          <w:tcPr>
            <w:tcW w:w="0" w:type="auto"/>
          </w:tcPr>
          <w:p>
            <w:pPr>
              <w:spacing w:before="60" w:after="60"/>
              <w:rPr>
                <w:noProof/>
              </w:rPr>
            </w:pPr>
            <w:r>
              <w:rPr>
                <w:noProof/>
              </w:rPr>
              <w:t xml:space="preserve">Eurostat </w:t>
            </w:r>
          </w:p>
        </w:tc>
      </w:tr>
      <w:tr>
        <w:tc>
          <w:tcPr>
            <w:tcW w:w="0" w:type="auto"/>
          </w:tcPr>
          <w:p>
            <w:pPr>
              <w:spacing w:before="60" w:after="60"/>
              <w:rPr>
                <w:noProof/>
              </w:rPr>
            </w:pPr>
            <w:r>
              <w:rPr>
                <w:noProof/>
              </w:rPr>
              <w:t xml:space="preserve">Evolution of the technological level </w:t>
            </w:r>
          </w:p>
        </w:tc>
        <w:tc>
          <w:tcPr>
            <w:tcW w:w="0" w:type="auto"/>
          </w:tcPr>
          <w:p>
            <w:pPr>
              <w:keepNext/>
              <w:spacing w:before="60" w:after="60"/>
              <w:rPr>
                <w:noProof/>
              </w:rPr>
            </w:pPr>
          </w:p>
        </w:tc>
        <w:tc>
          <w:tcPr>
            <w:tcW w:w="0" w:type="auto"/>
          </w:tcPr>
          <w:p>
            <w:pPr>
              <w:keepNext/>
              <w:spacing w:before="60" w:after="60"/>
              <w:rPr>
                <w:noProof/>
              </w:rPr>
            </w:pPr>
            <w:r>
              <w:rPr>
                <w:noProof/>
              </w:rPr>
              <w:t xml:space="preserve">Number of security breach incidents </w:t>
            </w:r>
          </w:p>
        </w:tc>
        <w:tc>
          <w:tcPr>
            <w:tcW w:w="0" w:type="auto"/>
          </w:tcPr>
          <w:p>
            <w:pPr>
              <w:spacing w:before="60" w:after="60"/>
              <w:rPr>
                <w:noProof/>
              </w:rPr>
            </w:pPr>
            <w:r>
              <w:rPr>
                <w:noProof/>
              </w:rPr>
              <w:t>Evaluation (survey)</w:t>
            </w:r>
          </w:p>
        </w:tc>
      </w:tr>
      <w:tr>
        <w:tc>
          <w:tcPr>
            <w:tcW w:w="0" w:type="auto"/>
          </w:tcPr>
          <w:p>
            <w:pPr>
              <w:spacing w:before="60" w:after="60"/>
              <w:rPr>
                <w:b/>
                <w:noProof/>
              </w:rPr>
            </w:pPr>
            <w:r>
              <w:rPr>
                <w:b/>
                <w:noProof/>
              </w:rPr>
              <w:t xml:space="preserve">Administrative costs </w:t>
            </w:r>
          </w:p>
        </w:tc>
        <w:tc>
          <w:tcPr>
            <w:tcW w:w="0" w:type="auto"/>
          </w:tcPr>
          <w:p>
            <w:pPr>
              <w:spacing w:before="60" w:after="60"/>
              <w:rPr>
                <w:noProof/>
              </w:rPr>
            </w:pPr>
          </w:p>
        </w:tc>
        <w:tc>
          <w:tcPr>
            <w:tcW w:w="0" w:type="auto"/>
          </w:tcPr>
          <w:p>
            <w:pPr>
              <w:spacing w:before="60" w:after="60"/>
              <w:rPr>
                <w:noProof/>
              </w:rPr>
            </w:pPr>
            <w:r>
              <w:rPr>
                <w:noProof/>
              </w:rPr>
              <w:t>Administrative costs for the industry (by mode)</w:t>
            </w:r>
          </w:p>
          <w:p>
            <w:pPr>
              <w:spacing w:before="60" w:after="60"/>
              <w:rPr>
                <w:noProof/>
              </w:rPr>
            </w:pPr>
            <w:r>
              <w:rPr>
                <w:noProof/>
              </w:rPr>
              <w:t xml:space="preserve">Administrative costs for the authorities </w:t>
            </w:r>
          </w:p>
        </w:tc>
        <w:tc>
          <w:tcPr>
            <w:tcW w:w="0" w:type="auto"/>
          </w:tcPr>
          <w:p>
            <w:pPr>
              <w:spacing w:before="60" w:after="60"/>
              <w:rPr>
                <w:noProof/>
              </w:rPr>
            </w:pPr>
          </w:p>
        </w:tc>
      </w:tr>
    </w:tbl>
    <w:p>
      <w:pPr>
        <w:rPr>
          <w:noProof/>
        </w:rPr>
      </w:pPr>
    </w:p>
    <w:p>
      <w:pPr>
        <w:rPr>
          <w:noProof/>
        </w:rPr>
      </w:pPr>
      <w:r>
        <w:rPr>
          <w:noProof/>
        </w:rPr>
        <w:br w:type="page"/>
      </w:r>
    </w:p>
    <w:p>
      <w:pPr>
        <w:pStyle w:val="AnnexTitle"/>
        <w:outlineLvl w:val="0"/>
        <w:rPr>
          <w:noProof/>
        </w:rPr>
      </w:pPr>
      <w:bookmarkStart w:id="340" w:name="_Toc512589666"/>
      <w:bookmarkStart w:id="341" w:name="_Toc512854971"/>
      <w:r>
        <w:rPr>
          <w:noProof/>
        </w:rPr>
        <w:t>Annex 6: Political context of the initiative and coherence with key EU policy objectives</w:t>
      </w:r>
      <w:bookmarkEnd w:id="340"/>
      <w:bookmarkEnd w:id="341"/>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Digitalisation of government services and business-to-administration interactions is a key element to the success of the single market, by helping to remove existing digital barriers and delivering efficiency benefits. By aiming to establish an enabling legal framework for moving away from the use of paper documents to electronic information exchange for keeping record of, and communicating information on, the goods’ movement, this initiative would generate a large potential to improve the efficiency, reliability and cost-effectiveness of the freight transport operations. It would contributes to several policy objectives as set out in a number of EU policy-setting documents and initiatives. </w:t>
      </w:r>
    </w:p>
    <w:p>
      <w:pPr>
        <w:pStyle w:val="Heading2"/>
        <w:numPr>
          <w:ilvl w:val="0"/>
          <w:numId w:val="0"/>
        </w:numPr>
        <w:ind w:left="576" w:hanging="576"/>
        <w:rPr>
          <w:noProof/>
        </w:rPr>
      </w:pPr>
      <w:bookmarkStart w:id="342" w:name="_Toc512589667"/>
      <w:bookmarkStart w:id="343" w:name="_Toc512854972"/>
      <w:r>
        <w:rPr>
          <w:noProof/>
        </w:rPr>
        <w:t>The White Paper on Transport</w:t>
      </w:r>
      <w:bookmarkEnd w:id="342"/>
      <w:bookmarkEnd w:id="343"/>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2011 White Paper</w:t>
      </w:r>
      <w:r>
        <w:rPr>
          <w:rStyle w:val="FootnoteReference"/>
          <w:rFonts w:ascii="Times New Roman" w:hAnsi="Times New Roman" w:cs="Times New Roman"/>
          <w:noProof/>
          <w:sz w:val="24"/>
          <w:szCs w:val="24"/>
        </w:rPr>
        <w:footnoteReference w:id="154"/>
      </w:r>
      <w:r>
        <w:rPr>
          <w:rFonts w:ascii="Times New Roman" w:hAnsi="Times New Roman" w:cs="Times New Roman"/>
          <w:noProof/>
          <w:sz w:val="24"/>
          <w:szCs w:val="24"/>
        </w:rPr>
        <w:t xml:space="preserve"> set out a number of concrete initiatives to build a competitive transport system that will increase mobility, remove major barriers in key areas and fuel growth and employment. Among these, it included measures aimed at "creat[ing] the appropriate legal environment" for inter-modal freight documentation, insurance and liability and real time delivery information, including for smaller consignments, with a view to ensure the increase of transport competitiveness.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i/>
          <w:noProof/>
          <w:sz w:val="24"/>
          <w:szCs w:val="24"/>
        </w:rPr>
        <w:t>Communication on a European Strategy for Low-Emission Mobility</w:t>
      </w:r>
      <w:r>
        <w:rPr>
          <w:rStyle w:val="FootnoteReference"/>
          <w:rFonts w:ascii="Times New Roman" w:hAnsi="Times New Roman" w:cs="Times New Roman"/>
          <w:noProof/>
          <w:szCs w:val="24"/>
        </w:rPr>
        <w:footnoteReference w:id="155"/>
      </w:r>
      <w:r>
        <w:rPr>
          <w:rFonts w:ascii="Times New Roman" w:hAnsi="Times New Roman" w:cs="Times New Roman"/>
          <w:noProof/>
          <w:sz w:val="24"/>
          <w:szCs w:val="24"/>
        </w:rPr>
        <w:t xml:space="preserve"> highlighted that digital technologies offer enormous potential for optimising the transport system and open up new opportunities for manufacturing and services. Digital technologies also support the integration of transport with other systems, such as the energy system, and make the mobility sector more efficient.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But to reap the full benefits of digitisation in the field of transport, it is necessary to create the regulatory frameworks to incentivise the development and market uptake of such technologies, and to set standards to ensure interoperability, including across borders, and enable data exchange while at the same time addressing data protection and cyber-security issues. In the context of this initiative, any proposal to extend digitalisation, and especially the development of digital services, will take into account existing EU policy frameworks notably on the General Data Protection Regulation (GDPR) and the Regulation on electronic identification and trust services (eIDAS). </w:t>
      </w:r>
    </w:p>
    <w:p>
      <w:pPr>
        <w:spacing w:after="12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Single market policy: boosting jobs, growth and investments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2015 Single Market Strategy</w:t>
      </w:r>
      <w:r>
        <w:rPr>
          <w:rFonts w:ascii="Times New Roman" w:hAnsi="Times New Roman" w:cs="Times New Roman"/>
          <w:noProof/>
          <w:sz w:val="24"/>
          <w:szCs w:val="24"/>
          <w:vertAlign w:val="superscript"/>
        </w:rPr>
        <w:footnoteReference w:id="156"/>
      </w:r>
      <w:r>
        <w:rPr>
          <w:rFonts w:ascii="Times New Roman" w:hAnsi="Times New Roman" w:cs="Times New Roman"/>
          <w:noProof/>
          <w:sz w:val="24"/>
          <w:szCs w:val="24"/>
        </w:rPr>
        <w:t xml:space="preserve"> mentioned that interoperability and standardisation in the area of transport (e-freight) are considered critical to the Digital Single Market. Additionally, the 2016 EU eGovernment Action Plan 2016-2020</w:t>
      </w:r>
      <w:r>
        <w:rPr>
          <w:rFonts w:ascii="Times New Roman" w:hAnsi="Times New Roman" w:cs="Times New Roman"/>
          <w:noProof/>
          <w:sz w:val="24"/>
          <w:szCs w:val="24"/>
          <w:vertAlign w:val="superscript"/>
        </w:rPr>
        <w:footnoteReference w:id="157"/>
      </w:r>
      <w:r>
        <w:rPr>
          <w:rFonts w:ascii="Times New Roman" w:hAnsi="Times New Roman" w:cs="Times New Roman"/>
          <w:noProof/>
          <w:sz w:val="24"/>
          <w:szCs w:val="24"/>
        </w:rPr>
        <w:t xml:space="preserve"> indicated the Commission's action on digitalisation of transport documents for all modes and the promotion of their acceptance by public authorities.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establishment of a uniform regulatory environment for electronic information exchange with the authorities, as proposed by this initiative, can also have significant positive impacts for the internal market.</w:t>
      </w:r>
      <w:r>
        <w:rPr>
          <w:rStyle w:val="FootnoteReference"/>
          <w:rFonts w:ascii="Times New Roman" w:hAnsi="Times New Roman" w:cs="Times New Roman"/>
          <w:noProof/>
          <w:szCs w:val="24"/>
        </w:rPr>
        <w:footnoteReference w:id="158"/>
      </w:r>
      <w:r>
        <w:rPr>
          <w:rFonts w:ascii="Times New Roman" w:hAnsi="Times New Roman" w:cs="Times New Roman"/>
          <w:noProof/>
          <w:sz w:val="24"/>
          <w:szCs w:val="24"/>
        </w:rPr>
        <w:t xml:space="preserve"> Businesses suffer both direct compliance costs, such as expenses related to supplying information and documents to the relevant authority, and indirect costs, such as those arising from procedural delays and lost business opportunities. Based to estimates</w:t>
      </w:r>
      <w:r>
        <w:rPr>
          <w:rStyle w:val="FootnoteReference"/>
          <w:rFonts w:ascii="Times New Roman" w:hAnsi="Times New Roman" w:cs="Times New Roman"/>
          <w:noProof/>
          <w:szCs w:val="24"/>
        </w:rPr>
        <w:footnoteReference w:id="159"/>
      </w:r>
      <w:r>
        <w:rPr>
          <w:rFonts w:ascii="Times New Roman" w:hAnsi="Times New Roman" w:cs="Times New Roman"/>
          <w:noProof/>
          <w:sz w:val="24"/>
          <w:szCs w:val="24"/>
        </w:rPr>
        <w:t xml:space="preserve"> by the Organisation for Economic Cooperation and Development (OECD), these costs may range from 2% to 15% of the value of traded goods.</w:t>
      </w:r>
    </w:p>
    <w:p>
      <w:pPr>
        <w:spacing w:after="12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Social and environmental policy</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Commission is working towards a form of mobility that is sustainable, energy-efficient and respectful of the environment.</w:t>
      </w:r>
      <w:r>
        <w:rPr>
          <w:rFonts w:ascii="Times New Roman" w:hAnsi="Times New Roman" w:cs="Times New Roman"/>
          <w:noProof/>
        </w:rPr>
        <w:t xml:space="preserve"> </w:t>
      </w:r>
      <w:r>
        <w:rPr>
          <w:rFonts w:ascii="Times New Roman" w:hAnsi="Times New Roman" w:cs="Times New Roman"/>
          <w:noProof/>
          <w:sz w:val="24"/>
          <w:szCs w:val="24"/>
        </w:rPr>
        <w:t>The Transport White Paper calls for a modal shift towards rail and waterborne transports</w:t>
      </w:r>
      <w:r>
        <w:rPr>
          <w:rStyle w:val="FootnoteReference"/>
          <w:rFonts w:ascii="Times New Roman" w:hAnsi="Times New Roman" w:cs="Times New Roman"/>
          <w:noProof/>
          <w:szCs w:val="24"/>
        </w:rPr>
        <w:footnoteReference w:id="160"/>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eGovernment Action Plan 2016 - 2020 digital technologies as an integrated part of governments’ modernisation strategies are the means to bring further economic and social benefits for society as a whole.</w:t>
      </w:r>
      <w:r>
        <w:rPr>
          <w:rStyle w:val="FootnoteReference"/>
          <w:rFonts w:ascii="Times New Roman" w:hAnsi="Times New Roman" w:cs="Times New Roman"/>
          <w:noProof/>
          <w:sz w:val="24"/>
          <w:szCs w:val="24"/>
        </w:rPr>
        <w:footnoteReference w:id="161"/>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transportation and the volumes of cargo per kilometres shipped in Europe.  </w:t>
      </w:r>
    </w:p>
    <w:p>
      <w:pPr>
        <w:spacing w:after="12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Research and innovation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Horizon 2020</w:t>
      </w:r>
      <w:r>
        <w:rPr>
          <w:rStyle w:val="FootnoteReference"/>
          <w:rFonts w:ascii="Times New Roman" w:hAnsi="Times New Roman" w:cs="Times New Roman"/>
          <w:noProof/>
          <w:sz w:val="24"/>
          <w:szCs w:val="24"/>
        </w:rPr>
        <w:footnoteReference w:id="162"/>
      </w:r>
      <w:r>
        <w:rPr>
          <w:rFonts w:ascii="Times New Roman" w:hAnsi="Times New Roman" w:cs="Times New Roman"/>
          <w:noProof/>
          <w:sz w:val="24"/>
          <w:szCs w:val="24"/>
        </w:rPr>
        <w:t xml:space="preserve"> is the biggest EU Research and Innovation programme ever with nearly €80 billion of funding available over 7 years (2014 to 2020) – in addition to the private investment that this money will attract. Horizon 2020 will target efficient and environmental friendly transport, security and safety with better mobility and less congestion, a global leadership for the European transport industry and a socio-economic and behavioural research and forward looking activities for policy making.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European Transport research contributes to finding solutions to the increasing mobility of people, with low-carbon technologies, clean vehicles, smart mobility systems and integrated services for passengers and freight.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European research aims to strengthen the competitiveness of our transport industries and to develop a better European transport system for the benefit of all. In the transport sector, research is at the core of developing new technologies for greener, smarter, more efficient transport means and innovative solutions for safer, more sustainable and inclusive mobility. Integrated, multimodal, low-emission freight transport systems and logistics are within the challenges that need to be tackled internationally. </w:t>
      </w:r>
    </w:p>
    <w:p>
      <w:pPr>
        <w:spacing w:after="12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The European Interoperability Framework</w:t>
      </w:r>
    </w:p>
    <w:p>
      <w:pPr>
        <w:pStyle w:val="NormalWeb"/>
        <w:shd w:val="clear" w:color="auto" w:fill="FFFFFF"/>
        <w:rPr>
          <w:noProof/>
          <w:lang w:val="en-GB"/>
        </w:rPr>
      </w:pPr>
      <w:r>
        <w:rPr>
          <w:noProof/>
          <w:lang w:val="en-GB"/>
        </w:rPr>
        <w:t xml:space="preserve">The EIF has been undertaken in the context of the Commission priority to create a </w:t>
      </w:r>
      <w:hyperlink r:id="rId40" w:tgtFrame="_blank" w:history="1">
        <w:r>
          <w:rPr>
            <w:noProof/>
            <w:lang w:val="en-GB"/>
          </w:rPr>
          <w:t>Digital Single Market</w:t>
        </w:r>
      </w:hyperlink>
      <w:r>
        <w:rPr>
          <w:noProof/>
          <w:lang w:val="en-GB"/>
        </w:rPr>
        <w:t xml:space="preserve"> in Europe, and proposes an “interoperability by design” approach, based on a layered interoperability model containing: four layers of interoperability – legal, organisational, semantic and technical; a cross-cutting “integrated public service governance” component; and a background “interoperability governance” layer.</w:t>
      </w:r>
      <w:r>
        <w:rPr>
          <w:rStyle w:val="FootnoteReference"/>
          <w:noProof/>
          <w:lang w:val="en-GB"/>
        </w:rPr>
        <w:footnoteReference w:id="163"/>
      </w:r>
      <w:r>
        <w:rPr>
          <w:noProof/>
          <w:lang w:val="en-GB"/>
        </w:rPr>
        <w:t xml:space="preserve"> It provides Member States’ administration specific guidance on how to set up interoperable digital public services. It offers concrete recommendations on how to improve governance of their interoperability activities, establish cross-organisational relationships, streamline processes supporting end-to-end digital services, and ensure that both existing and new legislation do not compromise interoperability efforts.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initiative aims to contribute to the implementation of the European Interoperability Framework (EIF) Strategy</w:t>
      </w:r>
      <w:r>
        <w:rPr>
          <w:rStyle w:val="FootnoteReference"/>
          <w:rFonts w:ascii="Times New Roman" w:hAnsi="Times New Roman" w:cs="Times New Roman"/>
          <w:noProof/>
          <w:sz w:val="24"/>
          <w:szCs w:val="24"/>
        </w:rPr>
        <w:footnoteReference w:id="164"/>
      </w:r>
      <w:r>
        <w:rPr>
          <w:rFonts w:ascii="Times New Roman" w:hAnsi="Times New Roman" w:cs="Times New Roman"/>
          <w:noProof/>
          <w:sz w:val="24"/>
          <w:szCs w:val="24"/>
        </w:rPr>
        <w:t>, and the measures proposed as part of the preferred policy option are aligned with the strategy's objectives and recommendations. Furthermore, in defining technical specification for ensuring interoperability of the B2A information exchange, the ISA Core Vocabularies</w:t>
      </w:r>
      <w:r>
        <w:rPr>
          <w:rStyle w:val="FootnoteReference"/>
          <w:rFonts w:ascii="Times New Roman" w:hAnsi="Times New Roman" w:cs="Times New Roman"/>
          <w:noProof/>
          <w:sz w:val="24"/>
          <w:szCs w:val="24"/>
        </w:rPr>
        <w:footnoteReference w:id="165"/>
      </w:r>
      <w:r>
        <w:rPr>
          <w:rFonts w:ascii="Times New Roman" w:hAnsi="Times New Roman" w:cs="Times New Roman"/>
          <w:noProof/>
          <w:sz w:val="24"/>
          <w:szCs w:val="24"/>
        </w:rPr>
        <w:t>, alongside other European and international data interoperability standards, will be taken into account.</w:t>
      </w:r>
    </w:p>
    <w:p>
      <w:pPr>
        <w:spacing w:after="120" w:line="240" w:lineRule="auto"/>
        <w:jc w:val="both"/>
        <w:rPr>
          <w:rFonts w:ascii="Times New Roman" w:hAnsi="Times New Roman" w:cs="Times New Roman"/>
          <w:b/>
          <w:noProof/>
          <w:sz w:val="20"/>
          <w:szCs w:val="20"/>
        </w:rPr>
      </w:pPr>
      <w:r>
        <w:rPr>
          <w:rFonts w:ascii="Times New Roman" w:hAnsi="Times New Roman" w:cs="Times New Roman"/>
          <w:b/>
          <w:noProof/>
          <w:sz w:val="20"/>
          <w:szCs w:val="20"/>
        </w:rPr>
        <w:t>Textbox: Main EIF concepts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Pr>
          <w:rFonts w:ascii="Times New Roman" w:hAnsi="Times New Roman" w:cs="Times New Roman"/>
          <w:b/>
          <w:noProof/>
          <w:sz w:val="20"/>
          <w:szCs w:val="20"/>
        </w:rPr>
        <w:t>Interoperability governance</w:t>
      </w:r>
      <w:r>
        <w:rPr>
          <w:rFonts w:ascii="Times New Roman" w:hAnsi="Times New Roman" w:cs="Times New Roman"/>
          <w:noProof/>
          <w:sz w:val="20"/>
          <w:szCs w:val="20"/>
        </w:rPr>
        <w:t xml:space="preserve">” refers generally to any decisions related to ensuring and monitoring interoperability at national and EU levels, such as on interoperability frameworks, institutional arrangements, organisational structures, roles and responsibilities, policies and agreements.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0"/>
          <w:szCs w:val="20"/>
        </w:rPr>
      </w:pPr>
      <w:r>
        <w:rPr>
          <w:rFonts w:ascii="Times New Roman" w:hAnsi="Times New Roman" w:cs="Times New Roman"/>
          <w:noProof/>
          <w:sz w:val="20"/>
          <w:szCs w:val="20"/>
        </w:rPr>
        <w:t>The “</w:t>
      </w:r>
      <w:r>
        <w:rPr>
          <w:rFonts w:ascii="Times New Roman" w:hAnsi="Times New Roman" w:cs="Times New Roman"/>
          <w:b/>
          <w:noProof/>
          <w:sz w:val="20"/>
          <w:szCs w:val="20"/>
        </w:rPr>
        <w:t>integrated public service governance</w:t>
      </w:r>
      <w:r>
        <w:rPr>
          <w:rFonts w:ascii="Times New Roman" w:hAnsi="Times New Roman" w:cs="Times New Roman"/>
          <w:noProof/>
          <w:sz w:val="20"/>
          <w:szCs w:val="20"/>
        </w:rPr>
        <w:t xml:space="preserve">” component of the framework refers to the need for coordination between multiple different public administrations mandated with planning, implementing and operating European public services, in order to provide these services in an integrated way. More specifically, integrated governance is recommended “to ensure: integration, seamless execution, reuse of services and data, and development of new services and ‘building blocks’”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0"/>
          <w:szCs w:val="20"/>
        </w:rPr>
      </w:pPr>
      <w:r>
        <w:rPr>
          <w:rFonts w:ascii="Times New Roman" w:hAnsi="Times New Roman" w:cs="Times New Roman"/>
          <w:noProof/>
          <w:sz w:val="20"/>
          <w:szCs w:val="20"/>
        </w:rPr>
        <w:t xml:space="preserve">To this end, the use of formal arrangements is recommended, by means of interoperability agreements including “specific and binding legislation at EU and/or national level or via bilateral and multilateral agreements” at legal interoperability level; and “standards and specifications” at semantic and technical levels, and in some cases also at organisational level. In addition, the inclusion of “appropriate change management processes in the interoperability agreements” is recommended as “critical” in order “to ensure the accuracy, reliability, continuity of the service delivered”, as well as “a business continuity/disaster recovery plan” in order to ensure continuity in a range of situations, such as cyberattacks or failure of building blocks.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Pr>
          <w:rFonts w:ascii="Times New Roman" w:hAnsi="Times New Roman" w:cs="Times New Roman"/>
          <w:b/>
          <w:noProof/>
          <w:sz w:val="20"/>
          <w:szCs w:val="20"/>
        </w:rPr>
        <w:t>Legal interoperability</w:t>
      </w:r>
      <w:r>
        <w:rPr>
          <w:rFonts w:ascii="Times New Roman" w:hAnsi="Times New Roman" w:cs="Times New Roman"/>
          <w:noProof/>
          <w:sz w:val="20"/>
          <w:szCs w:val="20"/>
        </w:rPr>
        <w:t xml:space="preserve">” refers to ensuring the possibility of effective cooperation between different Member States’ public administrations, when they are acting according to specific national legal frameworks. To that end, “interoperability checks”, on the one hand, and “digital checks”, on the other hand, are recommended.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0"/>
          <w:szCs w:val="20"/>
        </w:rPr>
      </w:pPr>
      <w:r>
        <w:rPr>
          <w:rFonts w:ascii="Times New Roman" w:hAnsi="Times New Roman" w:cs="Times New Roman"/>
          <w:noProof/>
          <w:sz w:val="20"/>
          <w:szCs w:val="20"/>
        </w:rPr>
        <w:t xml:space="preserve">Interoperability checks are aimed at screening and removing barriers stemming from national legal frameworks, including through new legislation. Examples of interoperability barriers include: sectoral or geographical restrictions in the use and storage of data, over-restrictive obligations to use specific digital technologies or delivery modes to provide public services, contradictory requirements for the same or similar business processes, outdated security and data protection needs. Digital checks are recommended to check and eventually ensure the compatibility with the use of ICT means of newly proposed legislation.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Pr>
          <w:rFonts w:ascii="Times New Roman" w:hAnsi="Times New Roman" w:cs="Times New Roman"/>
          <w:b/>
          <w:noProof/>
          <w:sz w:val="20"/>
          <w:szCs w:val="20"/>
        </w:rPr>
        <w:t>Operational interoperability</w:t>
      </w:r>
      <w:r>
        <w:rPr>
          <w:rFonts w:ascii="Times New Roman" w:hAnsi="Times New Roman" w:cs="Times New Roman"/>
          <w:noProof/>
          <w:sz w:val="20"/>
          <w:szCs w:val="20"/>
        </w:rPr>
        <w:t xml:space="preserve">” concerns the alignment of the business processes, responsibilities and expectations of the public administrations to effectively and efficiently provide European public services. More specifically, it is recommended that the public administrations document their business processes according to commonly accepted modelling techniques, including the associated information exchanged, and agree on how existing processes should be aligned, or to define and establish new ones.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0"/>
          <w:szCs w:val="20"/>
        </w:rPr>
      </w:pPr>
      <w:r>
        <w:rPr>
          <w:rFonts w:ascii="Times New Roman" w:hAnsi="Times New Roman" w:cs="Times New Roman"/>
          <w:noProof/>
          <w:sz w:val="20"/>
          <w:szCs w:val="20"/>
        </w:rPr>
        <w:t xml:space="preserve">Furthermore, organisational interoperability should also aim at meeting user community requirements, by making services available, easily identifiable, accessible and user-focused. This may require the establishment of memoranda of understanding (MoU) or service level agreements (SLA) between the public administration organisations involved. For cross-border actions, European level agreements (global or multilateral) are recommended.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Pr>
          <w:rFonts w:ascii="Times New Roman" w:hAnsi="Times New Roman" w:cs="Times New Roman"/>
          <w:b/>
          <w:noProof/>
          <w:sz w:val="20"/>
          <w:szCs w:val="20"/>
        </w:rPr>
        <w:t>Semantic interoperability</w:t>
      </w:r>
      <w:r>
        <w:rPr>
          <w:rFonts w:ascii="Times New Roman" w:hAnsi="Times New Roman" w:cs="Times New Roman"/>
          <w:noProof/>
          <w:sz w:val="20"/>
          <w:szCs w:val="20"/>
        </w:rPr>
        <w:t xml:space="preserve">” is defined as ensuring “that the precise format and meaning of the exchanged data and information is preserved and understood throughout exchanges between parties”, with a semantic and a syntactic dimension. The semantic aspect concerns measures aimed at ensuring that the data elements are “understood in the same way by all communicating parties”, and includes the development of vocabularies and schemata to describe data exchanges. The syntactic aspect concerns the description of the exact format of the information to be exchanged in terms of grammar and format.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0"/>
          <w:szCs w:val="20"/>
        </w:rPr>
      </w:pPr>
      <w:r>
        <w:rPr>
          <w:rFonts w:ascii="Times New Roman" w:hAnsi="Times New Roman" w:cs="Times New Roman"/>
          <w:noProof/>
          <w:sz w:val="20"/>
          <w:szCs w:val="20"/>
        </w:rPr>
        <w:t xml:space="preserve">Overall, support for the establishment of sector-specific and cross-sectoral communities that aim to create open information specifications, as well as encouragement to relevant communities to share their results, is recommended.  In particular, agreements on reference data in the form of taxonomies, controlled vocabularies, thesauri, code lists and reusable data structures/models, are indicated as “key prerequisites” for achieving semantic interoperability.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b/>
          <w:noProof/>
          <w:sz w:val="20"/>
          <w:szCs w:val="20"/>
        </w:rPr>
        <w:t>Technical interoperability</w:t>
      </w:r>
      <w:r>
        <w:rPr>
          <w:rFonts w:ascii="Times New Roman" w:hAnsi="Times New Roman" w:cs="Times New Roman"/>
          <w:noProof/>
          <w:sz w:val="20"/>
          <w:szCs w:val="20"/>
        </w:rPr>
        <w:t>” is described as covering “the applications and infrastructures linking systems and services”, including aspects such as interface specifications, interconnection services, data presentation and exchange, and secure communication protocols. To ensure technical interoperability, it is recommended is to “use [whenever possible] formal technical specifications.”</w:t>
      </w:r>
    </w:p>
    <w:p>
      <w:pPr>
        <w:spacing w:after="120" w:line="240" w:lineRule="auto"/>
        <w:jc w:val="both"/>
        <w:rPr>
          <w:rFonts w:ascii="Times New Roman" w:hAnsi="Times New Roman" w:cs="Times New Roman"/>
          <w:i/>
          <w:noProof/>
          <w:sz w:val="24"/>
          <w:szCs w:val="24"/>
        </w:rPr>
      </w:pPr>
    </w:p>
    <w:p>
      <w:pPr>
        <w:spacing w:after="12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Statistics</w:t>
      </w:r>
    </w:p>
    <w:p>
      <w:pPr>
        <w:spacing w:after="120" w:line="240" w:lineRule="auto"/>
        <w:jc w:val="both"/>
        <w:rPr>
          <w:noProof/>
        </w:rPr>
      </w:pPr>
      <w:r>
        <w:rPr>
          <w:rFonts w:ascii="Times New Roman" w:hAnsi="Times New Roman" w:cs="Times New Roman"/>
          <w:noProof/>
          <w:sz w:val="24"/>
          <w:szCs w:val="24"/>
        </w:rPr>
        <w:t xml:space="preserve">Digitalisation enables more and better quality data. This has also been indicated by several stakeholders during the consultation process for this initiative. </w:t>
      </w:r>
      <w:r>
        <w:rPr>
          <w:noProof/>
        </w:rPr>
        <w:br w:type="page"/>
      </w:r>
    </w:p>
    <w:p>
      <w:pPr>
        <w:pStyle w:val="AnnexTitle"/>
        <w:outlineLvl w:val="0"/>
        <w:rPr>
          <w:noProof/>
        </w:rPr>
      </w:pPr>
    </w:p>
    <w:p>
      <w:pPr>
        <w:pStyle w:val="AnnexTitle"/>
        <w:outlineLvl w:val="0"/>
        <w:rPr>
          <w:noProof/>
        </w:rPr>
      </w:pPr>
      <w:bookmarkStart w:id="344" w:name="_Toc512589668"/>
      <w:bookmarkStart w:id="345" w:name="_Toc512854973"/>
      <w:r>
        <w:rPr>
          <w:noProof/>
        </w:rPr>
        <w:t>Annex 7: Legal context and coherence with other relevant EU legislation and initiatives</w:t>
      </w:r>
      <w:bookmarkEnd w:id="344"/>
      <w:bookmarkEnd w:id="345"/>
    </w:p>
    <w:p>
      <w:pPr>
        <w:pStyle w:val="Heading1"/>
        <w:keepLines/>
        <w:numPr>
          <w:ilvl w:val="0"/>
          <w:numId w:val="43"/>
        </w:numPr>
        <w:spacing w:before="0" w:after="120"/>
        <w:ind w:left="357" w:hanging="357"/>
        <w:rPr>
          <w:noProof/>
          <w:szCs w:val="24"/>
        </w:rPr>
      </w:pPr>
      <w:bookmarkStart w:id="346" w:name="_Toc506408332"/>
      <w:bookmarkStart w:id="347" w:name="_Toc512589669"/>
      <w:bookmarkStart w:id="348" w:name="_Toc512854974"/>
      <w:r>
        <w:rPr>
          <w:noProof/>
          <w:szCs w:val="24"/>
        </w:rPr>
        <w:t>Coherence with other on-going proposals/ initiatives</w:t>
      </w:r>
      <w:bookmarkEnd w:id="346"/>
      <w:r>
        <w:rPr>
          <w:noProof/>
          <w:szCs w:val="24"/>
        </w:rPr>
        <w:t xml:space="preserve"> including digitalisation provisions</w:t>
      </w:r>
      <w:bookmarkEnd w:id="347"/>
      <w:bookmarkEnd w:id="348"/>
    </w:p>
    <w:p>
      <w:pPr>
        <w:spacing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w:t>
      </w:r>
      <w:r>
        <w:rPr>
          <w:rFonts w:ascii="Times New Roman" w:hAnsi="Times New Roman" w:cs="Times New Roman"/>
          <w:i/>
          <w:noProof/>
          <w:sz w:val="24"/>
        </w:rPr>
        <w:t>Reporting Formalities Directive 2010/65/EC (RFD) and the possible proposal to revise it and establish a European Maritime Single Window environment</w:t>
      </w:r>
      <w:r>
        <w:rPr>
          <w:rFonts w:ascii="Times New Roman" w:hAnsi="Times New Roman" w:cs="Times New Roman"/>
          <w:noProof/>
          <w:sz w:val="24"/>
        </w:rPr>
        <w:t xml:space="preserve"> (currently under an impact assessment process), aim at harmonizing and simplifying the B2A reporting that a ship is required to fulfil in connection to a port call (e.g. customs formalities, safety/security related information, border control issues, etc.). </w:t>
      </w:r>
    </w:p>
    <w:p>
      <w:pPr>
        <w:spacing w:after="120" w:line="240" w:lineRule="auto"/>
        <w:jc w:val="both"/>
        <w:rPr>
          <w:rFonts w:ascii="Times New Roman" w:hAnsi="Times New Roman" w:cs="Times New Roman"/>
          <w:noProof/>
          <w:sz w:val="24"/>
        </w:rPr>
      </w:pPr>
      <w:r>
        <w:rPr>
          <w:rFonts w:ascii="Times New Roman" w:hAnsi="Times New Roman" w:cs="Times New Roman"/>
          <w:noProof/>
          <w:sz w:val="24"/>
        </w:rPr>
        <w:t>The RFD is concerned with a predetermined list of information requirement to be provided to different national authorities at specific points in time (arrival and departure from ports). The creation of a single window not only establishes the obligation of acceptance of electronic transmission, but also the creation of a single entry point to be used for all public entities and which will act as an interface between operators and the national systems of the various authorities.</w:t>
      </w:r>
    </w:p>
    <w:p>
      <w:pPr>
        <w:spacing w:after="120" w:line="240" w:lineRule="auto"/>
        <w:jc w:val="both"/>
        <w:rPr>
          <w:rFonts w:ascii="Times New Roman" w:hAnsi="Times New Roman" w:cs="Times New Roman"/>
          <w:noProof/>
          <w:sz w:val="24"/>
        </w:rPr>
      </w:pPr>
      <w:r>
        <w:rPr>
          <w:rFonts w:ascii="Times New Roman" w:hAnsi="Times New Roman" w:cs="Times New Roman"/>
          <w:noProof/>
          <w:sz w:val="24"/>
        </w:rPr>
        <w:t xml:space="preserve">Whereas the RFD is concerned with a system for </w:t>
      </w:r>
      <w:r>
        <w:rPr>
          <w:rFonts w:ascii="Times New Roman" w:hAnsi="Times New Roman" w:cs="Times New Roman"/>
          <w:i/>
          <w:noProof/>
          <w:sz w:val="24"/>
        </w:rPr>
        <w:t>regular submission</w:t>
      </w:r>
      <w:r>
        <w:rPr>
          <w:rFonts w:ascii="Times New Roman" w:hAnsi="Times New Roman" w:cs="Times New Roman"/>
          <w:noProof/>
          <w:sz w:val="24"/>
        </w:rPr>
        <w:t xml:space="preserve"> of information, the present impact assessment is confronted with the issue of how information can be made available electronically </w:t>
      </w:r>
      <w:r>
        <w:rPr>
          <w:rFonts w:ascii="Times New Roman" w:hAnsi="Times New Roman" w:cs="Times New Roman"/>
          <w:i/>
          <w:noProof/>
          <w:sz w:val="24"/>
        </w:rPr>
        <w:t>if and when requested</w:t>
      </w:r>
      <w:r>
        <w:rPr>
          <w:rFonts w:ascii="Times New Roman" w:hAnsi="Times New Roman" w:cs="Times New Roman"/>
          <w:noProof/>
          <w:sz w:val="24"/>
        </w:rPr>
        <w:t xml:space="preserve">. Furthermore, whereas the RFD concerns information requirements for port call clearance, this initiative concerns transport information requirements before the goods reach the port (to exit the EU territory), or after they have left the port (entering the EU territory). Nevertheless, there are synergies between the two initiatives. These are to be found in the data model and interoperability requirement to be used. </w:t>
      </w:r>
    </w:p>
    <w:p>
      <w:pPr>
        <w:spacing w:after="120" w:line="240" w:lineRule="auto"/>
        <w:jc w:val="both"/>
        <w:rPr>
          <w:rFonts w:ascii="Times New Roman" w:hAnsi="Times New Roman" w:cs="Times New Roman"/>
          <w:noProof/>
          <w:sz w:val="24"/>
        </w:rPr>
      </w:pPr>
      <w:r>
        <w:rPr>
          <w:rFonts w:ascii="Times New Roman" w:hAnsi="Times New Roman" w:cs="Times New Roman"/>
          <w:noProof/>
          <w:sz w:val="24"/>
        </w:rPr>
        <w:t>It may be added that the bill of lading used in the maritime sector is not included among the documents to be submitted through the maritime single window, but it is concerned by this initiative, inasmuch as the information contained therein is requested by authorities.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Another relevant initiative is </w:t>
      </w:r>
      <w:r>
        <w:rPr>
          <w:rFonts w:ascii="Times New Roman" w:hAnsi="Times New Roman" w:cs="Times New Roman"/>
          <w:i/>
          <w:noProof/>
          <w:sz w:val="24"/>
          <w:szCs w:val="24"/>
        </w:rPr>
        <w:t>the Proposal No 2017/0290 (COD) for the revision of Directive 92/106/EEC on combined transport of goods</w:t>
      </w:r>
      <w:r>
        <w:rPr>
          <w:rFonts w:ascii="Times New Roman" w:hAnsi="Times New Roman" w:cs="Times New Roman"/>
          <w:noProof/>
          <w:sz w:val="24"/>
          <w:szCs w:val="24"/>
        </w:rPr>
        <w:t>, currently under consideration by the legislator. The Proposal includes a provision to allow submitting electronic transport documents as evidence that a specific movement of goods constitutes or is part of a combined transport operation. The scope of the proposal is limited to combined transport operations as defined by that proposal. In addition, it does not include any specification on the requirements to be fulfilled by the electronic form of the document, leaving that to the interpretation of the Member States or their enforcement authorities. The Proposal does not cover the further purposes for which a transport document is controlled by authorities.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w:t>
      </w:r>
      <w:r>
        <w:rPr>
          <w:rFonts w:ascii="Times New Roman" w:hAnsi="Times New Roman" w:cs="Times New Roman"/>
          <w:i/>
          <w:noProof/>
          <w:sz w:val="24"/>
          <w:szCs w:val="24"/>
        </w:rPr>
        <w:t xml:space="preserve"> Proposal No 2017/0123 (COD) for amending Regulation (EC) No 1072/2009 on common rules for access to the international road haulage market</w:t>
      </w:r>
      <w:r>
        <w:rPr>
          <w:rFonts w:ascii="Times New Roman" w:hAnsi="Times New Roman" w:cs="Times New Roman"/>
          <w:noProof/>
          <w:sz w:val="24"/>
          <w:szCs w:val="24"/>
        </w:rPr>
        <w:t xml:space="preserve"> , also under consideration by the legislator at the time of writing, aims to clarify the framework for cabotage operations. The Proposal establishes that the evidence, necessary at assessing compliance with cabotage rules, would be presented or transmitted electronically and makes a reference to eCMR as means of the electronic transmission. Nevertheless, its scope is limited to purpose-specific (i.e. cabotage rules compliance) control activities. Similarly to the provision in the combined transport proposal, this Proposal does not include specifications on the requirements to be fulfilled by the electronic form of the document, leaving that to the interpretation of the Member States or their enforcement authorities.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cs="Times New Roman"/>
          <w:i/>
          <w:noProof/>
          <w:sz w:val="24"/>
          <w:szCs w:val="24"/>
        </w:rPr>
        <w:t>new initiative on digital tools for inland waterways transport legislation</w:t>
      </w:r>
      <w:r>
        <w:rPr>
          <w:rStyle w:val="FootnoteReference"/>
          <w:rFonts w:ascii="Times New Roman" w:hAnsi="Times New Roman" w:cs="Times New Roman"/>
          <w:i/>
          <w:noProof/>
          <w:sz w:val="24"/>
          <w:szCs w:val="24"/>
        </w:rPr>
        <w:footnoteReference w:id="166"/>
      </w:r>
      <w:r>
        <w:rPr>
          <w:rFonts w:ascii="Times New Roman" w:hAnsi="Times New Roman" w:cs="Times New Roman"/>
          <w:noProof/>
          <w:sz w:val="24"/>
          <w:szCs w:val="24"/>
        </w:rPr>
        <w:t xml:space="preserve"> focuses on replacing the paper version of Union certificates of qualification, service record books and logbooks, by electronic tools, such as electronic professional cards and electronic vessel units. The transport documents or information concerning the cargo are outside of the scope of this initiative.</w:t>
      </w:r>
    </w:p>
    <w:p>
      <w:pPr>
        <w:spacing w:after="120" w:line="240" w:lineRule="auto"/>
        <w:jc w:val="both"/>
        <w:rPr>
          <w:rFonts w:ascii="Times New Roman" w:hAnsi="Times New Roman" w:cs="Times New Roman"/>
          <w:noProof/>
          <w:sz w:val="24"/>
          <w:szCs w:val="24"/>
        </w:rPr>
      </w:pPr>
      <w:r>
        <w:rPr>
          <w:rFonts w:ascii="Times New Roman" w:hAnsi="Times New Roman" w:cs="Times New Roman"/>
          <w:i/>
          <w:noProof/>
          <w:sz w:val="24"/>
          <w:szCs w:val="24"/>
        </w:rPr>
        <w:t xml:space="preserve">Proposal No 2017/0086 (COD) for a Regulation on establishing a single digital gateway </w:t>
      </w:r>
      <w:r>
        <w:rPr>
          <w:rFonts w:ascii="Times New Roman" w:hAnsi="Times New Roman" w:cs="Times New Roman"/>
          <w:noProof/>
          <w:sz w:val="24"/>
          <w:szCs w:val="24"/>
        </w:rPr>
        <w:t xml:space="preserve">to provide information, procedures, assistance and problem solving services and amending Regulation (EU) No 1024/2012, includes provisions on functionalities for the European Consumer Centres, Your Europe Advice, SOLVIT, Intellectual Property Rights helpdesk, Europe Direct and Enterprise Europe Network. The purpose is to set up a gateway to provide information to citizens and businesses on their rights and various other issues. Services related to the provision of regulatory information on the transport of goods are not foreseen.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i/>
          <w:noProof/>
          <w:sz w:val="24"/>
          <w:szCs w:val="24"/>
        </w:rPr>
        <w:t>Proposal No 2018/0113 (COD)</w:t>
      </w:r>
      <w:r>
        <w:rPr>
          <w:rFonts w:ascii="Times New Roman" w:hAnsi="Times New Roman" w:cs="Times New Roman"/>
          <w:noProof/>
          <w:sz w:val="24"/>
          <w:szCs w:val="24"/>
        </w:rPr>
        <w:t xml:space="preserve"> for a directive amending Directive (EU) 2017/1132 as regards the use of digital tools and processes in company law. The proposal does not include any rules concerning transport operations and, as such, would not affect measures to be undertaken in the context of this initiative. </w:t>
      </w:r>
    </w:p>
    <w:p>
      <w:pPr>
        <w:pStyle w:val="Heading1"/>
        <w:keepLines/>
        <w:numPr>
          <w:ilvl w:val="0"/>
          <w:numId w:val="43"/>
        </w:numPr>
        <w:spacing w:before="480" w:after="100" w:afterAutospacing="1"/>
        <w:ind w:left="357" w:hanging="357"/>
        <w:rPr>
          <w:noProof/>
          <w:szCs w:val="24"/>
        </w:rPr>
      </w:pPr>
      <w:bookmarkStart w:id="349" w:name="_Toc506408333"/>
      <w:bookmarkStart w:id="350" w:name="_Toc512589670"/>
      <w:bookmarkStart w:id="351" w:name="_Toc512854975"/>
      <w:r>
        <w:rPr>
          <w:noProof/>
          <w:szCs w:val="24"/>
        </w:rPr>
        <w:t>Coherence with other EU legislation currently in force</w:t>
      </w:r>
      <w:bookmarkEnd w:id="349"/>
      <w:bookmarkEnd w:id="350"/>
      <w:bookmarkEnd w:id="351"/>
    </w:p>
    <w:p>
      <w:pPr>
        <w:spacing w:after="120" w:line="240" w:lineRule="auto"/>
        <w:jc w:val="both"/>
        <w:rPr>
          <w:rFonts w:ascii="Times New Roman" w:hAnsi="Times New Roman" w:cs="Times New Roman"/>
          <w:i/>
          <w:noProof/>
          <w:sz w:val="24"/>
          <w:szCs w:val="24"/>
        </w:rPr>
      </w:pPr>
      <w:bookmarkStart w:id="352" w:name="_Toc512589671"/>
      <w:bookmarkStart w:id="353" w:name="_Toc512854976"/>
      <w:r>
        <w:rPr>
          <w:rStyle w:val="Heading2Char"/>
          <w:rFonts w:eastAsiaTheme="minorHAnsi"/>
          <w:noProof/>
        </w:rPr>
        <w:t>EU transport legislation</w:t>
      </w:r>
      <w:bookmarkEnd w:id="352"/>
      <w:bookmarkEnd w:id="353"/>
      <w:r>
        <w:rPr>
          <w:rStyle w:val="FootnoteReference"/>
          <w:rFonts w:ascii="Times New Roman" w:hAnsi="Times New Roman" w:cs="Times New Roman"/>
          <w:i/>
          <w:noProof/>
          <w:sz w:val="24"/>
          <w:szCs w:val="24"/>
        </w:rPr>
        <w:footnoteReference w:id="167"/>
      </w:r>
    </w:p>
    <w:p>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Aviation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Implementing Regulation 2015/1998 laying down detailed measures for the implementation of the common basic standards on aviation security following the Regulation 300/2008 on common rules of civil aviation security refers to the air waybill in its Annex. The provision specifies that any consignment should be accompanied by an air waybill or any other appropriate documentation which can be provided either in writing or electronic format. However, the scope of this provision is limited as it covers only security issues in aviation. Furthermore, it provides no specifications on the requirements to be fulfilled by the electronic form of the document, leaving that to the interpretation of the Member States or their enforcement authorities.</w:t>
      </w:r>
    </w:p>
    <w:p>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Road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Regulation (EC) No 1072/2009 on common rules for access to the international road haulage market is limited to cabotage control activities. The regulation is under amendment, see above.</w:t>
      </w:r>
      <w:r>
        <w:rPr>
          <w:rStyle w:val="FootnoteReference"/>
          <w:rFonts w:ascii="Times New Roman" w:hAnsi="Times New Roman" w:cs="Times New Roman"/>
          <w:noProof/>
          <w:sz w:val="24"/>
          <w:szCs w:val="24"/>
        </w:rPr>
        <w:footnoteReference w:id="168"/>
      </w:r>
    </w:p>
    <w:p>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Rail</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Regulation EU No 1305/2014 on the technical specification for interoperability relating to the telematics applications for freight subsystem of the rail system in the European Union and repealing the Regulation (EC) No 62/2006 is linked to CIM Convention and refers to the digitally exchange of consignment notes data between railway undertakings and customers, namely B2B relations. The scope is limited to the aforementioned relations and does not cover the controls by enforcement authorities of the transport documents.</w:t>
      </w:r>
    </w:p>
    <w:p>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Maritime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EU Directive 2010/65/EC is a tool to establish a simplified reporting environment for ships by asking Member States to provide a single reporting entry point for a number of reporting formalities for ships. The RFD did not introduce any new reporting obligations for shipping but aimed at reducing administrative burden, simplifying requirements, replacing paper submissions with harmonized digital submissions and harmonizing reporting on national level. Currently, as mentioned above, the Directive is under revision in order to better achieve its purpose.</w:t>
      </w:r>
    </w:p>
    <w:p>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Inland Waterways</w:t>
      </w:r>
    </w:p>
    <w:p>
      <w:pPr>
        <w:spacing w:after="120" w:line="240" w:lineRule="auto"/>
        <w:jc w:val="both"/>
        <w:rPr>
          <w:rFonts w:ascii="Times New Roman" w:hAnsi="Times New Roman" w:cs="Times New Roman"/>
          <w:noProof/>
          <w:sz w:val="24"/>
          <w:szCs w:val="24"/>
        </w:rPr>
      </w:pPr>
      <w:r>
        <w:rPr>
          <w:rFonts w:ascii="Times New Roman" w:hAnsi="Times New Roman" w:cs="Times New Roman"/>
          <w:i/>
          <w:noProof/>
          <w:sz w:val="24"/>
          <w:szCs w:val="24"/>
        </w:rPr>
        <w:t>Commission Regulation EU No 164/2010</w:t>
      </w:r>
      <w:r>
        <w:rPr>
          <w:rFonts w:ascii="Times New Roman" w:hAnsi="Times New Roman" w:cs="Times New Roman"/>
          <w:noProof/>
          <w:sz w:val="24"/>
          <w:szCs w:val="24"/>
        </w:rPr>
        <w:t xml:space="preserve"> on the technical specifications for electronic ship reporting in inland navigation referred to in Article 5 of </w:t>
      </w:r>
      <w:r>
        <w:rPr>
          <w:rFonts w:ascii="Times New Roman" w:hAnsi="Times New Roman" w:cs="Times New Roman"/>
          <w:i/>
          <w:noProof/>
          <w:sz w:val="24"/>
          <w:szCs w:val="24"/>
        </w:rPr>
        <w:t>Directive 2005/44/EC</w:t>
      </w:r>
      <w:r>
        <w:rPr>
          <w:rFonts w:ascii="Times New Roman" w:hAnsi="Times New Roman" w:cs="Times New Roman"/>
          <w:noProof/>
          <w:sz w:val="24"/>
          <w:szCs w:val="24"/>
        </w:rPr>
        <w:t xml:space="preserve"> of the European Parliament and of the Council on harmonised river information services (RIS) on inland waterways in the Community refers to a digital message concerning information about dangerous cargo and non-dangerous cargo. Both the Directive (RIS) and the Commission Regulation do not concern control activities aimed at enforcing regulatory requirements. They concern the deployment of the harmonized information services to support traffic and transport management in inland navigation, including, wherever technically feasible, interfaces with other transport modes. In addition, the foreseen revision of RIS Directive is not expected to include the documents accompanying the cargo. This initiative will however take into account the message specifications provided by this legislation, in order to ensure data interoperability.</w:t>
      </w:r>
    </w:p>
    <w:p>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Combined transport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i/>
          <w:noProof/>
          <w:sz w:val="24"/>
          <w:szCs w:val="24"/>
        </w:rPr>
        <w:t>Combined Transport Directive (92/1063/EC)</w:t>
      </w:r>
      <w:r>
        <w:rPr>
          <w:rFonts w:ascii="Times New Roman" w:hAnsi="Times New Roman" w:cs="Times New Roman"/>
          <w:noProof/>
          <w:sz w:val="24"/>
          <w:szCs w:val="24"/>
        </w:rPr>
        <w:t xml:space="preserve"> is a support instrument encouraging the use multimodal transport of goods where the major part of transport is carried out by rail, inland waterways or maritime transport and is served by a short road leg in the beginning or end of the transport chain. A proposal for amendment is currently under discussion by the legislator, see above.</w:t>
      </w:r>
    </w:p>
    <w:p>
      <w:pPr>
        <w:spacing w:after="120" w:line="240" w:lineRule="auto"/>
        <w:jc w:val="both"/>
        <w:rPr>
          <w:rFonts w:ascii="Times New Roman" w:hAnsi="Times New Roman" w:cs="Times New Roman"/>
          <w:noProof/>
          <w:sz w:val="24"/>
          <w:szCs w:val="24"/>
        </w:rPr>
      </w:pPr>
      <w:r>
        <w:rPr>
          <w:rFonts w:ascii="Times New Roman" w:hAnsi="Times New Roman" w:cs="Times New Roman"/>
          <w:i/>
          <w:noProof/>
          <w:sz w:val="24"/>
          <w:szCs w:val="24"/>
        </w:rPr>
        <w:t>Regulation No 11/1960</w:t>
      </w:r>
      <w:r>
        <w:rPr>
          <w:noProof/>
        </w:rPr>
        <w:t xml:space="preserve"> </w:t>
      </w:r>
      <w:r>
        <w:rPr>
          <w:rFonts w:ascii="Times New Roman" w:hAnsi="Times New Roman" w:cs="Times New Roman"/>
          <w:noProof/>
          <w:sz w:val="24"/>
          <w:szCs w:val="24"/>
        </w:rPr>
        <w:t xml:space="preserve">concerning the abolition of discrimination in transport rates and conditions sets rules on documentation requirements for transport documents. It covers the carriage of all goods by rail, road or inland waterway within the Community. The Regulation covers control activities aimed at checking that there is no discrimination by carriers, in the form of charging different rates and imposing different conditions for carrying the same goods over the same transport links, on grounds of the country of origin or of destination of the goods in question. </w:t>
      </w:r>
    </w:p>
    <w:p>
      <w:pPr>
        <w:pStyle w:val="Heading2"/>
        <w:numPr>
          <w:ilvl w:val="0"/>
          <w:numId w:val="0"/>
        </w:numPr>
        <w:ind w:left="576" w:hanging="576"/>
        <w:rPr>
          <w:noProof/>
          <w:u w:val="single"/>
        </w:rPr>
      </w:pPr>
      <w:bookmarkStart w:id="354" w:name="_Toc512589672"/>
      <w:bookmarkStart w:id="355" w:name="_Toc512854977"/>
      <w:r>
        <w:rPr>
          <w:noProof/>
        </w:rPr>
        <w:t>EU customs and fiscal legislation</w:t>
      </w:r>
      <w:bookmarkEnd w:id="354"/>
      <w:bookmarkEnd w:id="355"/>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Customs procedures and control methods are specified in the Union Customs Code which entered into force on 1 May 2016. The Union Customs Code puts emphasis on fully electronic communication between the customs administrations and economic operators and between customs authorities in different Member States, in a paperless environment.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Customs Data Model has been established in order to ensure the data harmonisation for the exchange of information. This Data Model contains a data set encompassing data elements and definitions required by customs authorities throughout the EU. Furthermore, DG TAXUD improved the existing national customs IT systems and adapted them to the new requirements set out by the new legislation. At the same time, a number of centralised EU-wide IT systems are being developed and deployed. The objective is to achieve a full digital environment and high level of harmonisation in the whole customs domain. Safety and Security information has been enhanced, mainly through the improvement of data quality, enlarging the reporting to multiple parties along the logistic chain. For this specific purpose, a new centralised system is being developed, gathering all safety and security information, including that coming from the maritime transport.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Union Customs Code and the Implementing and Delegated Acts do not harmonise the way controls are carried out by customs. They cover exchange of information between authorities and between authorities and operators, but authorities of Members States are still free to require paper documents when controls are carried out. The Code is not a legal basis for ensuring at EU level the equivalence of electronic transport documents to paper transport documents.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Transport information for simplified procedures would be possible to be provided through an electronic system or transport document for some related customs formalities (e.g. simplified transit), under the condition that the electronic transport document contains certain data elements, as specified in Annex B of the UCC Delegated and Implementing Act. It does not enter into any other details regarding the electronic transport document. In addition, the reference to the electronic transport document concerns only the application of the so called Union Transit procedure. </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Additionally, according to </w:t>
      </w:r>
      <w:r>
        <w:rPr>
          <w:rFonts w:ascii="Times New Roman" w:hAnsi="Times New Roman" w:cs="Times New Roman"/>
          <w:i/>
          <w:noProof/>
          <w:sz w:val="24"/>
          <w:szCs w:val="24"/>
        </w:rPr>
        <w:t>Directive2006/112/EC</w:t>
      </w:r>
      <w:r>
        <w:rPr>
          <w:rFonts w:ascii="Times New Roman" w:hAnsi="Times New Roman" w:cs="Times New Roman"/>
          <w:noProof/>
          <w:sz w:val="24"/>
          <w:szCs w:val="24"/>
        </w:rPr>
        <w:t xml:space="preserve"> on the common system of VAT, information on the “first place of destination” as mentioned “on a consignment note or any other documents under which the goods are imported into the Member State of importation” can be as proof that the goods are transported within the EU. However, the format of the proof is not specified and, insofar as a consignment note is not the only document that could be used as proof, this initiative would not generate conflicting requirements in relation to the VAT legislation. </w:t>
      </w:r>
    </w:p>
    <w:p>
      <w:pPr>
        <w:pStyle w:val="Heading2"/>
        <w:numPr>
          <w:ilvl w:val="0"/>
          <w:numId w:val="0"/>
        </w:numPr>
        <w:rPr>
          <w:noProof/>
        </w:rPr>
      </w:pPr>
      <w:bookmarkStart w:id="356" w:name="_Toc512589673"/>
      <w:bookmarkStart w:id="357" w:name="_Toc512854978"/>
      <w:r>
        <w:rPr>
          <w:noProof/>
        </w:rPr>
        <w:t>EU legislation on official controls on agri-food chain</w:t>
      </w:r>
      <w:bookmarkEnd w:id="356"/>
      <w:bookmarkEnd w:id="357"/>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Regulation (EU) 2017/625 on official controls and other official activities performed to ensure the application of food and feed law, rules on animal health and welfare, plant health and plant protection products provides the framework for Member States (MS) to verify that businesses comply with agri-food chain rules. One of the benefits that this Regulation brings is an integrated computerised system to improve the exchange of information between Member States on official controls. This Regulation foresees the possibility that the operator responsible for the consignment can provide the information concerning the animals and goods also in electronic form. The Regulation also foresees the adoption of specifications concerning the electronic form requirements are foreseen, by means of Commission implementing legislation. </w:t>
      </w:r>
    </w:p>
    <w:p>
      <w:pPr>
        <w:spacing w:after="12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 xml:space="preserve">EU legislation on waste </w:t>
      </w:r>
    </w:p>
    <w:p>
      <w:pPr>
        <w:spacing w:after="120" w:line="240" w:lineRule="auto"/>
        <w:jc w:val="both"/>
        <w:rPr>
          <w:rFonts w:ascii="Times New Roman" w:hAnsi="Times New Roman" w:cs="Times New Roman"/>
          <w:noProof/>
          <w:sz w:val="24"/>
          <w:szCs w:val="24"/>
        </w:rPr>
      </w:pPr>
      <w:r>
        <w:rPr>
          <w:rFonts w:ascii="Times New Roman" w:hAnsi="Times New Roman" w:cs="Times New Roman"/>
          <w:i/>
          <w:noProof/>
          <w:sz w:val="24"/>
          <w:szCs w:val="24"/>
        </w:rPr>
        <w:t>Regulation (EC) No 1013/2006</w:t>
      </w:r>
      <w:r>
        <w:rPr>
          <w:rFonts w:ascii="Times New Roman" w:hAnsi="Times New Roman" w:cs="Times New Roman"/>
          <w:noProof/>
          <w:sz w:val="24"/>
          <w:szCs w:val="24"/>
        </w:rPr>
        <w:t xml:space="preserve"> establishes procedures and control regimes for the shipment of waste within the EU, having the origin or destination in the EU, or transiting the Union territory, including related regulatory information on the movement of the waste to be made available for control purposes. It also includes a provision allowing the exchange of this information in electronic format, if the authorities and the economic operators concerned agree, and the possibility for adoption of technical and organisational requirements for the organisation of the electronic exchange. The latter specifications have not yet been adopted. The measures in the context of this initiative would need to take into account the regulatory information and technical requirements in this legislation, in order to ensure the interoperability of the information exchange and exploit synergies. </w:t>
      </w:r>
    </w:p>
    <w:p>
      <w:pPr>
        <w:pStyle w:val="Heading2"/>
        <w:numPr>
          <w:ilvl w:val="0"/>
          <w:numId w:val="0"/>
        </w:numPr>
        <w:ind w:left="576" w:hanging="576"/>
        <w:rPr>
          <w:noProof/>
        </w:rPr>
      </w:pPr>
      <w:bookmarkStart w:id="358" w:name="_Toc512589674"/>
      <w:bookmarkStart w:id="359" w:name="_Toc512854979"/>
      <w:r>
        <w:rPr>
          <w:noProof/>
        </w:rPr>
        <w:t>EU electronic identification and trust services for electronic transactions legislation</w:t>
      </w:r>
      <w:bookmarkEnd w:id="358"/>
      <w:bookmarkEnd w:id="359"/>
    </w:p>
    <w:p>
      <w:pPr>
        <w:spacing w:after="120" w:line="240" w:lineRule="auto"/>
        <w:jc w:val="both"/>
        <w:rPr>
          <w:noProof/>
        </w:rPr>
      </w:pPr>
      <w:r>
        <w:rPr>
          <w:rFonts w:ascii="Times New Roman" w:hAnsi="Times New Roman" w:cs="Times New Roman"/>
          <w:noProof/>
          <w:sz w:val="24"/>
          <w:szCs w:val="24"/>
        </w:rPr>
        <w:t xml:space="preserve">The e-IDAS </w:t>
      </w:r>
      <w:r>
        <w:rPr>
          <w:rFonts w:ascii="Times New Roman" w:hAnsi="Times New Roman" w:cs="Times New Roman"/>
          <w:i/>
          <w:noProof/>
          <w:sz w:val="24"/>
          <w:szCs w:val="24"/>
        </w:rPr>
        <w:t xml:space="preserve">Regulation (EU) No 910/2014 </w:t>
      </w:r>
      <w:r>
        <w:rPr>
          <w:rFonts w:ascii="Times New Roman" w:hAnsi="Times New Roman" w:cs="Times New Roman"/>
          <w:noProof/>
          <w:sz w:val="24"/>
          <w:szCs w:val="24"/>
        </w:rPr>
        <w:t xml:space="preserve">on electronic identification and trust services for electronic transactions in the internal market and repealing Directive 1999/93/EC  provides that an electronic document shall not be denied legal effect and admissibility as evidence in legal proceedings solely on the grounds that it is in electronic form. It also lays down the conditions for cross-border recognition and acceptance of electronic identification means and trust services in the internal market. Measures concerning identification and authentication of the parties exchanging the transport information would need to take account of the provisions of eIDAS. However, the eIDAS Regulation does not oblige Member States to accept electronic documents or information therein as evidence in other cases than in legal proceedings. Therefore, a legislative framework requiring the cross-border acceptance of electronic freight transport information by public authorities would not interfere with the application of eIDAS as regards electronic transport documents. </w:t>
      </w:r>
    </w:p>
    <w:p>
      <w:pPr>
        <w:rPr>
          <w:noProof/>
        </w:rPr>
      </w:pPr>
    </w:p>
    <w:sectPr>
      <w:headerReference w:type="even" r:id="rId41"/>
      <w:headerReference w:type="default" r:id="rId42"/>
      <w:footerReference w:type="even" r:id="rId43"/>
      <w:footerReference w:type="default" r:id="rId44"/>
      <w:headerReference w:type="first" r:id="rId45"/>
      <w:footerReference w:type="first" r:id="rId46"/>
      <w:pgSz w:w="11906" w:h="16838" w:code="9"/>
      <w:pgMar w:top="1021" w:right="1701" w:bottom="1021" w:left="1588"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86724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109</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54186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76817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Arabic </w:instrText>
    </w:r>
    <w:r>
      <w:fldChar w:fldCharType="separate"/>
    </w:r>
    <w:r>
      <w:rPr>
        <w:noProof/>
      </w:rPr>
      <w:t>96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533079"/>
      <w:docPartObj>
        <w:docPartGallery w:val="Page Numbers (Bottom of Page)"/>
        <w:docPartUnique/>
      </w:docPartObj>
    </w:sdtPr>
    <w:sdtEndPr>
      <w:rPr>
        <w:noProof/>
      </w:rPr>
    </w:sdtEndPr>
    <w:sdtContent>
      <w:p>
        <w:pPr>
          <w:pStyle w:val="Footer"/>
          <w:ind w:firstLine="850"/>
          <w:jc w:val="center"/>
        </w:pPr>
        <w:r>
          <w:fldChar w:fldCharType="begin"/>
        </w:r>
        <w:r>
          <w:instrText xml:space="preserve"> PAGE   \* MERGEFORMAT </w:instrText>
        </w:r>
        <w:r>
          <w:fldChar w:fldCharType="separate"/>
        </w:r>
        <w:r>
          <w:rPr>
            <w:noProof/>
          </w:rPr>
          <w:t>65</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rPr>
          <w:sz w:val="16"/>
          <w:szCs w:val="16"/>
        </w:rPr>
      </w:pPr>
      <w:r>
        <w:rPr>
          <w:rStyle w:val="FootnoteReference"/>
          <w:sz w:val="16"/>
          <w:szCs w:val="16"/>
        </w:rPr>
        <w:footnoteRef/>
      </w:r>
      <w:r>
        <w:rPr>
          <w:sz w:val="16"/>
          <w:szCs w:val="16"/>
        </w:rPr>
        <w:t xml:space="preserve"> </w:t>
      </w:r>
      <w:r>
        <w:rPr>
          <w:rFonts w:ascii="Times New Roman" w:hAnsi="Times New Roman" w:cs="Times New Roman"/>
          <w:sz w:val="16"/>
          <w:szCs w:val="16"/>
        </w:rPr>
        <w:t>Or, more generally, from senders/consigners to recipients/consignees.</w:t>
      </w:r>
    </w:p>
  </w:footnote>
  <w:footnote w:id="2">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This is a basic taxonomy, used also in the context of the Digital Transport and Logistics Forum (DTLF), for the organisation of the activity of this Commission expert group. </w:t>
      </w:r>
    </w:p>
  </w:footnote>
  <w:footnote w:id="3">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This was also reflected in the choice made by the transport and logistics experts gathered in the framework of the DTLF on the prioritisation of their work. Thus, in the context of the one of the two main working groups of the Forum, mandated to focus on "the acceptance of electronic transport documents", they mandated two of the three teams established to focus on goods related documents, and the "waybills" in particular. The third team was mandated to "prepare an inventory of [all] other documents used during transport / other information requirements by authorities (e.g. on vehicles, drivers, etc.) and look into their possible digitalisation." (See Mandate of the subgroup on electronic transport documents of the Digital Transport and Logistics Forum, available at: http://www.dtlf.eu/sites/default/files/public/uploads/fields/page/field_file/mandate_for_sub-group_-_e-transport_docs_-_final.pdf)</w:t>
      </w:r>
    </w:p>
  </w:footnote>
  <w:footnote w:id="4">
    <w:p>
      <w:pPr>
        <w:autoSpaceDE w:val="0"/>
        <w:autoSpaceDN w:val="0"/>
        <w:adjustRightInd w:val="0"/>
        <w:spacing w:after="0" w:line="240" w:lineRule="auto"/>
        <w:rPr>
          <w:rFonts w:ascii="Times New Roman" w:hAnsi="Times New Roman" w:cs="Times New Roman"/>
          <w:sz w:val="18"/>
          <w:szCs w:val="18"/>
          <w:lang w:val="pt-PT"/>
        </w:rPr>
      </w:pPr>
      <w:r>
        <w:rPr>
          <w:rStyle w:val="FootnoteReference"/>
          <w:rFonts w:ascii="Times New Roman" w:hAnsi="Times New Roman" w:cs="Times New Roman"/>
          <w:sz w:val="18"/>
          <w:szCs w:val="18"/>
        </w:rPr>
        <w:footnoteRef/>
      </w:r>
      <w:r>
        <w:rPr>
          <w:rFonts w:ascii="Times New Roman" w:hAnsi="Times New Roman" w:cs="Times New Roman"/>
          <w:sz w:val="18"/>
          <w:szCs w:val="18"/>
          <w:lang w:val="pt-PT"/>
        </w:rPr>
        <w:t xml:space="preserve"> </w:t>
      </w:r>
      <w:hyperlink r:id="rId1" w:history="1">
        <w:r>
          <w:rPr>
            <w:rStyle w:val="Hyperlink"/>
            <w:rFonts w:ascii="Times New Roman" w:hAnsi="Times New Roman" w:cs="Times New Roman"/>
            <w:sz w:val="18"/>
            <w:szCs w:val="18"/>
            <w:lang w:val="pt-PT"/>
          </w:rPr>
          <w:t>COM/2011/0144</w:t>
        </w:r>
      </w:hyperlink>
      <w:r>
        <w:rPr>
          <w:rFonts w:ascii="Times New Roman" w:hAnsi="Times New Roman" w:cs="Times New Roman"/>
          <w:sz w:val="18"/>
          <w:szCs w:val="18"/>
          <w:lang w:val="pt-PT"/>
        </w:rPr>
        <w:t>, pp. 13, 19.</w:t>
      </w:r>
    </w:p>
  </w:footnote>
  <w:footnote w:id="5">
    <w:p>
      <w:pPr>
        <w:pStyle w:val="FootnoteText"/>
        <w:spacing w:after="0"/>
        <w:ind w:left="0" w:firstLine="0"/>
        <w:rPr>
          <w:rFonts w:ascii="Times New Roman" w:hAnsi="Times New Roman" w:cs="Times New Roman"/>
          <w:sz w:val="18"/>
          <w:szCs w:val="18"/>
          <w:lang w:val="pt-PT"/>
        </w:rPr>
      </w:pPr>
      <w:r>
        <w:rPr>
          <w:rStyle w:val="FootnoteReference"/>
          <w:rFonts w:ascii="Times New Roman" w:hAnsi="Times New Roman" w:cs="Times New Roman"/>
          <w:sz w:val="18"/>
          <w:szCs w:val="18"/>
        </w:rPr>
        <w:footnoteRef/>
      </w:r>
      <w:r>
        <w:rPr>
          <w:rFonts w:ascii="Times New Roman" w:hAnsi="Times New Roman" w:cs="Times New Roman"/>
          <w:sz w:val="18"/>
          <w:szCs w:val="18"/>
          <w:lang w:val="pt-PT"/>
        </w:rPr>
        <w:t xml:space="preserve"> </w:t>
      </w:r>
      <w:hyperlink r:id="rId2" w:history="1">
        <w:r>
          <w:rPr>
            <w:rStyle w:val="Hyperlink"/>
            <w:rFonts w:ascii="Times New Roman" w:hAnsi="Times New Roman" w:cs="Times New Roman"/>
            <w:sz w:val="18"/>
            <w:szCs w:val="18"/>
            <w:lang w:val="pt-PT"/>
          </w:rPr>
          <w:t>COM(2015) 192</w:t>
        </w:r>
      </w:hyperlink>
      <w:r>
        <w:rPr>
          <w:rFonts w:ascii="Times New Roman" w:hAnsi="Times New Roman" w:cs="Times New Roman"/>
          <w:sz w:val="18"/>
          <w:szCs w:val="18"/>
          <w:lang w:val="pt-PT"/>
        </w:rPr>
        <w:t>, pp. 82-84.</w:t>
      </w:r>
    </w:p>
  </w:footnote>
  <w:footnote w:id="6">
    <w:p>
      <w:pPr>
        <w:pStyle w:val="FootnoteText"/>
        <w:spacing w:after="0"/>
        <w:rPr>
          <w:rFonts w:ascii="Times New Roman" w:hAnsi="Times New Roman" w:cs="Times New Roman"/>
          <w:sz w:val="18"/>
          <w:szCs w:val="18"/>
          <w:lang w:val="pt-PT"/>
        </w:rPr>
      </w:pPr>
      <w:r>
        <w:rPr>
          <w:rStyle w:val="FootnoteReference"/>
          <w:rFonts w:ascii="Times New Roman" w:hAnsi="Times New Roman" w:cs="Times New Roman"/>
          <w:sz w:val="18"/>
          <w:szCs w:val="18"/>
        </w:rPr>
        <w:footnoteRef/>
      </w:r>
      <w:r>
        <w:rPr>
          <w:rFonts w:ascii="Times New Roman" w:hAnsi="Times New Roman" w:cs="Times New Roman"/>
          <w:sz w:val="18"/>
          <w:szCs w:val="18"/>
          <w:lang w:val="pt-PT"/>
        </w:rPr>
        <w:t xml:space="preserve"> COM(2016) 176, p. 11.</w:t>
      </w:r>
    </w:p>
  </w:footnote>
  <w:footnote w:id="7">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3" w:history="1">
        <w:r>
          <w:rPr>
            <w:rStyle w:val="Hyperlink"/>
            <w:rFonts w:ascii="Times New Roman" w:hAnsi="Times New Roman" w:cs="Times New Roman"/>
            <w:sz w:val="18"/>
            <w:szCs w:val="18"/>
          </w:rPr>
          <w:t>COM(2016) 179</w:t>
        </w:r>
      </w:hyperlink>
      <w:r>
        <w:rPr>
          <w:rFonts w:ascii="Times New Roman" w:hAnsi="Times New Roman" w:cs="Times New Roman"/>
          <w:sz w:val="18"/>
          <w:szCs w:val="18"/>
        </w:rPr>
        <w:t>, p. 8.</w:t>
      </w:r>
    </w:p>
  </w:footnote>
  <w:footnote w:id="8">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w:t>
      </w:r>
      <w:hyperlink r:id="rId4" w:history="1">
        <w:r>
          <w:rPr>
            <w:rStyle w:val="Hyperlink"/>
            <w:rFonts w:ascii="Times New Roman" w:hAnsi="Times New Roman" w:cs="Times New Roman"/>
            <w:sz w:val="18"/>
            <w:szCs w:val="18"/>
          </w:rPr>
          <w:t>DTLF</w:t>
        </w:r>
      </w:hyperlink>
      <w:r>
        <w:rPr>
          <w:rStyle w:val="Hyperlink"/>
          <w:rFonts w:ascii="Times New Roman" w:hAnsi="Times New Roman" w:cs="Times New Roman"/>
          <w:sz w:val="18"/>
          <w:szCs w:val="18"/>
        </w:rPr>
        <w:t xml:space="preserve"> </w:t>
      </w:r>
      <w:r>
        <w:rPr>
          <w:rFonts w:ascii="Times New Roman" w:hAnsi="Times New Roman" w:cs="Times New Roman"/>
          <w:sz w:val="18"/>
          <w:szCs w:val="18"/>
        </w:rPr>
        <w:t xml:space="preserve">was set up by the Commission in April 2015 (Decision C(2015)2259), to provide a platform where Member States and relevant transport and logistics stakeholders can exchange technical knowledge, cooperate and coordinate with a view to support measures aimed at promoting efficient electronic exchange of information in transport and logistics. </w:t>
      </w:r>
    </w:p>
  </w:footnote>
  <w:footnote w:id="9">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w:t>
      </w:r>
      <w:hyperlink r:id="rId5" w:history="1">
        <w:r>
          <w:rPr>
            <w:rStyle w:val="Hyperlink"/>
            <w:rFonts w:ascii="Times New Roman" w:hAnsi="Times New Roman" w:cs="Times New Roman"/>
            <w:sz w:val="18"/>
            <w:szCs w:val="18"/>
          </w:rPr>
          <w:t>Tallinn Declaration on eGovernment</w:t>
        </w:r>
      </w:hyperlink>
      <w:r>
        <w:rPr>
          <w:rFonts w:ascii="Times New Roman" w:hAnsi="Times New Roman" w:cs="Times New Roman"/>
          <w:sz w:val="18"/>
          <w:szCs w:val="18"/>
        </w:rPr>
        <w:t xml:space="preserve"> was signed at the ministerial meeting during Estonian Presidency of the Council of the EU on 6 October 2017.</w:t>
      </w:r>
    </w:p>
  </w:footnote>
  <w:footnote w:id="10">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https://ec.europa.eu/isa2/eif_en</w:t>
      </w:r>
    </w:p>
  </w:footnote>
  <w:footnote w:id="11">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Digital Transport Days Declaration was signed in Tallinn on 10 November 2017 and is available at https://ec.europa.eu/transport/modes/road/news/2017-11-10-digital-transport-days-declaration_en</w:t>
      </w:r>
    </w:p>
  </w:footnote>
  <w:footnote w:id="12">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P8_TA(2017)0228 </w:t>
      </w:r>
    </w:p>
  </w:footnote>
  <w:footnote w:id="13">
    <w:p>
      <w:pPr>
        <w:pStyle w:val="FootnoteText"/>
        <w:spacing w:after="0"/>
        <w:ind w:left="0" w:firstLine="0"/>
        <w:jc w:val="lef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Council Conclusions on the digitalisation of transport, 15050/17, 05/12/2017.</w:t>
      </w:r>
    </w:p>
  </w:footnote>
  <w:footnote w:id="14">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European Parliament resolution </w:t>
      </w:r>
      <w:hyperlink r:id="rId6" w:history="1">
        <w:r>
          <w:rPr>
            <w:rStyle w:val="Hyperlink"/>
            <w:rFonts w:ascii="Times New Roman" w:hAnsi="Times New Roman" w:cs="Times New Roman"/>
            <w:sz w:val="18"/>
            <w:szCs w:val="18"/>
          </w:rPr>
          <w:t>2017/2545(RSP</w:t>
        </w:r>
      </w:hyperlink>
      <w:r>
        <w:rPr>
          <w:rFonts w:ascii="Times New Roman" w:hAnsi="Times New Roman" w:cs="Times New Roman"/>
          <w:sz w:val="18"/>
          <w:szCs w:val="18"/>
        </w:rPr>
        <w:t>) of 18 May 2017 on road transport in the EU.</w:t>
      </w:r>
    </w:p>
  </w:footnote>
  <w:footnote w:id="15">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Regulation (EU) No 910/2014 on electronic identification and trust services for electronic transactions in the internal market and repealing Directive 1999/93/EC,</w:t>
      </w:r>
    </w:p>
  </w:footnote>
  <w:footnote w:id="16">
    <w:p>
      <w:pPr>
        <w:pStyle w:val="FootnoteText"/>
        <w:spacing w:after="0"/>
        <w:ind w:left="0" w:firstLine="0"/>
      </w:pPr>
      <w:r>
        <w:rPr>
          <w:rStyle w:val="FootnoteReference"/>
        </w:rPr>
        <w:footnoteRef/>
      </w:r>
      <w:r>
        <w:rPr>
          <w:rFonts w:ascii="Times New Roman" w:hAnsi="Times New Roman" w:cs="Times New Roman"/>
          <w:sz w:val="18"/>
          <w:szCs w:val="18"/>
        </w:rPr>
        <w:t xml:space="preserve"> Article 46 of eIDAS states only that "An electronic document shall not be denied legal effect and admissibility in legal proceedings solely on the grounds that it is an electronic documents". That implies however that they could be rejected on any other grounds, such as related to their authenticity or integrity.</w:t>
      </w:r>
    </w:p>
  </w:footnote>
  <w:footnote w:id="17">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UCC allows using electronic transport documents or systems for some customs formalities (e.g.  simplified transit), under the condition that certain data elements are contained, as specified in Annex B of the UCC Delegated and Implementing Act. The RFD concerns a coordination mechanism for harmonising the B2A electronic information reporting a ship is required to do in connection to a port call (e.g. customs formalities, safety/security related information, border control issues, etc.). It contains specific cargo information reporting requirements, but it does not include in its scope specific transport documents (for example the transport contract, the maritime bill of lading). </w:t>
      </w:r>
    </w:p>
  </w:footnote>
  <w:footnote w:id="18">
    <w:p>
      <w:pPr>
        <w:pStyle w:val="FootnoteText"/>
        <w:spacing w:after="0"/>
        <w:ind w:left="0" w:firstLine="0"/>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Cf. Article 91 of the Treaty on the Function of the European Union (TFEU): </w:t>
      </w:r>
      <w:r>
        <w:rPr>
          <w:rFonts w:ascii="Times New Roman" w:eastAsia="Calibri" w:hAnsi="Times New Roman" w:cs="Times New Roman"/>
          <w:sz w:val="18"/>
          <w:szCs w:val="18"/>
        </w:rPr>
        <w:t>“international transport to or from the territory of a Member State or passing across the territory of one or more Member States”</w:t>
      </w:r>
    </w:p>
  </w:footnote>
  <w:footnote w:id="19">
    <w:p>
      <w:pPr>
        <w:pStyle w:val="FootnoteText"/>
        <w:spacing w:after="0"/>
        <w:ind w:left="0" w:firstLine="0"/>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From a regulatory point of view, transport exiting an EU port is taking place outside the EU territory, even if the goods are bound for a destination inside the EU territory, re-entering through another EU port. </w:t>
      </w:r>
    </w:p>
  </w:footnote>
  <w:footnote w:id="20">
    <w:p>
      <w:pPr>
        <w:pStyle w:val="Default"/>
        <w:rPr>
          <w:rFonts w:ascii="Times New Roman" w:hAnsi="Times New Roman" w:cs="Times New Roman"/>
          <w:sz w:val="18"/>
          <w:szCs w:val="18"/>
        </w:rPr>
      </w:pPr>
      <w:r>
        <w:rPr>
          <w:rFonts w:ascii="Times New Roman" w:hAnsi="Times New Roman" w:cs="Times New Roman"/>
          <w:color w:val="auto"/>
          <w:sz w:val="18"/>
          <w:szCs w:val="18"/>
        </w:rPr>
        <w:footnoteRef/>
      </w:r>
      <w:r>
        <w:rPr>
          <w:rFonts w:ascii="Times New Roman" w:hAnsi="Times New Roman" w:cs="Times New Roman"/>
          <w:color w:val="auto"/>
          <w:sz w:val="18"/>
          <w:szCs w:val="18"/>
        </w:rPr>
        <w:t xml:space="preserve"> Cf. Inception Impact Assessment on Reporting formalities for ships (European Maritime Single Window environment), available at </w:t>
      </w:r>
      <w:hyperlink r:id="rId7" w:history="1">
        <w:r>
          <w:rPr>
            <w:rStyle w:val="Hyperlink"/>
            <w:rFonts w:ascii="Times New Roman" w:hAnsi="Times New Roman" w:cs="Times New Roman"/>
            <w:sz w:val="18"/>
            <w:szCs w:val="18"/>
          </w:rPr>
          <w:t>https://ec.europa.eu/info/law/better-regulation/initiatives/ares-2017-3807523_en</w:t>
        </w:r>
      </w:hyperlink>
      <w:r>
        <w:rPr>
          <w:rFonts w:ascii="Times New Roman" w:hAnsi="Times New Roman" w:cs="Times New Roman"/>
          <w:color w:val="auto"/>
          <w:sz w:val="18"/>
          <w:szCs w:val="18"/>
        </w:rPr>
        <w:t>.</w:t>
      </w:r>
    </w:p>
  </w:footnote>
  <w:footnote w:id="21">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Concretely, under the preferred policy option proposed, by prescribing, at a minimum the use of the same data vocabulary for this set of common elements. </w:t>
      </w:r>
    </w:p>
  </w:footnote>
  <w:footnote w:id="22">
    <w:p>
      <w:pPr>
        <w:pStyle w:val="FootnoteText"/>
        <w:spacing w:after="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summary of conclusions of analysis in Table Annex 8.7 in Annex 8.</w:t>
      </w:r>
    </w:p>
  </w:footnote>
  <w:footnote w:id="23">
    <w:p>
      <w:pPr>
        <w:pStyle w:val="FootnoteText"/>
        <w:spacing w:after="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Measured in billion tkm. Source: EU Transport in figures 2017</w:t>
      </w:r>
    </w:p>
  </w:footnote>
  <w:footnote w:id="24">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 description of the baseline scenario (i.e. developments under current trends and policies) is available in Annex 4 of the impact assessment.</w:t>
      </w:r>
    </w:p>
  </w:footnote>
  <w:footnote w:id="25">
    <w:p>
      <w:pPr>
        <w:pStyle w:val="FootnoteText"/>
        <w:spacing w:after="0"/>
        <w:ind w:left="0" w:firstLine="0"/>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More specifically, they require the use of paper documents at one point or another in the course of the transport operation. In other words, only 1% of these operations is accompanied by a fully digital information and documentation exchange. However, theis share varies depending on the transport mode. The estimate draws on the Ecorys et al. (2018) impact assessment support study.</w:t>
      </w:r>
    </w:p>
  </w:footnote>
  <w:footnote w:id="26">
    <w:p>
      <w:pPr>
        <w:pStyle w:val="FootnoteText"/>
        <w:spacing w:after="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overview provided in Ecorys et al. (2018) impact assessment support study.</w:t>
      </w:r>
    </w:p>
  </w:footnote>
  <w:footnote w:id="27">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the discussions, most recently, in the framework of the Digital Transport Days, Tallinn, 8-10 November 2017. Summary of proceedings and concluding Declaration available at: http://digitaltransportdays.eu/doc.html</w:t>
      </w:r>
    </w:p>
  </w:footnote>
  <w:footnote w:id="28">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DTLF draft report on ' Paperless Transport'. The report is planned to be adopted at the last plenary meeting of DTLF, foreseen for June 2018.</w:t>
      </w:r>
    </w:p>
  </w:footnote>
  <w:footnote w:id="29">
    <w:p>
      <w:pPr>
        <w:pStyle w:val="FootnoteText"/>
        <w:spacing w:after="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Overview provided in section 2 and Annex I of the Ecorys et al. (2018) impact assessment support study.</w:t>
      </w:r>
    </w:p>
  </w:footnote>
  <w:footnote w:id="30">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Interventions of IATA, Head of Digital Cargo and, respectively, Raildata Technical Expert, during stakeholder consultation workshops on 05/12/2017 and 16/01/2018. See also, more generally, minutes of DTLF expert group meetings.</w:t>
      </w:r>
    </w:p>
  </w:footnote>
  <w:footnote w:id="31">
    <w:p>
      <w:pPr>
        <w:pStyle w:val="FootnoteText"/>
        <w:spacing w:after="0"/>
        <w:ind w:left="0" w:firstLine="0"/>
        <w:rPr>
          <w:rFonts w:ascii="Times New Roman" w:hAnsi="Times New Roman" w:cs="Times New Roman"/>
          <w:sz w:val="20"/>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electronic representation of the information currently contained in the paper documents does not need to amount to a document format, in the sense of a standardised representation of the data. In that sense, the term “documents” might be misleading. An explanation of the merits in moving away from a documents-centred to a data-centred approach is provided in Annex 8</w:t>
      </w:r>
      <w:r>
        <w:rPr>
          <w:rFonts w:ascii="Times New Roman" w:hAnsi="Times New Roman" w:cs="Times New Roman"/>
          <w:sz w:val="20"/>
        </w:rPr>
        <w:t xml:space="preserve"> </w:t>
      </w:r>
    </w:p>
  </w:footnote>
  <w:footnote w:id="32">
    <w:p>
      <w:pPr>
        <w:pStyle w:val="FootnoteText"/>
        <w:spacing w:after="0"/>
        <w:ind w:left="0" w:firstLine="0"/>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For a summary overview of the situation in all 28 Member States, see Annex 8. For further detailed information by Member State, including the questions included in the surveys, see </w:t>
      </w:r>
      <w:r>
        <w:rPr>
          <w:rFonts w:ascii="Times New Roman" w:hAnsi="Times New Roman" w:cs="Times New Roman"/>
          <w:sz w:val="18"/>
          <w:szCs w:val="18"/>
        </w:rPr>
        <w:t xml:space="preserve">Ecorys et al. (2018) </w:t>
      </w:r>
      <w:r>
        <w:rPr>
          <w:rFonts w:ascii="Times New Roman" w:hAnsi="Times New Roman" w:cs="Times New Roman"/>
          <w:sz w:val="18"/>
        </w:rPr>
        <w:t xml:space="preserve">impact assessment support study. </w:t>
      </w:r>
    </w:p>
  </w:footnote>
  <w:footnote w:id="33">
    <w:p>
      <w:pPr>
        <w:pStyle w:val="FootnoteText"/>
        <w:spacing w:after="0"/>
        <w:ind w:left="0" w:firstLine="0"/>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In France, to address the issue of different requirements for the inspection of the cargo and transport documents by the (no less than 11) different national authorities, the national industry associations initiated a DTLF mirror-group, with the participation of the authorities concerned. Cf. presentation by TLF (Transport et Logistique France) representative, during stakeholder consultation workshop, Brussels, 17/10/2017. </w:t>
      </w:r>
    </w:p>
  </w:footnote>
  <w:footnote w:id="34">
    <w:p>
      <w:pPr>
        <w:pStyle w:val="FootnoteText"/>
        <w:spacing w:after="0"/>
        <w:ind w:left="0" w:firstLine="0"/>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This conclusion is based mainly on the assessment of the acceptance of the contract of carriage transport documents, though the other cargo documents are also concerned, but to a more limited extent. The contracts of carriage transport documents are the main documents most often used (and requested by authorities) for purposes of proving regulatory compliance. </w:t>
      </w:r>
    </w:p>
  </w:footnote>
  <w:footnote w:id="35">
    <w:p>
      <w:pPr>
        <w:pStyle w:val="FootnoteText"/>
        <w:spacing w:after="0"/>
        <w:ind w:left="0" w:firstLine="0"/>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Intervention by a representative of the French national association of freight forwarders, TLF France, during stakeholder consultation workshop, Brussels, 17/10/2017.</w:t>
      </w:r>
    </w:p>
  </w:footnote>
  <w:footnote w:id="36">
    <w:p>
      <w:pPr>
        <w:pStyle w:val="FootnoteText"/>
        <w:spacing w:after="0"/>
        <w:ind w:left="0" w:firstLine="0"/>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As highlighted during stakeholder consultation workshop, Brussels, 17/10/2017, by a European Barge Union (EBU) representative. The view was confirmed during the targeted interview with CBRB and was also mentioned, in more general terms, in the inland waterways case study conducted by the contractor (see Ecorys et al. impact assessment support study).</w:t>
      </w:r>
    </w:p>
  </w:footnote>
  <w:footnote w:id="37">
    <w:p>
      <w:pPr>
        <w:pStyle w:val="FootnoteText"/>
        <w:spacing w:after="0"/>
        <w:ind w:left="0" w:firstLine="0"/>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As reported by various stakeholders, such as International Road Union (IRU), TLN (Transport &amp; Logiestiek Nederland) and Samskip (Dutch multimodal transport and logistics operator). Italian freight forwarders operators have stated, too, that they use paper documents in all countries where they operate. Cf. Ecorys et al. impact assessment support study.</w:t>
      </w:r>
    </w:p>
  </w:footnote>
  <w:footnote w:id="38">
    <w:p>
      <w:pPr>
        <w:pStyle w:val="FootnoteText"/>
        <w:spacing w:after="0"/>
        <w:ind w:left="0" w:firstLine="0"/>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Commission Regulation EU No 1305/2014 on the technical specification for interoperability relating to the telematics applications for freight subsystem of the rail system in the European Union.</w:t>
      </w:r>
    </w:p>
  </w:footnote>
  <w:footnote w:id="39">
    <w:p>
      <w:pPr>
        <w:pStyle w:val="FootnoteText"/>
        <w:spacing w:after="0"/>
        <w:ind w:left="0" w:firstLine="0"/>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Intervention of the representative of the Belgian rail safety authority during stakeholder consultation workshop, Brussels, 17/10/2017.</w:t>
      </w:r>
    </w:p>
  </w:footnote>
  <w:footnote w:id="40">
    <w:p>
      <w:pPr>
        <w:pStyle w:val="FootnoteText"/>
        <w:spacing w:after="0"/>
        <w:ind w:left="0" w:firstLine="0"/>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Reply to targeted legal survey by German authorities; and confirmed by Raildata representative, intervention during stakeholder consultation workshop, Brussels, 05/12/2017.</w:t>
      </w:r>
    </w:p>
  </w:footnote>
  <w:footnote w:id="41">
    <w:p>
      <w:pPr>
        <w:pStyle w:val="FootnoteText"/>
        <w:spacing w:after="0"/>
        <w:ind w:left="0" w:firstLine="0"/>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Cf. French authorities, </w:t>
      </w:r>
      <w:r>
        <w:rPr>
          <w:rStyle w:val="Strong"/>
          <w:rFonts w:ascii="Times New Roman" w:hAnsi="Times New Roman" w:cs="Times New Roman"/>
          <w:b w:val="0"/>
          <w:sz w:val="18"/>
        </w:rPr>
        <w:t>International Association for the representation of the mutual interests of the inland shipping and the insurance and for keeping the register of inland vessels in Europe</w:t>
      </w:r>
      <w:r>
        <w:rPr>
          <w:rFonts w:ascii="Times New Roman" w:hAnsi="Times New Roman" w:cs="Times New Roman"/>
          <w:sz w:val="18"/>
        </w:rPr>
        <w:t xml:space="preserve"> IVR  (Netherlands), EBU (Belgium).</w:t>
      </w:r>
    </w:p>
  </w:footnote>
  <w:footnote w:id="42">
    <w:p>
      <w:pPr>
        <w:pStyle w:val="FootnoteText"/>
        <w:spacing w:after="0"/>
        <w:ind w:left="0" w:firstLine="0"/>
        <w:rPr>
          <w:rFonts w:ascii="Times New Roman" w:hAnsi="Times New Roman" w:cs="Times New Roman"/>
          <w:sz w:val="20"/>
        </w:rPr>
      </w:pPr>
      <w:r>
        <w:rPr>
          <w:rStyle w:val="FootnoteReference"/>
          <w:rFonts w:ascii="Times New Roman" w:hAnsi="Times New Roman" w:cs="Times New Roman"/>
          <w:sz w:val="18"/>
        </w:rPr>
        <w:footnoteRef/>
      </w:r>
      <w:r>
        <w:rPr>
          <w:rFonts w:ascii="Times New Roman" w:hAnsi="Times New Roman" w:cs="Times New Roman"/>
          <w:sz w:val="18"/>
        </w:rPr>
        <w:t xml:space="preserve"> Information provided by French Ministry of Transport. Cf. Ecorys et al. (2018) impact assessment support study, section 3.4, Draft Minutes of Interview – Organisation affiliation of interviewee Ministère chargé des transports Mission de la flotte de commerce, Direction des affaires maritimes (French Minstry of Transport), 07/12/2017). </w:t>
      </w:r>
    </w:p>
  </w:footnote>
  <w:footnote w:id="43">
    <w:p>
      <w:pPr>
        <w:pStyle w:val="FootnoteText"/>
        <w:spacing w:after="0"/>
        <w:ind w:left="0" w:firstLine="0"/>
        <w:rPr>
          <w:rFonts w:ascii="Times New Roman" w:hAnsi="Times New Roman" w:cs="Times New Roman"/>
          <w:sz w:val="20"/>
        </w:rPr>
      </w:pPr>
      <w:r>
        <w:rPr>
          <w:rStyle w:val="FootnoteReference"/>
          <w:rFonts w:ascii="Times New Roman" w:hAnsi="Times New Roman" w:cs="Times New Roman"/>
          <w:sz w:val="18"/>
        </w:rPr>
        <w:footnoteRef/>
      </w:r>
      <w:r>
        <w:rPr>
          <w:rFonts w:ascii="Times New Roman" w:hAnsi="Times New Roman" w:cs="Times New Roman"/>
          <w:sz w:val="18"/>
        </w:rPr>
        <w:t xml:space="preserve"> For example in Italy, because the contract of carriage by sea can be evidenced only by submitting a manually signed contract, banks will not provide the consignees with the funding necessary to pay for the cargo if they do not receive the signed paper bills of lading. Only upon receipt of the paper bill of lading and of the so-called letter of credit from the consignee, the bank will transfer to the bank of the consignor the sum corresponding to the price of the goods (i.e. the bank will grant a loan to the consignee in order to buy the cargo). As a result, a paper bill of lading is used by the involved operators despite the fact that there are no regulatory controls on the bill of lading during a carriage of goods. </w:t>
      </w:r>
    </w:p>
  </w:footnote>
  <w:footnote w:id="44">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This conclusion is based on the responses received to the legal, and the more general, targeted stakeholder surveys conducted in the context of the impact assessment study, on how inspections are being carried out by the Member States authorities, and not on a legal analysis of Member States’ legislation concerning how inspections should be carried out at national level. The questions included in the surveys can be found in the annex to the impact assessment support study. </w:t>
      </w:r>
    </w:p>
  </w:footnote>
  <w:footnote w:id="45">
    <w:p>
      <w:pPr>
        <w:pStyle w:val="FootnoteText"/>
        <w:spacing w:after="0"/>
        <w:ind w:left="0" w:firstLine="0"/>
        <w:rPr>
          <w:rFonts w:ascii="Times New Roman" w:hAnsi="Times New Roman" w:cs="Times New Roman"/>
          <w:sz w:val="18"/>
          <w:szCs w:val="18"/>
        </w:rPr>
      </w:pPr>
      <w:r>
        <w:rPr>
          <w:rFonts w:ascii="Times New Roman" w:hAnsi="Times New Roman" w:cs="Times New Roman"/>
          <w:sz w:val="18"/>
          <w:szCs w:val="20"/>
        </w:rPr>
        <w:t>A summary overview of different inspection practices in different Member States is provided in Annex 8. Table Annex 8.2 compares how the road consignment note (CMR) is inspected in Germany, France, Italy and Bulgaria and which information is checked by authorities, while table Annex 8.3 shows how the CMR, the AWB, the CIM and the bill of lading are controlled in several EU countries and which information in the transport document is controlled by the Member States’ authorities, including tax and customs authorities.</w:t>
      </w:r>
      <w:r>
        <w:rPr>
          <w:rFonts w:ascii="Times New Roman" w:hAnsi="Times New Roman" w:cs="Times New Roman"/>
          <w:sz w:val="18"/>
          <w:szCs w:val="18"/>
        </w:rPr>
        <w:t>.</w:t>
      </w:r>
    </w:p>
  </w:footnote>
  <w:footnote w:id="46">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In the absence of availability of IT systems developed by the public sector, many authorities do not trust the technical solutions currently proposed by the market. They fear that it is easy to tamper with the information sent via an electronic channel (for example, providing incorrect information on the value of the cargo). Several public authority interviewees indicated that they would like to have several guarantees (e.g. on authenticity, availability and signatory) before trusting the electronic solutions provided to them. (Cf. impact assessment support study.) </w:t>
      </w:r>
    </w:p>
  </w:footnote>
  <w:footnote w:id="47">
    <w:p>
      <w:pPr>
        <w:pStyle w:val="FootnoteText"/>
        <w:spacing w:after="0"/>
        <w:rPr>
          <w:rFonts w:ascii="Times New Roman" w:hAnsi="Times New Roman" w:cs="Times New Roman"/>
          <w:sz w:val="20"/>
        </w:rPr>
      </w:pPr>
      <w:r>
        <w:rPr>
          <w:rStyle w:val="FootnoteReference"/>
          <w:rFonts w:ascii="Times New Roman" w:hAnsi="Times New Roman" w:cs="Times New Roman"/>
          <w:sz w:val="18"/>
        </w:rPr>
        <w:footnoteRef/>
      </w:r>
      <w:r>
        <w:rPr>
          <w:rFonts w:ascii="Times New Roman" w:hAnsi="Times New Roman" w:cs="Times New Roman"/>
          <w:sz w:val="18"/>
        </w:rPr>
        <w:t xml:space="preserve"> Interview with Italian Coast Guard, impact assessment support study, 2018. </w:t>
      </w:r>
    </w:p>
  </w:footnote>
  <w:footnote w:id="48">
    <w:p>
      <w:pPr>
        <w:pStyle w:val="FootnoteText"/>
        <w:spacing w:after="0"/>
        <w:ind w:left="0" w:firstLine="0"/>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As referred by a representative of TLF France during stakeholder consultation workshop, Brussels, 17/10/2017.</w:t>
      </w:r>
    </w:p>
  </w:footnote>
  <w:footnote w:id="49">
    <w:p>
      <w:pPr>
        <w:pStyle w:val="FootnoteText"/>
        <w:spacing w:after="0"/>
        <w:ind w:left="0" w:firstLine="0"/>
        <w:rPr>
          <w:rFonts w:ascii="Times New Roman" w:hAnsi="Times New Roman" w:cs="Times New Roman"/>
          <w:sz w:val="20"/>
          <w:lang w:val="en-US"/>
        </w:rPr>
      </w:pPr>
      <w:r>
        <w:rPr>
          <w:rStyle w:val="FootnoteReference"/>
          <w:rFonts w:ascii="Times New Roman" w:hAnsi="Times New Roman" w:cs="Times New Roman"/>
          <w:sz w:val="18"/>
        </w:rPr>
        <w:footnoteRef/>
      </w:r>
      <w:r>
        <w:rPr>
          <w:rFonts w:ascii="Times New Roman" w:hAnsi="Times New Roman" w:cs="Times New Roman"/>
          <w:sz w:val="18"/>
        </w:rPr>
        <w:t xml:space="preserve"> </w:t>
      </w:r>
      <w:r>
        <w:rPr>
          <w:rFonts w:ascii="Times New Roman" w:hAnsi="Times New Roman" w:cs="Times New Roman"/>
          <w:sz w:val="18"/>
          <w:lang w:val="en-US"/>
        </w:rPr>
        <w:t>Intervention by an external consultant to the Ministry of Transport, Luxembourg, during Stakeholder consultation workshop, Brussels, 17/10/2017.</w:t>
      </w:r>
    </w:p>
  </w:footnote>
  <w:footnote w:id="50">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respondents had to indicate if they print these documents. If they did print these documents, they had to give an indication of the percentage of electronic documents that are printed. For example, 238 respondents to the SME panel answered the question whether, when using electronic transport documents, they also printed them. 77 of these respondents indicated that they printed all transport documents, while 84 answered that they printed some, but not all of them. Only 25 of the respondents indicated that they never printed these documents. The remaining 52 answered that this question was not applicable to them.</w:t>
      </w:r>
    </w:p>
  </w:footnote>
  <w:footnote w:id="51">
    <w:p>
      <w:pPr>
        <w:pStyle w:val="FootnoteText"/>
        <w:spacing w:after="0"/>
        <w:ind w:left="0" w:firstLine="0"/>
      </w:pPr>
      <w:r>
        <w:rPr>
          <w:rStyle w:val="FootnoteReference"/>
        </w:rPr>
        <w:footnoteRef/>
      </w:r>
      <w:r>
        <w:rPr>
          <w:rStyle w:val="FootnoteReference"/>
        </w:rPr>
        <w:t xml:space="preserve"> </w:t>
      </w:r>
      <w:r>
        <w:rPr>
          <w:rFonts w:ascii="Times New Roman" w:hAnsi="Times New Roman" w:cs="Times New Roman"/>
          <w:sz w:val="18"/>
          <w:szCs w:val="18"/>
        </w:rPr>
        <w:t xml:space="preserve">The number of respondents who answered the benefits related questions in the SME panel survey varied between 230 and 250, depending on the specific benefits identified in the different questions. </w:t>
      </w:r>
    </w:p>
  </w:footnote>
  <w:footnote w:id="52">
    <w:p>
      <w:pPr>
        <w:pStyle w:val="FootnoteText"/>
        <w:spacing w:after="0"/>
        <w:ind w:left="0" w:firstLine="0"/>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Cf. estimations in the context of the Ecorys et al. (2018) impact assessment support study.</w:t>
      </w:r>
    </w:p>
  </w:footnote>
  <w:footnote w:id="53">
    <w:p>
      <w:pPr>
        <w:pStyle w:val="FootnoteText"/>
        <w:spacing w:after="0"/>
        <w:ind w:left="0" w:firstLine="0"/>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Various stakeholders interventions during stakeholder consultation workshop, 10/01/2018. See also Ecorys et al. (2018) impact assessment support study. </w:t>
      </w:r>
    </w:p>
  </w:footnote>
  <w:footnote w:id="54">
    <w:p>
      <w:pPr>
        <w:pStyle w:val="FootnoteText"/>
        <w:spacing w:after="0"/>
        <w:ind w:left="0" w:firstLine="0"/>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RIS COMEX, 2016</w:t>
      </w:r>
    </w:p>
  </w:footnote>
  <w:footnote w:id="55">
    <w:p>
      <w:pPr>
        <w:pStyle w:val="FootnoteText"/>
        <w:spacing w:after="0"/>
        <w:ind w:left="0" w:firstLine="0"/>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The case studies show a loss in potential time saving of 10 minutes for each transfer, which translates to approx. EUR 1.5-6. See also Ecorys et al. (2018) impact assessment support study. </w:t>
      </w:r>
    </w:p>
  </w:footnote>
  <w:footnote w:id="56">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analysis in this section is based primarily on the Ecorys et al. (2018) impact assessment support study. Ecorys used both secondary sources of information as well as conducted an extensive legal survey and a number of interviews with legal experts in both the public and private sector. </w:t>
      </w:r>
    </w:p>
  </w:footnote>
  <w:footnote w:id="57">
    <w:p>
      <w:pPr>
        <w:pStyle w:val="FootnoteText"/>
        <w:spacing w:after="0"/>
        <w:ind w:left="0" w:firstLine="0"/>
        <w:rPr>
          <w:rFonts w:ascii="Times New Roman" w:hAnsi="Times New Roman" w:cs="Times New Roman"/>
          <w:sz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Additional Protocol to the Convention on the Contract for the International Carriage of Goods by Road (CMR, Geneva 19 May 1956) concerning the Electronic Consignment Note, Geneva 27 May 2008; Uniform Rules Concerning the Contract of International Carriage of Goods by Rail (CIM) - Appendix B to the Convention concerning International Carriage by Rail (COTIF) 9 June 1999; Convention for the Unification of Certain Rules for International Carriage by Air, Montreal 28 May 1999; United Nations International Convention on the Carriage of Goods by Sea (Hamburg Rules) Hamburg 31 March 1978; Budapest Convention on the Contract for the Carriage of Goods by Inland Waterway (CMNI) Budapest 2000; United Nations Convention on Contracts for the International Carriage of Goods Wholly or Partly by Sea (Rotterdam Rules) 11 December 2008. Attempts thus far to establish a legal regime applicable to multimodal international transport operations have so far failed. The United Nations Convention on</w:t>
      </w:r>
      <w:r>
        <w:rPr>
          <w:rFonts w:ascii="Times New Roman" w:hAnsi="Times New Roman" w:cs="Times New Roman"/>
          <w:sz w:val="20"/>
        </w:rPr>
        <w:t xml:space="preserve"> International </w:t>
      </w:r>
      <w:r>
        <w:rPr>
          <w:rFonts w:ascii="Times New Roman" w:hAnsi="Times New Roman" w:cs="Times New Roman"/>
          <w:sz w:val="18"/>
        </w:rPr>
        <w:t xml:space="preserve">Multimodal Transport of Goods, Geneva, 24 May 1980, has not yet gathered sufficient signatures to entry into force, and there are no signs that it will do so on short to medium term. </w:t>
      </w:r>
    </w:p>
  </w:footnote>
  <w:footnote w:id="58">
    <w:p>
      <w:pPr>
        <w:pStyle w:val="FootnoteText"/>
        <w:spacing w:after="0"/>
        <w:ind w:left="0" w:firstLine="0"/>
        <w:rPr>
          <w:rFonts w:ascii="Times New Roman" w:hAnsi="Times New Roman" w:cs="Times New Roman"/>
          <w:sz w:val="20"/>
        </w:rPr>
      </w:pPr>
      <w:r>
        <w:rPr>
          <w:rStyle w:val="FootnoteReference"/>
          <w:rFonts w:ascii="Times New Roman" w:hAnsi="Times New Roman" w:cs="Times New Roman"/>
          <w:sz w:val="18"/>
        </w:rPr>
        <w:footnoteRef/>
      </w:r>
      <w:r>
        <w:rPr>
          <w:rFonts w:ascii="Times New Roman" w:hAnsi="Times New Roman" w:cs="Times New Roman"/>
          <w:sz w:val="18"/>
        </w:rPr>
        <w:t xml:space="preserve"> Council Regulation No. 11/1960 concerning the abolition of discrimination in transport rates and conditions; Directive 2008/68/EC on the inland transport of dangerous goods; Directive No 2010/65/EU on reporting formalities for ships; Council Directive 92/106/EEC on the establishment of common rules for certain types of combined transport of goods between Member States and, respectively, Proposal No 2017/0290 (COD) for a Directive of the European Parliament and the Council amending Directive 92/106/EEC; Regulation EC No. 1072/2009 on common rules for access to the international road haulage market and, respectively, Proposal No 2017/0123 (COD) for a Regulation of the European Parliament and the Council amending Regulation EC No. 1072/2009; Commission Implementing Regulation 2015/1998 laying down detailed measures for the implementation of the common basic standards on aviation security; Directive 2005/44/EC on harmonised river information services (RIS) on inland waterways in the Community and Commission Regulation No. 164/2010 on the technical specifications for electronic ship reporting in inland navigation referred to in Article 5 of Directive 2005/44/EC; Commission Regulation EU No 1305/2014 on the technical specification for interoperability relating to the telematics applications for freight subsystem of the rail system in the European Union.</w:t>
      </w:r>
    </w:p>
  </w:footnote>
  <w:footnote w:id="59">
    <w:p>
      <w:pPr>
        <w:spacing w:after="0" w:line="240" w:lineRule="auto"/>
        <w:jc w:val="both"/>
        <w:rPr>
          <w:rFonts w:ascii="Times New Roman" w:hAnsi="Times New Roman" w:cs="Times New Roman"/>
          <w:sz w:val="18"/>
          <w:szCs w:val="20"/>
        </w:rPr>
      </w:pPr>
      <w:r>
        <w:rPr>
          <w:rStyle w:val="FootnoteReference"/>
          <w:rFonts w:ascii="Times New Roman" w:hAnsi="Times New Roman" w:cs="Times New Roman"/>
          <w:sz w:val="18"/>
          <w:szCs w:val="20"/>
        </w:rPr>
        <w:footnoteRef/>
      </w:r>
      <w:r>
        <w:rPr>
          <w:rFonts w:ascii="Times New Roman" w:hAnsi="Times New Roman" w:cs="Times New Roman"/>
          <w:sz w:val="18"/>
          <w:szCs w:val="20"/>
        </w:rPr>
        <w:t xml:space="preserve"> </w:t>
      </w:r>
      <w:r>
        <w:rPr>
          <w:rFonts w:ascii="Times New Roman" w:eastAsia="Times New Roman" w:hAnsi="Times New Roman" w:cs="Times New Roman"/>
          <w:sz w:val="18"/>
          <w:szCs w:val="20"/>
        </w:rPr>
        <w:t>For example, in inland waterways, information concerning dangerous goods is accepted when electronically transmitted, pursuant the RIS Directive provisions, whereas a paper document is required pursuant Regulation No. 11/1960. In rail, only paper documents could be currently accepted by authorities pursuant to EU legislation (pursuant Regulation No.11/1960 and Directive 2008/68/EC), but the electronic exchange of the rail consignment note information is mandated as the</w:t>
      </w:r>
      <w:r>
        <w:rPr>
          <w:rFonts w:ascii="Times New Roman" w:hAnsi="Times New Roman" w:cs="Times New Roman"/>
          <w:sz w:val="18"/>
          <w:szCs w:val="20"/>
          <w:lang w:val="en-US"/>
        </w:rPr>
        <w:t xml:space="preserve"> </w:t>
      </w:r>
      <w:r>
        <w:rPr>
          <w:rFonts w:ascii="Times New Roman" w:eastAsia="Times New Roman" w:hAnsi="Times New Roman" w:cs="Times New Roman"/>
          <w:sz w:val="18"/>
          <w:szCs w:val="20"/>
        </w:rPr>
        <w:t>main form for communication between the commercial parties (pursuant Commission Regulation No. 1305/2014). For road, paper documentation will continue to be required pursuant Regulation No 11/1960, while proposals for the amendment of the Regulation No. 1072/2009 and,</w:t>
      </w:r>
      <w:r>
        <w:rPr>
          <w:rFonts w:ascii="Times New Roman" w:hAnsi="Times New Roman" w:cs="Times New Roman"/>
          <w:sz w:val="18"/>
          <w:szCs w:val="20"/>
          <w:lang w:val="en-US"/>
        </w:rPr>
        <w:t xml:space="preserve"> </w:t>
      </w:r>
      <w:r>
        <w:rPr>
          <w:rFonts w:ascii="Times New Roman" w:eastAsia="Times New Roman" w:hAnsi="Times New Roman" w:cs="Times New Roman"/>
          <w:sz w:val="18"/>
          <w:szCs w:val="20"/>
        </w:rPr>
        <w:t>respectively, Directive 92/106/EEC would require the acceptance of “evidence.. presented or transmitted electronically”. For a more detailed overview, see Table 8.7 in annex 8.</w:t>
      </w:r>
    </w:p>
  </w:footnote>
  <w:footnote w:id="60">
    <w:p>
      <w:pPr>
        <w:pStyle w:val="FootnoteText"/>
        <w:spacing w:after="0"/>
        <w:ind w:left="0" w:firstLine="0"/>
        <w:rPr>
          <w:rFonts w:ascii="Times New Roman" w:hAnsi="Times New Roman" w:cs="Times New Roman"/>
          <w:sz w:val="18"/>
          <w:szCs w:val="20"/>
        </w:rPr>
      </w:pPr>
      <w:r>
        <w:rPr>
          <w:rStyle w:val="FootnoteReference"/>
          <w:rFonts w:ascii="Times New Roman" w:hAnsi="Times New Roman" w:cs="Times New Roman"/>
          <w:sz w:val="18"/>
          <w:szCs w:val="20"/>
        </w:rPr>
        <w:footnoteRef/>
      </w:r>
      <w:r>
        <w:rPr>
          <w:rFonts w:ascii="Times New Roman" w:hAnsi="Times New Roman" w:cs="Times New Roman"/>
          <w:sz w:val="18"/>
          <w:szCs w:val="20"/>
        </w:rPr>
        <w:t xml:space="preserve"> Generally referred to as “the transport document”, the transport contract (or contract of carriage) is, arguably, the document most often used by businesses, and accepted by the Member State authorities, as source of proof (or evidence) when controlling compliance with the EU legislation, as well as for a range of other regulatory purposes regulated by national legislation, and by courts as evidence in legal proceedings.</w:t>
      </w:r>
    </w:p>
  </w:footnote>
  <w:footnote w:id="61">
    <w:p>
      <w:pPr>
        <w:pStyle w:val="FootnoteText"/>
        <w:spacing w:after="0"/>
        <w:ind w:left="0" w:firstLine="0"/>
        <w:rPr>
          <w:rFonts w:ascii="Times New Roman" w:hAnsi="Times New Roman" w:cs="Times New Roman"/>
          <w:sz w:val="18"/>
          <w:szCs w:val="20"/>
        </w:rPr>
      </w:pPr>
      <w:r>
        <w:rPr>
          <w:rStyle w:val="FootnoteReference"/>
          <w:rFonts w:ascii="Times New Roman" w:hAnsi="Times New Roman" w:cs="Times New Roman"/>
          <w:sz w:val="18"/>
          <w:szCs w:val="20"/>
        </w:rPr>
        <w:footnoteRef/>
      </w:r>
      <w:r>
        <w:rPr>
          <w:rFonts w:ascii="Times New Roman" w:hAnsi="Times New Roman" w:cs="Times New Roman"/>
          <w:sz w:val="18"/>
          <w:szCs w:val="20"/>
        </w:rPr>
        <w:t xml:space="preserve"> Based on the information gathered in the context of this impact assessment. For a summary but comprehensive overview of national provisions concerning the validity of transport contracts, see Annex 8. For further details see </w:t>
      </w:r>
      <w:r>
        <w:rPr>
          <w:rFonts w:ascii="Times New Roman" w:hAnsi="Times New Roman" w:cs="Times New Roman"/>
          <w:sz w:val="18"/>
        </w:rPr>
        <w:t>Cf. Ecorys et al. (2018) impact assessment support study</w:t>
      </w:r>
      <w:r>
        <w:rPr>
          <w:rFonts w:ascii="Times New Roman" w:hAnsi="Times New Roman" w:cs="Times New Roman"/>
          <w:sz w:val="18"/>
          <w:szCs w:val="20"/>
        </w:rPr>
        <w:t xml:space="preserve">.  </w:t>
      </w:r>
    </w:p>
  </w:footnote>
  <w:footnote w:id="62">
    <w:p>
      <w:pPr>
        <w:pStyle w:val="FootnoteText"/>
        <w:spacing w:after="0"/>
        <w:ind w:left="0" w:firstLine="0"/>
        <w:rPr>
          <w:rFonts w:ascii="Times New Roman" w:hAnsi="Times New Roman" w:cs="Times New Roman"/>
          <w:sz w:val="18"/>
          <w:szCs w:val="20"/>
          <w:highlight w:val="yellow"/>
        </w:rPr>
      </w:pPr>
      <w:r>
        <w:rPr>
          <w:rStyle w:val="FootnoteReference"/>
          <w:rFonts w:ascii="Times New Roman" w:hAnsi="Times New Roman" w:cs="Times New Roman"/>
          <w:sz w:val="18"/>
          <w:szCs w:val="20"/>
        </w:rPr>
        <w:footnoteRef/>
      </w:r>
      <w:r>
        <w:rPr>
          <w:rFonts w:ascii="Times New Roman" w:hAnsi="Times New Roman" w:cs="Times New Roman"/>
          <w:sz w:val="18"/>
          <w:szCs w:val="20"/>
        </w:rPr>
        <w:t xml:space="preserve"> For example , in France according to a 1999 decree amended on 06/12/2017, the road consignment notes can be established in electronic version provided that these documents can be transmitted or communicated in if complying to certain specified conditions. </w:t>
      </w:r>
    </w:p>
  </w:footnote>
  <w:footnote w:id="63">
    <w:p>
      <w:pPr>
        <w:pStyle w:val="FootnoteText"/>
        <w:spacing w:after="0"/>
        <w:ind w:left="0" w:firstLine="0"/>
        <w:rPr>
          <w:rFonts w:ascii="Times New Roman" w:hAnsi="Times New Roman" w:cs="Times New Roman"/>
          <w:sz w:val="18"/>
          <w:szCs w:val="20"/>
        </w:rPr>
      </w:pPr>
      <w:r>
        <w:rPr>
          <w:rStyle w:val="FootnoteReference"/>
          <w:rFonts w:ascii="Times New Roman" w:hAnsi="Times New Roman" w:cs="Times New Roman"/>
          <w:sz w:val="18"/>
          <w:szCs w:val="20"/>
        </w:rPr>
        <w:footnoteRef/>
      </w:r>
      <w:r>
        <w:rPr>
          <w:rFonts w:ascii="Times New Roman" w:hAnsi="Times New Roman" w:cs="Times New Roman"/>
          <w:sz w:val="18"/>
          <w:szCs w:val="20"/>
        </w:rPr>
        <w:t xml:space="preserve"> For example  Latvia, Romania. </w:t>
      </w:r>
    </w:p>
  </w:footnote>
  <w:footnote w:id="64">
    <w:p>
      <w:pPr>
        <w:pStyle w:val="FootnoteText"/>
        <w:spacing w:after="0"/>
        <w:ind w:left="0" w:firstLine="0"/>
        <w:rPr>
          <w:rFonts w:ascii="Times New Roman" w:hAnsi="Times New Roman" w:cs="Times New Roman"/>
          <w:sz w:val="18"/>
          <w:szCs w:val="20"/>
        </w:rPr>
      </w:pPr>
      <w:r>
        <w:rPr>
          <w:rStyle w:val="FootnoteReference"/>
          <w:rFonts w:ascii="Times New Roman" w:hAnsi="Times New Roman" w:cs="Times New Roman"/>
          <w:sz w:val="18"/>
          <w:szCs w:val="20"/>
        </w:rPr>
        <w:footnoteRef/>
      </w:r>
      <w:r>
        <w:rPr>
          <w:rFonts w:ascii="Times New Roman" w:hAnsi="Times New Roman" w:cs="Times New Roman"/>
          <w:sz w:val="18"/>
          <w:szCs w:val="20"/>
        </w:rPr>
        <w:t xml:space="preserve"> For example in Netherlands or Sweden. </w:t>
      </w:r>
    </w:p>
  </w:footnote>
  <w:footnote w:id="65">
    <w:p>
      <w:pPr>
        <w:pStyle w:val="FootnoteText"/>
        <w:spacing w:after="0"/>
        <w:ind w:left="0" w:firstLine="0"/>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For </w:t>
      </w:r>
      <w:r>
        <w:rPr>
          <w:rFonts w:ascii="Times New Roman" w:hAnsi="Times New Roman" w:cs="Times New Roman"/>
          <w:sz w:val="18"/>
          <w:szCs w:val="20"/>
        </w:rPr>
        <w:t>example</w:t>
      </w:r>
      <w:r>
        <w:rPr>
          <w:rFonts w:ascii="Times New Roman" w:hAnsi="Times New Roman" w:cs="Times New Roman"/>
          <w:sz w:val="18"/>
        </w:rPr>
        <w:t xml:space="preserve"> in Greece or Italy, where the national law requires that a bill of lading should bear handwritten signatures in order to be valid, meaning only paper bill of ladings can be accepted.</w:t>
      </w:r>
      <w:r>
        <w:rPr>
          <w:rFonts w:ascii="Times New Roman" w:hAnsi="Times New Roman" w:cs="Times New Roman"/>
          <w:sz w:val="18"/>
          <w:highlight w:val="yellow"/>
        </w:rPr>
        <w:t xml:space="preserve"> </w:t>
      </w:r>
    </w:p>
  </w:footnote>
  <w:footnote w:id="66">
    <w:p>
      <w:pPr>
        <w:pStyle w:val="FootnoteText"/>
        <w:spacing w:after="0"/>
        <w:ind w:left="0" w:firstLine="0"/>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For </w:t>
      </w:r>
      <w:r>
        <w:rPr>
          <w:rFonts w:ascii="Times New Roman" w:hAnsi="Times New Roman" w:cs="Times New Roman"/>
          <w:sz w:val="18"/>
          <w:szCs w:val="20"/>
        </w:rPr>
        <w:t>example</w:t>
      </w:r>
      <w:r>
        <w:rPr>
          <w:rFonts w:ascii="Times New Roman" w:hAnsi="Times New Roman" w:cs="Times New Roman"/>
          <w:sz w:val="18"/>
        </w:rPr>
        <w:t>. in Slovenia, where an electronic transport contract is not accepted by other enforcement authorities, but it is accepted by the fiscal authorities, provided it bears an electronic signature</w:t>
      </w:r>
    </w:p>
  </w:footnote>
  <w:footnote w:id="67">
    <w:p>
      <w:pPr>
        <w:pStyle w:val="FootnoteText"/>
        <w:spacing w:after="0"/>
        <w:ind w:left="0" w:firstLine="0"/>
        <w:rPr>
          <w:rFonts w:ascii="Times New Roman" w:hAnsi="Times New Roman" w:cs="Times New Roman"/>
          <w:sz w:val="20"/>
        </w:rPr>
      </w:pPr>
      <w:r>
        <w:rPr>
          <w:rStyle w:val="FootnoteReference"/>
          <w:rFonts w:ascii="Times New Roman" w:hAnsi="Times New Roman" w:cs="Times New Roman"/>
          <w:sz w:val="18"/>
        </w:rPr>
        <w:footnoteRef/>
      </w:r>
      <w:r>
        <w:rPr>
          <w:rFonts w:ascii="Times New Roman" w:hAnsi="Times New Roman" w:cs="Times New Roman"/>
          <w:sz w:val="18"/>
        </w:rPr>
        <w:t xml:space="preserve"> For </w:t>
      </w:r>
      <w:r>
        <w:rPr>
          <w:rFonts w:ascii="Times New Roman" w:hAnsi="Times New Roman" w:cs="Times New Roman"/>
          <w:sz w:val="18"/>
          <w:szCs w:val="20"/>
        </w:rPr>
        <w:t>example</w:t>
      </w:r>
      <w:r>
        <w:rPr>
          <w:rFonts w:ascii="Times New Roman" w:hAnsi="Times New Roman" w:cs="Times New Roman"/>
          <w:sz w:val="18"/>
        </w:rPr>
        <w:t xml:space="preserve"> in Malta or Luxembourg, where the legislation specifically identifies only the electronic air waybill (e-AWB) as admissible evidence.  </w:t>
      </w:r>
    </w:p>
  </w:footnote>
  <w:footnote w:id="68">
    <w:p>
      <w:pPr>
        <w:pStyle w:val="FootnoteText"/>
        <w:spacing w:after="0"/>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For example  in France, Germany, Denmark, Netherlands, Italy, Spain, and Belgium.</w:t>
      </w:r>
    </w:p>
  </w:footnote>
  <w:footnote w:id="69">
    <w:p>
      <w:pPr>
        <w:pStyle w:val="FootnoteText"/>
        <w:spacing w:after="0"/>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For example  in Germany , Belgium, Denmark, France,</w:t>
      </w:r>
    </w:p>
  </w:footnote>
  <w:footnote w:id="70">
    <w:p>
      <w:pPr>
        <w:pStyle w:val="FootnoteText"/>
        <w:spacing w:after="0"/>
        <w:ind w:left="0" w:firstLine="0"/>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This conclusion is based both on information gathered through the targeted legal information gathering in the context of the impact assessment support study. </w:t>
      </w:r>
    </w:p>
  </w:footnote>
  <w:footnote w:id="71">
    <w:p>
      <w:pPr>
        <w:pStyle w:val="FootnoteText"/>
        <w:spacing w:after="0"/>
        <w:ind w:left="0" w:firstLine="0"/>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By the mere fact that paper has been used for centuries as the means of conveyance of information, both legal provisions and established practices provide the authorities with guidance as to how the validity of paper documents could be established.</w:t>
      </w:r>
    </w:p>
  </w:footnote>
  <w:footnote w:id="72">
    <w:p>
      <w:pPr>
        <w:pStyle w:val="FootnoteText"/>
        <w:spacing w:after="0"/>
        <w:ind w:left="0" w:firstLine="0"/>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Council Regulation No. 11/1960; Council Directive 92/106/EEC; Commission Implementing Regulation 2015/1998.</w:t>
      </w:r>
    </w:p>
  </w:footnote>
  <w:footnote w:id="73">
    <w:p>
      <w:pPr>
        <w:pStyle w:val="FootnoteText"/>
        <w:spacing w:after="0"/>
        <w:ind w:left="0" w:firstLine="0"/>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Commission Regulation No. 164/2010.</w:t>
      </w:r>
    </w:p>
  </w:footnote>
  <w:footnote w:id="74">
    <w:p>
      <w:pPr>
        <w:pStyle w:val="FootnoteText"/>
        <w:spacing w:after="0"/>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Regulation EC No. 1072/2009 and proposal No 2017/0123 (COD). Proposal No 2017/0290 (COD).</w:t>
      </w:r>
    </w:p>
  </w:footnote>
  <w:footnote w:id="75">
    <w:p>
      <w:pPr>
        <w:pStyle w:val="FootnoteText"/>
        <w:spacing w:after="0"/>
        <w:ind w:left="0" w:firstLine="0"/>
        <w:rPr>
          <w:rFonts w:ascii="Times New Roman" w:hAnsi="Times New Roman" w:cs="Times New Roman"/>
          <w:sz w:val="18"/>
          <w:szCs w:val="20"/>
        </w:rPr>
      </w:pPr>
      <w:r>
        <w:rPr>
          <w:rStyle w:val="FootnoteReference"/>
          <w:rFonts w:ascii="Times New Roman" w:hAnsi="Times New Roman" w:cs="Times New Roman"/>
          <w:sz w:val="18"/>
        </w:rPr>
        <w:footnoteRef/>
      </w:r>
      <w:r>
        <w:rPr>
          <w:rFonts w:ascii="Times New Roman" w:hAnsi="Times New Roman" w:cs="Times New Roman"/>
          <w:sz w:val="18"/>
        </w:rPr>
        <w:t xml:space="preserve"> Directive 2005/44/EC (dangerous cargo information transmission in inland waterway transport); Commission Regulation EU No 1305/2014 (for exchange of consignment note</w:t>
      </w:r>
      <w:r>
        <w:rPr>
          <w:rFonts w:ascii="Times New Roman" w:hAnsi="Times New Roman" w:cs="Times New Roman"/>
          <w:sz w:val="20"/>
        </w:rPr>
        <w:t xml:space="preserve"> </w:t>
      </w:r>
      <w:r>
        <w:rPr>
          <w:rFonts w:ascii="Times New Roman" w:hAnsi="Times New Roman" w:cs="Times New Roman"/>
          <w:sz w:val="18"/>
        </w:rPr>
        <w:t xml:space="preserve">information, </w:t>
      </w:r>
      <w:r>
        <w:rPr>
          <w:rFonts w:ascii="Times New Roman" w:hAnsi="Times New Roman" w:cs="Times New Roman"/>
          <w:sz w:val="18"/>
          <w:szCs w:val="20"/>
        </w:rPr>
        <w:t>between the</w:t>
      </w:r>
      <w:r>
        <w:rPr>
          <w:rFonts w:ascii="Times New Roman" w:hAnsi="Times New Roman" w:cs="Times New Roman"/>
          <w:sz w:val="20"/>
        </w:rPr>
        <w:t xml:space="preserve"> </w:t>
      </w:r>
      <w:r>
        <w:rPr>
          <w:rFonts w:ascii="Times New Roman" w:hAnsi="Times New Roman" w:cs="Times New Roman"/>
          <w:sz w:val="18"/>
          <w:szCs w:val="20"/>
        </w:rPr>
        <w:t>private undertakings only, in rail); Commission Implementing Regulation (EU) 2015/2447 and Commission Delegated Regulation EU) 2015/2446 (transport data elements for customs formalities).</w:t>
      </w:r>
    </w:p>
  </w:footnote>
  <w:footnote w:id="76">
    <w:p>
      <w:pPr>
        <w:pStyle w:val="FootnoteText"/>
        <w:spacing w:after="0"/>
        <w:ind w:left="0" w:firstLine="0"/>
        <w:rPr>
          <w:rFonts w:ascii="Times New Roman" w:hAnsi="Times New Roman" w:cs="Times New Roman"/>
          <w:sz w:val="18"/>
          <w:szCs w:val="20"/>
        </w:rPr>
      </w:pPr>
      <w:r>
        <w:rPr>
          <w:rStyle w:val="FootnoteReference"/>
          <w:rFonts w:ascii="Times New Roman" w:hAnsi="Times New Roman" w:cs="Times New Roman"/>
          <w:sz w:val="18"/>
          <w:szCs w:val="20"/>
        </w:rPr>
        <w:footnoteRef/>
      </w:r>
      <w:r>
        <w:rPr>
          <w:rFonts w:ascii="Times New Roman" w:hAnsi="Times New Roman" w:cs="Times New Roman"/>
          <w:sz w:val="18"/>
          <w:szCs w:val="20"/>
        </w:rPr>
        <w:t xml:space="preserve"> For example in France. According to Article 1366 of the Civil Code, in France an electronic document could not be refused by a court only because it is in electronic form. However, the law further specifies, the probative value of the document could be questioned if the identification of the persons referred in the document and / or the integrity of the documents could not be guaranteed.</w:t>
      </w:r>
    </w:p>
  </w:footnote>
  <w:footnote w:id="77">
    <w:p>
      <w:pPr>
        <w:pStyle w:val="FootnoteText"/>
        <w:spacing w:after="0"/>
        <w:ind w:left="0" w:firstLine="0"/>
        <w:rPr>
          <w:rFonts w:ascii="Times New Roman" w:hAnsi="Times New Roman" w:cs="Times New Roman"/>
          <w:sz w:val="18"/>
          <w:szCs w:val="20"/>
        </w:rPr>
      </w:pPr>
      <w:r>
        <w:rPr>
          <w:rStyle w:val="FootnoteReference"/>
          <w:rFonts w:ascii="Times New Roman" w:hAnsi="Times New Roman" w:cs="Times New Roman"/>
          <w:sz w:val="18"/>
          <w:szCs w:val="20"/>
        </w:rPr>
        <w:footnoteRef/>
      </w:r>
      <w:r>
        <w:rPr>
          <w:rFonts w:ascii="Times New Roman" w:hAnsi="Times New Roman" w:cs="Times New Roman"/>
          <w:sz w:val="18"/>
          <w:szCs w:val="20"/>
        </w:rPr>
        <w:t xml:space="preserve"> For example  in Lithuania, Poland, Hungary or France. </w:t>
      </w:r>
    </w:p>
  </w:footnote>
  <w:footnote w:id="78">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As opposed to paper, which can be exchanged between and read by any number of parties without particular requirements, apart perhaps agreed templates for the presentation of the information, the exchange of information/documentation in electronic form implies both specific equipment, the hardware, and specific means of writing (data encoding), transmission (coding in electronic “envelopes”) and, respectively reading by the other side (decoding) of the information, the software.</w:t>
      </w:r>
    </w:p>
  </w:footnote>
  <w:footnote w:id="79">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Luxembourg, Belgium and the Netherlands have engaged in a 3 year e-CMR Benelux Pilot, starting December 1, 2017. The legal basis for such project is the BENELUX Decision M (2017) 12, published on 25 September 2017). The scope of the Pilot project is limited to transports within BENELUX. Finland is involved in the Mobicarnet project between Finland and Estonia. The purpose of this project is to develop an international application that enables paperless goods transport and that can be linked to the authorities’ data systems. E-CMR in France was officially launched in January 2017 with the first ever border crossing to use electronic consignment notes between Spain and France. The Estonian Single Window Initiative is an ambitious example how various services of different actors and institutions can be integrated in the digital age. Such solutions require a high degree in providing information digitally and it should be remarked that this should go in line (but often conflict) with data privacy. See also Ecorys et al. support study.</w:t>
      </w:r>
    </w:p>
  </w:footnote>
  <w:footnote w:id="80">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Cf. Ecorys et al., 2018.</w:t>
      </w:r>
    </w:p>
  </w:footnote>
  <w:footnote w:id="81">
    <w:p>
      <w:pPr>
        <w:pStyle w:val="FootnoteText"/>
        <w:spacing w:after="0"/>
        <w:ind w:left="0" w:firstLine="0"/>
        <w:rPr>
          <w:rFonts w:ascii="Times New Roman" w:hAnsi="Times New Roman" w:cs="Times New Roman"/>
          <w:sz w:val="20"/>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Cf. Ecorys et al., 2018.</w:t>
      </w:r>
    </w:p>
  </w:footnote>
  <w:footnote w:id="82">
    <w:p>
      <w:pPr>
        <w:pStyle w:val="FootnoteText"/>
        <w:spacing w:after="0"/>
        <w:ind w:left="0" w:firstLine="0"/>
        <w:rPr>
          <w:rFonts w:ascii="Times New Roman" w:hAnsi="Times New Roman" w:cs="Times New Roman"/>
          <w:sz w:val="20"/>
        </w:rPr>
      </w:pPr>
      <w:r>
        <w:rPr>
          <w:rStyle w:val="FootnoteReference"/>
          <w:rFonts w:ascii="Times New Roman" w:hAnsi="Times New Roman" w:cs="Times New Roman"/>
          <w:sz w:val="18"/>
        </w:rPr>
        <w:footnoteRef/>
      </w:r>
      <w:r>
        <w:rPr>
          <w:rFonts w:ascii="Times New Roman" w:hAnsi="Times New Roman" w:cs="Times New Roman"/>
          <w:sz w:val="18"/>
        </w:rPr>
        <w:t xml:space="preserve"> The term solution in this context must be understood as more generic term regarding a software-based system which enables parties to exchange data in the form of a defined electronic document dataset. The definition of this dataset is often standardised; hence such an exchanged dataset is based on a standard.</w:t>
      </w:r>
    </w:p>
  </w:footnote>
  <w:footnote w:id="83">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As highlighted in the textbox above. For a wider overview, see Ecorys et al. (2018) impact assessment support study. </w:t>
      </w:r>
    </w:p>
  </w:footnote>
  <w:footnote w:id="84">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In the railway sector, 12 of the largest EU railway operators are currently using electronic cargo information exchange, The Raildata was established in October 1995, as a special group of the International Union of Railways (UIC), having as mandate the development and production of central information and data exchange systems for European freight rail transport, which established their ORFEUS system. About 80% of the 12 ORFEUS users use the option of accompanying papers, so – although there is a high degree in digital exchange – the number of used paper is still very high. It is likely that other rail freight operators that are not member of Raildata still use paper only. Hence overall it is estimated that the use of electronic transport documents only for rail in Europe is 5-10%. In the air sector, the International Air Transport Association (IATA) formally launched its programme of digitalisation of air transport goods-related documents in 2005. In 2011, it launched its e-air waybill (eAWB) solution, which is implemented via specific bilateral agreements between the member airlines and IATA. IATA members account for more than 83% of total scheduled traffic. By 2017, about 40% of the total AWB issued by the IATA members were eAWB in Europe. By IATA's own expectations this remains low, as it had to revise downwards its penetration targets several years in a row. Since 2017, it has launched the next phase of its paperless programme, which includes the digitisation of all cargo documents used in air transport and their exchange and management processes.  </w:t>
      </w:r>
    </w:p>
  </w:footnote>
  <w:footnote w:id="85">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At least three main commercial solutions for the e-CMR are currently available in Europe, and major transport and logistics companies are also considering developing their own systems. Their use in B2A relations is however distributed geographically – the Danish e-CMR solution of the national road transport association (ITD) is the primary solution used in Denmark, whereas in France and Netherlands, the Transfollow solution, developed by the commercial arm of IRU, appears to confirm to national requirements and promoted by the respective national industry associations (cf. ITD, IRU, TLF – replies to interviews and interventions in the various stakeholder workshops and DTLF meetings and side discussions). In the inland navigation sector, only in the Netherlands, currently five or six business-to-business systems are operable, and two in relations to the administration. In the maritime sector, at least four business-to-administration systems have been identified, providing solutions for businesses to respond to the European national single window requirements, but high visibility pilots like the </w:t>
      </w:r>
      <w:hyperlink r:id="rId8" w:history="1">
        <w:r>
          <w:rPr>
            <w:rStyle w:val="Hyperlink"/>
            <w:rFonts w:ascii="Times New Roman" w:hAnsi="Times New Roman" w:cs="Times New Roman"/>
            <w:sz w:val="18"/>
            <w:szCs w:val="18"/>
          </w:rPr>
          <w:t>Maersk-IBM blockchain</w:t>
        </w:r>
      </w:hyperlink>
      <w:r>
        <w:rPr>
          <w:rFonts w:ascii="Times New Roman" w:hAnsi="Times New Roman" w:cs="Times New Roman"/>
          <w:sz w:val="18"/>
          <w:szCs w:val="18"/>
        </w:rPr>
        <w:t>-based fully paperless export-import transactions indicate that it will not stop there. For a detailed overview, see Ecorys et al. support study.</w:t>
      </w:r>
    </w:p>
  </w:footnote>
  <w:footnote w:id="86">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Both authorities and commercial partners requires, at a minimum, information on the shipper, consignee, the cargo, its value and other cargo-specific characteristics.</w:t>
      </w:r>
    </w:p>
  </w:footnote>
  <w:footnote w:id="87">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Since, as highlighted earlier, much convergences is not expected to occur spontaneously in the timeframe considered under this impact assessment, neither as regards the requirements in the legal basis, nor in the IT solutions market, these costs are estimated as tending to null under the baseline.</w:t>
      </w:r>
    </w:p>
  </w:footnote>
  <w:footnote w:id="88">
    <w:p>
      <w:pPr>
        <w:pStyle w:val="FootnoteText"/>
        <w:spacing w:after="0"/>
        <w:ind w:left="0" w:firstLine="0"/>
        <w:rPr>
          <w:rFonts w:ascii="Times New Roman" w:hAnsi="Times New Roman" w:cs="Times New Roman"/>
        </w:rPr>
      </w:pPr>
      <w:r>
        <w:rPr>
          <w:rStyle w:val="FootnoteReference"/>
          <w:rFonts w:ascii="Times New Roman" w:hAnsi="Times New Roman" w:cs="Times New Roman"/>
          <w:sz w:val="18"/>
        </w:rPr>
        <w:footnoteRef/>
      </w:r>
      <w:r>
        <w:rPr>
          <w:rFonts w:ascii="Times New Roman" w:hAnsi="Times New Roman" w:cs="Times New Roman"/>
          <w:sz w:val="18"/>
        </w:rPr>
        <w:t xml:space="preserve"> Ecorys et al., 2018.</w:t>
      </w:r>
    </w:p>
  </w:footnote>
  <w:footnote w:id="89">
    <w:p>
      <w:pPr>
        <w:pStyle w:val="FootnoteText"/>
        <w:spacing w:after="0"/>
        <w:ind w:left="0" w:firstLine="0"/>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w:t>
      </w:r>
      <w:r>
        <w:rPr>
          <w:rFonts w:ascii="Times New Roman" w:hAnsi="Times New Roman" w:cs="Times New Roman"/>
          <w:sz w:val="18"/>
          <w:szCs w:val="18"/>
        </w:rPr>
        <w:t>Including the framework for the cross border use of eIDs and electronic signatures</w:t>
      </w:r>
      <w:r>
        <w:rPr>
          <w:rFonts w:ascii="Times New Roman" w:hAnsi="Times New Roman" w:cs="Times New Roman"/>
          <w:sz w:val="18"/>
        </w:rPr>
        <w:t xml:space="preserve"> as established by eIDAS.</w:t>
      </w:r>
    </w:p>
  </w:footnote>
  <w:footnote w:id="90">
    <w:p>
      <w:pPr>
        <w:pStyle w:val="FootnoteText"/>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This suggestion has been promoted in particular in the context of the consultation workshops, and voiced primarily by Transport and Logistique France (TLF), including in their position paper on this initiative, of 8 January 2018. TLF is also one of the main initiators, alongside FNTR, another French industy association member of DTLF, of a DTLF France mirror group, having as main objective to ensure the coordination between the French authorities as regards their inspection requirements and practices.  </w:t>
      </w:r>
    </w:p>
  </w:footnote>
  <w:footnote w:id="91">
    <w:p>
      <w:pPr>
        <w:pStyle w:val="FootnoteText"/>
        <w:spacing w:after="0"/>
        <w:ind w:left="0" w:firstLine="0"/>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w:t>
      </w:r>
      <w:r>
        <w:rPr>
          <w:rFonts w:ascii="Times New Roman" w:hAnsi="Times New Roman" w:cs="Times New Roman"/>
          <w:sz w:val="18"/>
        </w:rPr>
        <w:t xml:space="preserve">For example, along some of the TEN-T corridors, as sought to be piloted in the context of the TEN-T corridors policy implementation and the DTLF, or among neighbours, such as Finland and Estonian Mobicarnet project, or the e-CMR Benelux project, as highlighted earlier (see footnote 81). </w:t>
      </w:r>
    </w:p>
  </w:footnote>
  <w:footnote w:id="92">
    <w:p>
      <w:pPr>
        <w:pStyle w:val="FootnoteText"/>
        <w:spacing w:after="0"/>
        <w:ind w:left="0" w:firstLine="0"/>
        <w:rPr>
          <w:rFonts w:ascii="Times New Roman" w:hAnsi="Times New Roman" w:cs="Times New Roman"/>
          <w:sz w:val="20"/>
        </w:rPr>
      </w:pPr>
      <w:r>
        <w:rPr>
          <w:rStyle w:val="FootnoteReference"/>
          <w:rFonts w:ascii="Times New Roman" w:hAnsi="Times New Roman" w:cs="Times New Roman"/>
          <w:sz w:val="18"/>
        </w:rPr>
        <w:footnoteRef/>
      </w:r>
      <w:r>
        <w:rPr>
          <w:rFonts w:ascii="Times New Roman" w:hAnsi="Times New Roman" w:cs="Times New Roman"/>
          <w:sz w:val="18"/>
        </w:rPr>
        <w:t xml:space="preserve"> This measure is without prejudice to national provisions regarding the legal value of the electronic (or electronically concluded) contract. </w:t>
      </w:r>
    </w:p>
  </w:footnote>
  <w:footnote w:id="93">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Point stressed particularly by road transport stakeholders in the context of the different stakeholder workshops, including in the context of the DTLF. Other stakeholder representatives' reactions also indicated that, if the Commission chose to take such a narrower approach, they would not oppose it.  </w:t>
      </w:r>
    </w:p>
  </w:footnote>
  <w:footnote w:id="94">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Cf. replies to the different stakeholder consultation activities. See, in particular, the summary of the stakeholder consultation results, Ecorys et al, 2018, Annex.  </w:t>
      </w:r>
    </w:p>
  </w:footnote>
  <w:footnote w:id="95">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 xml:space="preserve"> </w:t>
      </w:r>
      <w:r>
        <w:rPr>
          <w:rFonts w:ascii="Times New Roman" w:hAnsi="Times New Roman" w:cs="Times New Roman"/>
          <w:sz w:val="18"/>
          <w:szCs w:val="18"/>
        </w:rPr>
        <w:t>The acceptance of electronic transport documents, and waybills in particular", has been identified as one of the main objectives of DTLF subgroup on "electronic documents" – one of the two main thematic working groups it established. In endorsing the continuation of the work of the DTLF on the digitalisation of transport documents, in the frame of the Transport Council Conclusions of 7 December 2017, the Member States singled out, among the "measures to support the more systematic use and acceptance of the e-documents", the ratification of the e-CMR protocol on the electronic road transport contract. This echoed European Parliaments call in its May 2017 resolution, "to speed up the mandatory use… of electronic consignment notes (e-CMR)", in particular. (See full references in subsection 1.2. Political context of this report.)</w:t>
      </w:r>
    </w:p>
  </w:footnote>
  <w:footnote w:id="96">
    <w:p>
      <w:pPr>
        <w:pStyle w:val="FootnoteText"/>
        <w:spacing w:after="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https://ec.europa.eu/info/law/better-regulation/initiatives/ares-2017-2546864_en</w:t>
      </w:r>
    </w:p>
  </w:footnote>
  <w:footnote w:id="97">
    <w:p>
      <w:pPr>
        <w:pStyle w:val="FootnoteText"/>
        <w:spacing w:after="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Cf. IATA for air, and Raildata, CER and CIT representatives for rail. </w:t>
      </w:r>
    </w:p>
  </w:footnote>
  <w:footnote w:id="98">
    <w:p>
      <w:pPr>
        <w:pStyle w:val="FootnoteText"/>
        <w:ind w:left="0" w:firstLine="0"/>
      </w:pPr>
      <w:r>
        <w:rPr>
          <w:rStyle w:val="FootnoteReference"/>
        </w:rPr>
        <w:footnoteRef/>
      </w:r>
      <w:r>
        <w:t xml:space="preserve"> </w:t>
      </w:r>
      <w:r>
        <w:rPr>
          <w:rFonts w:ascii="Times New Roman" w:hAnsi="Times New Roman" w:cs="Times New Roman"/>
          <w:sz w:val="18"/>
          <w:szCs w:val="18"/>
        </w:rPr>
        <w:t>This point has been particularly stressed by industry association representatives. Thus, the feedback papers received during the consultation process from CLECAT, the European freight forwarders’ association, stressed the need that the concept of a document accompanying the goods should be replaced by the concept of exchanging data. The target for the current initiative, therefore, should be to introduce measures to remove remaining barriers top the acceptance of the legal equivalence of digital data. This point was also stressed by the French international forwarders’ association,  TLF, in their position paper on the initiative, and generally supported by the other stakeholders when this point was made in the context of both the stakeholder consultation workshops for this initiative and the meetings of the DTLF working group on electronic transport documents. Member States representatives, such as Denmark, Finland, Estonia, the Netherlands and Sweden, have also stressed the need to move away from thinking in terms of documents towards an information/data-centric approach.</w:t>
      </w:r>
    </w:p>
  </w:footnote>
  <w:footnote w:id="99">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To the extent that a first desk analysis in the context of this impact assessment could reveal.</w:t>
      </w:r>
    </w:p>
  </w:footnote>
  <w:footnote w:id="100">
    <w:p>
      <w:pPr>
        <w:pStyle w:val="FootnoteText"/>
        <w:spacing w:after="0"/>
        <w:ind w:left="0" w:firstLine="0"/>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Any transport contract between the parties could be used, and the larger companies often make use of such contracts, particularly for multimodal transport, for which no international convention exists.</w:t>
      </w:r>
    </w:p>
  </w:footnote>
  <w:footnote w:id="101">
    <w:p>
      <w:pPr>
        <w:pStyle w:val="FootnoteText"/>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Such options would also be in line with, for instance, maritime legislation transposing IMO rules, or the directive on dangerous goods in land transport (Directive 2008/68/EC), which transposed the requirements of the European Agreement(s) concerning the International Carriage of Dangerous Goods by Road, by Rail and by Inland Waterways.</w:t>
      </w:r>
    </w:p>
  </w:footnote>
  <w:footnote w:id="102">
    <w:p>
      <w:pPr>
        <w:pStyle w:val="FootnoteText"/>
        <w:spacing w:after="0"/>
        <w:ind w:left="0" w:firstLine="0"/>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 analysis in this section is based on the Ecorys et al (2018) Impact Assessment Support Study, on modelling performed by the ICCS-E3MLab with the PRIMES-TREMOVE transport model and on the analysis of stakeholders' feedback. References to the sources of specific information and explanations of assumptions underlying various cost and benefits results are further presented in Annex 4. </w:t>
      </w:r>
    </w:p>
  </w:footnote>
  <w:footnote w:id="103">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Using a conservative approach, the uptake of electronic documents is kept constant post-2030 to the levels of 2030.</w:t>
      </w:r>
    </w:p>
  </w:footnote>
  <w:footnote w:id="104">
    <w:p>
      <w:pPr>
        <w:pStyle w:val="FootnoteText"/>
        <w:spacing w:after="0"/>
        <w:ind w:left="0" w:firstLine="0"/>
        <w:rPr>
          <w:rFonts w:ascii="Times New Roman" w:hAnsi="Times New Roman" w:cs="Times New Roman"/>
        </w:rPr>
      </w:pPr>
      <w:r>
        <w:rPr>
          <w:rStyle w:val="FootnoteReference"/>
          <w:rFonts w:ascii="Times New Roman" w:hAnsi="Times New Roman" w:cs="Times New Roman"/>
          <w:sz w:val="18"/>
        </w:rPr>
        <w:footnoteRef/>
      </w:r>
      <w:r>
        <w:rPr>
          <w:rFonts w:ascii="Times New Roman" w:hAnsi="Times New Roman" w:cs="Times New Roman"/>
          <w:sz w:val="18"/>
        </w:rPr>
        <w:t xml:space="preserve"> Under administrative costs, both costs directly related to B2A regulatory information communication and to B2B information exchange have been included. The respondents to the consultation could not distinguish between these costs since, from their perspective, and in their own administration, these costs are fully interrelated.  </w:t>
      </w:r>
    </w:p>
  </w:footnote>
  <w:footnote w:id="105">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They have been derived based on the time saved per shipment for using electronic means, and monetized drawing on the standard cost model. To account for uncertainty, a range is used for the time saved per shipment in the calculations, drawing on desk research and the consultation with the stakeholders in the course of the impact assessment support study.</w:t>
      </w:r>
    </w:p>
  </w:footnote>
  <w:footnote w:id="106">
    <w:p>
      <w:pPr>
        <w:pStyle w:val="FootnoteText"/>
        <w:spacing w:after="0"/>
        <w:ind w:left="0" w:firstLine="0"/>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 impacts have been assessed with the PRIMES-TREMOVE model by ICCS-E3MLab. More explanations about the modelling framework in provided in Annex 4.</w:t>
      </w:r>
    </w:p>
  </w:footnote>
  <w:footnote w:id="107">
    <w:p>
      <w:pPr>
        <w:pStyle w:val="FootnoteText"/>
        <w:spacing w:after="0"/>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Europe’s Digital Progress Report 2017</w:t>
      </w:r>
    </w:p>
  </w:footnote>
  <w:footnote w:id="108">
    <w:p>
      <w:pPr>
        <w:pStyle w:val="FootnoteText"/>
        <w:spacing w:after="0"/>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US"/>
        </w:rPr>
        <w:t>European Commission, 2017 Hungary country report, SWD(2017) 82 final/2</w:t>
      </w:r>
    </w:p>
  </w:footnote>
  <w:footnote w:id="109">
    <w:p>
      <w:pPr>
        <w:pStyle w:val="FootnoteText"/>
        <w:spacing w:after="0"/>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Presentation by the Federal Ministry of Transport and Mobility during the stakeholder workshop on 10 January 2018.</w:t>
      </w:r>
    </w:p>
  </w:footnote>
  <w:footnote w:id="110">
    <w:p>
      <w:pPr>
        <w:pStyle w:val="FootnoteText"/>
        <w:spacing w:after="0"/>
        <w:ind w:left="0" w:firstLine="0"/>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A network of networks of A2A electronic information exchange for road transport related vehicle certificates </w:t>
      </w:r>
      <w:hyperlink r:id="rId9" w:history="1">
        <w:r>
          <w:rPr>
            <w:rStyle w:val="Hyperlink"/>
            <w:rFonts w:ascii="Times New Roman" w:hAnsi="Times New Roman" w:cs="Times New Roman"/>
            <w:sz w:val="16"/>
            <w:szCs w:val="16"/>
          </w:rPr>
          <w:t>https://joinup.ec.europa.eu/document/eucaris-european-car-and-driving-licence-information-system-eucaris-0</w:t>
        </w:r>
      </w:hyperlink>
      <w:r>
        <w:rPr>
          <w:rFonts w:ascii="Times New Roman" w:hAnsi="Times New Roman" w:cs="Times New Roman"/>
          <w:sz w:val="16"/>
          <w:szCs w:val="16"/>
        </w:rPr>
        <w:t xml:space="preserve"> </w:t>
      </w:r>
    </w:p>
  </w:footnote>
  <w:footnote w:id="111">
    <w:p>
      <w:pPr>
        <w:pStyle w:val="FootnoteText"/>
        <w:spacing w:after="0"/>
        <w:ind w:left="0" w:firstLine="0"/>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There is a certain degree of overlap between the administrative costs savings and the reduction in the transport costs for transport operators. However, the degree of overlap is limited. While the administrative costs savings mainly relate to the time saved in the physical management of the paper documents and the equivalent labour costs associate to it, the reduction in the transport costs for transport operators is associated to higher efficiency in the transport operations management.</w:t>
      </w:r>
    </w:p>
  </w:footnote>
  <w:footnote w:id="112">
    <w:p>
      <w:pPr>
        <w:pStyle w:val="FootnoteText"/>
        <w:spacing w:after="0"/>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EEA, National emissions reported to the Convention on Long-range Transboundary Air Pollution (LRTAP Convention).</w:t>
      </w:r>
    </w:p>
  </w:footnote>
  <w:footnote w:id="113">
    <w:p>
      <w:pPr>
        <w:pStyle w:val="FootnoteText"/>
        <w:spacing w:after="0"/>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According to the results of the PRIMES-TREMOVE Transport Model (ICCS-E3MLab).</w:t>
      </w:r>
    </w:p>
  </w:footnote>
  <w:footnote w:id="114">
    <w:p>
      <w:pPr>
        <w:pStyle w:val="FootnoteText"/>
        <w:spacing w:after="0"/>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Calculation based on </w:t>
      </w:r>
      <w:hyperlink r:id="rId10" w:history="1">
        <w:r>
          <w:rPr>
            <w:rStyle w:val="Hyperlink"/>
            <w:rFonts w:ascii="Times New Roman" w:hAnsi="Times New Roman" w:cs="Times New Roman"/>
            <w:sz w:val="16"/>
            <w:szCs w:val="16"/>
          </w:rPr>
          <w:t>http://www.conservatree.org/</w:t>
        </w:r>
      </w:hyperlink>
    </w:p>
  </w:footnote>
  <w:footnote w:id="115">
    <w:p>
      <w:pPr>
        <w:pStyle w:val="FootnoteText"/>
      </w:pPr>
      <w:r>
        <w:rPr>
          <w:rStyle w:val="FootnoteReference"/>
        </w:rPr>
        <w:footnoteRef/>
      </w:r>
      <w:r>
        <w:t xml:space="preserve"> </w:t>
      </w:r>
      <w:r>
        <w:rPr>
          <w:rFonts w:ascii="Times New Roman" w:hAnsi="Times New Roman" w:cs="Times New Roman"/>
          <w:sz w:val="16"/>
          <w:szCs w:val="16"/>
        </w:rPr>
        <w:t xml:space="preserve">For the assessment of the costs levels  positive impact correspond to the reduction in costs </w:t>
      </w:r>
    </w:p>
  </w:footnote>
  <w:footnote w:id="116">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for e.g. ECSA and WSC (maritime), as well as CER (rail) position papers sent in reaction to the IIA. IATA has been actively participating in almost all stakeholder consultation seminars organised, where they have also clearly stated such position.</w:t>
      </w:r>
    </w:p>
  </w:footnote>
  <w:footnote w:id="117">
    <w:p>
      <w:pPr>
        <w:pStyle w:val="FootnoteText"/>
        <w:spacing w:after="0"/>
        <w:ind w:left="0" w:firstLine="0"/>
        <w:rPr>
          <w:rStyle w:val="FootnoteReference"/>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73% of the respondents in an interactive feedback session during the workshop on e-docs in Tallinn required the establishment of standardised technical specifications for sharing data between logistics operators and public administrations. Likewise, the TLF Union proposes the establishment of a single data set at EU level. According to the targeted interviews (source Ecorys et al.) the group of freight forwarders stressed the importance of a common data set enforced through EU legislation. The need for a common data set was also specifically indicated in the position paper of Finland’s government on this initiative.    </w:t>
      </w:r>
      <w:r>
        <w:rPr>
          <w:rStyle w:val="FootnoteReference"/>
          <w:rFonts w:ascii="Times New Roman" w:hAnsi="Times New Roman" w:cs="Times New Roman"/>
          <w:sz w:val="18"/>
          <w:szCs w:val="18"/>
        </w:rPr>
        <w:t xml:space="preserve"> </w:t>
      </w:r>
    </w:p>
  </w:footnote>
  <w:footnote w:id="118">
    <w:p>
      <w:pPr>
        <w:pStyle w:val="FootnoteText"/>
        <w:spacing w:after="0"/>
        <w:ind w:left="0" w:firstLine="0"/>
        <w:rPr>
          <w:rFonts w:ascii="Times New Roman" w:hAnsi="Times New Roman" w:cs="Times New Roman"/>
        </w:rPr>
      </w:pPr>
      <w:r>
        <w:rPr>
          <w:rStyle w:val="FootnoteReference"/>
          <w:rFonts w:ascii="Times New Roman" w:hAnsi="Times New Roman" w:cs="Times New Roman"/>
          <w:sz w:val="18"/>
        </w:rPr>
        <w:footnoteRef/>
      </w:r>
      <w:r>
        <w:rPr>
          <w:rFonts w:ascii="Times New Roman" w:hAnsi="Times New Roman" w:cs="Times New Roman"/>
          <w:sz w:val="18"/>
        </w:rPr>
        <w:t xml:space="preserve"> </w:t>
      </w:r>
      <w:hyperlink r:id="rId11" w:history="1">
        <w:r>
          <w:rPr>
            <w:rStyle w:val="Hyperlink"/>
            <w:rFonts w:ascii="Times New Roman" w:hAnsi="Times New Roman" w:cs="Times New Roman"/>
            <w:sz w:val="18"/>
          </w:rPr>
          <w:t>https://ec.europa.eu/info/law/better-regulation/initiatives/ares-2017-2546864_en</w:t>
        </w:r>
      </w:hyperlink>
    </w:p>
  </w:footnote>
  <w:footnote w:id="119">
    <w:p>
      <w:pPr>
        <w:pStyle w:val="FootnoteText"/>
        <w:spacing w:after="0"/>
        <w:ind w:left="0" w:firstLine="0"/>
        <w:rPr>
          <w:rFonts w:ascii="Times New Roman" w:hAnsi="Times New Roman" w:cs="Times New Roman"/>
          <w:sz w:val="20"/>
        </w:rPr>
      </w:pPr>
      <w:r>
        <w:rPr>
          <w:rStyle w:val="FootnoteReference"/>
          <w:rFonts w:ascii="Times New Roman" w:hAnsi="Times New Roman" w:cs="Times New Roman"/>
          <w:sz w:val="18"/>
        </w:rPr>
        <w:footnoteRef/>
      </w:r>
      <w:r>
        <w:rPr>
          <w:rFonts w:ascii="Times New Roman" w:hAnsi="Times New Roman" w:cs="Times New Roman"/>
          <w:sz w:val="18"/>
        </w:rPr>
        <w:t xml:space="preserve"> </w:t>
      </w:r>
      <w:hyperlink r:id="rId12" w:history="1">
        <w:r>
          <w:rPr>
            <w:rStyle w:val="Hyperlink"/>
            <w:rFonts w:ascii="Times New Roman" w:hAnsi="Times New Roman" w:cs="Times New Roman"/>
            <w:sz w:val="18"/>
          </w:rPr>
          <w:t>https://ec.europa.eu/info/law/better-regulation/initiatives/ares-2017-2546864_en</w:t>
        </w:r>
      </w:hyperlink>
    </w:p>
  </w:footnote>
  <w:footnote w:id="120">
    <w:p>
      <w:pPr>
        <w:pStyle w:val="FootnoteText"/>
        <w:spacing w:after="0"/>
        <w:ind w:left="0" w:firstLine="0"/>
        <w:rPr>
          <w:rFonts w:ascii="Times New Roman" w:hAnsi="Times New Roman" w:cs="Times New Roman"/>
          <w:sz w:val="20"/>
        </w:rPr>
      </w:pPr>
      <w:r>
        <w:rPr>
          <w:rStyle w:val="FootnoteReference"/>
          <w:rFonts w:ascii="Times New Roman" w:hAnsi="Times New Roman" w:cs="Times New Roman"/>
          <w:sz w:val="18"/>
        </w:rPr>
        <w:footnoteRef/>
      </w:r>
      <w:r>
        <w:rPr>
          <w:rFonts w:ascii="Times New Roman" w:hAnsi="Times New Roman" w:cs="Times New Roman"/>
          <w:sz w:val="18"/>
        </w:rPr>
        <w:t xml:space="preserve"> The summary below is based on the responses received to the OPC and SME panel surveys. For a more detailed description of the consultation results, including input received in the context of the interviews and case studies developed by the external consultant, see Ecorys et al., Annex VIII - XI. </w:t>
      </w:r>
    </w:p>
  </w:footnote>
  <w:footnote w:id="121">
    <w:p>
      <w:pPr>
        <w:pStyle w:val="FootnoteText"/>
        <w:spacing w:after="0"/>
        <w:ind w:left="0" w:firstLine="0"/>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More specifically, EU transport legislation according to Chapter VI TFEU, as listed in footnote x in the Report.</w:t>
      </w:r>
    </w:p>
  </w:footnote>
  <w:footnote w:id="122">
    <w:p>
      <w:pPr>
        <w:pStyle w:val="FootnoteText"/>
        <w:spacing w:after="0"/>
        <w:ind w:left="0" w:firstLine="0"/>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More specifically, the authorities have expressed, in particular, concerns related to how to establish whether the information provided electronically is authentic (i.e. it originates from the parties indicated) and that its integrity has been preserved (i.e. it has not been modified by unauthorised parties) and, respectively, that they could have recourse to further (electronically enabled) checks if they have reasons to doubt authenticity or integrity. The private stakeholders, too, have highlighted issues related primarily to protection of commercially sensitive data – from unauthorised use for commercial purposes by other private parties, such as the IT solution providers and, respectively, from indiscriminate access by the authorities, to collect data which goes beyond the specific regulatory information needs. See analysis of stakeholder feed-back in Ecorys et al Annex VIII-XI.</w:t>
      </w:r>
    </w:p>
  </w:footnote>
  <w:footnote w:id="123">
    <w:p>
      <w:pPr>
        <w:pStyle w:val="FootnoteText"/>
        <w:spacing w:after="0"/>
        <w:ind w:left="0" w:firstLine="0"/>
        <w:rPr>
          <w:sz w:val="20"/>
        </w:rPr>
      </w:pPr>
      <w:r>
        <w:rPr>
          <w:rStyle w:val="FootnoteReference"/>
          <w:rFonts w:ascii="Times New Roman" w:hAnsi="Times New Roman" w:cs="Times New Roman"/>
          <w:sz w:val="18"/>
        </w:rPr>
        <w:footnoteRef/>
      </w:r>
      <w:r>
        <w:rPr>
          <w:rFonts w:ascii="Times New Roman" w:hAnsi="Times New Roman" w:cs="Times New Roman"/>
          <w:sz w:val="18"/>
        </w:rPr>
        <w:t xml:space="preserve"> As highlighted earlier in this report, interoperability is the main major concern expressed by all stakeholders, particularly on the industry side. The experience with current efforts to digitalise B2A electronic information exchanges, particularly in the context of the maritime single window (RFD) but also the customs electronic reporting environment (particularly in the case of rail, where the industry's standard, the RailData system for electronic rail data exchange, is currently not accepted, even though the UCC regulation provides the possibility of using an electronic document, or electronic transport system for certain reporting requirements), has rendered the industry to review cautiously new initiatives to digitalise B2A information exchanges. However, many stakeholders also pointed out that imposing too high security requirements for authentication, for example, may backfire, by rendering the solutions/systems too costly, and therefore limiting their uptake. </w:t>
      </w:r>
    </w:p>
  </w:footnote>
  <w:footnote w:id="124">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"Base Public Administration Registries are one of the fundamental pillars of modern eGovernment and public administration, i.e. of the process of digitising public administration. The chief justification for the existence of Base Registries is to provide public servants, institutions of public and municipal administrations, and commercial and other entities with controlled access to information about citizens and relations between citizens and the various entities". Cf. Semantic Interoperability Community (SEMIC) </w:t>
      </w:r>
      <w:hyperlink r:id="rId13" w:history="1">
        <w:r>
          <w:rPr>
            <w:rStyle w:val="Hyperlink"/>
            <w:rFonts w:ascii="Times New Roman" w:hAnsi="Times New Roman" w:cs="Times New Roman"/>
            <w:sz w:val="18"/>
            <w:szCs w:val="18"/>
          </w:rPr>
          <w:t>https://joinup.ec.europa.eu/document/base-registries-universal-database-information</w:t>
        </w:r>
      </w:hyperlink>
      <w:r>
        <w:rPr>
          <w:rFonts w:ascii="Times New Roman" w:hAnsi="Times New Roman" w:cs="Times New Roman"/>
          <w:sz w:val="18"/>
          <w:szCs w:val="18"/>
        </w:rPr>
        <w:t xml:space="preserve"> </w:t>
      </w:r>
    </w:p>
  </w:footnote>
  <w:footnote w:id="125">
    <w:p>
      <w:pPr>
        <w:pStyle w:val="FootnoteText"/>
        <w:spacing w:after="0"/>
        <w:ind w:left="0" w:firstLine="0"/>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Depending on the implementation of the technical solutions, the IT costs of this policy option may significantly vary. The total level of IT costs will be assessed in a separate impact assessment on the implementing act.</w:t>
      </w:r>
    </w:p>
  </w:footnote>
  <w:footnote w:id="126">
    <w:p>
      <w:pPr>
        <w:pStyle w:val="FootnoteText"/>
        <w:spacing w:after="0"/>
        <w:ind w:left="0" w:firstLine="0"/>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Total costs of certification of IT solutions, including one-off and recurrent costs, amount to EUR 17 million, expressed as present value over 2018-2040.</w:t>
      </w:r>
    </w:p>
  </w:footnote>
  <w:footnote w:id="127">
    <w:p>
      <w:pPr>
        <w:pStyle w:val="FootnoteText"/>
        <w:spacing w:after="0"/>
        <w:ind w:left="0" w:firstLine="0"/>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Enforcement costs amount to EUR 251 million, expressed as present value over 2018-2040.</w:t>
      </w:r>
    </w:p>
  </w:footnote>
  <w:footnote w:id="128">
    <w:p>
      <w:pPr>
        <w:pStyle w:val="FootnoteText"/>
        <w:tabs>
          <w:tab w:val="left" w:pos="142"/>
        </w:tabs>
        <w:spacing w:after="0"/>
        <w:ind w:left="0" w:firstLine="0"/>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cs="Times New Roman"/>
          <w:sz w:val="18"/>
          <w:szCs w:val="18"/>
          <w:lang w:val="fr-FR"/>
        </w:rPr>
        <w:t xml:space="preserve"> Source: http://www.e3mlab.ntua.gr/e3mlab/</w:t>
      </w:r>
    </w:p>
  </w:footnote>
  <w:footnote w:id="129">
    <w:p>
      <w:pPr>
        <w:pStyle w:val="FootnoteText"/>
        <w:tabs>
          <w:tab w:val="left" w:pos="142"/>
        </w:tabs>
        <w:spacing w:after="0"/>
        <w:ind w:left="0" w:firstLine="0"/>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cs="Times New Roman"/>
          <w:sz w:val="18"/>
          <w:szCs w:val="18"/>
          <w:lang w:val="fr-FR"/>
        </w:rPr>
        <w:t xml:space="preserve"> Source: </w:t>
      </w:r>
      <w:hyperlink r:id="rId14" w:history="1">
        <w:r>
          <w:rPr>
            <w:rStyle w:val="Hyperlink"/>
            <w:rFonts w:ascii="Times New Roman" w:hAnsi="Times New Roman" w:cs="Times New Roman"/>
            <w:sz w:val="18"/>
            <w:szCs w:val="18"/>
            <w:lang w:val="fr-FR"/>
          </w:rPr>
          <w:t>http://www.tmleuven.be/methode/tremove/home.htm</w:t>
        </w:r>
      </w:hyperlink>
      <w:r>
        <w:rPr>
          <w:rFonts w:ascii="Times New Roman" w:hAnsi="Times New Roman" w:cs="Times New Roman"/>
          <w:sz w:val="18"/>
          <w:szCs w:val="18"/>
          <w:lang w:val="fr-FR"/>
        </w:rPr>
        <w:t xml:space="preserve"> </w:t>
      </w:r>
    </w:p>
  </w:footnote>
  <w:footnote w:id="130">
    <w:p>
      <w:pPr>
        <w:pStyle w:val="FootnoteText"/>
        <w:tabs>
          <w:tab w:val="left" w:pos="142"/>
        </w:tabs>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Several model enhancements were made compared to the standard TREMOVE model, as for example: for the number of vintages (allowing representation of the choice of second-hand cars); for the technology categories which include vehicle types using electricity from the grid and fuel cells. The model also incorporates additional fuel types, such as biofuels (when they differ from standard fossil fuel technologies), LPG and LNG. In addition, representation of infrastructure for refuelling and recharging are among the model refinements, influencing fuel choices. A major model enhancement concerns the inclusion of heterogeneity in the distance of stylised trips; the model considers that the trip distances follow a distribution function with different distances and frequencies. The inclusion of heterogeneity was found to be of significant influence in the choice of vehicle-fuels especially for vehicles-fuels with range limitations.</w:t>
      </w:r>
    </w:p>
  </w:footnote>
  <w:footnote w:id="131">
    <w:p>
      <w:pPr>
        <w:pStyle w:val="FootnoteText"/>
        <w:tabs>
          <w:tab w:val="left" w:pos="142"/>
        </w:tabs>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lang w:val="en" w:eastAsia="en-GB"/>
        </w:rPr>
        <w:t xml:space="preserve">The model can be run either as a stand-alone tool (e.g. for the 2011 White Paper on Transport and for the 2016 Strategy on low-emission mobility) or fully integrated in the rest of the PRIMES energy systems model (e.g. for the </w:t>
      </w:r>
      <w:r>
        <w:rPr>
          <w:rFonts w:ascii="Times New Roman" w:hAnsi="Times New Roman" w:cs="Times New Roman"/>
          <w:sz w:val="18"/>
          <w:szCs w:val="18"/>
        </w:rPr>
        <w:t>Low Carbon Economy and Energy 2050 Roadmaps, for the 2030 policy framework for climate and energy, for the Effort Sharing Regulation, for the review of the Energy Efficiency Directive and for the recast of the Renewables Energy Directive)</w:t>
      </w:r>
      <w:r>
        <w:rPr>
          <w:rFonts w:ascii="Times New Roman" w:hAnsi="Times New Roman" w:cs="Times New Roman"/>
          <w:sz w:val="18"/>
          <w:szCs w:val="18"/>
          <w:lang w:val="en" w:eastAsia="en-GB"/>
        </w:rPr>
        <w:t>. When coupled with PRIMES, interaction with the energy sector is taken into account in an iterative way.</w:t>
      </w:r>
    </w:p>
  </w:footnote>
  <w:footnote w:id="132">
    <w:p>
      <w:pPr>
        <w:pStyle w:val="FootnoteText"/>
        <w:tabs>
          <w:tab w:val="left" w:pos="142"/>
        </w:tabs>
        <w:spacing w:after="0"/>
        <w:ind w:left="0" w:firstLine="0"/>
        <w:jc w:val="left"/>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cs="Times New Roman"/>
          <w:sz w:val="18"/>
          <w:szCs w:val="18"/>
          <w:lang w:val="fr-FR"/>
        </w:rPr>
        <w:t xml:space="preserve"> Source: </w:t>
      </w:r>
      <w:hyperlink r:id="rId15" w:history="1">
        <w:r>
          <w:rPr>
            <w:rStyle w:val="Hyperlink"/>
            <w:rFonts w:ascii="Times New Roman" w:hAnsi="Times New Roman" w:cs="Times New Roman"/>
            <w:sz w:val="18"/>
            <w:szCs w:val="18"/>
            <w:lang w:val="fr-FR"/>
          </w:rPr>
          <w:t>http://ec.europa.eu/clima/policies/strategies/analysis/models/docs/primes_model_2013-2014_en.pdf</w:t>
        </w:r>
      </w:hyperlink>
      <w:r>
        <w:rPr>
          <w:rFonts w:ascii="Times New Roman" w:hAnsi="Times New Roman" w:cs="Times New Roman"/>
          <w:sz w:val="18"/>
          <w:szCs w:val="18"/>
          <w:lang w:val="fr-FR"/>
        </w:rPr>
        <w:t xml:space="preserve">. </w:t>
      </w:r>
    </w:p>
  </w:footnote>
  <w:footnote w:id="133">
    <w:p>
      <w:pPr>
        <w:pStyle w:val="FootnoteText"/>
        <w:tabs>
          <w:tab w:val="left" w:pos="142"/>
        </w:tabs>
        <w:spacing w:after="0"/>
        <w:ind w:left="0" w:firstLine="0"/>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cs="Times New Roman"/>
          <w:sz w:val="18"/>
          <w:szCs w:val="18"/>
          <w:lang w:val="fr-FR"/>
        </w:rPr>
        <w:t xml:space="preserve"> </w:t>
      </w:r>
      <w:hyperlink r:id="rId16" w:history="1">
        <w:r>
          <w:rPr>
            <w:rStyle w:val="Hyperlink"/>
            <w:rFonts w:ascii="Times New Roman" w:hAnsi="Times New Roman" w:cs="Times New Roman"/>
            <w:sz w:val="18"/>
            <w:szCs w:val="18"/>
            <w:lang w:val="fr-FR"/>
          </w:rPr>
          <w:t>https://ec.europa.eu/energy/sites/ener/files/documents/sec_2011_1569_2.pdf</w:t>
        </w:r>
      </w:hyperlink>
      <w:r>
        <w:rPr>
          <w:rFonts w:ascii="Times New Roman" w:hAnsi="Times New Roman" w:cs="Times New Roman"/>
          <w:sz w:val="18"/>
          <w:szCs w:val="18"/>
          <w:lang w:val="fr-FR"/>
        </w:rPr>
        <w:t xml:space="preserve"> </w:t>
      </w:r>
    </w:p>
  </w:footnote>
  <w:footnote w:id="134">
    <w:p>
      <w:pPr>
        <w:pStyle w:val="FootnoteText"/>
        <w:spacing w:after="0"/>
        <w:ind w:left="0" w:firstLine="0"/>
        <w:jc w:val="lef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In addition, amendments to two Directives only adopted in the beginning of 2015 were also considered. This concerns notably the ILUC amendment to the Renewables Directive and the Market Stability Reserve Decision amending the ETS Directive</w:t>
      </w:r>
    </w:p>
  </w:footnote>
  <w:footnote w:id="135">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ICCS-E3MLab et al. (2016), EU Reference Scenario 2016: Energy, transport and GHG emissions - Trends to 2050</w:t>
      </w:r>
    </w:p>
  </w:footnote>
  <w:footnote w:id="136">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SWD(2016) 247</w:t>
      </w:r>
    </w:p>
  </w:footnote>
  <w:footnote w:id="137">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SWD(2016) 405</w:t>
      </w:r>
    </w:p>
  </w:footnote>
  <w:footnote w:id="138">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SWD(2016) 244</w:t>
      </w:r>
    </w:p>
  </w:footnote>
  <w:footnote w:id="139">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European Commission/DG ECFIN (2014), The 2015 Ageing Report: Underlying Assumptions and Projection Methodologies, European Economy 8/2014.</w:t>
      </w:r>
    </w:p>
  </w:footnote>
  <w:footnote w:id="140">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OPEC stands for Organization of Petroleum Exporting Countries.</w:t>
      </w:r>
    </w:p>
  </w:footnote>
  <w:footnote w:id="141">
    <w:p>
      <w:pPr>
        <w:pStyle w:val="FootnoteText"/>
        <w:spacing w:after="0"/>
        <w:ind w:left="0" w:firstLine="0"/>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cs="Times New Roman"/>
          <w:sz w:val="18"/>
          <w:szCs w:val="18"/>
          <w:lang w:val="fr-BE"/>
        </w:rPr>
        <w:t xml:space="preserve"> Source: </w:t>
      </w:r>
      <w:hyperlink r:id="rId17" w:history="1">
        <w:r>
          <w:rPr>
            <w:rStyle w:val="Hyperlink"/>
            <w:rFonts w:ascii="Times New Roman" w:hAnsi="Times New Roman" w:cs="Times New Roman"/>
            <w:sz w:val="18"/>
            <w:szCs w:val="18"/>
            <w:lang w:val="fr-BE"/>
          </w:rPr>
          <w:t>https://ec.europa.eu/clima/sites/clima/files/transport/vehicles/docs/technology_results_web.xlsx</w:t>
        </w:r>
      </w:hyperlink>
      <w:r>
        <w:rPr>
          <w:rFonts w:ascii="Times New Roman" w:hAnsi="Times New Roman" w:cs="Times New Roman"/>
          <w:sz w:val="18"/>
          <w:szCs w:val="18"/>
          <w:lang w:val="fr-BE"/>
        </w:rPr>
        <w:t xml:space="preserve"> </w:t>
      </w:r>
    </w:p>
  </w:footnote>
  <w:footnote w:id="142">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For a comprehensive discussion see the Reference scenario report: “EU Reference Scenario 2016: Energy, transport and GHG emissions - Trends to 2050”</w:t>
      </w:r>
      <w:r>
        <w:rPr>
          <w:rFonts w:ascii="Times New Roman" w:hAnsi="Times New Roman" w:cs="Times New Roman"/>
          <w:sz w:val="18"/>
          <w:szCs w:val="18"/>
          <w:highlight w:val="yellow"/>
        </w:rPr>
        <w:t xml:space="preserve"> </w:t>
      </w:r>
    </w:p>
  </w:footnote>
  <w:footnote w:id="143">
    <w:p>
      <w:pPr>
        <w:pStyle w:val="FootnoteText"/>
        <w:spacing w:after="0"/>
        <w:ind w:left="0" w:firstLine="0"/>
        <w:jc w:val="lef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Awaiting signature of act (Source : </w:t>
      </w:r>
      <w:hyperlink r:id="rId18" w:history="1">
        <w:r>
          <w:rPr>
            <w:rStyle w:val="Hyperlink"/>
            <w:rFonts w:ascii="Times New Roman" w:hAnsi="Times New Roman" w:cs="Times New Roman"/>
            <w:sz w:val="18"/>
            <w:szCs w:val="18"/>
          </w:rPr>
          <w:t>http://www.europarl.europa.eu/oeil/popups/ficheprocedure.do?reference=2013/0157(COD)&amp;l=en)</w:t>
        </w:r>
      </w:hyperlink>
      <w:r>
        <w:rPr>
          <w:rFonts w:ascii="Times New Roman" w:hAnsi="Times New Roman" w:cs="Times New Roman"/>
          <w:sz w:val="18"/>
          <w:szCs w:val="18"/>
        </w:rPr>
        <w:t xml:space="preserve"> </w:t>
      </w:r>
    </w:p>
  </w:footnote>
  <w:footnote w:id="144">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Simulation at individual vehicle level is combined with fleet composition data, retrieved from the official European CO</w:t>
      </w:r>
      <w:r>
        <w:rPr>
          <w:rFonts w:ascii="Times New Roman" w:hAnsi="Times New Roman" w:cs="Times New Roman"/>
          <w:sz w:val="18"/>
          <w:szCs w:val="18"/>
          <w:vertAlign w:val="subscript"/>
        </w:rPr>
        <w:t>2</w:t>
      </w:r>
      <w:r>
        <w:rPr>
          <w:rFonts w:ascii="Times New Roman" w:hAnsi="Times New Roman" w:cs="Times New Roman"/>
          <w:sz w:val="18"/>
          <w:szCs w:val="18"/>
        </w:rPr>
        <w:t xml:space="preserve"> emissions monitoring database, and publicly available data regarding individual vehicle characteristics, in order to calculate vehicle CO</w:t>
      </w:r>
      <w:r>
        <w:rPr>
          <w:rFonts w:ascii="Times New Roman" w:hAnsi="Times New Roman" w:cs="Times New Roman"/>
          <w:sz w:val="18"/>
          <w:szCs w:val="18"/>
          <w:vertAlign w:val="subscript"/>
        </w:rPr>
        <w:t>2</w:t>
      </w:r>
      <w:r>
        <w:rPr>
          <w:rFonts w:ascii="Times New Roman" w:hAnsi="Times New Roman" w:cs="Times New Roman"/>
          <w:sz w:val="18"/>
          <w:szCs w:val="18"/>
        </w:rPr>
        <w:t xml:space="preserve"> emissions and fuel consumption over different conditions. Vehicle CO</w:t>
      </w:r>
      <w:r>
        <w:rPr>
          <w:rFonts w:ascii="Times New Roman" w:hAnsi="Times New Roman" w:cs="Times New Roman"/>
          <w:sz w:val="18"/>
          <w:szCs w:val="18"/>
          <w:vertAlign w:val="subscript"/>
        </w:rPr>
        <w:t>2</w:t>
      </w:r>
      <w:r>
        <w:rPr>
          <w:rFonts w:ascii="Times New Roman" w:hAnsi="Times New Roman" w:cs="Times New Roman"/>
          <w:sz w:val="18"/>
          <w:szCs w:val="18"/>
        </w:rPr>
        <w:t xml:space="preserve"> emissions are initially simulated over the present test protocol (NEDC) for the 2015 passenger car fleet; the accuracy of the method is validated against officially monitored CO</w:t>
      </w:r>
      <w:r>
        <w:rPr>
          <w:rFonts w:ascii="Times New Roman" w:hAnsi="Times New Roman" w:cs="Times New Roman"/>
          <w:sz w:val="18"/>
          <w:szCs w:val="18"/>
          <w:vertAlign w:val="subscript"/>
        </w:rPr>
        <w:t>2</w:t>
      </w:r>
      <w:r>
        <w:rPr>
          <w:rFonts w:ascii="Times New Roman" w:hAnsi="Times New Roman" w:cs="Times New Roman"/>
          <w:sz w:val="18"/>
          <w:szCs w:val="18"/>
        </w:rPr>
        <w:t xml:space="preserve"> values and experimental data.</w:t>
      </w:r>
    </w:p>
  </w:footnote>
  <w:footnote w:id="145">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Projections for international maritime are presented separately and not included in the total freight transport activity to preserve comparability with statistics for the historical period.</w:t>
      </w:r>
    </w:p>
  </w:footnote>
  <w:footnote w:id="146">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Inland navigation covers inland waterways and national maritime. </w:t>
      </w:r>
    </w:p>
  </w:footnote>
  <w:footnote w:id="147">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Including international aviation but excluding international maritime and other transportation. </w:t>
      </w:r>
    </w:p>
  </w:footnote>
  <w:footnote w:id="148">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External costs are expressed in 2013 prices. They cover NOx, PM2.5 and SOx emissions.</w:t>
      </w:r>
    </w:p>
  </w:footnote>
  <w:footnote w:id="149">
    <w:p>
      <w:pPr>
        <w:pStyle w:val="FootnoteText"/>
        <w:spacing w:after="0"/>
        <w:ind w:left="0" w:firstLine="0"/>
        <w:rPr>
          <w:sz w:val="16"/>
          <w:szCs w:val="16"/>
          <w:lang w:val="fr-FR"/>
        </w:rPr>
      </w:pPr>
      <w:r>
        <w:rPr>
          <w:rStyle w:val="FootnoteReference"/>
          <w:rFonts w:ascii="Times New Roman" w:hAnsi="Times New Roman" w:cs="Times New Roman"/>
          <w:sz w:val="18"/>
          <w:szCs w:val="18"/>
        </w:rPr>
        <w:footnoteRef/>
      </w:r>
      <w:r>
        <w:rPr>
          <w:rFonts w:ascii="Times New Roman" w:hAnsi="Times New Roman" w:cs="Times New Roman"/>
          <w:sz w:val="18"/>
          <w:szCs w:val="18"/>
          <w:lang w:val="fr-FR"/>
        </w:rPr>
        <w:t xml:space="preserve"> Source: http://eur-lex.europa.eu/legal-content/EN/TXT/?uri=CELEX:52017SC0180</w:t>
      </w:r>
    </w:p>
  </w:footnote>
  <w:footnote w:id="150">
    <w:p>
      <w:pPr>
        <w:pStyle w:val="FootnoteText"/>
        <w:spacing w:after="0"/>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Presentation by the Federal Ministry of Transport and Mobility during the stakeholder workshop on 10 January 2018.</w:t>
      </w:r>
    </w:p>
  </w:footnote>
  <w:footnote w:id="151">
    <w:p>
      <w:pPr>
        <w:pStyle w:val="FootnoteText"/>
        <w:spacing w:after="0"/>
        <w:ind w:left="0" w:firstLine="0"/>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A network of networks of A2A electronic information exchange for road transport related vehicle certificates </w:t>
      </w:r>
      <w:hyperlink r:id="rId19" w:history="1">
        <w:r>
          <w:rPr>
            <w:rStyle w:val="Hyperlink"/>
            <w:rFonts w:ascii="Times New Roman" w:hAnsi="Times New Roman" w:cs="Times New Roman"/>
            <w:sz w:val="16"/>
            <w:szCs w:val="16"/>
          </w:rPr>
          <w:t>https://joinup.ec.europa.eu/document/eucaris-european-car-and-driving-licence-information-system-eucaris-0</w:t>
        </w:r>
      </w:hyperlink>
      <w:r>
        <w:rPr>
          <w:rFonts w:ascii="Times New Roman" w:hAnsi="Times New Roman" w:cs="Times New Roman"/>
          <w:sz w:val="16"/>
          <w:szCs w:val="16"/>
        </w:rPr>
        <w:t xml:space="preserve"> </w:t>
      </w:r>
    </w:p>
  </w:footnote>
  <w:footnote w:id="152">
    <w:p>
      <w:pPr>
        <w:pStyle w:val="FootnoteText"/>
        <w:spacing w:after="0"/>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Ecorys et al. (2018) Impact Assessment support study</w:t>
      </w:r>
    </w:p>
  </w:footnote>
  <w:footnote w:id="153">
    <w:p>
      <w:pPr>
        <w:pStyle w:val="FootnoteText"/>
        <w:tabs>
          <w:tab w:val="left" w:pos="142"/>
        </w:tabs>
        <w:spacing w:after="0"/>
        <w:ind w:left="142" w:hanging="142"/>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2017 average based on IATA, e-AWB monthly report, December 2017. Annual increase calculated in the period January to December 2017.</w:t>
      </w:r>
    </w:p>
  </w:footnote>
  <w:footnote w:id="154">
    <w:p>
      <w:pPr>
        <w:pStyle w:val="FootnoteText"/>
        <w:spacing w:after="0"/>
        <w:ind w:left="0" w:firstLine="0"/>
        <w:rPr>
          <w:rFonts w:ascii="Times New Roman" w:hAnsi="Times New Roman" w:cs="Times New Roman"/>
          <w:sz w:val="18"/>
          <w:szCs w:val="20"/>
        </w:rPr>
      </w:pPr>
      <w:r>
        <w:rPr>
          <w:rStyle w:val="FootnoteReference"/>
          <w:rFonts w:ascii="Times New Roman" w:hAnsi="Times New Roman" w:cs="Times New Roman"/>
          <w:sz w:val="18"/>
          <w:szCs w:val="20"/>
        </w:rPr>
        <w:footnoteRef/>
      </w:r>
      <w:r>
        <w:rPr>
          <w:rFonts w:ascii="Times New Roman" w:hAnsi="Times New Roman" w:cs="Times New Roman"/>
          <w:sz w:val="18"/>
          <w:szCs w:val="20"/>
        </w:rPr>
        <w:t xml:space="preserve"> </w:t>
      </w:r>
      <w:hyperlink r:id="rId20" w:history="1">
        <w:r>
          <w:rPr>
            <w:rStyle w:val="Hyperlink"/>
            <w:rFonts w:ascii="Times New Roman" w:hAnsi="Times New Roman" w:cs="Times New Roman"/>
            <w:sz w:val="18"/>
            <w:szCs w:val="20"/>
          </w:rPr>
          <w:t>COM/2011/0144</w:t>
        </w:r>
      </w:hyperlink>
      <w:r>
        <w:rPr>
          <w:rFonts w:ascii="Times New Roman" w:hAnsi="Times New Roman" w:cs="Times New Roman"/>
          <w:sz w:val="18"/>
          <w:szCs w:val="20"/>
        </w:rPr>
        <w:t>, pp. 13, 19</w:t>
      </w:r>
    </w:p>
  </w:footnote>
  <w:footnote w:id="155">
    <w:p>
      <w:pPr>
        <w:pStyle w:val="FootnoteText"/>
        <w:spacing w:after="0"/>
        <w:ind w:left="0" w:firstLine="0"/>
        <w:rPr>
          <w:rFonts w:ascii="Times New Roman" w:hAnsi="Times New Roman" w:cs="Times New Roman"/>
          <w:sz w:val="18"/>
          <w:szCs w:val="20"/>
        </w:rPr>
      </w:pPr>
      <w:r>
        <w:rPr>
          <w:rStyle w:val="FootnoteReference"/>
          <w:rFonts w:ascii="Times New Roman" w:hAnsi="Times New Roman" w:cs="Times New Roman"/>
          <w:sz w:val="18"/>
          <w:szCs w:val="20"/>
        </w:rPr>
        <w:footnoteRef/>
      </w:r>
      <w:r>
        <w:rPr>
          <w:rFonts w:ascii="Times New Roman" w:hAnsi="Times New Roman" w:cs="Times New Roman"/>
          <w:sz w:val="18"/>
          <w:szCs w:val="20"/>
        </w:rPr>
        <w:t xml:space="preserve"> European Commission Communication, </w:t>
      </w:r>
      <w:r>
        <w:rPr>
          <w:rFonts w:ascii="Times New Roman" w:hAnsi="Times New Roman" w:cs="Times New Roman"/>
          <w:i/>
          <w:sz w:val="18"/>
          <w:szCs w:val="20"/>
        </w:rPr>
        <w:t>A European Strategy for Low-Emission Mobility</w:t>
      </w:r>
      <w:r>
        <w:rPr>
          <w:rFonts w:ascii="Times New Roman" w:hAnsi="Times New Roman" w:cs="Times New Roman"/>
          <w:sz w:val="18"/>
          <w:szCs w:val="20"/>
        </w:rPr>
        <w:t xml:space="preserve">, COM(2016) 501 final, </w:t>
      </w:r>
    </w:p>
    <w:p>
      <w:pPr>
        <w:pStyle w:val="FootnoteText"/>
        <w:spacing w:after="0"/>
        <w:ind w:left="0" w:firstLine="0"/>
        <w:rPr>
          <w:rFonts w:ascii="Times New Roman" w:hAnsi="Times New Roman" w:cs="Times New Roman"/>
          <w:sz w:val="20"/>
          <w:szCs w:val="20"/>
        </w:rPr>
      </w:pPr>
      <w:hyperlink r:id="rId21" w:history="1">
        <w:r>
          <w:rPr>
            <w:rStyle w:val="Hyperlink"/>
            <w:rFonts w:ascii="Times New Roman" w:hAnsi="Times New Roman" w:cs="Times New Roman"/>
            <w:sz w:val="18"/>
            <w:szCs w:val="20"/>
          </w:rPr>
          <w:t>https://ec.europa.eu/transport/sites/transport/files/themes/strategies/news/doc/2016-07-20-decarbonisation/com%282016%29501_en.pdf</w:t>
        </w:r>
      </w:hyperlink>
      <w:r>
        <w:rPr>
          <w:rFonts w:ascii="Times New Roman" w:hAnsi="Times New Roman" w:cs="Times New Roman"/>
          <w:sz w:val="18"/>
          <w:szCs w:val="20"/>
        </w:rPr>
        <w:t xml:space="preserve"> </w:t>
      </w:r>
    </w:p>
  </w:footnote>
  <w:footnote w:id="156">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22" w:history="1">
        <w:r>
          <w:rPr>
            <w:rStyle w:val="Hyperlink"/>
            <w:rFonts w:ascii="Times New Roman" w:hAnsi="Times New Roman" w:cs="Times New Roman"/>
            <w:sz w:val="18"/>
            <w:szCs w:val="18"/>
          </w:rPr>
          <w:t>COM(2015) 192</w:t>
        </w:r>
      </w:hyperlink>
      <w:r>
        <w:rPr>
          <w:rFonts w:ascii="Times New Roman" w:hAnsi="Times New Roman" w:cs="Times New Roman"/>
          <w:sz w:val="18"/>
          <w:szCs w:val="18"/>
        </w:rPr>
        <w:t>, pp. 82-84.</w:t>
      </w:r>
    </w:p>
  </w:footnote>
  <w:footnote w:id="157">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23" w:history="1">
        <w:r>
          <w:rPr>
            <w:rStyle w:val="Hyperlink"/>
            <w:rFonts w:ascii="Times New Roman" w:hAnsi="Times New Roman" w:cs="Times New Roman"/>
            <w:sz w:val="18"/>
            <w:szCs w:val="18"/>
          </w:rPr>
          <w:t>COM(2016) 179</w:t>
        </w:r>
      </w:hyperlink>
      <w:r>
        <w:rPr>
          <w:rFonts w:ascii="Times New Roman" w:hAnsi="Times New Roman" w:cs="Times New Roman"/>
          <w:sz w:val="18"/>
          <w:szCs w:val="18"/>
        </w:rPr>
        <w:t>, p. 8.</w:t>
      </w:r>
    </w:p>
  </w:footnote>
  <w:footnote w:id="158">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According to </w:t>
      </w:r>
      <w:r>
        <w:rPr>
          <w:rFonts w:ascii="Times New Roman" w:hAnsi="Times New Roman" w:cs="Times New Roman"/>
          <w:color w:val="000000" w:themeColor="text1"/>
          <w:sz w:val="18"/>
          <w:szCs w:val="18"/>
        </w:rPr>
        <w:t xml:space="preserve">the </w:t>
      </w:r>
      <w:r>
        <w:rPr>
          <w:rFonts w:ascii="Times New Roman" w:hAnsi="Times New Roman" w:cs="Times New Roman"/>
          <w:sz w:val="18"/>
          <w:szCs w:val="18"/>
        </w:rPr>
        <w:t xml:space="preserve">World Bank study, about 30% ($107 billion) of the total gain from trade facilitation in 75 analysed countries comes from the improvement in port efficiency and about $33 billion emanates from the improvement in customs environment </w:t>
      </w:r>
      <w:hyperlink r:id="rId24" w:history="1">
        <w:r>
          <w:rPr>
            <w:rStyle w:val="Hyperlink"/>
            <w:rFonts w:ascii="Times New Roman" w:hAnsi="Times New Roman" w:cs="Times New Roman"/>
            <w:sz w:val="18"/>
            <w:szCs w:val="18"/>
          </w:rPr>
          <w:t>http://documents.worldbank.org/curated/en/977511468764990679/pdf/wps3224TRADE.pdf</w:t>
        </w:r>
      </w:hyperlink>
      <w:r>
        <w:rPr>
          <w:rFonts w:ascii="Times New Roman" w:hAnsi="Times New Roman" w:cs="Times New Roman"/>
          <w:sz w:val="18"/>
          <w:szCs w:val="18"/>
        </w:rPr>
        <w:t xml:space="preserve"> </w:t>
      </w:r>
    </w:p>
  </w:footnote>
  <w:footnote w:id="159">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25" w:history="1">
        <w:r>
          <w:rPr>
            <w:rStyle w:val="Hyperlink"/>
            <w:rFonts w:ascii="Times New Roman" w:hAnsi="Times New Roman" w:cs="Times New Roman"/>
            <w:sz w:val="18"/>
            <w:szCs w:val="18"/>
          </w:rPr>
          <w:t>http://www.oecd.org/trade/facilitation/35459690.pdf</w:t>
        </w:r>
      </w:hyperlink>
      <w:r>
        <w:rPr>
          <w:rFonts w:ascii="Times New Roman" w:hAnsi="Times New Roman" w:cs="Times New Roman"/>
          <w:sz w:val="18"/>
          <w:szCs w:val="18"/>
        </w:rPr>
        <w:t xml:space="preserve"> </w:t>
      </w:r>
    </w:p>
  </w:footnote>
  <w:footnote w:id="160">
    <w:p>
      <w:pPr>
        <w:pStyle w:val="FootnoteText"/>
        <w:spacing w:after="0"/>
        <w:ind w:left="0" w:firstLine="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European Commission, </w:t>
      </w:r>
      <w:r>
        <w:rPr>
          <w:rFonts w:ascii="Times New Roman" w:hAnsi="Times New Roman" w:cs="Times New Roman"/>
          <w:i/>
          <w:sz w:val="18"/>
          <w:szCs w:val="18"/>
        </w:rPr>
        <w:t>White paper: Roadmap to a Single European Transport Area</w:t>
      </w:r>
      <w:r>
        <w:rPr>
          <w:rFonts w:ascii="Times New Roman" w:hAnsi="Times New Roman" w:cs="Times New Roman"/>
          <w:sz w:val="18"/>
          <w:szCs w:val="18"/>
        </w:rPr>
        <w:t xml:space="preserve">, COM(2011) 144 final, p. 7, </w:t>
      </w:r>
      <w:hyperlink r:id="rId26" w:history="1">
        <w:r>
          <w:rPr>
            <w:rStyle w:val="Hyperlink"/>
            <w:rFonts w:ascii="Times New Roman" w:hAnsi="Times New Roman" w:cs="Times New Roman"/>
            <w:sz w:val="18"/>
            <w:szCs w:val="18"/>
          </w:rPr>
          <w:t>http://eur-lex.europa.eu/legal-content/EN/TXT/PDF/?uri=CELEX:52011DC0144&amp;from=EN</w:t>
        </w:r>
      </w:hyperlink>
    </w:p>
  </w:footnote>
  <w:footnote w:id="161">
    <w:p>
      <w:pPr>
        <w:pStyle w:val="FootnoteText"/>
        <w:spacing w:after="0"/>
        <w:rPr>
          <w:lang w:val="pt-PT"/>
        </w:rPr>
      </w:pPr>
      <w:r>
        <w:rPr>
          <w:rStyle w:val="FootnoteReference"/>
          <w:rFonts w:ascii="Times New Roman" w:hAnsi="Times New Roman" w:cs="Times New Roman"/>
          <w:sz w:val="18"/>
          <w:szCs w:val="18"/>
        </w:rPr>
        <w:footnoteRef/>
      </w:r>
      <w:r>
        <w:rPr>
          <w:rFonts w:ascii="Times New Roman" w:hAnsi="Times New Roman" w:cs="Times New Roman"/>
          <w:sz w:val="18"/>
          <w:szCs w:val="18"/>
          <w:lang w:val="pt-PT"/>
        </w:rPr>
        <w:t xml:space="preserve"> </w:t>
      </w:r>
      <w:hyperlink r:id="rId27" w:history="1">
        <w:r>
          <w:rPr>
            <w:rStyle w:val="Hyperlink"/>
            <w:rFonts w:ascii="Times New Roman" w:hAnsi="Times New Roman" w:cs="Times New Roman"/>
            <w:sz w:val="18"/>
            <w:szCs w:val="18"/>
            <w:lang w:val="pt-PT"/>
          </w:rPr>
          <w:t>COM(2016) 179</w:t>
        </w:r>
      </w:hyperlink>
    </w:p>
  </w:footnote>
  <w:footnote w:id="162">
    <w:p>
      <w:pPr>
        <w:pStyle w:val="FootnoteText"/>
        <w:spacing w:after="0"/>
        <w:ind w:left="0" w:firstLine="0"/>
        <w:rPr>
          <w:rFonts w:ascii="Times New Roman" w:hAnsi="Times New Roman" w:cs="Times New Roman"/>
          <w:sz w:val="18"/>
          <w:szCs w:val="18"/>
          <w:lang w:val="pt-PT"/>
        </w:rPr>
      </w:pPr>
      <w:r>
        <w:rPr>
          <w:rStyle w:val="FootnoteReference"/>
          <w:rFonts w:ascii="Times New Roman" w:hAnsi="Times New Roman" w:cs="Times New Roman"/>
          <w:sz w:val="18"/>
          <w:szCs w:val="18"/>
        </w:rPr>
        <w:footnoteRef/>
      </w:r>
      <w:r>
        <w:rPr>
          <w:rFonts w:ascii="Times New Roman" w:hAnsi="Times New Roman" w:cs="Times New Roman"/>
          <w:sz w:val="18"/>
          <w:szCs w:val="18"/>
          <w:lang w:val="pt-PT"/>
        </w:rPr>
        <w:t xml:space="preserve"> https://ec.europa.eu/programmes/horizon2020/en/h2020-section/smart-green-and-integrated-transport</w:t>
      </w:r>
    </w:p>
  </w:footnote>
  <w:footnote w:id="163">
    <w:p>
      <w:pPr>
        <w:pStyle w:val="FootnoteText"/>
        <w:spacing w:after="0"/>
        <w:ind w:left="0" w:firstLine="0"/>
        <w:rPr>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lang w:val="en-US"/>
        </w:rPr>
        <w:t>The summary below is based on the description provided in the “New European Interoperability Framework” (2017) brochure.</w:t>
      </w:r>
    </w:p>
  </w:footnote>
  <w:footnote w:id="164">
    <w:p>
      <w:pPr>
        <w:pStyle w:val="FootnoteText"/>
        <w:spacing w:after="0"/>
        <w:ind w:left="0" w:firstLine="0"/>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lang w:val="en-US"/>
        </w:rPr>
        <w:t>As revised and updated by COM(2017) 134 final, and detailed in “New European Interoperability Framework” (2017) brochure.</w:t>
      </w:r>
    </w:p>
  </w:footnote>
  <w:footnote w:id="165">
    <w:p>
      <w:pPr>
        <w:pStyle w:val="FootnoteText"/>
        <w:spacing w:after="0"/>
      </w:pPr>
      <w:r>
        <w:rPr>
          <w:rStyle w:val="FootnoteReference"/>
        </w:rPr>
        <w:footnoteRef/>
      </w:r>
      <w:r>
        <w:t xml:space="preserve"> </w:t>
      </w:r>
      <w:r>
        <w:rPr>
          <w:rFonts w:ascii="Times New Roman" w:hAnsi="Times New Roman" w:cs="Times New Roman"/>
          <w:sz w:val="18"/>
          <w:szCs w:val="18"/>
          <w:lang w:val="en-US"/>
        </w:rPr>
        <w:t>Through the interoperability programmes ISA and ISA2 (</w:t>
      </w:r>
      <w:hyperlink r:id="rId28" w:history="1">
        <w:r>
          <w:rPr>
            <w:rStyle w:val="Hyperlink"/>
            <w:rFonts w:ascii="Times New Roman" w:hAnsi="Times New Roman" w:cs="Times New Roman"/>
            <w:sz w:val="18"/>
            <w:szCs w:val="18"/>
            <w:lang w:val="en-US"/>
          </w:rPr>
          <w:t>https://ec.europa.eu/isa2/home_en</w:t>
        </w:r>
      </w:hyperlink>
      <w:r>
        <w:rPr>
          <w:rFonts w:ascii="Times New Roman" w:hAnsi="Times New Roman" w:cs="Times New Roman"/>
          <w:sz w:val="18"/>
          <w:szCs w:val="18"/>
          <w:lang w:val="en-US"/>
        </w:rPr>
        <w:t>), the Commission has jointly defined with the Member States  the ISA Core Vocabularies. These are simplified, re-usable and extensible data models that capture the fundamental characteristics of an entity in a context-neutral fashion. They have been already adopted by some Member States and some major transEuropean systems like BRIS for the interconnection of Business Registries.</w:t>
      </w:r>
    </w:p>
  </w:footnote>
  <w:footnote w:id="166">
    <w:p>
      <w:pPr>
        <w:pStyle w:val="FootnoteText"/>
        <w:rPr>
          <w:rFonts w:ascii="Times New Roman" w:hAnsi="Times New Roman" w:cs="Times New Roman"/>
          <w:sz w:val="16"/>
          <w:szCs w:val="16"/>
        </w:rPr>
      </w:pPr>
      <w:r>
        <w:rPr>
          <w:rStyle w:val="FootnoteReference"/>
        </w:rPr>
        <w:footnoteRef/>
      </w:r>
      <w:r>
        <w:t xml:space="preserve"> </w:t>
      </w:r>
      <w:r>
        <w:rPr>
          <w:rFonts w:ascii="Times New Roman" w:hAnsi="Times New Roman" w:cs="Times New Roman"/>
          <w:sz w:val="16"/>
          <w:szCs w:val="16"/>
        </w:rPr>
        <w:t>The Inception Impact Assessment report can be found at http://ec.europa.eu/info/law/better-regulation/initiatives/ares-2017-6171228_en</w:t>
      </w:r>
    </w:p>
  </w:footnote>
  <w:footnote w:id="167">
    <w:p>
      <w:pPr>
        <w:pStyle w:val="FootnoteText"/>
        <w:spacing w:after="0"/>
        <w:ind w:left="0" w:firstLine="0"/>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US"/>
        </w:rPr>
        <w:t xml:space="preserve"> Chapter VI "Transport" of the TFEU</w:t>
      </w:r>
    </w:p>
  </w:footnote>
  <w:footnote w:id="168">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above the ongoing proposals/ initiatives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02535DD"/>
    <w:multiLevelType w:val="hybridMultilevel"/>
    <w:tmpl w:val="F4029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1B2271"/>
    <w:multiLevelType w:val="hybridMultilevel"/>
    <w:tmpl w:val="11321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8101E9"/>
    <w:multiLevelType w:val="multilevel"/>
    <w:tmpl w:val="FE3A9EDC"/>
    <w:styleLink w:val="Style3import"/>
    <w:lvl w:ilvl="0">
      <w:start w:val="1"/>
      <w:numFmt w:val="decimal"/>
      <w:lvlText w:val="%1."/>
      <w:lvlJc w:val="left"/>
      <w:pPr>
        <w:ind w:left="52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32"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42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4488"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53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6552"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7404"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8616"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09E25424"/>
    <w:multiLevelType w:val="hybridMultilevel"/>
    <w:tmpl w:val="E2C09778"/>
    <w:lvl w:ilvl="0" w:tplc="FBEE8AC4">
      <w:start w:val="1"/>
      <w:numFmt w:val="decimal"/>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202B98"/>
    <w:multiLevelType w:val="multilevel"/>
    <w:tmpl w:val="FE3A9EDC"/>
    <w:numStyleLink w:val="Style3import"/>
  </w:abstractNum>
  <w:abstractNum w:abstractNumId="6">
    <w:nsid w:val="107A3AA5"/>
    <w:multiLevelType w:val="hybridMultilevel"/>
    <w:tmpl w:val="059469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9B1EC1"/>
    <w:multiLevelType w:val="hybridMultilevel"/>
    <w:tmpl w:val="E3F498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867BFB"/>
    <w:multiLevelType w:val="hybridMultilevel"/>
    <w:tmpl w:val="3CE44D5A"/>
    <w:lvl w:ilvl="0" w:tplc="DED677D8">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6D067C5"/>
    <w:multiLevelType w:val="multilevel"/>
    <w:tmpl w:val="0809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7815A09"/>
    <w:multiLevelType w:val="hybridMultilevel"/>
    <w:tmpl w:val="CE1CB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154C24"/>
    <w:multiLevelType w:val="hybridMultilevel"/>
    <w:tmpl w:val="97121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F734306"/>
    <w:multiLevelType w:val="multilevel"/>
    <w:tmpl w:val="AEE2C598"/>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967711"/>
    <w:multiLevelType w:val="hybridMultilevel"/>
    <w:tmpl w:val="3DE28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1EF1759"/>
    <w:multiLevelType w:val="hybridMultilevel"/>
    <w:tmpl w:val="BAACC7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3994C9C"/>
    <w:multiLevelType w:val="hybridMultilevel"/>
    <w:tmpl w:val="88B62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3E0C24"/>
    <w:multiLevelType w:val="hybridMultilevel"/>
    <w:tmpl w:val="927620F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6C46BB5"/>
    <w:multiLevelType w:val="hybridMultilevel"/>
    <w:tmpl w:val="2982CA86"/>
    <w:lvl w:ilvl="0" w:tplc="0413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DEB4FD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3386568B"/>
    <w:multiLevelType w:val="hybridMultilevel"/>
    <w:tmpl w:val="C548D50A"/>
    <w:lvl w:ilvl="0" w:tplc="08090017">
      <w:start w:val="1"/>
      <w:numFmt w:val="lowerLetter"/>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4096E9F"/>
    <w:multiLevelType w:val="multilevel"/>
    <w:tmpl w:val="8FAEAB98"/>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37A44F17"/>
    <w:multiLevelType w:val="hybridMultilevel"/>
    <w:tmpl w:val="B18AA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97A3993"/>
    <w:multiLevelType w:val="multilevel"/>
    <w:tmpl w:val="222A293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5">
    <w:nsid w:val="3E87122A"/>
    <w:multiLevelType w:val="hybridMultilevel"/>
    <w:tmpl w:val="D332B136"/>
    <w:lvl w:ilvl="0" w:tplc="B68235F2">
      <w:start w:val="1"/>
      <w:numFmt w:val="decimal"/>
      <w:lvlText w:val="(%1)"/>
      <w:lvlJc w:val="left"/>
      <w:pPr>
        <w:ind w:left="720" w:hanging="360"/>
      </w:pPr>
      <w:rPr>
        <w:rFonts w:ascii="Times New Roman" w:eastAsiaTheme="minorHAnsi" w:hAnsi="Times New Roman" w:cs="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EEF0A0F"/>
    <w:multiLevelType w:val="hybridMultilevel"/>
    <w:tmpl w:val="13A637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57E2F3F"/>
    <w:multiLevelType w:val="hybridMultilevel"/>
    <w:tmpl w:val="F4029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70833DC"/>
    <w:multiLevelType w:val="multilevel"/>
    <w:tmpl w:val="88049AA8"/>
    <w:lvl w:ilvl="0">
      <w:start w:val="1"/>
      <w:numFmt w:val="bullet"/>
      <w:lvlText w:val=""/>
      <w:lvlJc w:val="left"/>
      <w:pPr>
        <w:ind w:left="568" w:hanging="284"/>
      </w:pPr>
      <w:rPr>
        <w:rFonts w:ascii="Symbol" w:hAnsi="Symbol" w:hint="default"/>
        <w:color w:val="006DB6"/>
      </w:rPr>
    </w:lvl>
    <w:lvl w:ilvl="1">
      <w:start w:val="1"/>
      <w:numFmt w:val="bullet"/>
      <w:lvlText w:val="-"/>
      <w:lvlJc w:val="left"/>
      <w:pPr>
        <w:ind w:left="852" w:hanging="284"/>
      </w:pPr>
      <w:rPr>
        <w:rFonts w:ascii="Arial" w:hAnsi="Arial" w:cs="Times New Roman" w:hint="default"/>
        <w:color w:val="006DB6"/>
      </w:rPr>
    </w:lvl>
    <w:lvl w:ilvl="2">
      <w:start w:val="1"/>
      <w:numFmt w:val="bullet"/>
      <w:lvlText w:val=""/>
      <w:lvlJc w:val="left"/>
      <w:pPr>
        <w:ind w:left="1136" w:hanging="284"/>
      </w:pPr>
      <w:rPr>
        <w:rFonts w:ascii="Symbol" w:hAnsi="Symbol" w:hint="default"/>
        <w:color w:val="006DB6"/>
      </w:rPr>
    </w:lvl>
    <w:lvl w:ilvl="3">
      <w:start w:val="1"/>
      <w:numFmt w:val="bullet"/>
      <w:lvlText w:val="-"/>
      <w:lvlJc w:val="left"/>
      <w:pPr>
        <w:ind w:left="1420" w:hanging="284"/>
      </w:pPr>
      <w:rPr>
        <w:rFonts w:ascii="Arial" w:hAnsi="Arial" w:cs="Times New Roman" w:hint="default"/>
        <w:color w:val="006DB6"/>
      </w:rPr>
    </w:lvl>
    <w:lvl w:ilvl="4">
      <w:start w:val="1"/>
      <w:numFmt w:val="bullet"/>
      <w:lvlText w:val=""/>
      <w:lvlJc w:val="left"/>
      <w:pPr>
        <w:ind w:left="1704" w:hanging="284"/>
      </w:pPr>
      <w:rPr>
        <w:rFonts w:ascii="Symbol" w:hAnsi="Symbol" w:hint="default"/>
        <w:color w:val="006DB6"/>
      </w:rPr>
    </w:lvl>
    <w:lvl w:ilvl="5">
      <w:start w:val="1"/>
      <w:numFmt w:val="bullet"/>
      <w:lvlText w:val="-"/>
      <w:lvlJc w:val="left"/>
      <w:pPr>
        <w:ind w:left="1988" w:hanging="284"/>
      </w:pPr>
      <w:rPr>
        <w:rFonts w:ascii="Arial" w:hAnsi="Arial" w:cs="Times New Roman" w:hint="default"/>
        <w:color w:val="006DB6"/>
      </w:rPr>
    </w:lvl>
    <w:lvl w:ilvl="6">
      <w:start w:val="1"/>
      <w:numFmt w:val="bullet"/>
      <w:lvlText w:val=""/>
      <w:lvlJc w:val="left"/>
      <w:pPr>
        <w:ind w:left="2272" w:hanging="284"/>
      </w:pPr>
      <w:rPr>
        <w:rFonts w:ascii="Symbol" w:hAnsi="Symbol" w:hint="default"/>
        <w:color w:val="006DB6"/>
      </w:rPr>
    </w:lvl>
    <w:lvl w:ilvl="7">
      <w:start w:val="1"/>
      <w:numFmt w:val="bullet"/>
      <w:lvlText w:val="-"/>
      <w:lvlJc w:val="left"/>
      <w:pPr>
        <w:ind w:left="2556" w:hanging="284"/>
      </w:pPr>
      <w:rPr>
        <w:rFonts w:ascii="Arial" w:hAnsi="Arial" w:cs="Times New Roman" w:hint="default"/>
        <w:color w:val="006DB6"/>
      </w:rPr>
    </w:lvl>
    <w:lvl w:ilvl="8">
      <w:start w:val="1"/>
      <w:numFmt w:val="bullet"/>
      <w:lvlText w:val=""/>
      <w:lvlJc w:val="left"/>
      <w:pPr>
        <w:ind w:left="2840" w:hanging="284"/>
      </w:pPr>
      <w:rPr>
        <w:rFonts w:ascii="Symbol" w:hAnsi="Symbol" w:hint="default"/>
        <w:color w:val="006DB6"/>
      </w:rPr>
    </w:lvl>
  </w:abstractNum>
  <w:abstractNum w:abstractNumId="29">
    <w:nsid w:val="485E7C08"/>
    <w:multiLevelType w:val="hybridMultilevel"/>
    <w:tmpl w:val="33BE6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8AB003D"/>
    <w:multiLevelType w:val="hybridMultilevel"/>
    <w:tmpl w:val="8866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9F27DBB"/>
    <w:multiLevelType w:val="multilevel"/>
    <w:tmpl w:val="FE3A9EDC"/>
    <w:lvl w:ilvl="0">
      <w:start w:val="1"/>
      <w:numFmt w:val="decimal"/>
      <w:lvlText w:val="%1."/>
      <w:lvlJc w:val="left"/>
      <w:pPr>
        <w:ind w:left="52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32"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42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4488"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53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6552"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7404"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8616"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nsid w:val="4F4A0B8C"/>
    <w:multiLevelType w:val="hybridMultilevel"/>
    <w:tmpl w:val="E75A2C9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522F1A7D"/>
    <w:multiLevelType w:val="hybridMultilevel"/>
    <w:tmpl w:val="C7582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2DD3D6F"/>
    <w:multiLevelType w:val="hybridMultilevel"/>
    <w:tmpl w:val="0CD49F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54164B9"/>
    <w:multiLevelType w:val="hybridMultilevel"/>
    <w:tmpl w:val="46D26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951545F"/>
    <w:multiLevelType w:val="multilevel"/>
    <w:tmpl w:val="0EF0493A"/>
    <w:lvl w:ilvl="0">
      <w:start w:val="1"/>
      <w:numFmt w:val="decimal"/>
      <w:pStyle w:val="list-number-color"/>
      <w:lvlText w:val="%1."/>
      <w:lvlJc w:val="left"/>
      <w:pPr>
        <w:ind w:left="284" w:hanging="284"/>
      </w:pPr>
      <w:rPr>
        <w:rFonts w:hint="default"/>
        <w:color w:val="006DB6"/>
      </w:rPr>
    </w:lvl>
    <w:lvl w:ilvl="1">
      <w:start w:val="1"/>
      <w:numFmt w:val="lowerLetter"/>
      <w:lvlText w:val="%2."/>
      <w:lvlJc w:val="left"/>
      <w:pPr>
        <w:ind w:left="568" w:hanging="284"/>
      </w:pPr>
      <w:rPr>
        <w:rFonts w:hint="default"/>
        <w:color w:val="006DB6"/>
      </w:rPr>
    </w:lvl>
    <w:lvl w:ilvl="2">
      <w:start w:val="1"/>
      <w:numFmt w:val="bullet"/>
      <w:lvlText w:val=""/>
      <w:lvlJc w:val="left"/>
      <w:pPr>
        <w:ind w:left="1135"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37">
    <w:nsid w:val="596827CD"/>
    <w:multiLevelType w:val="multilevel"/>
    <w:tmpl w:val="FE3A9EDC"/>
    <w:lvl w:ilvl="0">
      <w:start w:val="1"/>
      <w:numFmt w:val="decimal"/>
      <w:lvlText w:val="%1."/>
      <w:lvlJc w:val="left"/>
      <w:pPr>
        <w:ind w:left="52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32"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42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4488"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53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6552"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7404"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8616"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8">
    <w:nsid w:val="59BB15A0"/>
    <w:multiLevelType w:val="hybridMultilevel"/>
    <w:tmpl w:val="842AD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ABB00D4"/>
    <w:multiLevelType w:val="hybridMultilevel"/>
    <w:tmpl w:val="D3DC52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CB2636A"/>
    <w:multiLevelType w:val="multilevel"/>
    <w:tmpl w:val="FE3A9EDC"/>
    <w:lvl w:ilvl="0">
      <w:start w:val="1"/>
      <w:numFmt w:val="decimal"/>
      <w:lvlText w:val="%1."/>
      <w:lvlJc w:val="left"/>
      <w:pPr>
        <w:ind w:left="52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32"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42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4488"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53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6552"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7404"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8616"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1">
    <w:nsid w:val="5F3E1A16"/>
    <w:multiLevelType w:val="hybridMultilevel"/>
    <w:tmpl w:val="EC449A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4254A8"/>
    <w:multiLevelType w:val="hybridMultilevel"/>
    <w:tmpl w:val="F3FCC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6DF4EDB"/>
    <w:multiLevelType w:val="multilevel"/>
    <w:tmpl w:val="167007B6"/>
    <w:lvl w:ilvl="0">
      <w:start w:val="1"/>
      <w:numFmt w:val="bullet"/>
      <w:pStyle w:val="list-bullet-color"/>
      <w:lvlText w:val=""/>
      <w:lvlJc w:val="left"/>
      <w:pPr>
        <w:ind w:left="568" w:hanging="284"/>
      </w:pPr>
      <w:rPr>
        <w:rFonts w:ascii="Symbol" w:hAnsi="Symbol" w:hint="default"/>
        <w:color w:val="006DB6"/>
      </w:rPr>
    </w:lvl>
    <w:lvl w:ilvl="1">
      <w:start w:val="1"/>
      <w:numFmt w:val="bullet"/>
      <w:lvlText w:val="-"/>
      <w:lvlJc w:val="left"/>
      <w:pPr>
        <w:ind w:left="852" w:hanging="284"/>
      </w:pPr>
      <w:rPr>
        <w:rFonts w:ascii="Arial" w:hAnsi="Arial" w:cs="Times New Roman" w:hint="default"/>
        <w:color w:val="006DB6"/>
      </w:rPr>
    </w:lvl>
    <w:lvl w:ilvl="2">
      <w:start w:val="1"/>
      <w:numFmt w:val="bullet"/>
      <w:lvlText w:val=""/>
      <w:lvlJc w:val="left"/>
      <w:pPr>
        <w:ind w:left="1136" w:hanging="284"/>
      </w:pPr>
      <w:rPr>
        <w:rFonts w:ascii="Symbol" w:hAnsi="Symbol" w:hint="default"/>
        <w:color w:val="006DB6"/>
      </w:rPr>
    </w:lvl>
    <w:lvl w:ilvl="3">
      <w:start w:val="1"/>
      <w:numFmt w:val="bullet"/>
      <w:lvlText w:val="-"/>
      <w:lvlJc w:val="left"/>
      <w:pPr>
        <w:ind w:left="1420" w:hanging="284"/>
      </w:pPr>
      <w:rPr>
        <w:rFonts w:ascii="Arial" w:hAnsi="Arial" w:cs="Times New Roman" w:hint="default"/>
        <w:color w:val="006DB6"/>
      </w:rPr>
    </w:lvl>
    <w:lvl w:ilvl="4">
      <w:start w:val="1"/>
      <w:numFmt w:val="bullet"/>
      <w:lvlText w:val=""/>
      <w:lvlJc w:val="left"/>
      <w:pPr>
        <w:ind w:left="1704" w:hanging="284"/>
      </w:pPr>
      <w:rPr>
        <w:rFonts w:ascii="Symbol" w:hAnsi="Symbol" w:hint="default"/>
        <w:color w:val="006DB6"/>
      </w:rPr>
    </w:lvl>
    <w:lvl w:ilvl="5">
      <w:start w:val="1"/>
      <w:numFmt w:val="bullet"/>
      <w:lvlText w:val="-"/>
      <w:lvlJc w:val="left"/>
      <w:pPr>
        <w:ind w:left="1988" w:hanging="284"/>
      </w:pPr>
      <w:rPr>
        <w:rFonts w:ascii="Arial" w:hAnsi="Arial" w:cs="Times New Roman" w:hint="default"/>
        <w:color w:val="006DB6"/>
      </w:rPr>
    </w:lvl>
    <w:lvl w:ilvl="6">
      <w:start w:val="1"/>
      <w:numFmt w:val="bullet"/>
      <w:lvlText w:val=""/>
      <w:lvlJc w:val="left"/>
      <w:pPr>
        <w:ind w:left="2272" w:hanging="284"/>
      </w:pPr>
      <w:rPr>
        <w:rFonts w:ascii="Symbol" w:hAnsi="Symbol" w:hint="default"/>
        <w:color w:val="006DB6"/>
      </w:rPr>
    </w:lvl>
    <w:lvl w:ilvl="7">
      <w:start w:val="1"/>
      <w:numFmt w:val="bullet"/>
      <w:lvlText w:val="-"/>
      <w:lvlJc w:val="left"/>
      <w:pPr>
        <w:ind w:left="2556" w:hanging="284"/>
      </w:pPr>
      <w:rPr>
        <w:rFonts w:ascii="Arial" w:hAnsi="Arial" w:cs="Times New Roman" w:hint="default"/>
        <w:color w:val="006DB6"/>
      </w:rPr>
    </w:lvl>
    <w:lvl w:ilvl="8">
      <w:start w:val="1"/>
      <w:numFmt w:val="bullet"/>
      <w:lvlText w:val=""/>
      <w:lvlJc w:val="left"/>
      <w:pPr>
        <w:ind w:left="2840" w:hanging="284"/>
      </w:pPr>
      <w:rPr>
        <w:rFonts w:ascii="Symbol" w:hAnsi="Symbol" w:hint="default"/>
        <w:color w:val="006DB6"/>
      </w:rPr>
    </w:lvl>
  </w:abstractNum>
  <w:abstractNum w:abstractNumId="45">
    <w:nsid w:val="687362A6"/>
    <w:multiLevelType w:val="hybridMultilevel"/>
    <w:tmpl w:val="7996CA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A800BBE"/>
    <w:multiLevelType w:val="hybridMultilevel"/>
    <w:tmpl w:val="796A6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nsid w:val="6F514A18"/>
    <w:multiLevelType w:val="hybridMultilevel"/>
    <w:tmpl w:val="30D48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F920AE7"/>
    <w:multiLevelType w:val="multilevel"/>
    <w:tmpl w:val="24D453A8"/>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71052FC6"/>
    <w:multiLevelType w:val="hybridMultilevel"/>
    <w:tmpl w:val="D0AA8A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39B58DD"/>
    <w:multiLevelType w:val="hybridMultilevel"/>
    <w:tmpl w:val="C2EED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76EA4E19"/>
    <w:multiLevelType w:val="hybridMultilevel"/>
    <w:tmpl w:val="C77C8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7F4851B2"/>
    <w:multiLevelType w:val="hybridMultilevel"/>
    <w:tmpl w:val="DC9605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42"/>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num>
  <w:num w:numId="8">
    <w:abstractNumId w:val="0"/>
  </w:num>
  <w:num w:numId="9">
    <w:abstractNumId w:val="30"/>
  </w:num>
  <w:num w:numId="10">
    <w:abstractNumId w:val="3"/>
  </w:num>
  <w:num w:numId="11">
    <w:abstractNumId w:val="5"/>
    <w:lvlOverride w:ilvl="1">
      <w:startOverride w:val="4"/>
    </w:lvlOverride>
  </w:num>
  <w:num w:numId="12">
    <w:abstractNumId w:val="31"/>
  </w:num>
  <w:num w:numId="13">
    <w:abstractNumId w:val="46"/>
  </w:num>
  <w:num w:numId="14">
    <w:abstractNumId w:val="16"/>
  </w:num>
  <w:num w:numId="15">
    <w:abstractNumId w:val="47"/>
  </w:num>
  <w:num w:numId="16">
    <w:abstractNumId w:val="23"/>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36"/>
  </w:num>
  <w:num w:numId="20">
    <w:abstractNumId w:val="7"/>
  </w:num>
  <w:num w:numId="21">
    <w:abstractNumId w:val="6"/>
  </w:num>
  <w:num w:numId="22">
    <w:abstractNumId w:val="17"/>
  </w:num>
  <w:num w:numId="23">
    <w:abstractNumId w:val="32"/>
  </w:num>
  <w:num w:numId="24">
    <w:abstractNumId w:val="37"/>
  </w:num>
  <w:num w:numId="25">
    <w:abstractNumId w:val="40"/>
  </w:num>
  <w:num w:numId="26">
    <w:abstractNumId w:val="2"/>
  </w:num>
  <w:num w:numId="27">
    <w:abstractNumId w:val="51"/>
  </w:num>
  <w:num w:numId="28">
    <w:abstractNumId w:val="29"/>
  </w:num>
  <w:num w:numId="29">
    <w:abstractNumId w:val="38"/>
  </w:num>
  <w:num w:numId="30">
    <w:abstractNumId w:val="22"/>
  </w:num>
  <w:num w:numId="31">
    <w:abstractNumId w:val="12"/>
  </w:num>
  <w:num w:numId="32">
    <w:abstractNumId w:val="19"/>
  </w:num>
  <w:num w:numId="33">
    <w:abstractNumId w:val="14"/>
  </w:num>
  <w:num w:numId="34">
    <w:abstractNumId w:val="1"/>
  </w:num>
  <w:num w:numId="35">
    <w:abstractNumId w:val="39"/>
  </w:num>
  <w:num w:numId="36">
    <w:abstractNumId w:val="35"/>
  </w:num>
  <w:num w:numId="37">
    <w:abstractNumId w:val="34"/>
  </w:num>
  <w:num w:numId="38">
    <w:abstractNumId w:val="26"/>
  </w:num>
  <w:num w:numId="39">
    <w:abstractNumId w:val="52"/>
  </w:num>
  <w:num w:numId="40">
    <w:abstractNumId w:val="11"/>
  </w:num>
  <w:num w:numId="41">
    <w:abstractNumId w:val="27"/>
  </w:num>
  <w:num w:numId="42">
    <w:abstractNumId w:val="44"/>
  </w:num>
  <w:num w:numId="43">
    <w:abstractNumId w:val="9"/>
  </w:num>
  <w:num w:numId="44">
    <w:abstractNumId w:val="48"/>
  </w:num>
  <w:num w:numId="45">
    <w:abstractNumId w:val="10"/>
  </w:num>
  <w:num w:numId="46">
    <w:abstractNumId w:val="19"/>
  </w:num>
  <w:num w:numId="47">
    <w:abstractNumId w:val="13"/>
  </w:num>
  <w:num w:numId="48">
    <w:abstractNumId w:val="15"/>
  </w:num>
  <w:num w:numId="49">
    <w:abstractNumId w:val="49"/>
  </w:num>
  <w:num w:numId="50">
    <w:abstractNumId w:val="45"/>
  </w:num>
  <w:num w:numId="51">
    <w:abstractNumId w:val="25"/>
  </w:num>
  <w:num w:numId="52">
    <w:abstractNumId w:val="4"/>
  </w:num>
  <w:num w:numId="53">
    <w:abstractNumId w:val="19"/>
  </w:num>
  <w:num w:numId="54">
    <w:abstractNumId w:val="28"/>
  </w:num>
  <w:num w:numId="55">
    <w:abstractNumId w:val="18"/>
  </w:num>
  <w:num w:numId="56">
    <w:abstractNumId w:val="8"/>
  </w:num>
  <w:num w:numId="57">
    <w:abstractNumId w:val="41"/>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13C63920-B4BE-499D-B42D-72E90FF51667"/>
    <w:docVar w:name="LW_COVERPAGE_TYPE" w:val="1"/>
    <w:docVar w:name="LW_CROSSREFERENCE" w:val="{COM(2018) 279 final}_x000b_{SEC(2018) 231 final}_x000b_{SWD(2018) 184 final}"/>
    <w:docVar w:name="LW_DocType" w:val="NORMAL"/>
    <w:docVar w:name="LW_EMISSION" w:val="17.5.2018"/>
    <w:docVar w:name="LW_EMISSION_ISODATE" w:val="2018-05-17"/>
    <w:docVar w:name="LW_EMISSION_LOCATION" w:val="BRX"/>
    <w:docVar w:name="LW_EMISSION_PREFIX" w:val="Brussels, "/>
    <w:docVar w:name="LW_EMISSION_SUFFIX" w:val=" "/>
    <w:docVar w:name="LW_ID_DOCTYPE_NONLW" w:val="CP-026"/>
    <w:docVar w:name="LW_LANGUE" w:val="EN"/>
    <w:docVar w:name="LW_LEVEL_OF_SENSITIVITY" w:val="Standard treatment"/>
    <w:docVar w:name="LW_NOM.INST" w:val="EUROPEAN COMMISSION"/>
    <w:docVar w:name="LW_NOM.INST_JOINTDOC" w:val="&lt;EMPTY&gt;"/>
    <w:docVar w:name="LW_OBJETACTEPRINCIPAL.CP" w:val="on electronic freight transport information"/>
    <w:docVar w:name="LW_PART_NBR" w:val="1"/>
    <w:docVar w:name="LW_PART_NBR_TOTAL" w:val="2"/>
    <w:docVar w:name="LW_REF.INST.NEW" w:val="SWD"/>
    <w:docVar w:name="LW_REF.INST.NEW_ADOPTED" w:val="final"/>
    <w:docVar w:name="LW_REF.INST.NEW_TEXT" w:val="(2018) 1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4" w:qFormat="1"/>
    <w:lsdException w:name="List Number"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32"/>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qFormat/>
    <w:pPr>
      <w:keepNext/>
      <w:numPr>
        <w:ilvl w:val="1"/>
        <w:numId w:val="32"/>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qFormat/>
    <w:pPr>
      <w:keepNext/>
      <w:numPr>
        <w:ilvl w:val="2"/>
        <w:numId w:val="32"/>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32"/>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uiPriority w:val="9"/>
    <w:semiHidden/>
    <w:unhideWhenUsed/>
    <w:qFormat/>
    <w:pPr>
      <w:keepNext/>
      <w:keepLines/>
      <w:numPr>
        <w:ilvl w:val="4"/>
        <w:numId w:val="3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3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aliases w:val="BULLET,*List Bullet,IPA Bullet, Char"/>
    <w:basedOn w:val="Normal"/>
    <w:uiPriority w:val="4"/>
    <w:qFormat/>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Gena,Tabellengitternetz"/>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qFormat/>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qFormat/>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customStyle="1" w:styleId="DocumentTable1">
    <w:name w:val="Document Table1"/>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pPr>
      <w:spacing w:line="240" w:lineRule="auto"/>
    </w:pPr>
    <w:rPr>
      <w:rFonts w:asciiTheme="majorHAnsi" w:eastAsiaTheme="majorEastAsia" w:hAnsiTheme="majorHAnsi" w:cstheme="majorBidi"/>
      <w:sz w:val="20"/>
      <w:szCs w:val="20"/>
    </w:rPr>
  </w:style>
  <w:style w:type="character" w:customStyle="1" w:styleId="CommentTextChar">
    <w:name w:val="Comment Text Char"/>
    <w:basedOn w:val="DefaultParagraphFont"/>
    <w:link w:val="CommentText"/>
    <w:uiPriority w:val="99"/>
    <w:rPr>
      <w:rFonts w:asciiTheme="majorHAnsi" w:eastAsiaTheme="majorEastAsia" w:hAnsiTheme="majorHAnsi" w:cstheme="majorBidi"/>
      <w:sz w:val="20"/>
      <w:szCs w:val="20"/>
    </w:rPr>
  </w:style>
  <w:style w:type="character" w:styleId="CommentReference">
    <w:name w:val="annotation reference"/>
    <w:basedOn w:val="DefaultParagraphFont"/>
    <w:uiPriority w:val="99"/>
    <w:unhideWhenUsed/>
    <w:rPr>
      <w:sz w:val="18"/>
      <w:szCs w:val="18"/>
    </w:rPr>
  </w:style>
  <w:style w:type="paragraph" w:styleId="ListBullet5">
    <w:name w:val="List Bullet 5"/>
    <w:basedOn w:val="Normal"/>
    <w:autoRedefine/>
    <w:pPr>
      <w:numPr>
        <w:numId w:val="8"/>
      </w:numPr>
      <w:spacing w:after="240" w:line="240" w:lineRule="auto"/>
      <w:jc w:val="both"/>
    </w:pPr>
    <w:rPr>
      <w:rFonts w:ascii="Times New Roman" w:eastAsia="Times New Roman" w:hAnsi="Times New Roman" w:cs="Times New Roman"/>
      <w:sz w:val="24"/>
      <w:szCs w:val="20"/>
    </w:rPr>
  </w:style>
  <w:style w:type="paragraph" w:customStyle="1" w:styleId="ManualHeading2">
    <w:name w:val="Manual Heading 2"/>
    <w:next w:val="Corps"/>
    <w:pPr>
      <w:keepNext/>
      <w:pBdr>
        <w:top w:val="nil"/>
        <w:left w:val="nil"/>
        <w:bottom w:val="nil"/>
        <w:right w:val="nil"/>
        <w:between w:val="nil"/>
        <w:bar w:val="nil"/>
      </w:pBdr>
      <w:tabs>
        <w:tab w:val="left" w:pos="850"/>
      </w:tabs>
      <w:spacing w:before="120" w:after="120" w:line="240" w:lineRule="auto"/>
      <w:ind w:left="850" w:hanging="850"/>
      <w:jc w:val="both"/>
      <w:outlineLvl w:val="1"/>
    </w:pPr>
    <w:rPr>
      <w:rFonts w:ascii="Times New Roman" w:eastAsia="Arial Unicode MS" w:hAnsi="Times New Roman" w:cs="Arial Unicode MS"/>
      <w:b/>
      <w:bCs/>
      <w:color w:val="000000"/>
      <w:sz w:val="24"/>
      <w:szCs w:val="24"/>
      <w:u w:color="000000"/>
      <w:bdr w:val="nil"/>
      <w:lang w:val="en-US" w:eastAsia="en-GB"/>
    </w:rPr>
  </w:style>
  <w:style w:type="paragraph" w:customStyle="1" w:styleId="Corps">
    <w:name w:val="Corps"/>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numbering" w:customStyle="1" w:styleId="Style3import">
    <w:name w:val="Style 3 importé"/>
    <w:pPr>
      <w:numPr>
        <w:numId w:val="10"/>
      </w:numPr>
    </w:pPr>
  </w:style>
  <w:style w:type="character" w:customStyle="1" w:styleId="FootnoteTextChar">
    <w:name w:val="Footnote Text Char"/>
    <w:aliases w:val="Footnote text Char,fn Char,Schriftart: 9 pt Char,Schriftart: 10 pt Char,Schriftart: 8 pt Char,WB-Fußnotentext Char,Testo nota a piè di pagina_Rientro Char,stile 1 Char,Footnote1 Char,Footnote2 Char,Footnote3 Char,Footnote4 Char"/>
    <w:basedOn w:val="DefaultParagraphFont"/>
    <w:link w:val="FootnoteText"/>
    <w:locked/>
  </w:style>
  <w:style w:type="paragraph" w:styleId="FootnoteText">
    <w:name w:val="footnote text"/>
    <w:aliases w:val="Footnote text,fn,Schriftart: 9 pt,Schriftart: 10 pt,Schriftart: 8 pt,WB-Fußnotentext,Testo nota a piè di pagina_Rientro,stile 1,Footnote1,Footnote2,Footnote3,Footnote4,Footnote5,Footnote6,Footnote7,Footnote8,Footnote9,Footnote10,Footnote11"/>
    <w:basedOn w:val="Normal"/>
    <w:link w:val="FootnoteTextChar"/>
    <w:unhideWhenUsed/>
    <w:qFormat/>
    <w:pPr>
      <w:spacing w:after="240" w:line="240" w:lineRule="auto"/>
      <w:ind w:left="357" w:hanging="357"/>
      <w:jc w:val="both"/>
    </w:pPr>
  </w:style>
  <w:style w:type="character" w:customStyle="1" w:styleId="FootnoteTextChar1">
    <w:name w:val="Footnote Text Char1"/>
    <w:basedOn w:val="DefaultParagraphFont"/>
    <w:uiPriority w:val="99"/>
    <w:semiHidden/>
    <w:rPr>
      <w:sz w:val="20"/>
      <w:szCs w:val="20"/>
    </w:rPr>
  </w:style>
  <w:style w:type="character" w:styleId="FootnoteReference">
    <w:name w:val="footnote reference"/>
    <w:aliases w:val="Footnote Reference Superscript Char,BVI fnr Char,Footnote symbol Char,Footnote reference number Char,note TESI Char,SUPERS Char1,EN Footnote Reference Char1,stylish Char,Footnote Char,Times 10 Point Char,Ref Char,FR, BVI fnr Char"/>
    <w:basedOn w:val="DefaultParagraphFont"/>
    <w:link w:val="FootnoteReferenceSuperscript"/>
    <w:unhideWhenUsed/>
    <w:qFormat/>
    <w:rPr>
      <w:vertAlign w:val="superscript"/>
    </w:rPr>
  </w:style>
  <w:style w:type="paragraph" w:customStyle="1" w:styleId="FootnoteReferenceSuperscript">
    <w:name w:val="Footnote Reference Superscript"/>
    <w:aliases w:val="BVI fnr,Footnote symbol,Footnote reference number,note TESI,SUPERS,EN Footnote Reference,stylish,Footnote,Times 10 Point,Exposant 3 Point,Ref,de nota al pie,number,-E Fußnotenzeichen,Nota,F,styl, BVI fnr"/>
    <w:basedOn w:val="Normal"/>
    <w:link w:val="FootnoteReference"/>
    <w:uiPriority w:val="99"/>
    <w:pPr>
      <w:spacing w:after="160" w:line="240" w:lineRule="exact"/>
    </w:pPr>
    <w:rPr>
      <w:vertAlign w:val="superscript"/>
    </w:rPr>
  </w:style>
  <w:style w:type="character" w:customStyle="1" w:styleId="Text1Char">
    <w:name w:val="Text 1 Char"/>
    <w:link w:val="Text1"/>
    <w:locked/>
    <w:rPr>
      <w:rFonts w:ascii="Times New Roman" w:eastAsia="Times New Roman" w:hAnsi="Times New Roman" w:cs="Times New Roman"/>
      <w:sz w:val="24"/>
      <w:szCs w:val="20"/>
    </w:r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Bullet 1"/>
    <w:basedOn w:val="Normal"/>
    <w:link w:val="ListParagraphChar"/>
    <w:uiPriority w:val="34"/>
    <w:qFormat/>
    <w:pPr>
      <w:spacing w:before="120" w:after="120" w:line="240" w:lineRule="auto"/>
      <w:ind w:left="720"/>
      <w:contextualSpacing/>
      <w:jc w:val="both"/>
    </w:pPr>
    <w:rPr>
      <w:rFonts w:ascii="Times New Roman" w:eastAsia="Times New Roman" w:hAnsi="Times New Roman" w:cs="Times New Roman"/>
      <w:sz w:val="24"/>
      <w:szCs w:val="24"/>
      <w:lang w:eastAsia="de-DE"/>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basedOn w:val="DefaultParagraphFont"/>
    <w:link w:val="ListParagraph"/>
    <w:uiPriority w:val="34"/>
    <w:qFormat/>
    <w:rPr>
      <w:rFonts w:ascii="Times New Roman" w:eastAsia="Times New Roman" w:hAnsi="Times New Roman" w:cs="Times New Roman"/>
      <w:sz w:val="24"/>
      <w:szCs w:val="24"/>
      <w:lang w:eastAsia="de-DE"/>
    </w:rPr>
  </w:style>
  <w:style w:type="paragraph" w:styleId="CommentSubject">
    <w:name w:val="annotation subject"/>
    <w:basedOn w:val="CommentText"/>
    <w:next w:val="CommentText"/>
    <w:link w:val="CommentSubjectChar"/>
    <w:uiPriority w:val="99"/>
    <w:semiHidden/>
    <w:unhideWhenUse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heme="majorHAnsi" w:eastAsiaTheme="majorEastAsia" w:hAnsiTheme="majorHAnsi" w:cstheme="majorBidi"/>
      <w:b/>
      <w:bCs/>
      <w:sz w:val="20"/>
      <w:szCs w:val="20"/>
    </w:rPr>
  </w:style>
  <w:style w:type="paragraph" w:styleId="TOC3">
    <w:name w:val="toc 3"/>
    <w:basedOn w:val="Normal"/>
    <w:next w:val="Normal"/>
    <w:autoRedefine/>
    <w:uiPriority w:val="39"/>
    <w:unhideWhenUsed/>
    <w:qFormat/>
    <w:pPr>
      <w:spacing w:after="100"/>
      <w:ind w:left="440"/>
    </w:pPr>
  </w:style>
  <w:style w:type="paragraph" w:styleId="Revision">
    <w:name w:val="Revision"/>
    <w:hidden/>
    <w:uiPriority w:val="99"/>
    <w:semiHidden/>
    <w:pPr>
      <w:spacing w:after="0" w:line="240" w:lineRule="auto"/>
    </w:pPr>
  </w:style>
  <w:style w:type="table" w:customStyle="1" w:styleId="Tabellengitternetz2">
    <w:name w:val="Tabellengitternetz2"/>
    <w:basedOn w:val="TableNormal"/>
    <w:next w:val="TableGrid"/>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blauw-100-outline2">
    <w:name w:val="table-style-blauw-100-outline2"/>
    <w:basedOn w:val="TableNormal"/>
    <w:pPr>
      <w:spacing w:after="0" w:line="280" w:lineRule="atLeast"/>
    </w:pPr>
    <w:rPr>
      <w:rFonts w:ascii="Arial" w:eastAsia="Times New Roman" w:hAnsi="Arial" w:cs="Times New Roman"/>
      <w:color w:val="000000"/>
      <w:sz w:val="16"/>
      <w:szCs w:val="20"/>
      <w:lang w:val="nl-NL" w:eastAsia="nl-NL"/>
    </w:rPr>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ellengitternetz21">
    <w:name w:val="Tabellengitternetz21"/>
    <w:basedOn w:val="TableNormal"/>
    <w:next w:val="TableGrid"/>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TableNormal"/>
    <w:next w:val="TableGrid"/>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blauw-100-outline">
    <w:name w:val="table-style-blauw-100-outline"/>
    <w:basedOn w:val="TableNormal"/>
    <w:pPr>
      <w:spacing w:after="0" w:line="280" w:lineRule="atLeast"/>
    </w:pPr>
    <w:rPr>
      <w:rFonts w:ascii="Arial" w:eastAsia="Times New Roman" w:hAnsi="Arial" w:cs="Times New Roman"/>
      <w:color w:val="000000"/>
      <w:sz w:val="16"/>
      <w:szCs w:val="20"/>
      <w:lang w:val="nl-NL" w:eastAsia="nl-NL"/>
    </w:rPr>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paragraph" w:customStyle="1" w:styleId="table-text">
    <w:name w:val="table-text"/>
    <w:basedOn w:val="Normal"/>
    <w:pPr>
      <w:spacing w:after="0" w:line="280" w:lineRule="atLeast"/>
    </w:pPr>
    <w:rPr>
      <w:rFonts w:ascii="Arial" w:eastAsia="Times New Roman" w:hAnsi="Arial" w:cs="Times New Roman"/>
      <w:sz w:val="16"/>
      <w:szCs w:val="24"/>
      <w:lang w:eastAsia="nl-NL"/>
    </w:rPr>
  </w:style>
  <w:style w:type="paragraph" w:styleId="Caption">
    <w:name w:val="caption"/>
    <w:aliases w:val="Inscription,Beschriftung Char Char Char,Beschriftung Char,FigureText,FigureText1,FigureText2,FigureText3,FigureText11,FigureText21,Caption Char Char Char Char Char Char Char Char Char Char Char Char Char Char Char Char Char Char,Tasks"/>
    <w:basedOn w:val="Normal"/>
    <w:next w:val="Normal"/>
    <w:link w:val="CaptionChar"/>
    <w:uiPriority w:val="35"/>
    <w:unhideWhenUsed/>
    <w:qFormat/>
    <w:pPr>
      <w:keepNext/>
      <w:keepLines/>
      <w:spacing w:after="0" w:line="280" w:lineRule="atLeast"/>
    </w:pPr>
    <w:rPr>
      <w:rFonts w:ascii="Arial" w:eastAsia="Times New Roman" w:hAnsi="Arial" w:cs="Times New Roman"/>
      <w:b/>
      <w:bCs/>
      <w:sz w:val="16"/>
      <w:szCs w:val="18"/>
      <w:lang w:eastAsia="nl-NL"/>
    </w:rPr>
  </w:style>
  <w:style w:type="character" w:customStyle="1" w:styleId="CaptionChar">
    <w:name w:val="Caption Char"/>
    <w:aliases w:val="Inscription Char,Beschriftung Char Char Char Char,Beschriftung Char Char,FigureText Char,FigureText1 Char,FigureText2 Char,FigureText3 Char,FigureText11 Char,FigureText21 Char,Tasks Char"/>
    <w:link w:val="Caption"/>
    <w:uiPriority w:val="3"/>
    <w:locked/>
    <w:rPr>
      <w:rFonts w:ascii="Arial" w:eastAsia="Times New Roman" w:hAnsi="Arial" w:cs="Times New Roman"/>
      <w:b/>
      <w:bCs/>
      <w:sz w:val="16"/>
      <w:szCs w:val="18"/>
      <w:lang w:eastAsia="nl-NL"/>
    </w:rPr>
  </w:style>
  <w:style w:type="paragraph" w:customStyle="1" w:styleId="list-number-color">
    <w:name w:val="list-number-color"/>
    <w:basedOn w:val="Normal"/>
    <w:link w:val="list-number-colorChar"/>
    <w:pPr>
      <w:numPr>
        <w:numId w:val="19"/>
      </w:numPr>
      <w:spacing w:after="0" w:line="280" w:lineRule="atLeast"/>
    </w:pPr>
    <w:rPr>
      <w:rFonts w:ascii="Arial" w:eastAsia="Times New Roman" w:hAnsi="Arial" w:cs="Times New Roman"/>
      <w:sz w:val="18"/>
      <w:szCs w:val="24"/>
      <w:lang w:eastAsia="nl-NL"/>
    </w:rPr>
  </w:style>
  <w:style w:type="character" w:customStyle="1" w:styleId="list-number-colorChar">
    <w:name w:val="list-number-color Char"/>
    <w:basedOn w:val="DefaultParagraphFont"/>
    <w:link w:val="list-number-color"/>
    <w:rPr>
      <w:rFonts w:ascii="Arial" w:eastAsia="Times New Roman" w:hAnsi="Arial" w:cs="Times New Roman"/>
      <w:sz w:val="18"/>
      <w:szCs w:val="24"/>
      <w:lang w:eastAsia="nl-NL"/>
    </w:rPr>
  </w:style>
  <w:style w:type="paragraph" w:customStyle="1" w:styleId="DefaultText">
    <w:name w:val="Default Text"/>
    <w:basedOn w:val="Normal"/>
    <w:link w:val="DefaultTextChar"/>
    <w:qFormat/>
    <w:pPr>
      <w:spacing w:after="0" w:line="280" w:lineRule="atLeast"/>
    </w:pPr>
    <w:rPr>
      <w:rFonts w:ascii="Arial" w:eastAsia="Times New Roman" w:hAnsi="Arial" w:cs="Times New Roman"/>
      <w:sz w:val="18"/>
      <w:szCs w:val="24"/>
      <w:lang w:eastAsia="nl-NL"/>
    </w:rPr>
  </w:style>
  <w:style w:type="paragraph" w:customStyle="1" w:styleId="bronvermelding">
    <w:name w:val="bronvermelding"/>
    <w:basedOn w:val="DefaultText"/>
    <w:next w:val="DefaultText"/>
    <w:pPr>
      <w:spacing w:line="200" w:lineRule="atLeast"/>
    </w:pPr>
    <w:rPr>
      <w:sz w:val="14"/>
    </w:rPr>
  </w:style>
  <w:style w:type="character" w:customStyle="1" w:styleId="DefaultTextChar">
    <w:name w:val="Default Text Char"/>
    <w:basedOn w:val="DefaultParagraphFont"/>
    <w:link w:val="DefaultText"/>
    <w:rPr>
      <w:rFonts w:ascii="Arial" w:eastAsia="Times New Roman" w:hAnsi="Arial" w:cs="Times New Roman"/>
      <w:sz w:val="18"/>
      <w:szCs w:val="24"/>
      <w:lang w:eastAsia="nl-NL"/>
    </w:rPr>
  </w:style>
  <w:style w:type="character" w:styleId="Strong">
    <w:name w:val="Strong"/>
    <w:basedOn w:val="DefaultParagraphFont"/>
    <w:uiPriority w:val="22"/>
    <w:qFormat/>
    <w:rPr>
      <w:b/>
      <w:bCs/>
    </w:rPr>
  </w:style>
  <w:style w:type="table" w:customStyle="1" w:styleId="Mainbidtables">
    <w:name w:val="Main bid tables"/>
    <w:basedOn w:val="TableNormal"/>
    <w:uiPriority w:val="99"/>
    <w:pPr>
      <w:spacing w:before="60" w:after="0" w:line="240" w:lineRule="auto"/>
    </w:pPr>
    <w:rPr>
      <w:rFonts w:ascii="Arial" w:eastAsia="Times New Roman" w:hAnsi="Arial" w:cs="Times New Roman"/>
      <w:sz w:val="20"/>
      <w:szCs w:val="20"/>
      <w:lang w:eastAsia="en-GB"/>
    </w:rPr>
    <w:tblPr>
      <w:tblStyleRowBandSize w:val="1"/>
      <w:tblStyleColBandSize w:val="1"/>
      <w:tblInd w:w="0" w:type="dxa"/>
      <w:tblBorders>
        <w:left w:val="single" w:sz="4" w:space="0" w:color="0055A0"/>
        <w:bottom w:val="single" w:sz="4" w:space="0" w:color="0055A0"/>
        <w:right w:val="single" w:sz="4" w:space="0" w:color="0055A0"/>
        <w:insideV w:val="single" w:sz="4" w:space="0" w:color="0055A0"/>
      </w:tblBorders>
      <w:tblCellMar>
        <w:top w:w="0" w:type="dxa"/>
        <w:left w:w="108" w:type="dxa"/>
        <w:bottom w:w="0" w:type="dxa"/>
        <w:right w:w="108" w:type="dxa"/>
      </w:tblCellMar>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table" w:customStyle="1" w:styleId="table-style-blauw-100-outline1">
    <w:name w:val="table-style-blauw-100-outline1"/>
    <w:basedOn w:val="TableNormal"/>
    <w:pPr>
      <w:spacing w:after="0" w:line="280" w:lineRule="atLeast"/>
    </w:pPr>
    <w:rPr>
      <w:rFonts w:ascii="Arial" w:eastAsia="Times New Roman" w:hAnsi="Arial" w:cs="Times New Roman"/>
      <w:color w:val="000000"/>
      <w:sz w:val="16"/>
      <w:szCs w:val="20"/>
      <w:lang w:val="nl-NL" w:eastAsia="nl-NL"/>
    </w:rPr>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100-outline31">
    <w:name w:val="table-style-blauw-100-outline31"/>
    <w:basedOn w:val="TableNormal"/>
    <w:pPr>
      <w:spacing w:after="0" w:line="280" w:lineRule="atLeast"/>
    </w:pPr>
    <w:rPr>
      <w:rFonts w:ascii="Arial" w:eastAsia="Times New Roman" w:hAnsi="Arial" w:cs="Times New Roman"/>
      <w:color w:val="000000"/>
      <w:sz w:val="16"/>
      <w:szCs w:val="20"/>
      <w:lang w:val="nl-NL" w:eastAsia="nl-NL"/>
    </w:rPr>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Grid1">
    <w:name w:val="Table Grid1"/>
    <w:basedOn w:val="TableNormal"/>
    <w:uiPriority w:val="59"/>
    <w:pPr>
      <w:spacing w:after="0" w:line="240" w:lineRule="auto"/>
    </w:pPr>
    <w:rPr>
      <w:rFonts w:eastAsiaTheme="minorEastAsia"/>
      <w:lang w:val="it-IT"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spacing w:after="0" w:line="240" w:lineRule="auto"/>
    </w:pPr>
  </w:style>
  <w:style w:type="paragraph" w:customStyle="1" w:styleId="list-bullet-color">
    <w:name w:val="list-bullet-color"/>
    <w:basedOn w:val="Normal"/>
    <w:link w:val="list-bullet-colorChar"/>
    <w:pPr>
      <w:numPr>
        <w:numId w:val="42"/>
      </w:numPr>
      <w:spacing w:after="0" w:line="280" w:lineRule="atLeast"/>
    </w:pPr>
    <w:rPr>
      <w:rFonts w:ascii="Arial" w:eastAsia="Times New Roman" w:hAnsi="Arial" w:cs="Times New Roman"/>
      <w:sz w:val="18"/>
      <w:szCs w:val="24"/>
      <w:lang w:eastAsia="nl-NL"/>
    </w:rPr>
  </w:style>
  <w:style w:type="table" w:customStyle="1" w:styleId="DocumentTable2">
    <w:name w:val="Document Table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pPr>
      <w:spacing w:after="160" w:line="240" w:lineRule="exact"/>
      <w:jc w:val="both"/>
    </w:pPr>
    <w:rPr>
      <w:vertAlign w:val="superscript"/>
    </w:rPr>
  </w:style>
  <w:style w:type="paragraph" w:styleId="ListNumber">
    <w:name w:val="List Number"/>
    <w:basedOn w:val="Normal"/>
    <w:pPr>
      <w:numPr>
        <w:numId w:val="48"/>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48"/>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4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48"/>
      </w:numPr>
      <w:spacing w:after="240" w:line="240" w:lineRule="auto"/>
      <w:jc w:val="both"/>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Onopgelostemelding1">
    <w:name w:val="Onopgeloste melding1"/>
    <w:basedOn w:val="DefaultParagraphFont"/>
    <w:uiPriority w:val="99"/>
    <w:semiHidden/>
    <w:unhideWhenUsed/>
    <w:rPr>
      <w:color w:val="808080"/>
      <w:shd w:val="clear" w:color="auto" w:fill="E6E6E6"/>
    </w:rPr>
  </w:style>
  <w:style w:type="character" w:customStyle="1" w:styleId="list-bullet-colorChar">
    <w:name w:val="list-bullet-color Char"/>
    <w:basedOn w:val="DefaultTextChar"/>
    <w:link w:val="list-bullet-color"/>
    <w:rPr>
      <w:rFonts w:ascii="Arial" w:eastAsia="Times New Roman" w:hAnsi="Arial" w:cs="Times New Roman"/>
      <w:sz w:val="18"/>
      <w:szCs w:val="24"/>
      <w:lang w:eastAsia="nl-NL"/>
    </w:rPr>
  </w:style>
  <w:style w:type="paragraph" w:styleId="NormalWeb">
    <w:name w:val="Normal (Web)"/>
    <w:basedOn w:val="Normal"/>
    <w:unhideWhenUsed/>
    <w:pPr>
      <w:spacing w:after="240" w:line="240" w:lineRule="auto"/>
      <w:jc w:val="both"/>
    </w:pPr>
    <w:rPr>
      <w:rFonts w:ascii="Times New Roman" w:eastAsia="Times New Roman" w:hAnsi="Times New Roman" w:cs="Times New Roman"/>
      <w:sz w:val="24"/>
      <w:szCs w:val="24"/>
      <w:lang w:val="fr-FR"/>
    </w:rPr>
  </w:style>
  <w:style w:type="paragraph" w:styleId="TOC4">
    <w:name w:val="toc 4"/>
    <w:basedOn w:val="Normal"/>
    <w:next w:val="Normal"/>
    <w:autoRedefine/>
    <w:uiPriority w:val="39"/>
    <w:unhideWhenUsed/>
    <w:pPr>
      <w:spacing w:after="100"/>
      <w:ind w:left="660"/>
    </w:pPr>
    <w:rPr>
      <w:rFonts w:eastAsiaTheme="minorEastAsia"/>
      <w:lang w:eastAsia="en-GB"/>
    </w:rPr>
  </w:style>
  <w:style w:type="paragraph" w:styleId="TOC5">
    <w:name w:val="toc 5"/>
    <w:basedOn w:val="Normal"/>
    <w:next w:val="Normal"/>
    <w:autoRedefine/>
    <w:uiPriority w:val="39"/>
    <w:unhideWhenUsed/>
    <w:pPr>
      <w:spacing w:after="100"/>
      <w:ind w:left="880"/>
    </w:pPr>
    <w:rPr>
      <w:rFonts w:eastAsiaTheme="minorEastAsia"/>
      <w:lang w:eastAsia="en-GB"/>
    </w:rPr>
  </w:style>
  <w:style w:type="paragraph" w:styleId="TOC6">
    <w:name w:val="toc 6"/>
    <w:basedOn w:val="Normal"/>
    <w:next w:val="Normal"/>
    <w:autoRedefine/>
    <w:uiPriority w:val="39"/>
    <w:unhideWhenUsed/>
    <w:pPr>
      <w:spacing w:after="100"/>
      <w:ind w:left="1100"/>
    </w:pPr>
    <w:rPr>
      <w:rFonts w:eastAsiaTheme="minorEastAsia"/>
      <w:lang w:eastAsia="en-GB"/>
    </w:rPr>
  </w:style>
  <w:style w:type="paragraph" w:styleId="TOC7">
    <w:name w:val="toc 7"/>
    <w:basedOn w:val="Normal"/>
    <w:next w:val="Normal"/>
    <w:autoRedefine/>
    <w:uiPriority w:val="39"/>
    <w:unhideWhenUsed/>
    <w:pPr>
      <w:spacing w:after="100"/>
      <w:ind w:left="1320"/>
    </w:pPr>
    <w:rPr>
      <w:rFonts w:eastAsiaTheme="minorEastAsia"/>
      <w:lang w:eastAsia="en-GB"/>
    </w:rPr>
  </w:style>
  <w:style w:type="paragraph" w:styleId="TOC8">
    <w:name w:val="toc 8"/>
    <w:basedOn w:val="Normal"/>
    <w:next w:val="Normal"/>
    <w:autoRedefine/>
    <w:uiPriority w:val="39"/>
    <w:unhideWhenUsed/>
    <w:pPr>
      <w:spacing w:after="100"/>
      <w:ind w:left="1540"/>
    </w:pPr>
    <w:rPr>
      <w:rFonts w:eastAsiaTheme="minorEastAsia"/>
      <w:lang w:eastAsia="en-GB"/>
    </w:rPr>
  </w:style>
  <w:style w:type="paragraph" w:styleId="TOC9">
    <w:name w:val="toc 9"/>
    <w:basedOn w:val="Normal"/>
    <w:next w:val="Normal"/>
    <w:autoRedefine/>
    <w:uiPriority w:val="39"/>
    <w:unhideWhenUsed/>
    <w:pPr>
      <w:spacing w:after="100"/>
      <w:ind w:left="1760"/>
    </w:pPr>
    <w:rPr>
      <w:rFonts w:eastAsiaTheme="minorEastAsia"/>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4" w:qFormat="1"/>
    <w:lsdException w:name="List Number"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32"/>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qFormat/>
    <w:pPr>
      <w:keepNext/>
      <w:numPr>
        <w:ilvl w:val="1"/>
        <w:numId w:val="32"/>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qFormat/>
    <w:pPr>
      <w:keepNext/>
      <w:numPr>
        <w:ilvl w:val="2"/>
        <w:numId w:val="32"/>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32"/>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uiPriority w:val="9"/>
    <w:semiHidden/>
    <w:unhideWhenUsed/>
    <w:qFormat/>
    <w:pPr>
      <w:keepNext/>
      <w:keepLines/>
      <w:numPr>
        <w:ilvl w:val="4"/>
        <w:numId w:val="3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3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aliases w:val="BULLET,*List Bullet,IPA Bullet, Char"/>
    <w:basedOn w:val="Normal"/>
    <w:uiPriority w:val="4"/>
    <w:qFormat/>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Gena,Tabellengitternetz"/>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qFormat/>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qFormat/>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customStyle="1" w:styleId="DocumentTable1">
    <w:name w:val="Document Table1"/>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pPr>
      <w:spacing w:line="240" w:lineRule="auto"/>
    </w:pPr>
    <w:rPr>
      <w:rFonts w:asciiTheme="majorHAnsi" w:eastAsiaTheme="majorEastAsia" w:hAnsiTheme="majorHAnsi" w:cstheme="majorBidi"/>
      <w:sz w:val="20"/>
      <w:szCs w:val="20"/>
    </w:rPr>
  </w:style>
  <w:style w:type="character" w:customStyle="1" w:styleId="CommentTextChar">
    <w:name w:val="Comment Text Char"/>
    <w:basedOn w:val="DefaultParagraphFont"/>
    <w:link w:val="CommentText"/>
    <w:uiPriority w:val="99"/>
    <w:rPr>
      <w:rFonts w:asciiTheme="majorHAnsi" w:eastAsiaTheme="majorEastAsia" w:hAnsiTheme="majorHAnsi" w:cstheme="majorBidi"/>
      <w:sz w:val="20"/>
      <w:szCs w:val="20"/>
    </w:rPr>
  </w:style>
  <w:style w:type="character" w:styleId="CommentReference">
    <w:name w:val="annotation reference"/>
    <w:basedOn w:val="DefaultParagraphFont"/>
    <w:uiPriority w:val="99"/>
    <w:unhideWhenUsed/>
    <w:rPr>
      <w:sz w:val="18"/>
      <w:szCs w:val="18"/>
    </w:rPr>
  </w:style>
  <w:style w:type="paragraph" w:styleId="ListBullet5">
    <w:name w:val="List Bullet 5"/>
    <w:basedOn w:val="Normal"/>
    <w:autoRedefine/>
    <w:pPr>
      <w:numPr>
        <w:numId w:val="8"/>
      </w:numPr>
      <w:spacing w:after="240" w:line="240" w:lineRule="auto"/>
      <w:jc w:val="both"/>
    </w:pPr>
    <w:rPr>
      <w:rFonts w:ascii="Times New Roman" w:eastAsia="Times New Roman" w:hAnsi="Times New Roman" w:cs="Times New Roman"/>
      <w:sz w:val="24"/>
      <w:szCs w:val="20"/>
    </w:rPr>
  </w:style>
  <w:style w:type="paragraph" w:customStyle="1" w:styleId="ManualHeading2">
    <w:name w:val="Manual Heading 2"/>
    <w:next w:val="Corps"/>
    <w:pPr>
      <w:keepNext/>
      <w:pBdr>
        <w:top w:val="nil"/>
        <w:left w:val="nil"/>
        <w:bottom w:val="nil"/>
        <w:right w:val="nil"/>
        <w:between w:val="nil"/>
        <w:bar w:val="nil"/>
      </w:pBdr>
      <w:tabs>
        <w:tab w:val="left" w:pos="850"/>
      </w:tabs>
      <w:spacing w:before="120" w:after="120" w:line="240" w:lineRule="auto"/>
      <w:ind w:left="850" w:hanging="850"/>
      <w:jc w:val="both"/>
      <w:outlineLvl w:val="1"/>
    </w:pPr>
    <w:rPr>
      <w:rFonts w:ascii="Times New Roman" w:eastAsia="Arial Unicode MS" w:hAnsi="Times New Roman" w:cs="Arial Unicode MS"/>
      <w:b/>
      <w:bCs/>
      <w:color w:val="000000"/>
      <w:sz w:val="24"/>
      <w:szCs w:val="24"/>
      <w:u w:color="000000"/>
      <w:bdr w:val="nil"/>
      <w:lang w:val="en-US" w:eastAsia="en-GB"/>
    </w:rPr>
  </w:style>
  <w:style w:type="paragraph" w:customStyle="1" w:styleId="Corps">
    <w:name w:val="Corps"/>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numbering" w:customStyle="1" w:styleId="Style3import">
    <w:name w:val="Style 3 importé"/>
    <w:pPr>
      <w:numPr>
        <w:numId w:val="10"/>
      </w:numPr>
    </w:pPr>
  </w:style>
  <w:style w:type="character" w:customStyle="1" w:styleId="FootnoteTextChar">
    <w:name w:val="Footnote Text Char"/>
    <w:aliases w:val="Footnote text Char,fn Char,Schriftart: 9 pt Char,Schriftart: 10 pt Char,Schriftart: 8 pt Char,WB-Fußnotentext Char,Testo nota a piè di pagina_Rientro Char,stile 1 Char,Footnote1 Char,Footnote2 Char,Footnote3 Char,Footnote4 Char"/>
    <w:basedOn w:val="DefaultParagraphFont"/>
    <w:link w:val="FootnoteText"/>
    <w:locked/>
  </w:style>
  <w:style w:type="paragraph" w:styleId="FootnoteText">
    <w:name w:val="footnote text"/>
    <w:aliases w:val="Footnote text,fn,Schriftart: 9 pt,Schriftart: 10 pt,Schriftart: 8 pt,WB-Fußnotentext,Testo nota a piè di pagina_Rientro,stile 1,Footnote1,Footnote2,Footnote3,Footnote4,Footnote5,Footnote6,Footnote7,Footnote8,Footnote9,Footnote10,Footnote11"/>
    <w:basedOn w:val="Normal"/>
    <w:link w:val="FootnoteTextChar"/>
    <w:unhideWhenUsed/>
    <w:qFormat/>
    <w:pPr>
      <w:spacing w:after="240" w:line="240" w:lineRule="auto"/>
      <w:ind w:left="357" w:hanging="357"/>
      <w:jc w:val="both"/>
    </w:pPr>
  </w:style>
  <w:style w:type="character" w:customStyle="1" w:styleId="FootnoteTextChar1">
    <w:name w:val="Footnote Text Char1"/>
    <w:basedOn w:val="DefaultParagraphFont"/>
    <w:uiPriority w:val="99"/>
    <w:semiHidden/>
    <w:rPr>
      <w:sz w:val="20"/>
      <w:szCs w:val="20"/>
    </w:rPr>
  </w:style>
  <w:style w:type="character" w:styleId="FootnoteReference">
    <w:name w:val="footnote reference"/>
    <w:aliases w:val="Footnote Reference Superscript Char,BVI fnr Char,Footnote symbol Char,Footnote reference number Char,note TESI Char,SUPERS Char1,EN Footnote Reference Char1,stylish Char,Footnote Char,Times 10 Point Char,Ref Char,FR, BVI fnr Char"/>
    <w:basedOn w:val="DefaultParagraphFont"/>
    <w:link w:val="FootnoteReferenceSuperscript"/>
    <w:unhideWhenUsed/>
    <w:qFormat/>
    <w:rPr>
      <w:vertAlign w:val="superscript"/>
    </w:rPr>
  </w:style>
  <w:style w:type="paragraph" w:customStyle="1" w:styleId="FootnoteReferenceSuperscript">
    <w:name w:val="Footnote Reference Superscript"/>
    <w:aliases w:val="BVI fnr,Footnote symbol,Footnote reference number,note TESI,SUPERS,EN Footnote Reference,stylish,Footnote,Times 10 Point,Exposant 3 Point,Ref,de nota al pie,number,-E Fußnotenzeichen,Nota,F,styl, BVI fnr"/>
    <w:basedOn w:val="Normal"/>
    <w:link w:val="FootnoteReference"/>
    <w:uiPriority w:val="99"/>
    <w:pPr>
      <w:spacing w:after="160" w:line="240" w:lineRule="exact"/>
    </w:pPr>
    <w:rPr>
      <w:vertAlign w:val="superscript"/>
    </w:rPr>
  </w:style>
  <w:style w:type="character" w:customStyle="1" w:styleId="Text1Char">
    <w:name w:val="Text 1 Char"/>
    <w:link w:val="Text1"/>
    <w:locked/>
    <w:rPr>
      <w:rFonts w:ascii="Times New Roman" w:eastAsia="Times New Roman" w:hAnsi="Times New Roman" w:cs="Times New Roman"/>
      <w:sz w:val="24"/>
      <w:szCs w:val="20"/>
    </w:r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Bullet 1"/>
    <w:basedOn w:val="Normal"/>
    <w:link w:val="ListParagraphChar"/>
    <w:uiPriority w:val="34"/>
    <w:qFormat/>
    <w:pPr>
      <w:spacing w:before="120" w:after="120" w:line="240" w:lineRule="auto"/>
      <w:ind w:left="720"/>
      <w:contextualSpacing/>
      <w:jc w:val="both"/>
    </w:pPr>
    <w:rPr>
      <w:rFonts w:ascii="Times New Roman" w:eastAsia="Times New Roman" w:hAnsi="Times New Roman" w:cs="Times New Roman"/>
      <w:sz w:val="24"/>
      <w:szCs w:val="24"/>
      <w:lang w:eastAsia="de-DE"/>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basedOn w:val="DefaultParagraphFont"/>
    <w:link w:val="ListParagraph"/>
    <w:uiPriority w:val="34"/>
    <w:qFormat/>
    <w:rPr>
      <w:rFonts w:ascii="Times New Roman" w:eastAsia="Times New Roman" w:hAnsi="Times New Roman" w:cs="Times New Roman"/>
      <w:sz w:val="24"/>
      <w:szCs w:val="24"/>
      <w:lang w:eastAsia="de-DE"/>
    </w:rPr>
  </w:style>
  <w:style w:type="paragraph" w:styleId="CommentSubject">
    <w:name w:val="annotation subject"/>
    <w:basedOn w:val="CommentText"/>
    <w:next w:val="CommentText"/>
    <w:link w:val="CommentSubjectChar"/>
    <w:uiPriority w:val="99"/>
    <w:semiHidden/>
    <w:unhideWhenUse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heme="majorHAnsi" w:eastAsiaTheme="majorEastAsia" w:hAnsiTheme="majorHAnsi" w:cstheme="majorBidi"/>
      <w:b/>
      <w:bCs/>
      <w:sz w:val="20"/>
      <w:szCs w:val="20"/>
    </w:rPr>
  </w:style>
  <w:style w:type="paragraph" w:styleId="TOC3">
    <w:name w:val="toc 3"/>
    <w:basedOn w:val="Normal"/>
    <w:next w:val="Normal"/>
    <w:autoRedefine/>
    <w:uiPriority w:val="39"/>
    <w:unhideWhenUsed/>
    <w:qFormat/>
    <w:pPr>
      <w:spacing w:after="100"/>
      <w:ind w:left="440"/>
    </w:pPr>
  </w:style>
  <w:style w:type="paragraph" w:styleId="Revision">
    <w:name w:val="Revision"/>
    <w:hidden/>
    <w:uiPriority w:val="99"/>
    <w:semiHidden/>
    <w:pPr>
      <w:spacing w:after="0" w:line="240" w:lineRule="auto"/>
    </w:pPr>
  </w:style>
  <w:style w:type="table" w:customStyle="1" w:styleId="Tabellengitternetz2">
    <w:name w:val="Tabellengitternetz2"/>
    <w:basedOn w:val="TableNormal"/>
    <w:next w:val="TableGrid"/>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blauw-100-outline2">
    <w:name w:val="table-style-blauw-100-outline2"/>
    <w:basedOn w:val="TableNormal"/>
    <w:pPr>
      <w:spacing w:after="0" w:line="280" w:lineRule="atLeast"/>
    </w:pPr>
    <w:rPr>
      <w:rFonts w:ascii="Arial" w:eastAsia="Times New Roman" w:hAnsi="Arial" w:cs="Times New Roman"/>
      <w:color w:val="000000"/>
      <w:sz w:val="16"/>
      <w:szCs w:val="20"/>
      <w:lang w:val="nl-NL" w:eastAsia="nl-NL"/>
    </w:rPr>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ellengitternetz21">
    <w:name w:val="Tabellengitternetz21"/>
    <w:basedOn w:val="TableNormal"/>
    <w:next w:val="TableGrid"/>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TableNormal"/>
    <w:next w:val="TableGrid"/>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blauw-100-outline">
    <w:name w:val="table-style-blauw-100-outline"/>
    <w:basedOn w:val="TableNormal"/>
    <w:pPr>
      <w:spacing w:after="0" w:line="280" w:lineRule="atLeast"/>
    </w:pPr>
    <w:rPr>
      <w:rFonts w:ascii="Arial" w:eastAsia="Times New Roman" w:hAnsi="Arial" w:cs="Times New Roman"/>
      <w:color w:val="000000"/>
      <w:sz w:val="16"/>
      <w:szCs w:val="20"/>
      <w:lang w:val="nl-NL" w:eastAsia="nl-NL"/>
    </w:rPr>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paragraph" w:customStyle="1" w:styleId="table-text">
    <w:name w:val="table-text"/>
    <w:basedOn w:val="Normal"/>
    <w:pPr>
      <w:spacing w:after="0" w:line="280" w:lineRule="atLeast"/>
    </w:pPr>
    <w:rPr>
      <w:rFonts w:ascii="Arial" w:eastAsia="Times New Roman" w:hAnsi="Arial" w:cs="Times New Roman"/>
      <w:sz w:val="16"/>
      <w:szCs w:val="24"/>
      <w:lang w:eastAsia="nl-NL"/>
    </w:rPr>
  </w:style>
  <w:style w:type="paragraph" w:styleId="Caption">
    <w:name w:val="caption"/>
    <w:aliases w:val="Inscription,Beschriftung Char Char Char,Beschriftung Char,FigureText,FigureText1,FigureText2,FigureText3,FigureText11,FigureText21,Caption Char Char Char Char Char Char Char Char Char Char Char Char Char Char Char Char Char Char,Tasks"/>
    <w:basedOn w:val="Normal"/>
    <w:next w:val="Normal"/>
    <w:link w:val="CaptionChar"/>
    <w:uiPriority w:val="35"/>
    <w:unhideWhenUsed/>
    <w:qFormat/>
    <w:pPr>
      <w:keepNext/>
      <w:keepLines/>
      <w:spacing w:after="0" w:line="280" w:lineRule="atLeast"/>
    </w:pPr>
    <w:rPr>
      <w:rFonts w:ascii="Arial" w:eastAsia="Times New Roman" w:hAnsi="Arial" w:cs="Times New Roman"/>
      <w:b/>
      <w:bCs/>
      <w:sz w:val="16"/>
      <w:szCs w:val="18"/>
      <w:lang w:eastAsia="nl-NL"/>
    </w:rPr>
  </w:style>
  <w:style w:type="character" w:customStyle="1" w:styleId="CaptionChar">
    <w:name w:val="Caption Char"/>
    <w:aliases w:val="Inscription Char,Beschriftung Char Char Char Char,Beschriftung Char Char,FigureText Char,FigureText1 Char,FigureText2 Char,FigureText3 Char,FigureText11 Char,FigureText21 Char,Tasks Char"/>
    <w:link w:val="Caption"/>
    <w:uiPriority w:val="3"/>
    <w:locked/>
    <w:rPr>
      <w:rFonts w:ascii="Arial" w:eastAsia="Times New Roman" w:hAnsi="Arial" w:cs="Times New Roman"/>
      <w:b/>
      <w:bCs/>
      <w:sz w:val="16"/>
      <w:szCs w:val="18"/>
      <w:lang w:eastAsia="nl-NL"/>
    </w:rPr>
  </w:style>
  <w:style w:type="paragraph" w:customStyle="1" w:styleId="list-number-color">
    <w:name w:val="list-number-color"/>
    <w:basedOn w:val="Normal"/>
    <w:link w:val="list-number-colorChar"/>
    <w:pPr>
      <w:numPr>
        <w:numId w:val="19"/>
      </w:numPr>
      <w:spacing w:after="0" w:line="280" w:lineRule="atLeast"/>
    </w:pPr>
    <w:rPr>
      <w:rFonts w:ascii="Arial" w:eastAsia="Times New Roman" w:hAnsi="Arial" w:cs="Times New Roman"/>
      <w:sz w:val="18"/>
      <w:szCs w:val="24"/>
      <w:lang w:eastAsia="nl-NL"/>
    </w:rPr>
  </w:style>
  <w:style w:type="character" w:customStyle="1" w:styleId="list-number-colorChar">
    <w:name w:val="list-number-color Char"/>
    <w:basedOn w:val="DefaultParagraphFont"/>
    <w:link w:val="list-number-color"/>
    <w:rPr>
      <w:rFonts w:ascii="Arial" w:eastAsia="Times New Roman" w:hAnsi="Arial" w:cs="Times New Roman"/>
      <w:sz w:val="18"/>
      <w:szCs w:val="24"/>
      <w:lang w:eastAsia="nl-NL"/>
    </w:rPr>
  </w:style>
  <w:style w:type="paragraph" w:customStyle="1" w:styleId="DefaultText">
    <w:name w:val="Default Text"/>
    <w:basedOn w:val="Normal"/>
    <w:link w:val="DefaultTextChar"/>
    <w:qFormat/>
    <w:pPr>
      <w:spacing w:after="0" w:line="280" w:lineRule="atLeast"/>
    </w:pPr>
    <w:rPr>
      <w:rFonts w:ascii="Arial" w:eastAsia="Times New Roman" w:hAnsi="Arial" w:cs="Times New Roman"/>
      <w:sz w:val="18"/>
      <w:szCs w:val="24"/>
      <w:lang w:eastAsia="nl-NL"/>
    </w:rPr>
  </w:style>
  <w:style w:type="paragraph" w:customStyle="1" w:styleId="bronvermelding">
    <w:name w:val="bronvermelding"/>
    <w:basedOn w:val="DefaultText"/>
    <w:next w:val="DefaultText"/>
    <w:pPr>
      <w:spacing w:line="200" w:lineRule="atLeast"/>
    </w:pPr>
    <w:rPr>
      <w:sz w:val="14"/>
    </w:rPr>
  </w:style>
  <w:style w:type="character" w:customStyle="1" w:styleId="DefaultTextChar">
    <w:name w:val="Default Text Char"/>
    <w:basedOn w:val="DefaultParagraphFont"/>
    <w:link w:val="DefaultText"/>
    <w:rPr>
      <w:rFonts w:ascii="Arial" w:eastAsia="Times New Roman" w:hAnsi="Arial" w:cs="Times New Roman"/>
      <w:sz w:val="18"/>
      <w:szCs w:val="24"/>
      <w:lang w:eastAsia="nl-NL"/>
    </w:rPr>
  </w:style>
  <w:style w:type="character" w:styleId="Strong">
    <w:name w:val="Strong"/>
    <w:basedOn w:val="DefaultParagraphFont"/>
    <w:uiPriority w:val="22"/>
    <w:qFormat/>
    <w:rPr>
      <w:b/>
      <w:bCs/>
    </w:rPr>
  </w:style>
  <w:style w:type="table" w:customStyle="1" w:styleId="Mainbidtables">
    <w:name w:val="Main bid tables"/>
    <w:basedOn w:val="TableNormal"/>
    <w:uiPriority w:val="99"/>
    <w:pPr>
      <w:spacing w:before="60" w:after="0" w:line="240" w:lineRule="auto"/>
    </w:pPr>
    <w:rPr>
      <w:rFonts w:ascii="Arial" w:eastAsia="Times New Roman" w:hAnsi="Arial" w:cs="Times New Roman"/>
      <w:sz w:val="20"/>
      <w:szCs w:val="20"/>
      <w:lang w:eastAsia="en-GB"/>
    </w:rPr>
    <w:tblPr>
      <w:tblStyleRowBandSize w:val="1"/>
      <w:tblStyleColBandSize w:val="1"/>
      <w:tblInd w:w="0" w:type="dxa"/>
      <w:tblBorders>
        <w:left w:val="single" w:sz="4" w:space="0" w:color="0055A0"/>
        <w:bottom w:val="single" w:sz="4" w:space="0" w:color="0055A0"/>
        <w:right w:val="single" w:sz="4" w:space="0" w:color="0055A0"/>
        <w:insideV w:val="single" w:sz="4" w:space="0" w:color="0055A0"/>
      </w:tblBorders>
      <w:tblCellMar>
        <w:top w:w="0" w:type="dxa"/>
        <w:left w:w="108" w:type="dxa"/>
        <w:bottom w:w="0" w:type="dxa"/>
        <w:right w:w="108" w:type="dxa"/>
      </w:tblCellMar>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table" w:customStyle="1" w:styleId="table-style-blauw-100-outline1">
    <w:name w:val="table-style-blauw-100-outline1"/>
    <w:basedOn w:val="TableNormal"/>
    <w:pPr>
      <w:spacing w:after="0" w:line="280" w:lineRule="atLeast"/>
    </w:pPr>
    <w:rPr>
      <w:rFonts w:ascii="Arial" w:eastAsia="Times New Roman" w:hAnsi="Arial" w:cs="Times New Roman"/>
      <w:color w:val="000000"/>
      <w:sz w:val="16"/>
      <w:szCs w:val="20"/>
      <w:lang w:val="nl-NL" w:eastAsia="nl-NL"/>
    </w:rPr>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100-outline31">
    <w:name w:val="table-style-blauw-100-outline31"/>
    <w:basedOn w:val="TableNormal"/>
    <w:pPr>
      <w:spacing w:after="0" w:line="280" w:lineRule="atLeast"/>
    </w:pPr>
    <w:rPr>
      <w:rFonts w:ascii="Arial" w:eastAsia="Times New Roman" w:hAnsi="Arial" w:cs="Times New Roman"/>
      <w:color w:val="000000"/>
      <w:sz w:val="16"/>
      <w:szCs w:val="20"/>
      <w:lang w:val="nl-NL" w:eastAsia="nl-NL"/>
    </w:rPr>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Grid1">
    <w:name w:val="Table Grid1"/>
    <w:basedOn w:val="TableNormal"/>
    <w:uiPriority w:val="59"/>
    <w:pPr>
      <w:spacing w:after="0" w:line="240" w:lineRule="auto"/>
    </w:pPr>
    <w:rPr>
      <w:rFonts w:eastAsiaTheme="minorEastAsia"/>
      <w:lang w:val="it-IT"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spacing w:after="0" w:line="240" w:lineRule="auto"/>
    </w:pPr>
  </w:style>
  <w:style w:type="paragraph" w:customStyle="1" w:styleId="list-bullet-color">
    <w:name w:val="list-bullet-color"/>
    <w:basedOn w:val="Normal"/>
    <w:link w:val="list-bullet-colorChar"/>
    <w:pPr>
      <w:numPr>
        <w:numId w:val="42"/>
      </w:numPr>
      <w:spacing w:after="0" w:line="280" w:lineRule="atLeast"/>
    </w:pPr>
    <w:rPr>
      <w:rFonts w:ascii="Arial" w:eastAsia="Times New Roman" w:hAnsi="Arial" w:cs="Times New Roman"/>
      <w:sz w:val="18"/>
      <w:szCs w:val="24"/>
      <w:lang w:eastAsia="nl-NL"/>
    </w:rPr>
  </w:style>
  <w:style w:type="table" w:customStyle="1" w:styleId="DocumentTable2">
    <w:name w:val="Document Table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pPr>
      <w:spacing w:after="160" w:line="240" w:lineRule="exact"/>
      <w:jc w:val="both"/>
    </w:pPr>
    <w:rPr>
      <w:vertAlign w:val="superscript"/>
    </w:rPr>
  </w:style>
  <w:style w:type="paragraph" w:styleId="ListNumber">
    <w:name w:val="List Number"/>
    <w:basedOn w:val="Normal"/>
    <w:pPr>
      <w:numPr>
        <w:numId w:val="48"/>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48"/>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4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48"/>
      </w:numPr>
      <w:spacing w:after="240" w:line="240" w:lineRule="auto"/>
      <w:jc w:val="both"/>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Onopgelostemelding1">
    <w:name w:val="Onopgeloste melding1"/>
    <w:basedOn w:val="DefaultParagraphFont"/>
    <w:uiPriority w:val="99"/>
    <w:semiHidden/>
    <w:unhideWhenUsed/>
    <w:rPr>
      <w:color w:val="808080"/>
      <w:shd w:val="clear" w:color="auto" w:fill="E6E6E6"/>
    </w:rPr>
  </w:style>
  <w:style w:type="character" w:customStyle="1" w:styleId="list-bullet-colorChar">
    <w:name w:val="list-bullet-color Char"/>
    <w:basedOn w:val="DefaultTextChar"/>
    <w:link w:val="list-bullet-color"/>
    <w:rPr>
      <w:rFonts w:ascii="Arial" w:eastAsia="Times New Roman" w:hAnsi="Arial" w:cs="Times New Roman"/>
      <w:sz w:val="18"/>
      <w:szCs w:val="24"/>
      <w:lang w:eastAsia="nl-NL"/>
    </w:rPr>
  </w:style>
  <w:style w:type="paragraph" w:styleId="NormalWeb">
    <w:name w:val="Normal (Web)"/>
    <w:basedOn w:val="Normal"/>
    <w:unhideWhenUsed/>
    <w:pPr>
      <w:spacing w:after="240" w:line="240" w:lineRule="auto"/>
      <w:jc w:val="both"/>
    </w:pPr>
    <w:rPr>
      <w:rFonts w:ascii="Times New Roman" w:eastAsia="Times New Roman" w:hAnsi="Times New Roman" w:cs="Times New Roman"/>
      <w:sz w:val="24"/>
      <w:szCs w:val="24"/>
      <w:lang w:val="fr-FR"/>
    </w:rPr>
  </w:style>
  <w:style w:type="paragraph" w:styleId="TOC4">
    <w:name w:val="toc 4"/>
    <w:basedOn w:val="Normal"/>
    <w:next w:val="Normal"/>
    <w:autoRedefine/>
    <w:uiPriority w:val="39"/>
    <w:unhideWhenUsed/>
    <w:pPr>
      <w:spacing w:after="100"/>
      <w:ind w:left="660"/>
    </w:pPr>
    <w:rPr>
      <w:rFonts w:eastAsiaTheme="minorEastAsia"/>
      <w:lang w:eastAsia="en-GB"/>
    </w:rPr>
  </w:style>
  <w:style w:type="paragraph" w:styleId="TOC5">
    <w:name w:val="toc 5"/>
    <w:basedOn w:val="Normal"/>
    <w:next w:val="Normal"/>
    <w:autoRedefine/>
    <w:uiPriority w:val="39"/>
    <w:unhideWhenUsed/>
    <w:pPr>
      <w:spacing w:after="100"/>
      <w:ind w:left="880"/>
    </w:pPr>
    <w:rPr>
      <w:rFonts w:eastAsiaTheme="minorEastAsia"/>
      <w:lang w:eastAsia="en-GB"/>
    </w:rPr>
  </w:style>
  <w:style w:type="paragraph" w:styleId="TOC6">
    <w:name w:val="toc 6"/>
    <w:basedOn w:val="Normal"/>
    <w:next w:val="Normal"/>
    <w:autoRedefine/>
    <w:uiPriority w:val="39"/>
    <w:unhideWhenUsed/>
    <w:pPr>
      <w:spacing w:after="100"/>
      <w:ind w:left="1100"/>
    </w:pPr>
    <w:rPr>
      <w:rFonts w:eastAsiaTheme="minorEastAsia"/>
      <w:lang w:eastAsia="en-GB"/>
    </w:rPr>
  </w:style>
  <w:style w:type="paragraph" w:styleId="TOC7">
    <w:name w:val="toc 7"/>
    <w:basedOn w:val="Normal"/>
    <w:next w:val="Normal"/>
    <w:autoRedefine/>
    <w:uiPriority w:val="39"/>
    <w:unhideWhenUsed/>
    <w:pPr>
      <w:spacing w:after="100"/>
      <w:ind w:left="1320"/>
    </w:pPr>
    <w:rPr>
      <w:rFonts w:eastAsiaTheme="minorEastAsia"/>
      <w:lang w:eastAsia="en-GB"/>
    </w:rPr>
  </w:style>
  <w:style w:type="paragraph" w:styleId="TOC8">
    <w:name w:val="toc 8"/>
    <w:basedOn w:val="Normal"/>
    <w:next w:val="Normal"/>
    <w:autoRedefine/>
    <w:uiPriority w:val="39"/>
    <w:unhideWhenUsed/>
    <w:pPr>
      <w:spacing w:after="100"/>
      <w:ind w:left="1540"/>
    </w:pPr>
    <w:rPr>
      <w:rFonts w:eastAsiaTheme="minorEastAsia"/>
      <w:lang w:eastAsia="en-GB"/>
    </w:rPr>
  </w:style>
  <w:style w:type="paragraph" w:styleId="TOC9">
    <w:name w:val="toc 9"/>
    <w:basedOn w:val="Normal"/>
    <w:next w:val="Normal"/>
    <w:autoRedefine/>
    <w:uiPriority w:val="39"/>
    <w:unhideWhenUsed/>
    <w:pPr>
      <w:spacing w:after="100"/>
      <w:ind w:left="1760"/>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9633">
      <w:bodyDiv w:val="1"/>
      <w:marLeft w:val="0"/>
      <w:marRight w:val="0"/>
      <w:marTop w:val="0"/>
      <w:marBottom w:val="0"/>
      <w:divBdr>
        <w:top w:val="none" w:sz="0" w:space="0" w:color="auto"/>
        <w:left w:val="none" w:sz="0" w:space="0" w:color="auto"/>
        <w:bottom w:val="none" w:sz="0" w:space="0" w:color="auto"/>
        <w:right w:val="none" w:sz="0" w:space="0" w:color="auto"/>
      </w:divBdr>
    </w:div>
    <w:div w:id="156071247">
      <w:bodyDiv w:val="1"/>
      <w:marLeft w:val="0"/>
      <w:marRight w:val="0"/>
      <w:marTop w:val="0"/>
      <w:marBottom w:val="0"/>
      <w:divBdr>
        <w:top w:val="none" w:sz="0" w:space="0" w:color="auto"/>
        <w:left w:val="none" w:sz="0" w:space="0" w:color="auto"/>
        <w:bottom w:val="none" w:sz="0" w:space="0" w:color="auto"/>
        <w:right w:val="none" w:sz="0" w:space="0" w:color="auto"/>
      </w:divBdr>
    </w:div>
    <w:div w:id="524295911">
      <w:bodyDiv w:val="1"/>
      <w:marLeft w:val="0"/>
      <w:marRight w:val="0"/>
      <w:marTop w:val="0"/>
      <w:marBottom w:val="0"/>
      <w:divBdr>
        <w:top w:val="none" w:sz="0" w:space="0" w:color="auto"/>
        <w:left w:val="none" w:sz="0" w:space="0" w:color="auto"/>
        <w:bottom w:val="none" w:sz="0" w:space="0" w:color="auto"/>
        <w:right w:val="none" w:sz="0" w:space="0" w:color="auto"/>
      </w:divBdr>
    </w:div>
    <w:div w:id="566183814">
      <w:bodyDiv w:val="1"/>
      <w:marLeft w:val="0"/>
      <w:marRight w:val="0"/>
      <w:marTop w:val="0"/>
      <w:marBottom w:val="0"/>
      <w:divBdr>
        <w:top w:val="none" w:sz="0" w:space="0" w:color="auto"/>
        <w:left w:val="none" w:sz="0" w:space="0" w:color="auto"/>
        <w:bottom w:val="none" w:sz="0" w:space="0" w:color="auto"/>
        <w:right w:val="none" w:sz="0" w:space="0" w:color="auto"/>
      </w:divBdr>
    </w:div>
    <w:div w:id="791703041">
      <w:bodyDiv w:val="1"/>
      <w:marLeft w:val="0"/>
      <w:marRight w:val="0"/>
      <w:marTop w:val="0"/>
      <w:marBottom w:val="0"/>
      <w:divBdr>
        <w:top w:val="none" w:sz="0" w:space="0" w:color="auto"/>
        <w:left w:val="none" w:sz="0" w:space="0" w:color="auto"/>
        <w:bottom w:val="none" w:sz="0" w:space="0" w:color="auto"/>
        <w:right w:val="none" w:sz="0" w:space="0" w:color="auto"/>
      </w:divBdr>
    </w:div>
    <w:div w:id="1059211175">
      <w:bodyDiv w:val="1"/>
      <w:marLeft w:val="0"/>
      <w:marRight w:val="0"/>
      <w:marTop w:val="0"/>
      <w:marBottom w:val="0"/>
      <w:divBdr>
        <w:top w:val="none" w:sz="0" w:space="0" w:color="auto"/>
        <w:left w:val="none" w:sz="0" w:space="0" w:color="auto"/>
        <w:bottom w:val="none" w:sz="0" w:space="0" w:color="auto"/>
        <w:right w:val="none" w:sz="0" w:space="0" w:color="auto"/>
      </w:divBdr>
    </w:div>
    <w:div w:id="1185902087">
      <w:bodyDiv w:val="1"/>
      <w:marLeft w:val="0"/>
      <w:marRight w:val="0"/>
      <w:marTop w:val="0"/>
      <w:marBottom w:val="0"/>
      <w:divBdr>
        <w:top w:val="none" w:sz="0" w:space="0" w:color="auto"/>
        <w:left w:val="none" w:sz="0" w:space="0" w:color="auto"/>
        <w:bottom w:val="none" w:sz="0" w:space="0" w:color="auto"/>
        <w:right w:val="none" w:sz="0" w:space="0" w:color="auto"/>
      </w:divBdr>
    </w:div>
    <w:div w:id="1333799964">
      <w:bodyDiv w:val="1"/>
      <w:marLeft w:val="0"/>
      <w:marRight w:val="0"/>
      <w:marTop w:val="0"/>
      <w:marBottom w:val="0"/>
      <w:divBdr>
        <w:top w:val="none" w:sz="0" w:space="0" w:color="auto"/>
        <w:left w:val="none" w:sz="0" w:space="0" w:color="auto"/>
        <w:bottom w:val="none" w:sz="0" w:space="0" w:color="auto"/>
        <w:right w:val="none" w:sz="0" w:space="0" w:color="auto"/>
      </w:divBdr>
    </w:div>
    <w:div w:id="1341152855">
      <w:bodyDiv w:val="1"/>
      <w:marLeft w:val="0"/>
      <w:marRight w:val="0"/>
      <w:marTop w:val="0"/>
      <w:marBottom w:val="0"/>
      <w:divBdr>
        <w:top w:val="none" w:sz="0" w:space="0" w:color="auto"/>
        <w:left w:val="none" w:sz="0" w:space="0" w:color="auto"/>
        <w:bottom w:val="none" w:sz="0" w:space="0" w:color="auto"/>
        <w:right w:val="none" w:sz="0" w:space="0" w:color="auto"/>
      </w:divBdr>
    </w:div>
    <w:div w:id="1572957302">
      <w:bodyDiv w:val="1"/>
      <w:marLeft w:val="0"/>
      <w:marRight w:val="0"/>
      <w:marTop w:val="0"/>
      <w:marBottom w:val="0"/>
      <w:divBdr>
        <w:top w:val="none" w:sz="0" w:space="0" w:color="auto"/>
        <w:left w:val="none" w:sz="0" w:space="0" w:color="auto"/>
        <w:bottom w:val="none" w:sz="0" w:space="0" w:color="auto"/>
        <w:right w:val="none" w:sz="0" w:space="0" w:color="auto"/>
      </w:divBdr>
    </w:div>
    <w:div w:id="1661230099">
      <w:bodyDiv w:val="1"/>
      <w:marLeft w:val="0"/>
      <w:marRight w:val="0"/>
      <w:marTop w:val="0"/>
      <w:marBottom w:val="0"/>
      <w:divBdr>
        <w:top w:val="none" w:sz="0" w:space="0" w:color="auto"/>
        <w:left w:val="none" w:sz="0" w:space="0" w:color="auto"/>
        <w:bottom w:val="none" w:sz="0" w:space="0" w:color="auto"/>
        <w:right w:val="none" w:sz="0" w:space="0" w:color="auto"/>
      </w:divBdr>
    </w:div>
    <w:div w:id="1707484075">
      <w:bodyDiv w:val="1"/>
      <w:marLeft w:val="0"/>
      <w:marRight w:val="0"/>
      <w:marTop w:val="0"/>
      <w:marBottom w:val="0"/>
      <w:divBdr>
        <w:top w:val="none" w:sz="0" w:space="0" w:color="auto"/>
        <w:left w:val="none" w:sz="0" w:space="0" w:color="auto"/>
        <w:bottom w:val="none" w:sz="0" w:space="0" w:color="auto"/>
        <w:right w:val="none" w:sz="0" w:space="0" w:color="auto"/>
      </w:divBdr>
    </w:div>
    <w:div w:id="1849714683">
      <w:bodyDiv w:val="1"/>
      <w:marLeft w:val="0"/>
      <w:marRight w:val="0"/>
      <w:marTop w:val="0"/>
      <w:marBottom w:val="0"/>
      <w:divBdr>
        <w:top w:val="none" w:sz="0" w:space="0" w:color="auto"/>
        <w:left w:val="none" w:sz="0" w:space="0" w:color="auto"/>
        <w:bottom w:val="none" w:sz="0" w:space="0" w:color="auto"/>
        <w:right w:val="none" w:sz="0" w:space="0" w:color="auto"/>
      </w:divBdr>
    </w:div>
    <w:div w:id="1894733483">
      <w:bodyDiv w:val="1"/>
      <w:marLeft w:val="0"/>
      <w:marRight w:val="0"/>
      <w:marTop w:val="0"/>
      <w:marBottom w:val="0"/>
      <w:divBdr>
        <w:top w:val="none" w:sz="0" w:space="0" w:color="auto"/>
        <w:left w:val="none" w:sz="0" w:space="0" w:color="auto"/>
        <w:bottom w:val="none" w:sz="0" w:space="0" w:color="auto"/>
        <w:right w:val="none" w:sz="0" w:space="0" w:color="auto"/>
      </w:divBdr>
    </w:div>
    <w:div w:id="213208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1.xml"/><Relationship Id="rId26" Type="http://schemas.openxmlformats.org/officeDocument/2006/relationships/footer" Target="footer5.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eader" Target="header7.xml"/><Relationship Id="rId42" Type="http://schemas.openxmlformats.org/officeDocument/2006/relationships/header" Target="header11.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4.xml"/><Relationship Id="rId33" Type="http://schemas.openxmlformats.org/officeDocument/2006/relationships/image" Target="media/image8.emf"/><Relationship Id="rId38" Type="http://schemas.openxmlformats.org/officeDocument/2006/relationships/header" Target="header9.xml"/><Relationship Id="rId46"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image" Target="media/image7.jpeg"/><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hyperlink" Target="http://eur-lex.europa.eu/LexUriServ/LexUriServ.do?uri=OJ:L:2009:140:0088:0113:EN:PDF" TargetMode="External"/><Relationship Id="rId37" Type="http://schemas.openxmlformats.org/officeDocument/2006/relationships/footer" Target="footer8.xml"/><Relationship Id="rId40" Type="http://schemas.openxmlformats.org/officeDocument/2006/relationships/hyperlink" Target="http://ec.europa.eu/digital-single-market/en/digital-single-market" TargetMode="External"/><Relationship Id="rId45"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hyperlink" Target="http://eur-lex.europa.eu/LexUriServ/LexUriServ.do?uri=CELEX:32009R0443:EN:NOT" TargetMode="External"/><Relationship Id="rId44"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2.xml"/><Relationship Id="rId27" Type="http://schemas.openxmlformats.org/officeDocument/2006/relationships/header" Target="header6.xml"/><Relationship Id="rId30" Type="http://schemas.openxmlformats.org/officeDocument/2006/relationships/hyperlink" Target="https://ec.europa.eu/transport/modes/road/news/2017-11-10-digital-transport-days-declaration_en" TargetMode="External"/><Relationship Id="rId35" Type="http://schemas.openxmlformats.org/officeDocument/2006/relationships/header" Target="header8.xml"/><Relationship Id="rId43" Type="http://schemas.openxmlformats.org/officeDocument/2006/relationships/footer" Target="footer10.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maersk.com/press/press-release-archive/maersk-and-ibm-to-form-joint-venture" TargetMode="External"/><Relationship Id="rId13" Type="http://schemas.openxmlformats.org/officeDocument/2006/relationships/hyperlink" Target="https://joinup.ec.europa.eu/document/base-registries-universal-database-information" TargetMode="External"/><Relationship Id="rId18" Type="http://schemas.openxmlformats.org/officeDocument/2006/relationships/hyperlink" Target="http://www.europarl.europa.eu/oeil/popups/ficheprocedure.do?reference=2013/0157(COD)&amp;l=en)" TargetMode="External"/><Relationship Id="rId26" Type="http://schemas.openxmlformats.org/officeDocument/2006/relationships/hyperlink" Target="http://eur-lex.europa.eu/legal-content/EN/TXT/PDF/?uri=CELEX:52011DC0144&amp;from=EN" TargetMode="External"/><Relationship Id="rId3" Type="http://schemas.openxmlformats.org/officeDocument/2006/relationships/hyperlink" Target="http://ec.europa.eu/newsroom/dae/document.cfm?doc_id=15268" TargetMode="External"/><Relationship Id="rId21" Type="http://schemas.openxmlformats.org/officeDocument/2006/relationships/hyperlink" Target="https://ec.europa.eu/transport/sites/transport/files/themes/strategies/news/doc/2016-07-20-decarbonisation/com%282016%29501_en.pdf" TargetMode="External"/><Relationship Id="rId7" Type="http://schemas.openxmlformats.org/officeDocument/2006/relationships/hyperlink" Target="https://ec.europa.eu/info/law/better-regulation/initiatives/ares-2017-3807523_en" TargetMode="External"/><Relationship Id="rId12" Type="http://schemas.openxmlformats.org/officeDocument/2006/relationships/hyperlink" Target="https://ec.europa.eu/info/law/better-regulation/initiatives/ares-2017-2546864_en" TargetMode="External"/><Relationship Id="rId17" Type="http://schemas.openxmlformats.org/officeDocument/2006/relationships/hyperlink" Target="https://ec.europa.eu/clima/sites/clima/files/transport/vehicles/docs/technology_results_web.xlsx" TargetMode="External"/><Relationship Id="rId25" Type="http://schemas.openxmlformats.org/officeDocument/2006/relationships/hyperlink" Target="http://www.oecd.org/trade/facilitation/35459690.pdf" TargetMode="External"/><Relationship Id="rId2" Type="http://schemas.openxmlformats.org/officeDocument/2006/relationships/hyperlink" Target="http://eur-lex.europa.eu/legal-content/EN/TXT/PDF/?uri=CELEX:52015SC0100&amp;from=EN" TargetMode="External"/><Relationship Id="rId16" Type="http://schemas.openxmlformats.org/officeDocument/2006/relationships/hyperlink" Target="https://ec.europa.eu/energy/sites/ener/files/documents/sec_2011_1569_2.pdf" TargetMode="External"/><Relationship Id="rId20" Type="http://schemas.openxmlformats.org/officeDocument/2006/relationships/hyperlink" Target="http://eur-lex.europa.eu/legal-content/EN/ALL/?uri=CELEX%3A52011DC0144" TargetMode="External"/><Relationship Id="rId1" Type="http://schemas.openxmlformats.org/officeDocument/2006/relationships/hyperlink" Target="http://eur-lex.europa.eu/legal-content/EN/ALL/?uri=CELEX%3A52011DC0144" TargetMode="External"/><Relationship Id="rId6" Type="http://schemas.openxmlformats.org/officeDocument/2006/relationships/hyperlink" Target="http://www.europarl.europa.eu/sides/getDoc.do?pubRef=-//EP//NONSGML+TA+P8-TA-2017-0228+0+DOC+PDF+V0//EN" TargetMode="External"/><Relationship Id="rId11" Type="http://schemas.openxmlformats.org/officeDocument/2006/relationships/hyperlink" Target="https://ec.europa.eu/info/law/better-regulation/initiatives/ares-2017-2546864_en" TargetMode="External"/><Relationship Id="rId24" Type="http://schemas.openxmlformats.org/officeDocument/2006/relationships/hyperlink" Target="http://documents.worldbank.org/curated/en/977511468764990679/pdf/wps3224TRADE.pdf" TargetMode="External"/><Relationship Id="rId5" Type="http://schemas.openxmlformats.org/officeDocument/2006/relationships/hyperlink" Target="https://ec.europa.eu/digital-single-market/en/news/ministerial-declaration-egovernment-tallinn-declaration" TargetMode="External"/><Relationship Id="rId15" Type="http://schemas.openxmlformats.org/officeDocument/2006/relationships/hyperlink" Target="http://ec.europa.eu/clima/policies/strategies/analysis/models/docs/primes_model_2013-2014_en.pdf" TargetMode="External"/><Relationship Id="rId23" Type="http://schemas.openxmlformats.org/officeDocument/2006/relationships/hyperlink" Target="http://ec.europa.eu/newsroom/dae/document.cfm?doc_id=15268" TargetMode="External"/><Relationship Id="rId28" Type="http://schemas.openxmlformats.org/officeDocument/2006/relationships/hyperlink" Target="https://ec.europa.eu/isa2/home_en" TargetMode="External"/><Relationship Id="rId10" Type="http://schemas.openxmlformats.org/officeDocument/2006/relationships/hyperlink" Target="http://www.conservatree.org/" TargetMode="External"/><Relationship Id="rId19" Type="http://schemas.openxmlformats.org/officeDocument/2006/relationships/hyperlink" Target="https://joinup.ec.europa.eu/document/eucaris-european-car-and-driving-licence-information-system-eucaris-0" TargetMode="External"/><Relationship Id="rId4" Type="http://schemas.openxmlformats.org/officeDocument/2006/relationships/hyperlink" Target="http://www.dtlf.eu" TargetMode="External"/><Relationship Id="rId9" Type="http://schemas.openxmlformats.org/officeDocument/2006/relationships/hyperlink" Target="https://joinup.ec.europa.eu/document/eucaris-european-car-and-driving-licence-information-system-eucaris-0" TargetMode="External"/><Relationship Id="rId14" Type="http://schemas.openxmlformats.org/officeDocument/2006/relationships/hyperlink" Target="http://www.tmleuven.be/methode/tremove/home.htm" TargetMode="External"/><Relationship Id="rId22" Type="http://schemas.openxmlformats.org/officeDocument/2006/relationships/hyperlink" Target="http://eur-lex.europa.eu/legal-content/EN/TXT/PDF/?uri=CELEX:52015SC0100&amp;from=EN" TargetMode="External"/><Relationship Id="rId27" Type="http://schemas.openxmlformats.org/officeDocument/2006/relationships/hyperlink" Target="http://ec.europa.eu/newsroom/dae/document.cfm?doc_id=15268"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cnlfs2.ecorysnl.local\W\2110%20Freight\Projecten\F%20nummers\FHQ92760%20Electronic%20transport%20documents\2.%20Project\Guus\Surveys\Visuals.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percentStacked"/>
        <c:varyColors val="0"/>
        <c:ser>
          <c:idx val="0"/>
          <c:order val="0"/>
          <c:tx>
            <c:strRef>
              <c:f>'Targeted survey'!$C$68</c:f>
              <c:strCache>
                <c:ptCount val="1"/>
                <c:pt idx="0">
                  <c:v>Very significant</c:v>
                </c:pt>
              </c:strCache>
            </c:strRef>
          </c:tx>
          <c:spPr>
            <a:solidFill>
              <a:schemeClr val="accent1">
                <a:shade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'Targeted survey'!$D$67:$J$67</c:f>
              <c:strCache>
                <c:ptCount val="7"/>
                <c:pt idx="0">
                  <c:v>No legal provision for ETD (national)</c:v>
                </c:pt>
                <c:pt idx="1">
                  <c:v>National regulation forces handwritten signatures on TD</c:v>
                </c:pt>
                <c:pt idx="2">
                  <c:v>National regulation forces stamps on TD</c:v>
                </c:pt>
                <c:pt idx="3">
                  <c:v>ETD are susceptible to fraud </c:v>
                </c:pt>
                <c:pt idx="4">
                  <c:v>ETD have no legal validity (national)</c:v>
                </c:pt>
                <c:pt idx="5">
                  <c:v>Only paper TD are deemed evidence in courts (national)</c:v>
                </c:pt>
                <c:pt idx="6">
                  <c:v>Limited acceptance of ETD outside Europe</c:v>
                </c:pt>
              </c:strCache>
            </c:strRef>
          </c:cat>
          <c:val>
            <c:numRef>
              <c:f>'Targeted survey'!$D$68:$J$68</c:f>
              <c:numCache>
                <c:formatCode>0%</c:formatCode>
                <c:ptCount val="7"/>
                <c:pt idx="0">
                  <c:v>0.4</c:v>
                </c:pt>
                <c:pt idx="1">
                  <c:v>0.42222222222222222</c:v>
                </c:pt>
                <c:pt idx="2">
                  <c:v>0.28888888888888886</c:v>
                </c:pt>
                <c:pt idx="3">
                  <c:v>0.22222222222222221</c:v>
                </c:pt>
                <c:pt idx="4">
                  <c:v>0.17777777777777778</c:v>
                </c:pt>
                <c:pt idx="5">
                  <c:v>0.22222222222222221</c:v>
                </c:pt>
                <c:pt idx="6">
                  <c:v>0.42222222222222222</c:v>
                </c:pt>
              </c:numCache>
            </c:numRef>
          </c:val>
          <c:extLst xmlns:c16r2="http://schemas.microsoft.com/office/drawing/2015/06/chart">
            <c:ext xmlns:c16="http://schemas.microsoft.com/office/drawing/2014/chart" uri="{C3380CC4-5D6E-409C-BE32-E72D297353CC}">
              <c16:uniqueId val="{00000000-D539-4AE7-8D8F-572D5C6CD107}"/>
            </c:ext>
          </c:extLst>
        </c:ser>
        <c:ser>
          <c:idx val="1"/>
          <c:order val="1"/>
          <c:tx>
            <c:strRef>
              <c:f>'Targeted survey'!$C$69</c:f>
              <c:strCache>
                <c:ptCount val="1"/>
                <c:pt idx="0">
                  <c:v>Moderately significant</c:v>
                </c:pt>
              </c:strCache>
            </c:strRef>
          </c:tx>
          <c:spPr>
            <a:solidFill>
              <a:schemeClr val="accent1">
                <a:shade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'Targeted survey'!$D$67:$J$67</c:f>
              <c:strCache>
                <c:ptCount val="7"/>
                <c:pt idx="0">
                  <c:v>No legal provision for ETD (national)</c:v>
                </c:pt>
                <c:pt idx="1">
                  <c:v>National regulation forces handwritten signatures on TD</c:v>
                </c:pt>
                <c:pt idx="2">
                  <c:v>National regulation forces stamps on TD</c:v>
                </c:pt>
                <c:pt idx="3">
                  <c:v>ETD are susceptible to fraud </c:v>
                </c:pt>
                <c:pt idx="4">
                  <c:v>ETD have no legal validity (national)</c:v>
                </c:pt>
                <c:pt idx="5">
                  <c:v>Only paper TD are deemed evidence in courts (national)</c:v>
                </c:pt>
                <c:pt idx="6">
                  <c:v>Limited acceptance of ETD outside Europe</c:v>
                </c:pt>
              </c:strCache>
            </c:strRef>
          </c:cat>
          <c:val>
            <c:numRef>
              <c:f>'Targeted survey'!$D$69:$J$69</c:f>
              <c:numCache>
                <c:formatCode>0%</c:formatCode>
                <c:ptCount val="7"/>
                <c:pt idx="0">
                  <c:v>0.35555555555555557</c:v>
                </c:pt>
                <c:pt idx="1">
                  <c:v>0.15555555555555556</c:v>
                </c:pt>
                <c:pt idx="2">
                  <c:v>0.22222222222222221</c:v>
                </c:pt>
                <c:pt idx="3">
                  <c:v>0.35555555555555557</c:v>
                </c:pt>
                <c:pt idx="4">
                  <c:v>0.28888888888888886</c:v>
                </c:pt>
                <c:pt idx="5">
                  <c:v>0.15555555555555556</c:v>
                </c:pt>
                <c:pt idx="6">
                  <c:v>0.24444444444444444</c:v>
                </c:pt>
              </c:numCache>
            </c:numRef>
          </c:val>
          <c:extLst xmlns:c16r2="http://schemas.microsoft.com/office/drawing/2015/06/chart">
            <c:ext xmlns:c16="http://schemas.microsoft.com/office/drawing/2014/chart" uri="{C3380CC4-5D6E-409C-BE32-E72D297353CC}">
              <c16:uniqueId val="{00000001-D539-4AE7-8D8F-572D5C6CD107}"/>
            </c:ext>
          </c:extLst>
        </c:ser>
        <c:ser>
          <c:idx val="2"/>
          <c:order val="2"/>
          <c:tx>
            <c:strRef>
              <c:f>'Targeted survey'!$C$70</c:f>
              <c:strCache>
                <c:ptCount val="1"/>
                <c:pt idx="0">
                  <c:v>Not significant</c:v>
                </c:pt>
              </c:strCache>
            </c:strRef>
          </c:tx>
          <c:spPr>
            <a:solidFill>
              <a:schemeClr val="accent1">
                <a:tint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'Targeted survey'!$D$67:$J$67</c:f>
              <c:strCache>
                <c:ptCount val="7"/>
                <c:pt idx="0">
                  <c:v>No legal provision for ETD (national)</c:v>
                </c:pt>
                <c:pt idx="1">
                  <c:v>National regulation forces handwritten signatures on TD</c:v>
                </c:pt>
                <c:pt idx="2">
                  <c:v>National regulation forces stamps on TD</c:v>
                </c:pt>
                <c:pt idx="3">
                  <c:v>ETD are susceptible to fraud </c:v>
                </c:pt>
                <c:pt idx="4">
                  <c:v>ETD have no legal validity (national)</c:v>
                </c:pt>
                <c:pt idx="5">
                  <c:v>Only paper TD are deemed evidence in courts (national)</c:v>
                </c:pt>
                <c:pt idx="6">
                  <c:v>Limited acceptance of ETD outside Europe</c:v>
                </c:pt>
              </c:strCache>
            </c:strRef>
          </c:cat>
          <c:val>
            <c:numRef>
              <c:f>'Targeted survey'!$D$70:$J$70</c:f>
              <c:numCache>
                <c:formatCode>0%</c:formatCode>
                <c:ptCount val="7"/>
                <c:pt idx="0">
                  <c:v>0.13333333333333333</c:v>
                </c:pt>
                <c:pt idx="1">
                  <c:v>0.22222222222222221</c:v>
                </c:pt>
                <c:pt idx="2">
                  <c:v>0.31111111111111112</c:v>
                </c:pt>
                <c:pt idx="3">
                  <c:v>0.26666666666666666</c:v>
                </c:pt>
                <c:pt idx="4">
                  <c:v>0.37777777777777777</c:v>
                </c:pt>
                <c:pt idx="5">
                  <c:v>0.4</c:v>
                </c:pt>
                <c:pt idx="6">
                  <c:v>8.8888888888888892E-2</c:v>
                </c:pt>
              </c:numCache>
            </c:numRef>
          </c:val>
          <c:extLst xmlns:c16r2="http://schemas.microsoft.com/office/drawing/2015/06/chart">
            <c:ext xmlns:c16="http://schemas.microsoft.com/office/drawing/2014/chart" uri="{C3380CC4-5D6E-409C-BE32-E72D297353CC}">
              <c16:uniqueId val="{00000002-D539-4AE7-8D8F-572D5C6CD107}"/>
            </c:ext>
          </c:extLst>
        </c:ser>
        <c:ser>
          <c:idx val="3"/>
          <c:order val="3"/>
          <c:tx>
            <c:strRef>
              <c:f>'Targeted survey'!$C$71</c:f>
              <c:strCache>
                <c:ptCount val="1"/>
                <c:pt idx="0">
                  <c:v>I don't know</c:v>
                </c:pt>
              </c:strCache>
            </c:strRef>
          </c:tx>
          <c:spPr>
            <a:solidFill>
              <a:schemeClr val="accent1">
                <a:tint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'Targeted survey'!$D$67:$J$67</c:f>
              <c:strCache>
                <c:ptCount val="7"/>
                <c:pt idx="0">
                  <c:v>No legal provision for ETD (national)</c:v>
                </c:pt>
                <c:pt idx="1">
                  <c:v>National regulation forces handwritten signatures on TD</c:v>
                </c:pt>
                <c:pt idx="2">
                  <c:v>National regulation forces stamps on TD</c:v>
                </c:pt>
                <c:pt idx="3">
                  <c:v>ETD are susceptible to fraud </c:v>
                </c:pt>
                <c:pt idx="4">
                  <c:v>ETD have no legal validity (national)</c:v>
                </c:pt>
                <c:pt idx="5">
                  <c:v>Only paper TD are deemed evidence in courts (national)</c:v>
                </c:pt>
                <c:pt idx="6">
                  <c:v>Limited acceptance of ETD outside Europe</c:v>
                </c:pt>
              </c:strCache>
            </c:strRef>
          </c:cat>
          <c:val>
            <c:numRef>
              <c:f>'Targeted survey'!$D$71:$J$71</c:f>
              <c:numCache>
                <c:formatCode>0%</c:formatCode>
                <c:ptCount val="7"/>
                <c:pt idx="0">
                  <c:v>0.1111111111111111</c:v>
                </c:pt>
                <c:pt idx="1">
                  <c:v>0.2</c:v>
                </c:pt>
                <c:pt idx="2">
                  <c:v>0.17777777777777778</c:v>
                </c:pt>
                <c:pt idx="3">
                  <c:v>0.15555555555555556</c:v>
                </c:pt>
                <c:pt idx="4">
                  <c:v>0.15555555555555556</c:v>
                </c:pt>
                <c:pt idx="5">
                  <c:v>0.22222222222222221</c:v>
                </c:pt>
                <c:pt idx="6">
                  <c:v>0.24444444444444444</c:v>
                </c:pt>
              </c:numCache>
            </c:numRef>
          </c:val>
          <c:extLst xmlns:c16r2="http://schemas.microsoft.com/office/drawing/2015/06/chart">
            <c:ext xmlns:c16="http://schemas.microsoft.com/office/drawing/2014/chart" uri="{C3380CC4-5D6E-409C-BE32-E72D297353CC}">
              <c16:uniqueId val="{00000003-D539-4AE7-8D8F-572D5C6CD107}"/>
            </c:ext>
          </c:extLst>
        </c:ser>
        <c:dLbls>
          <c:showLegendKey val="0"/>
          <c:showVal val="1"/>
          <c:showCatName val="0"/>
          <c:showSerName val="0"/>
          <c:showPercent val="0"/>
          <c:showBubbleSize val="0"/>
        </c:dLbls>
        <c:gapWidth val="95"/>
        <c:overlap val="100"/>
        <c:axId val="35535488"/>
        <c:axId val="35553664"/>
      </c:barChart>
      <c:catAx>
        <c:axId val="35535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553664"/>
        <c:crosses val="autoZero"/>
        <c:auto val="1"/>
        <c:lblAlgn val="ctr"/>
        <c:lblOffset val="100"/>
        <c:noMultiLvlLbl val="0"/>
      </c:catAx>
      <c:valAx>
        <c:axId val="35553664"/>
        <c:scaling>
          <c:orientation val="minMax"/>
        </c:scaling>
        <c:delete val="1"/>
        <c:axPos val="b"/>
        <c:numFmt formatCode="0%" sourceLinked="1"/>
        <c:majorTickMark val="none"/>
        <c:minorTickMark val="none"/>
        <c:tickLblPos val="nextTo"/>
        <c:crossAx val="35535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SUMMARY_EFFICIENCY!$B$21</c:f>
              <c:strCache>
                <c:ptCount val="1"/>
                <c:pt idx="0">
                  <c:v>Net benefits </c:v>
                </c:pt>
              </c:strCache>
            </c:strRef>
          </c:tx>
          <c:spPr>
            <a:solidFill>
              <a:schemeClr val="accent1"/>
            </a:solidFill>
            <a:ln>
              <a:noFill/>
            </a:ln>
            <a:effectLst/>
          </c:spPr>
          <c:invertIfNegative val="0"/>
          <c:dPt>
            <c:idx val="3"/>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1-1AE9-4FAA-BE46-21E60E58DD83}"/>
              </c:ext>
            </c:extLst>
          </c:dPt>
          <c:cat>
            <c:strRef>
              <c:f>SUMMARY_EFFICIENCY!$C$20:$F$20</c:f>
              <c:strCache>
                <c:ptCount val="4"/>
                <c:pt idx="0">
                  <c:v>PO1</c:v>
                </c:pt>
                <c:pt idx="1">
                  <c:v>PO2</c:v>
                </c:pt>
                <c:pt idx="2">
                  <c:v>PO3/PO4</c:v>
                </c:pt>
                <c:pt idx="3">
                  <c:v>PO3a/PO4a</c:v>
                </c:pt>
              </c:strCache>
            </c:strRef>
          </c:cat>
          <c:val>
            <c:numRef>
              <c:f>SUMMARY_EFFICIENCY!$C$21:$F$21</c:f>
              <c:numCache>
                <c:formatCode>#,##0</c:formatCode>
                <c:ptCount val="4"/>
                <c:pt idx="0">
                  <c:v>2120.228808201718</c:v>
                </c:pt>
                <c:pt idx="1">
                  <c:v>18710.350707365124</c:v>
                </c:pt>
                <c:pt idx="2">
                  <c:v>27342.844631859014</c:v>
                </c:pt>
                <c:pt idx="3">
                  <c:v>23138.316472479459</c:v>
                </c:pt>
              </c:numCache>
            </c:numRef>
          </c:val>
          <c:extLst xmlns:c16r2="http://schemas.microsoft.com/office/drawing/2015/06/chart">
            <c:ext xmlns:c16="http://schemas.microsoft.com/office/drawing/2014/chart" uri="{C3380CC4-5D6E-409C-BE32-E72D297353CC}">
              <c16:uniqueId val="{00000002-1AE9-4FAA-BE46-21E60E58DD83}"/>
            </c:ext>
          </c:extLst>
        </c:ser>
        <c:dLbls>
          <c:showLegendKey val="0"/>
          <c:showVal val="0"/>
          <c:showCatName val="0"/>
          <c:showSerName val="0"/>
          <c:showPercent val="0"/>
          <c:showBubbleSize val="0"/>
        </c:dLbls>
        <c:gapWidth val="219"/>
        <c:overlap val="-27"/>
        <c:axId val="94184960"/>
        <c:axId val="94186496"/>
      </c:barChart>
      <c:catAx>
        <c:axId val="94184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4186496"/>
        <c:crosses val="autoZero"/>
        <c:auto val="1"/>
        <c:lblAlgn val="ctr"/>
        <c:lblOffset val="100"/>
        <c:noMultiLvlLbl val="0"/>
      </c:catAx>
      <c:valAx>
        <c:axId val="94186496"/>
        <c:scaling>
          <c:orientation val="minMax"/>
          <c:max val="30000"/>
          <c:min val="0"/>
        </c:scaling>
        <c:delete val="0"/>
        <c:axPos val="l"/>
        <c:majorGridlines>
          <c:spPr>
            <a:ln w="9525" cap="flat" cmpd="sng" algn="ctr">
              <a:solidFill>
                <a:schemeClr val="bg1">
                  <a:lumMod val="85000"/>
                </a:schemeClr>
              </a:solidFill>
              <a:prstDash val="sysDash"/>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in EUR million</a:t>
                </a:r>
              </a:p>
            </c:rich>
          </c:tx>
          <c:layout>
            <c:manualLayout>
              <c:xMode val="edge"/>
              <c:yMode val="edge"/>
              <c:x val="1.3888888888888888E-2"/>
              <c:y val="0.35903543307086616"/>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418496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64CA014-505A-44B3-BF18-6281DF6A8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21</Pages>
  <Words>44071</Words>
  <Characters>249886</Characters>
  <Application>Microsoft Office Word</Application>
  <DocSecurity>0</DocSecurity>
  <Lines>7572</Lines>
  <Paragraphs>4453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289504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34</cp:revision>
  <cp:lastPrinted>2018-04-30T16:13:00Z</cp:lastPrinted>
  <dcterms:created xsi:type="dcterms:W3CDTF">2018-04-30T10:19:00Z</dcterms:created>
  <dcterms:modified xsi:type="dcterms:W3CDTF">2018-05-17T08:18:00Z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2</vt:lpwstr>
  </property>
  <property fmtid="{D5CDD505-2E9C-101B-9397-08002B2CF9AE}" pid="4" name="DocStatus">
    <vt:lpwstr>Green</vt:lpwstr>
  </property>
  <property fmtid="{D5CDD505-2E9C-101B-9397-08002B2CF9AE}" pid="5" name="Level of sensitivity">
    <vt:lpwstr>Standard treatment</vt:lpwstr>
  </property>
</Properties>
</file>