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8B074E1-008A-49C0-AF66-9538D131E3AF" style="width:450.45pt;height:396.8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rPr>
          <w:noProof/>
        </w:rPr>
      </w:pPr>
      <w:r>
        <w:rPr>
          <w:noProof/>
        </w:rPr>
        <w:t>Les annexes de la directive 2008/96/CE sont modifiées comme suit:</w:t>
      </w:r>
    </w:p>
    <w:p>
      <w:pPr>
        <w:pStyle w:val="Point0number"/>
        <w:numPr>
          <w:ilvl w:val="0"/>
          <w:numId w:val="9"/>
        </w:numPr>
        <w:rPr>
          <w:noProof/>
        </w:rPr>
      </w:pPr>
      <w:r>
        <w:rPr>
          <w:noProof/>
        </w:rPr>
        <w:t>à l’annexe I, le titre est remplacé par le texte suivant:</w:t>
      </w:r>
    </w:p>
    <w:p>
      <w:pPr>
        <w:ind w:left="130" w:firstLine="720"/>
        <w:rPr>
          <w:noProof/>
        </w:rPr>
      </w:pPr>
      <w:r>
        <w:rPr>
          <w:noProof/>
        </w:rPr>
        <w:t>«ANNEXE I</w:t>
      </w:r>
    </w:p>
    <w:p>
      <w:pPr>
        <w:ind w:left="130" w:firstLine="720"/>
        <w:rPr>
          <w:noProof/>
        </w:rPr>
      </w:pPr>
      <w:r>
        <w:rPr>
          <w:noProof/>
        </w:rPr>
        <w:t>ÉLÉMENTS DES ÉVALUATIONS DES INCIDENCES SUR LA SÉCURITÉ ROUTIÈRE»;</w:t>
      </w:r>
    </w:p>
    <w:p>
      <w:pPr>
        <w:pStyle w:val="Point0number"/>
        <w:rPr>
          <w:noProof/>
        </w:rPr>
      </w:pPr>
      <w:r>
        <w:rPr>
          <w:noProof/>
        </w:rPr>
        <w:t>L’annexe II est modifiée comme suit: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le titre est remplacé par le texte suivant:</w:t>
      </w:r>
    </w:p>
    <w:p>
      <w:pPr>
        <w:ind w:left="130" w:firstLine="720"/>
        <w:rPr>
          <w:noProof/>
        </w:rPr>
      </w:pPr>
      <w:r>
        <w:rPr>
          <w:noProof/>
        </w:rPr>
        <w:t>«ANNEXE II</w:t>
      </w:r>
    </w:p>
    <w:p>
      <w:pPr>
        <w:ind w:left="130" w:firstLine="720"/>
        <w:rPr>
          <w:noProof/>
        </w:rPr>
      </w:pPr>
      <w:r>
        <w:rPr>
          <w:noProof/>
        </w:rPr>
        <w:t>ÉLÉMENTS DES AUDITS DE SÉCURITÉ ROUTIÈRE»;</w:t>
      </w:r>
    </w:p>
    <w:p>
      <w:pPr>
        <w:rPr>
          <w:noProof/>
        </w:rPr>
      </w:pPr>
      <w:r>
        <w:rPr>
          <w:noProof/>
        </w:rPr>
        <w:t>b) à la section 1, le point n) suivant est ajouté:</w:t>
      </w:r>
    </w:p>
    <w:p>
      <w:pPr>
        <w:ind w:left="130" w:firstLine="720"/>
        <w:rPr>
          <w:noProof/>
        </w:rPr>
      </w:pPr>
      <w:r>
        <w:rPr>
          <w:noProof/>
        </w:rPr>
        <w:t>«n)</w:t>
      </w:r>
      <w:r>
        <w:rPr>
          <w:noProof/>
        </w:rPr>
        <w:tab/>
        <w:t>dispositions pour les usagers de la route vulnérables:</w:t>
      </w:r>
    </w:p>
    <w:p>
      <w:pPr>
        <w:ind w:left="130" w:firstLine="720"/>
        <w:rPr>
          <w:noProof/>
        </w:rPr>
      </w:pPr>
      <w:r>
        <w:rPr>
          <w:noProof/>
        </w:rPr>
        <w:t>i)</w:t>
      </w:r>
      <w:r>
        <w:rPr>
          <w:noProof/>
        </w:rPr>
        <w:tab/>
        <w:t>dispositions pour les piétons,</w:t>
      </w:r>
    </w:p>
    <w:p>
      <w:pPr>
        <w:ind w:left="130" w:firstLine="720"/>
        <w:rPr>
          <w:noProof/>
        </w:rPr>
      </w:pPr>
      <w:r>
        <w:rPr>
          <w:noProof/>
        </w:rPr>
        <w:t>ii)</w:t>
      </w:r>
      <w:r>
        <w:rPr>
          <w:noProof/>
        </w:rPr>
        <w:tab/>
        <w:t>dispositions pour les cyclistes,</w:t>
      </w:r>
    </w:p>
    <w:p>
      <w:pPr>
        <w:ind w:left="697" w:firstLine="153"/>
        <w:rPr>
          <w:noProof/>
        </w:rPr>
      </w:pPr>
      <w:r>
        <w:rPr>
          <w:noProof/>
        </w:rPr>
        <w:t>iii)</w:t>
      </w:r>
      <w:r>
        <w:rPr>
          <w:noProof/>
        </w:rPr>
        <w:tab/>
        <w:t>dispositions pour les deux-roues motorisés.»;</w:t>
      </w:r>
    </w:p>
    <w:p>
      <w:pPr>
        <w:rPr>
          <w:noProof/>
        </w:rPr>
      </w:pPr>
      <w:r>
        <w:rPr>
          <w:noProof/>
        </w:rPr>
        <w:t>c) à la section 2, le point h) est remplacé par le texte suivant:</w:t>
      </w:r>
    </w:p>
    <w:p>
      <w:pPr>
        <w:ind w:left="130" w:firstLine="720"/>
        <w:rPr>
          <w:noProof/>
        </w:rPr>
      </w:pPr>
      <w:r>
        <w:rPr>
          <w:noProof/>
        </w:rPr>
        <w:t>«h)</w:t>
      </w:r>
      <w:r>
        <w:rPr>
          <w:noProof/>
        </w:rPr>
        <w:tab/>
        <w:t>dispositions pour les usagers de la route vulnérables:</w:t>
      </w:r>
    </w:p>
    <w:p>
      <w:pPr>
        <w:ind w:left="130" w:firstLine="720"/>
        <w:rPr>
          <w:noProof/>
        </w:rPr>
      </w:pPr>
      <w:r>
        <w:rPr>
          <w:noProof/>
        </w:rPr>
        <w:t>i) dispositions pour les piétons,</w:t>
      </w:r>
    </w:p>
    <w:p>
      <w:pPr>
        <w:ind w:left="130" w:firstLine="720"/>
        <w:rPr>
          <w:noProof/>
        </w:rPr>
      </w:pPr>
      <w:r>
        <w:rPr>
          <w:noProof/>
        </w:rPr>
        <w:t>ii) dispositions pour les cyclistes,</w:t>
      </w:r>
    </w:p>
    <w:p>
      <w:pPr>
        <w:ind w:left="130" w:firstLine="720"/>
        <w:rPr>
          <w:noProof/>
        </w:rPr>
      </w:pPr>
      <w:r>
        <w:rPr>
          <w:noProof/>
        </w:rPr>
        <w:t>iii) dispositions pour les deux-roues motorisés;»;</w:t>
      </w:r>
    </w:p>
    <w:p>
      <w:pPr>
        <w:pStyle w:val="Point0number"/>
        <w:rPr>
          <w:noProof/>
        </w:rPr>
      </w:pPr>
      <w:r>
        <w:rPr>
          <w:noProof/>
        </w:rPr>
        <w:t>l’annexe II </w:t>
      </w:r>
      <w:r>
        <w:rPr>
          <w:i/>
          <w:noProof/>
        </w:rPr>
        <w:t>bis</w:t>
      </w:r>
      <w:r>
        <w:rPr>
          <w:noProof/>
        </w:rPr>
        <w:t xml:space="preserve"> suivante est insérée:</w:t>
      </w:r>
    </w:p>
    <w:p>
      <w:pPr>
        <w:rPr>
          <w:b/>
          <w:bCs/>
          <w:noProof/>
        </w:rPr>
      </w:pPr>
      <w:r>
        <w:rPr>
          <w:b/>
          <w:noProof/>
        </w:rPr>
        <w:t>«ANNEXE II </w:t>
      </w:r>
      <w:r>
        <w:rPr>
          <w:b/>
          <w:i/>
          <w:noProof/>
        </w:rPr>
        <w:t>bis</w:t>
      </w:r>
    </w:p>
    <w:p>
      <w:pPr>
        <w:rPr>
          <w:b/>
          <w:bCs/>
          <w:noProof/>
        </w:rPr>
      </w:pPr>
      <w:r>
        <w:rPr>
          <w:b/>
          <w:noProof/>
        </w:rPr>
        <w:t>ÉLÉMENTS DES INSPECTIONS DE SÉCURITÉ ROUTIÈRE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Tracé de la route et profil en travers:</w:t>
      </w:r>
    </w:p>
    <w:p>
      <w:pPr>
        <w:rPr>
          <w:noProof/>
        </w:rPr>
      </w:pPr>
      <w:r>
        <w:rPr>
          <w:noProof/>
        </w:rPr>
        <w:t xml:space="preserve">a) </w:t>
      </w:r>
      <w:r>
        <w:rPr>
          <w:noProof/>
        </w:rPr>
        <w:tab/>
        <w:t>visibilité et distances de visibilité;</w:t>
      </w:r>
    </w:p>
    <w:p>
      <w:pPr>
        <w:rPr>
          <w:noProof/>
        </w:rPr>
      </w:pPr>
      <w:r>
        <w:rPr>
          <w:noProof/>
        </w:rPr>
        <w:t xml:space="preserve">b) </w:t>
      </w:r>
      <w:r>
        <w:rPr>
          <w:noProof/>
        </w:rPr>
        <w:tab/>
        <w:t>limitation de vitesse et zones à vitesse réglementée;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tracé lisible ("lisibilité" du tracé par les conducteurs);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accès aux propriétés et aménagements adjacents;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accès des véhicules de service et d’urgence;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traitement au niveau des ponts et des aqueducs;</w:t>
      </w:r>
    </w:p>
    <w:p>
      <w:pPr>
        <w:rPr>
          <w:noProof/>
        </w:rPr>
      </w:pPr>
      <w:r>
        <w:rPr>
          <w:noProof/>
        </w:rPr>
        <w:t>g)</w:t>
      </w:r>
      <w:r>
        <w:rPr>
          <w:noProof/>
        </w:rPr>
        <w:tab/>
        <w:t>aménagement des bords de route (accotements, affaissement de la chaussée, déblais et remblais).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Intersections et échangeurs: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pertinence du type d’intersection/échangeur;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géométrie de l’aménagement de l’intersection/échangeur;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visibilité et lisibilité (perception) des intersections;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visibilité à l’intersection;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aménagement des voies supplémentaires aux intersections;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contrôle de la circulation aux intersections (par exemple, arrêt contrôlé, feux de circulation, etc.);</w:t>
      </w:r>
    </w:p>
    <w:p>
      <w:pPr>
        <w:rPr>
          <w:noProof/>
        </w:rPr>
      </w:pPr>
      <w:r>
        <w:rPr>
          <w:noProof/>
        </w:rPr>
        <w:t>g)</w:t>
      </w:r>
      <w:r>
        <w:rPr>
          <w:noProof/>
        </w:rPr>
        <w:tab/>
        <w:t>présence de passages pour piétons.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3.</w:t>
      </w:r>
      <w:r>
        <w:rPr>
          <w:noProof/>
        </w:rPr>
        <w:tab/>
        <w:t>Dispositions pour les usagers de la route vulnérables: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dispositions pour les piétons;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dispositions pour les cyclistes;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dispositions pour les deux-roues motorisés;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transports publics et infrastructures publiques;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passages à niveau.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4.</w:t>
      </w:r>
      <w:r>
        <w:rPr>
          <w:noProof/>
        </w:rPr>
        <w:tab/>
        <w:t>Éclairage, signalisation et marquage: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signalisation cohérente qui ne masque pas la visibilité;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lisibilité de la signalisation (position, taille, couleur);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panneaux de signalisation;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cohérence du marquage et de la délimitation;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lisibilité du marquage routier (emplacement, dimensions et rétroréflectivité en conditions sèches et humides);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contraste approprié du marquage;</w:t>
      </w:r>
    </w:p>
    <w:p>
      <w:pPr>
        <w:rPr>
          <w:noProof/>
        </w:rPr>
      </w:pPr>
      <w:r>
        <w:rPr>
          <w:noProof/>
        </w:rPr>
        <w:t>g)</w:t>
      </w:r>
      <w:r>
        <w:rPr>
          <w:noProof/>
        </w:rPr>
        <w:tab/>
        <w:t>éclairage des routes et des intersections éclairées;</w:t>
      </w:r>
    </w:p>
    <w:p>
      <w:pPr>
        <w:rPr>
          <w:noProof/>
        </w:rPr>
      </w:pPr>
      <w:r>
        <w:rPr>
          <w:noProof/>
        </w:rPr>
        <w:t>h)</w:t>
      </w:r>
      <w:r>
        <w:rPr>
          <w:noProof/>
        </w:rPr>
        <w:tab/>
        <w:t>équipements de bord de route appropriés.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5.</w:t>
      </w:r>
      <w:r>
        <w:rPr>
          <w:noProof/>
        </w:rPr>
        <w:tab/>
        <w:t>Feux de signalisation: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exploitation;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visibilité.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6.</w:t>
      </w:r>
      <w:r>
        <w:rPr>
          <w:noProof/>
        </w:rPr>
        <w:tab/>
        <w:t>Objets, zones de sécurité et dispositifs de retenue routiers: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environnement de bord de route, dont végétation;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dangers en bord de route et distance du bord de la chaussée;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dispositifs de retenue routiers adaptés (terre-plein central et barrières métalliques afin d’empêcher les risques pour les usagers vulnérables).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traitement final des barrières métalliques;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dispositifs de retenue routiers appropriés au niveau des ponts et des aqueducs.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clôtures (sur les routes dont l’accès est restreint).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7.</w:t>
      </w:r>
      <w:r>
        <w:rPr>
          <w:noProof/>
        </w:rPr>
        <w:tab/>
        <w:t>Chaussée: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défauts de la chaussée;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résistance au dérapage;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matériaux/graviers/pierres meubles;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accumulation d’eau, évacuation des eaux.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8.</w:t>
      </w:r>
      <w:r>
        <w:rPr>
          <w:noProof/>
        </w:rPr>
        <w:tab/>
        <w:t>Autres éléments: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mise à disposition d’aires de stationnement et de repos sûres;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disposition pour les poids lourds;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éblouissement causé par les phares;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travaux routiers;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activités dangereuses en bordure de route;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informations appropriées dans les équipements STI (par exemple, panneaux à messages variables);</w:t>
      </w:r>
    </w:p>
    <w:p>
      <w:pPr>
        <w:rPr>
          <w:noProof/>
        </w:rPr>
      </w:pPr>
      <w:r>
        <w:rPr>
          <w:noProof/>
        </w:rPr>
        <w:t>g)</w:t>
      </w:r>
      <w:r>
        <w:rPr>
          <w:noProof/>
        </w:rPr>
        <w:tab/>
        <w:t>espèces sauvages et animaux;</w:t>
      </w:r>
    </w:p>
    <w:p>
      <w:pPr>
        <w:rPr>
          <w:noProof/>
        </w:rPr>
      </w:pPr>
      <w:r>
        <w:rPr>
          <w:noProof/>
        </w:rPr>
        <w:t xml:space="preserve">h) </w:t>
      </w:r>
      <w:r>
        <w:rPr>
          <w:noProof/>
        </w:rPr>
        <w:tab/>
        <w:t>avertissements de zone scolaire (le cas échéant).»;</w:t>
      </w:r>
    </w:p>
    <w:p>
      <w:pPr>
        <w:rPr>
          <w:noProof/>
        </w:rPr>
      </w:pPr>
    </w:p>
    <w:p>
      <w:pPr>
        <w:pStyle w:val="Point0number"/>
        <w:rPr>
          <w:noProof/>
        </w:rPr>
      </w:pPr>
      <w:r>
        <w:rPr>
          <w:noProof/>
        </w:rPr>
        <w:t>l’annexe III est remplacée par le texte suivant:</w:t>
      </w:r>
    </w:p>
    <w:p>
      <w:pPr>
        <w:rPr>
          <w:b/>
          <w:bCs/>
          <w:noProof/>
        </w:rPr>
      </w:pPr>
      <w:r>
        <w:rPr>
          <w:b/>
          <w:noProof/>
        </w:rPr>
        <w:t>«Annexe III</w:t>
      </w:r>
    </w:p>
    <w:p>
      <w:pPr>
        <w:rPr>
          <w:b/>
          <w:bCs/>
          <w:noProof/>
        </w:rPr>
      </w:pPr>
      <w:r>
        <w:rPr>
          <w:b/>
          <w:noProof/>
        </w:rPr>
        <w:t>ÉLÉMENTS DES ÉVALUATIONS DE L’ENSEMBLE DU RÉSEAU ROUTIER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Généralités:</w:t>
      </w:r>
    </w:p>
    <w:p>
      <w:pPr>
        <w:rPr>
          <w:noProof/>
        </w:rPr>
      </w:pPr>
      <w:r>
        <w:rPr>
          <w:noProof/>
        </w:rPr>
        <w:t xml:space="preserve">a) </w:t>
      </w:r>
      <w:r>
        <w:rPr>
          <w:noProof/>
        </w:rPr>
        <w:tab/>
        <w:t>type de route en ce qui concerne le type et la dimension des régions/villes qu’elle relie;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longueur du tronçon routier;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type de zone (urbaine, rurale);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utilisation des sols (écoles, commerces, industries et manufactures, résidences, élevages et exploitations agricoles, zones non développées);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densité des points d’accès aux propriétés;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présence d'une voie de desserte (par exemple pour les magasins);</w:t>
      </w:r>
    </w:p>
    <w:p>
      <w:pPr>
        <w:rPr>
          <w:noProof/>
        </w:rPr>
      </w:pPr>
      <w:r>
        <w:rPr>
          <w:noProof/>
        </w:rPr>
        <w:t>g)</w:t>
      </w:r>
      <w:r>
        <w:rPr>
          <w:noProof/>
        </w:rPr>
        <w:tab/>
        <w:t>présence de travaux routiers;</w:t>
      </w:r>
    </w:p>
    <w:p>
      <w:pPr>
        <w:rPr>
          <w:noProof/>
        </w:rPr>
      </w:pPr>
      <w:r>
        <w:rPr>
          <w:noProof/>
        </w:rPr>
        <w:t>h)</w:t>
      </w:r>
      <w:r>
        <w:rPr>
          <w:noProof/>
        </w:rPr>
        <w:tab/>
        <w:t>présence d’aires de stationnement.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Volumes du trafic: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volumes du trafic;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volumes de motocycles relevés;</w:t>
      </w:r>
    </w:p>
    <w:p>
      <w:pPr>
        <w:rPr>
          <w:noProof/>
        </w:rPr>
      </w:pPr>
      <w:r>
        <w:rPr>
          <w:noProof/>
        </w:rPr>
        <w:t xml:space="preserve">c) </w:t>
      </w:r>
      <w:r>
        <w:rPr>
          <w:noProof/>
        </w:rPr>
        <w:tab/>
        <w:t>volumes de piétons relevés des deux côtés, le "long" ou "traversant";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volumes de bicyclettes relevés;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volumes de poids lourds relevés;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estimation des flux de piétons à partir des attributs d’utilisation des terres adjacentes;</w:t>
      </w:r>
    </w:p>
    <w:p>
      <w:pPr>
        <w:rPr>
          <w:noProof/>
        </w:rPr>
      </w:pPr>
      <w:r>
        <w:rPr>
          <w:noProof/>
        </w:rPr>
        <w:t>g)</w:t>
      </w:r>
      <w:r>
        <w:rPr>
          <w:noProof/>
        </w:rPr>
        <w:tab/>
        <w:t>estimation des flux de bicyclettes à partir des attributs d’utilisation des terres adjacentes.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3.</w:t>
      </w:r>
      <w:r>
        <w:rPr>
          <w:noProof/>
        </w:rPr>
        <w:tab/>
        <w:t>Données relatives aux accidents: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nombre de tués sur la route et lieu des accidents par groupe d’usagers de la route;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nombre de blessés graves et lieu des accidents par groupe d’usagers de la route.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4.</w:t>
      </w:r>
      <w:r>
        <w:rPr>
          <w:noProof/>
        </w:rPr>
        <w:tab/>
        <w:t>Caractéristiques opérationnelles: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limitation de vitesse (générale, pour les motocycles; pour les camions);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vitesse d’exploitation (85</w:t>
      </w:r>
      <w:r>
        <w:rPr>
          <w:noProof/>
          <w:vertAlign w:val="superscript"/>
        </w:rPr>
        <w:t>e </w:t>
      </w:r>
      <w:r>
        <w:rPr>
          <w:noProof/>
        </w:rPr>
        <w:t>centile);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gestion de la vitesse et/ou modération du trafic;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présence de dispositifs de STI: alertes de files, panneaux à messages variables;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avertissement de zone scolaire;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présence d’un superviseur au niveau des passages pour piétons devant les écoles à des périodes indiquées.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5.</w:t>
      </w:r>
      <w:r>
        <w:rPr>
          <w:noProof/>
        </w:rPr>
        <w:tab/>
        <w:t>Caractéristiques géométriques: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caractéristiques du profil en travers (nombre, type et largeur des voies, aménagement et matériau des accotements médians centraux, pistes cyclables, voies piétonnes, etc.), y compris leur variabilité;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courbure horizontale;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niveau et alignement vertical;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visibilité et distances de visibilité.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6.</w:t>
      </w:r>
      <w:r>
        <w:rPr>
          <w:noProof/>
        </w:rPr>
        <w:tab/>
        <w:t>Objets, zones de sécurité et dispositifs de retenue routiers: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environnement de bord de route et zones de sécurité;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obstacles fixes en bord de route (par exemple, des lampadaires, des arbres, etc.);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distance des obstacles par rapport au bord de route;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 xml:space="preserve">densité des obstacles; 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ralentisseurs sonores;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dispositifs de retenue routiers.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7.</w:t>
      </w:r>
      <w:r>
        <w:rPr>
          <w:noProof/>
        </w:rPr>
        <w:tab/>
        <w:t>Intersections: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type d’intersection et nombre de bras (en particulier, le type de contrôle et la présence de virages protégés);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canalisation du trafic;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qualité des intersections;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volume des croisements de routes;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présence de passages à niveau.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8.</w:t>
      </w:r>
      <w:r>
        <w:rPr>
          <w:noProof/>
        </w:rPr>
        <w:tab/>
        <w:t>Entretien: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défauts de la chaussée;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résistance de la chaussée au dérapage;</w:t>
      </w:r>
    </w:p>
    <w:p>
      <w:pPr>
        <w:rPr>
          <w:noProof/>
        </w:rPr>
      </w:pPr>
      <w:r>
        <w:rPr>
          <w:noProof/>
        </w:rPr>
        <w:t xml:space="preserve">c) </w:t>
      </w:r>
      <w:r>
        <w:rPr>
          <w:noProof/>
        </w:rPr>
        <w:tab/>
        <w:t>état des accotements (y compris la végétation);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état de la signalisation, du marquage et de la délimitation;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état des dispositifs de retenue routiers.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9.</w:t>
      </w:r>
      <w:r>
        <w:rPr>
          <w:noProof/>
        </w:rPr>
        <w:tab/>
        <w:t>Infrastructures pour les usagers de la route vulnérables:</w:t>
      </w:r>
    </w:p>
    <w:p>
      <w:pPr>
        <w:rPr>
          <w:noProof/>
        </w:rPr>
      </w:pPr>
      <w:r>
        <w:rPr>
          <w:noProof/>
        </w:rPr>
        <w:t>a)</w:t>
      </w:r>
      <w:r>
        <w:rPr>
          <w:noProof/>
        </w:rPr>
        <w:tab/>
        <w:t>passages pour piétons (surface des passages à niveau et croisement dénivelé);</w:t>
      </w:r>
    </w:p>
    <w:p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  <w:t>clôtures piétonnières;</w:t>
      </w:r>
    </w:p>
    <w:p>
      <w:pPr>
        <w:rPr>
          <w:noProof/>
        </w:rPr>
      </w:pPr>
      <w:r>
        <w:rPr>
          <w:noProof/>
        </w:rPr>
        <w:t>c)</w:t>
      </w:r>
      <w:r>
        <w:rPr>
          <w:noProof/>
        </w:rPr>
        <w:tab/>
        <w:t>présence d’un trottoir ou d’une infrastructure séparée;</w:t>
      </w:r>
    </w:p>
    <w:p>
      <w:pPr>
        <w:rPr>
          <w:noProof/>
        </w:rPr>
      </w:pPr>
      <w:r>
        <w:rPr>
          <w:noProof/>
        </w:rPr>
        <w:t>d)</w:t>
      </w:r>
      <w:r>
        <w:rPr>
          <w:noProof/>
        </w:rPr>
        <w:tab/>
        <w:t>équipements cyclables;</w:t>
      </w:r>
    </w:p>
    <w:p>
      <w:pPr>
        <w:rPr>
          <w:noProof/>
        </w:rPr>
      </w:pPr>
      <w:r>
        <w:rPr>
          <w:noProof/>
        </w:rPr>
        <w:t>e)</w:t>
      </w:r>
      <w:r>
        <w:rPr>
          <w:noProof/>
        </w:rPr>
        <w:tab/>
        <w:t>qualité des passages pour piétons en termes de visibilité et de signalisation des infrastructures;</w:t>
      </w:r>
    </w:p>
    <w:p>
      <w:pPr>
        <w:rPr>
          <w:noProof/>
        </w:rPr>
      </w:pPr>
      <w:r>
        <w:rPr>
          <w:noProof/>
        </w:rPr>
        <w:t>f)</w:t>
      </w:r>
      <w:r>
        <w:rPr>
          <w:noProof/>
        </w:rPr>
        <w:tab/>
        <w:t>présence de passages pour piétons au niveau de l’entrée du réseau de jonction des routes secondaires.»;</w:t>
      </w:r>
    </w:p>
    <w:p>
      <w:pPr>
        <w:rPr>
          <w:noProof/>
        </w:rPr>
      </w:pPr>
    </w:p>
    <w:p>
      <w:pPr>
        <w:pStyle w:val="Point0number"/>
        <w:rPr>
          <w:noProof/>
        </w:rPr>
      </w:pPr>
      <w:r>
        <w:rPr>
          <w:noProof/>
        </w:rPr>
        <w:t>à l’annexe IV, le point 1 est remplacé par le texte suivant:</w:t>
      </w:r>
    </w:p>
    <w:p>
      <w:pPr>
        <w:ind w:firstLine="720"/>
        <w:rPr>
          <w:noProof/>
        </w:rPr>
      </w:pPr>
      <w:r>
        <w:rPr>
          <w:noProof/>
        </w:rPr>
        <w:t>«1. localisation aussi précise que possible de l’accident, y compris les coordonnées GNSS;».</w:t>
      </w: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EA9628" w15:done="0"/>
  <w15:commentEx w15:paraId="1D8F39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CF8DE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6AE66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19CB1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840D8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9465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7F2D9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96C84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1D2FA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KAC Ivan (MOVE)">
    <w15:presenceInfo w15:providerId="None" w15:userId="LUKAC Ivan (MOV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17 13:58:0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B8B074E1-008A-49C0-AF66-9538D131E3AF"/>
    <w:docVar w:name="LW_COVERPAGE_TYPE" w:val="1"/>
    <w:docVar w:name="LW_CROSSREFERENCE" w:val="{SEC(2018) 226 final}_x000b_{SWD(2018) 175 final}_x000b_{SWD(2018) 176 final}"/>
    <w:docVar w:name="LW_DocType" w:val="ANNEX"/>
    <w:docVar w:name="LW_EMISSION" w:val="17.5.2018"/>
    <w:docVar w:name="LW_EMISSION_ISODATE" w:val="2018-05-17"/>
    <w:docVar w:name="LW_EMISSION_LOCATION" w:val="BRX"/>
    <w:docVar w:name="LW_EMISSION_PREFIX" w:val="Bruxelles, le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a directive&lt;LWCR:NBS&gt;2008/96/CE concernant la gestion de la sécurité des infrastructures routières"/>
    <w:docVar w:name="LW_OBJETACTEPRINCIPAL.CP" w:val="modifiant la directive 2008/96/CE concernant la gestion de la sécurité des infrastructures routières"/>
    <w:docVar w:name="LW_PART_NBR" w:val="1"/>
    <w:docVar w:name="LW_PART_NBR_TOTAL" w:val="1"/>
    <w:docVar w:name="LW_REF.INST.NEW" w:val="COM"/>
    <w:docVar w:name="LW_REF.INST.NEW_ADOPTED" w:val="final"/>
    <w:docVar w:name="LW_REF.INST.NEW_TEXT" w:val="(2018) 27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IRECTIVE DU PARLEMENT EUROPÉEN ET DU CONSEIL"/>
    <w:docVar w:name="LW_TYPEACTEPRINCIPAL.CP" w:val="proposition de DIRECTIVE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D4C7-E8E6-4F73-BA46-287C9184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1079</Words>
  <Characters>6134</Characters>
  <Application>Microsoft Office Word</Application>
  <DocSecurity>0</DocSecurity>
  <Lines>175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EORDOGH Attila (MOVE)</dc:creator>
  <cp:lastModifiedBy>DIGIT/A3</cp:lastModifiedBy>
  <cp:revision>8</cp:revision>
  <cp:lastPrinted>2018-03-09T16:48:00Z</cp:lastPrinted>
  <dcterms:created xsi:type="dcterms:W3CDTF">2018-05-15T08:55:00Z</dcterms:created>
  <dcterms:modified xsi:type="dcterms:W3CDTF">2018-05-17T11:58:00Z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