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36" w:rsidRDefault="00BD241D" w:rsidP="00BD241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47DCFBF-CB4D-4465-A5B9-992C078282B0" style="width:450.35pt;height:406.85pt">
            <v:imagedata r:id="rId9" o:title=""/>
          </v:shape>
        </w:pict>
      </w:r>
    </w:p>
    <w:bookmarkEnd w:id="0"/>
    <w:p w:rsidR="00035D36" w:rsidRDefault="00035D36">
      <w:pPr>
        <w:rPr>
          <w:noProof/>
        </w:rPr>
        <w:sectPr w:rsidR="00035D36" w:rsidSect="00BD241D">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rsidR="00035D36" w:rsidRDefault="00BD241D">
      <w:pPr>
        <w:pStyle w:val="SectionTitle"/>
        <w:rPr>
          <w:noProof/>
        </w:rPr>
      </w:pPr>
      <w:bookmarkStart w:id="1" w:name="_GoBack"/>
      <w:bookmarkEnd w:id="1"/>
      <w:r>
        <w:rPr>
          <w:noProof/>
        </w:rPr>
        <w:lastRenderedPageBreak/>
        <w:t xml:space="preserve">ANNEXE 1 - Fonds fiduciaire de l’UE pour l’Afrique </w:t>
      </w:r>
    </w:p>
    <w:p w:rsidR="00035D36" w:rsidRDefault="00BD241D">
      <w:pPr>
        <w:pStyle w:val="Heading1"/>
        <w:numPr>
          <w:ilvl w:val="0"/>
          <w:numId w:val="0"/>
        </w:numPr>
        <w:rPr>
          <w:noProof/>
        </w:rPr>
      </w:pPr>
      <w:r>
        <w:rPr>
          <w:noProof/>
        </w:rPr>
        <w:t>Contributions des États membres</w:t>
      </w:r>
    </w:p>
    <w:tbl>
      <w:tblPr>
        <w:tblW w:w="9379" w:type="dxa"/>
        <w:tblInd w:w="93" w:type="dxa"/>
        <w:tblLook w:val="04A0" w:firstRow="1" w:lastRow="0" w:firstColumn="1" w:lastColumn="0" w:noHBand="0" w:noVBand="1"/>
      </w:tblPr>
      <w:tblGrid>
        <w:gridCol w:w="1920"/>
        <w:gridCol w:w="1435"/>
        <w:gridCol w:w="1325"/>
        <w:gridCol w:w="1418"/>
        <w:gridCol w:w="1467"/>
        <w:gridCol w:w="1814"/>
      </w:tblGrid>
      <w:tr w:rsidR="00035D36">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35D36" w:rsidRDefault="00035D36">
            <w:pPr>
              <w:spacing w:after="0"/>
              <w:ind w:left="-944" w:firstLine="944"/>
              <w:jc w:val="center"/>
              <w:rPr>
                <w:b/>
                <w:bCs/>
                <w:noProof/>
                <w:sz w:val="18"/>
              </w:rPr>
            </w:pPr>
          </w:p>
        </w:tc>
        <w:tc>
          <w:tcPr>
            <w:tcW w:w="5645"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35D36" w:rsidRDefault="00BD241D">
            <w:pPr>
              <w:spacing w:after="0"/>
              <w:jc w:val="center"/>
              <w:rPr>
                <w:b/>
                <w:bCs/>
                <w:noProof/>
                <w:sz w:val="18"/>
                <w:highlight w:val="red"/>
              </w:rPr>
            </w:pPr>
            <w:r>
              <w:rPr>
                <w:b/>
                <w:noProof/>
                <w:sz w:val="18"/>
              </w:rPr>
              <w:t>Contributions certifiées (en EUR)</w:t>
            </w:r>
          </w:p>
        </w:tc>
        <w:tc>
          <w:tcPr>
            <w:tcW w:w="18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35D36" w:rsidRDefault="00BD241D">
            <w:pPr>
              <w:spacing w:after="0"/>
              <w:jc w:val="center"/>
              <w:rPr>
                <w:b/>
                <w:bCs/>
                <w:noProof/>
                <w:sz w:val="18"/>
              </w:rPr>
            </w:pPr>
            <w:r>
              <w:rPr>
                <w:b/>
                <w:noProof/>
                <w:sz w:val="18"/>
              </w:rPr>
              <w:t>Contributions reçues (en EUR)</w:t>
            </w:r>
          </w:p>
        </w:tc>
      </w:tr>
      <w:tr w:rsidR="00035D36">
        <w:trPr>
          <w:trHeight w:val="290"/>
        </w:trPr>
        <w:tc>
          <w:tcPr>
            <w:tcW w:w="1920"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035D36" w:rsidRDefault="00BD241D">
            <w:pPr>
              <w:spacing w:after="0"/>
              <w:ind w:left="-944" w:firstLine="944"/>
              <w:jc w:val="center"/>
              <w:rPr>
                <w:b/>
                <w:bCs/>
                <w:noProof/>
                <w:sz w:val="18"/>
              </w:rPr>
            </w:pPr>
            <w:r>
              <w:rPr>
                <w:b/>
                <w:noProof/>
                <w:sz w:val="18"/>
              </w:rPr>
              <w:t>Pays</w:t>
            </w:r>
          </w:p>
        </w:tc>
        <w:tc>
          <w:tcPr>
            <w:tcW w:w="1435"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35D36" w:rsidRDefault="00BD241D">
            <w:pPr>
              <w:spacing w:after="0"/>
              <w:jc w:val="center"/>
              <w:rPr>
                <w:b/>
                <w:bCs/>
                <w:noProof/>
                <w:sz w:val="18"/>
              </w:rPr>
            </w:pPr>
            <w:r>
              <w:rPr>
                <w:b/>
                <w:noProof/>
                <w:sz w:val="18"/>
              </w:rPr>
              <w:t>Toutes les fenêtres</w:t>
            </w:r>
          </w:p>
        </w:tc>
        <w:tc>
          <w:tcPr>
            <w:tcW w:w="421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35D36" w:rsidRDefault="00BD241D">
            <w:pPr>
              <w:spacing w:after="0"/>
              <w:jc w:val="center"/>
              <w:rPr>
                <w:b/>
                <w:bCs/>
                <w:noProof/>
                <w:sz w:val="18"/>
              </w:rPr>
            </w:pPr>
            <w:r>
              <w:rPr>
                <w:b/>
                <w:noProof/>
                <w:sz w:val="18"/>
              </w:rPr>
              <w:t>Réparties par fenêtre</w:t>
            </w:r>
          </w:p>
        </w:tc>
        <w:tc>
          <w:tcPr>
            <w:tcW w:w="1814" w:type="dxa"/>
            <w:tcBorders>
              <w:top w:val="nil"/>
              <w:left w:val="nil"/>
              <w:bottom w:val="single" w:sz="4" w:space="0" w:color="auto"/>
              <w:right w:val="single" w:sz="4" w:space="0" w:color="auto"/>
            </w:tcBorders>
            <w:shd w:val="clear" w:color="auto" w:fill="BFBFBF" w:themeFill="background1" w:themeFillShade="BF"/>
            <w:noWrap/>
            <w:vAlign w:val="bottom"/>
            <w:hideMark/>
          </w:tcPr>
          <w:p w:rsidR="00035D36" w:rsidRDefault="00BD241D">
            <w:pPr>
              <w:spacing w:after="0"/>
              <w:jc w:val="center"/>
              <w:rPr>
                <w:b/>
                <w:bCs/>
                <w:noProof/>
                <w:sz w:val="18"/>
              </w:rPr>
            </w:pPr>
            <w:r>
              <w:rPr>
                <w:b/>
                <w:noProof/>
                <w:sz w:val="18"/>
              </w:rPr>
              <w:t>Au 8.5.2018</w:t>
            </w:r>
          </w:p>
        </w:tc>
      </w:tr>
      <w:tr w:rsidR="00035D36">
        <w:trPr>
          <w:trHeight w:val="290"/>
        </w:trPr>
        <w:tc>
          <w:tcPr>
            <w:tcW w:w="1920" w:type="dxa"/>
            <w:vMerge/>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035D36" w:rsidRDefault="00035D36">
            <w:pPr>
              <w:spacing w:after="0"/>
              <w:ind w:left="-944" w:firstLine="944"/>
              <w:jc w:val="center"/>
              <w:rPr>
                <w:b/>
                <w:bCs/>
                <w:noProof/>
                <w:sz w:val="18"/>
              </w:rPr>
            </w:pPr>
          </w:p>
        </w:tc>
        <w:tc>
          <w:tcPr>
            <w:tcW w:w="1435" w:type="dxa"/>
            <w:vMerge/>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035D36" w:rsidRDefault="00035D36">
            <w:pPr>
              <w:spacing w:after="0"/>
              <w:jc w:val="center"/>
              <w:rPr>
                <w:b/>
                <w:bCs/>
                <w:noProof/>
                <w:sz w:val="18"/>
              </w:rPr>
            </w:pPr>
          </w:p>
        </w:tc>
        <w:tc>
          <w:tcPr>
            <w:tcW w:w="1325" w:type="dxa"/>
            <w:tcBorders>
              <w:top w:val="nil"/>
              <w:left w:val="nil"/>
              <w:bottom w:val="single" w:sz="4" w:space="0" w:color="auto"/>
              <w:right w:val="single" w:sz="4" w:space="0" w:color="auto"/>
            </w:tcBorders>
            <w:shd w:val="clear" w:color="auto" w:fill="D9D9D9" w:themeFill="background1" w:themeFillShade="D9"/>
            <w:noWrap/>
            <w:vAlign w:val="bottom"/>
            <w:hideMark/>
          </w:tcPr>
          <w:p w:rsidR="00035D36" w:rsidRDefault="00BD241D">
            <w:pPr>
              <w:spacing w:after="0"/>
              <w:jc w:val="center"/>
              <w:rPr>
                <w:b/>
                <w:bCs/>
                <w:noProof/>
                <w:sz w:val="18"/>
              </w:rPr>
            </w:pPr>
            <w:r>
              <w:rPr>
                <w:b/>
                <w:noProof/>
                <w:sz w:val="18"/>
              </w:rPr>
              <w:t>Sahel et lac Tchad</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rsidR="00035D36" w:rsidRDefault="00BD241D">
            <w:pPr>
              <w:spacing w:after="0"/>
              <w:jc w:val="center"/>
              <w:rPr>
                <w:b/>
                <w:bCs/>
                <w:noProof/>
                <w:sz w:val="18"/>
              </w:rPr>
            </w:pPr>
            <w:r>
              <w:rPr>
                <w:b/>
                <w:noProof/>
                <w:sz w:val="18"/>
              </w:rPr>
              <w:t>Corne de l’Afrique</w:t>
            </w:r>
          </w:p>
        </w:tc>
        <w:tc>
          <w:tcPr>
            <w:tcW w:w="1467" w:type="dxa"/>
            <w:tcBorders>
              <w:top w:val="nil"/>
              <w:left w:val="nil"/>
              <w:bottom w:val="single" w:sz="4" w:space="0" w:color="auto"/>
              <w:right w:val="single" w:sz="4" w:space="0" w:color="auto"/>
            </w:tcBorders>
            <w:shd w:val="clear" w:color="auto" w:fill="D9D9D9" w:themeFill="background1" w:themeFillShade="D9"/>
            <w:noWrap/>
            <w:vAlign w:val="bottom"/>
            <w:hideMark/>
          </w:tcPr>
          <w:p w:rsidR="00035D36" w:rsidRDefault="00BD241D">
            <w:pPr>
              <w:spacing w:after="0"/>
              <w:jc w:val="center"/>
              <w:rPr>
                <w:b/>
                <w:bCs/>
                <w:noProof/>
                <w:sz w:val="18"/>
              </w:rPr>
            </w:pPr>
            <w:r>
              <w:rPr>
                <w:b/>
                <w:noProof/>
                <w:sz w:val="18"/>
              </w:rPr>
              <w:t>Afrique du Nord</w:t>
            </w:r>
          </w:p>
        </w:tc>
        <w:tc>
          <w:tcPr>
            <w:tcW w:w="1814" w:type="dxa"/>
            <w:tcBorders>
              <w:top w:val="nil"/>
              <w:left w:val="nil"/>
              <w:bottom w:val="single" w:sz="4" w:space="0" w:color="auto"/>
              <w:right w:val="single" w:sz="4" w:space="0" w:color="auto"/>
            </w:tcBorders>
            <w:shd w:val="clear" w:color="auto" w:fill="BFBFBF" w:themeFill="background1" w:themeFillShade="BF"/>
            <w:vAlign w:val="bottom"/>
            <w:hideMark/>
          </w:tcPr>
          <w:p w:rsidR="00035D36" w:rsidRDefault="00BD241D">
            <w:pPr>
              <w:spacing w:after="0"/>
              <w:jc w:val="center"/>
              <w:rPr>
                <w:b/>
                <w:bCs/>
                <w:noProof/>
                <w:sz w:val="18"/>
              </w:rPr>
            </w:pPr>
            <w:r>
              <w:rPr>
                <w:b/>
                <w:noProof/>
                <w:sz w:val="18"/>
              </w:rPr>
              <w:t>Total</w:t>
            </w:r>
          </w:p>
        </w:tc>
      </w:tr>
      <w:tr w:rsidR="00035D36">
        <w:trPr>
          <w:trHeight w:val="16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Autriche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6 000 000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 xml:space="preserve">                         3 000 000</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3 000 000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6 000 000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Belgique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10 000 000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5 500 000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500 000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4 000 000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6 000 000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Bulgarie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550 000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220 000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220 000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110 000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550 000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Croatie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300 000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100 000 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République tchèque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10 411 624</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740 000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9 671 624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10 411 624</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Danemark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10 032 933</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2 400 768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2 400 768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5 231 396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10 032 932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Estonie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1 450 000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1 450 000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1 450 000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Finlande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5 000 000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1 000 000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3 000 000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1 000 000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5 000 000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France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9 000 000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7 200 000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1 200 000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600 000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9 000 000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Allemagne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157 500 000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39 600 000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1 200 000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116 700 000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139 500 000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Hongrie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9 450 000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700 000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8 750 000 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9 450 000 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Irlande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6 000 000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1 200 000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4 200 000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600 000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2 600 000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Italie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104 000 000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86 000 000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5 000 000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11 000 000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102 000 000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Lettonie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300 000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260 000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Lituanie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200 000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160 000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Luxembourg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3 100 000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3 000 000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3 100 000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Malte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325 000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125 000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175 000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Pays-Bas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26 362 000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3 000 000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13 362 000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10 000 000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23 362 000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Norvège (équivalent NOK en EUR)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8 865 381</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2 695 547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4 061 018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2 108 815</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8 865 381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Pologne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10 550 748</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1 100 000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9 450 748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10 550 748</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Portugal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1 800 000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855 000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180 000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765 000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1 800 000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Roumanie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100 000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40 000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40 000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Slovaquie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10 350 000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700 000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9 350 000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10 350 000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Slovénie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100 000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40 000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40 000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20 000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Espagne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9 000 000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7 200 000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1 200 000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600 000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9 000 000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Suède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3 000 000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1 200 000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1 200 000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600 000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3 000 000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Suisse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4 100 000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1 640 000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1 640 000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820 000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3 600 000 </w:t>
            </w:r>
          </w:p>
        </w:tc>
      </w:tr>
      <w:tr w:rsidR="00035D36">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35D36" w:rsidRDefault="00BD241D">
            <w:pPr>
              <w:spacing w:after="0"/>
              <w:jc w:val="left"/>
              <w:rPr>
                <w:b/>
                <w:noProof/>
                <w:sz w:val="18"/>
              </w:rPr>
            </w:pPr>
            <w:r>
              <w:rPr>
                <w:b/>
                <w:noProof/>
                <w:sz w:val="18"/>
              </w:rPr>
              <w:t xml:space="preserve">Royaume-Uni </w:t>
            </w:r>
          </w:p>
        </w:tc>
        <w:tc>
          <w:tcPr>
            <w:tcW w:w="143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bCs/>
                <w:noProof/>
                <w:sz w:val="16"/>
                <w:szCs w:val="16"/>
              </w:rPr>
            </w:pPr>
            <w:r>
              <w:rPr>
                <w:noProof/>
                <w:sz w:val="16"/>
              </w:rPr>
              <w:t>6 000 000</w:t>
            </w:r>
          </w:p>
        </w:tc>
        <w:tc>
          <w:tcPr>
            <w:tcW w:w="1325"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3 000 000 </w:t>
            </w:r>
          </w:p>
        </w:tc>
        <w:tc>
          <w:tcPr>
            <w:tcW w:w="1467"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3 000 000 </w:t>
            </w:r>
          </w:p>
        </w:tc>
        <w:tc>
          <w:tcPr>
            <w:tcW w:w="1814" w:type="dxa"/>
            <w:tcBorders>
              <w:top w:val="nil"/>
              <w:left w:val="nil"/>
              <w:bottom w:val="single" w:sz="4" w:space="0" w:color="auto"/>
              <w:right w:val="single" w:sz="4" w:space="0" w:color="auto"/>
            </w:tcBorders>
            <w:shd w:val="clear" w:color="auto" w:fill="auto"/>
            <w:noWrap/>
            <w:vAlign w:val="bottom"/>
            <w:hideMark/>
          </w:tcPr>
          <w:p w:rsidR="00035D36" w:rsidRDefault="00BD241D">
            <w:pPr>
              <w:spacing w:after="0"/>
              <w:jc w:val="right"/>
              <w:rPr>
                <w:noProof/>
                <w:sz w:val="16"/>
              </w:rPr>
            </w:pPr>
            <w:r>
              <w:rPr>
                <w:noProof/>
                <w:sz w:val="16"/>
              </w:rPr>
              <w:t xml:space="preserve">                                           1 200 000 </w:t>
            </w:r>
          </w:p>
        </w:tc>
      </w:tr>
      <w:tr w:rsidR="00035D36">
        <w:trPr>
          <w:trHeight w:val="165"/>
        </w:trPr>
        <w:tc>
          <w:tcPr>
            <w:tcW w:w="192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035D36" w:rsidRDefault="00BD241D">
            <w:pPr>
              <w:spacing w:after="0"/>
              <w:jc w:val="left"/>
              <w:rPr>
                <w:b/>
                <w:noProof/>
                <w:sz w:val="18"/>
              </w:rPr>
            </w:pPr>
            <w:r>
              <w:rPr>
                <w:b/>
                <w:noProof/>
                <w:sz w:val="18"/>
              </w:rPr>
              <w:t xml:space="preserve">Contribution externe totale </w:t>
            </w:r>
          </w:p>
        </w:tc>
        <w:tc>
          <w:tcPr>
            <w:tcW w:w="1435" w:type="dxa"/>
            <w:tcBorders>
              <w:top w:val="nil"/>
              <w:left w:val="nil"/>
              <w:bottom w:val="single" w:sz="4" w:space="0" w:color="auto"/>
              <w:right w:val="single" w:sz="4" w:space="0" w:color="auto"/>
            </w:tcBorders>
            <w:shd w:val="clear" w:color="auto" w:fill="D9D9D9" w:themeFill="background1" w:themeFillShade="D9"/>
            <w:noWrap/>
            <w:vAlign w:val="bottom"/>
            <w:hideMark/>
          </w:tcPr>
          <w:p w:rsidR="00035D36" w:rsidRDefault="00BD241D">
            <w:pPr>
              <w:spacing w:after="0"/>
              <w:jc w:val="right"/>
              <w:rPr>
                <w:b/>
                <w:noProof/>
                <w:sz w:val="16"/>
              </w:rPr>
            </w:pPr>
            <w:r>
              <w:rPr>
                <w:b/>
                <w:noProof/>
                <w:sz w:val="16"/>
              </w:rPr>
              <w:t xml:space="preserve">              413 847 685</w:t>
            </w:r>
          </w:p>
        </w:tc>
        <w:tc>
          <w:tcPr>
            <w:tcW w:w="1325" w:type="dxa"/>
            <w:tcBorders>
              <w:top w:val="nil"/>
              <w:left w:val="nil"/>
              <w:bottom w:val="single" w:sz="4" w:space="0" w:color="auto"/>
              <w:right w:val="single" w:sz="4" w:space="0" w:color="auto"/>
            </w:tcBorders>
            <w:shd w:val="clear" w:color="auto" w:fill="D9D9D9" w:themeFill="background1" w:themeFillShade="D9"/>
            <w:noWrap/>
            <w:vAlign w:val="bottom"/>
            <w:hideMark/>
          </w:tcPr>
          <w:p w:rsidR="00035D36" w:rsidRDefault="00BD241D">
            <w:pPr>
              <w:spacing w:after="0"/>
              <w:jc w:val="right"/>
              <w:rPr>
                <w:b/>
                <w:noProof/>
                <w:sz w:val="16"/>
              </w:rPr>
            </w:pPr>
            <w:r>
              <w:rPr>
                <w:b/>
                <w:noProof/>
                <w:sz w:val="16"/>
              </w:rPr>
              <w:t xml:space="preserve">                  163 631 316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rsidR="00035D36" w:rsidRDefault="00BD241D">
            <w:pPr>
              <w:spacing w:after="0"/>
              <w:jc w:val="right"/>
              <w:rPr>
                <w:b/>
                <w:noProof/>
                <w:sz w:val="16"/>
              </w:rPr>
            </w:pPr>
            <w:r>
              <w:rPr>
                <w:b/>
                <w:noProof/>
                <w:sz w:val="16"/>
              </w:rPr>
              <w:t xml:space="preserve">                       48 648 787 </w:t>
            </w:r>
          </w:p>
        </w:tc>
        <w:tc>
          <w:tcPr>
            <w:tcW w:w="1467" w:type="dxa"/>
            <w:tcBorders>
              <w:top w:val="nil"/>
              <w:left w:val="nil"/>
              <w:bottom w:val="single" w:sz="4" w:space="0" w:color="auto"/>
              <w:right w:val="single" w:sz="4" w:space="0" w:color="auto"/>
            </w:tcBorders>
            <w:shd w:val="clear" w:color="auto" w:fill="D9D9D9" w:themeFill="background1" w:themeFillShade="D9"/>
            <w:noWrap/>
            <w:vAlign w:val="bottom"/>
            <w:hideMark/>
          </w:tcPr>
          <w:p w:rsidR="00035D36" w:rsidRDefault="00BD241D">
            <w:pPr>
              <w:spacing w:after="0"/>
              <w:jc w:val="right"/>
              <w:rPr>
                <w:b/>
                <w:noProof/>
                <w:sz w:val="16"/>
              </w:rPr>
            </w:pPr>
            <w:r>
              <w:rPr>
                <w:b/>
                <w:noProof/>
                <w:sz w:val="16"/>
              </w:rPr>
              <w:t xml:space="preserve">                      199 567 583 </w:t>
            </w:r>
          </w:p>
        </w:tc>
        <w:tc>
          <w:tcPr>
            <w:tcW w:w="1814" w:type="dxa"/>
            <w:tcBorders>
              <w:top w:val="nil"/>
              <w:left w:val="nil"/>
              <w:bottom w:val="single" w:sz="4" w:space="0" w:color="auto"/>
              <w:right w:val="single" w:sz="4" w:space="0" w:color="auto"/>
            </w:tcBorders>
            <w:shd w:val="clear" w:color="auto" w:fill="D9D9D9" w:themeFill="background1" w:themeFillShade="D9"/>
            <w:noWrap/>
            <w:vAlign w:val="bottom"/>
            <w:hideMark/>
          </w:tcPr>
          <w:p w:rsidR="00035D36" w:rsidRDefault="00BD241D">
            <w:pPr>
              <w:spacing w:after="0"/>
              <w:jc w:val="right"/>
              <w:rPr>
                <w:b/>
                <w:noProof/>
                <w:sz w:val="16"/>
              </w:rPr>
            </w:pPr>
            <w:r>
              <w:rPr>
                <w:b/>
                <w:noProof/>
                <w:sz w:val="16"/>
              </w:rPr>
              <w:t>377 997 685  </w:t>
            </w:r>
          </w:p>
        </w:tc>
      </w:tr>
    </w:tbl>
    <w:p w:rsidR="00035D36" w:rsidRDefault="00035D36">
      <w:pPr>
        <w:spacing w:after="0"/>
        <w:rPr>
          <w:noProof/>
          <w:sz w:val="20"/>
        </w:rPr>
      </w:pPr>
    </w:p>
    <w:p w:rsidR="00035D36" w:rsidRDefault="00BD241D">
      <w:pPr>
        <w:pStyle w:val="Heading1"/>
        <w:numPr>
          <w:ilvl w:val="0"/>
          <w:numId w:val="0"/>
        </w:numPr>
        <w:rPr>
          <w:noProof/>
        </w:rPr>
      </w:pPr>
      <w:r>
        <w:rPr>
          <w:noProof/>
        </w:rPr>
        <w:lastRenderedPageBreak/>
        <w:t xml:space="preserve">Projets approuvés par </w:t>
      </w:r>
      <w:r>
        <w:rPr>
          <w:noProof/>
        </w:rPr>
        <w:t>objectif stratégique du fonds fiduciaire de l’UE pour l’Afrique (en millions d’EUR)</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1"/>
        <w:gridCol w:w="821"/>
        <w:gridCol w:w="1084"/>
        <w:gridCol w:w="1249"/>
        <w:gridCol w:w="821"/>
        <w:gridCol w:w="821"/>
      </w:tblGrid>
      <w:tr w:rsidR="00035D36">
        <w:trPr>
          <w:trHeight w:val="31"/>
        </w:trPr>
        <w:tc>
          <w:tcPr>
            <w:tcW w:w="1959" w:type="pct"/>
            <w:shd w:val="clear" w:color="auto" w:fill="F2F2F2" w:themeFill="background1" w:themeFillShade="F2"/>
            <w:noWrap/>
            <w:tcMar>
              <w:top w:w="28" w:type="dxa"/>
              <w:left w:w="108" w:type="dxa"/>
              <w:bottom w:w="28" w:type="dxa"/>
              <w:right w:w="108" w:type="dxa"/>
            </w:tcMar>
            <w:vAlign w:val="bottom"/>
            <w:hideMark/>
          </w:tcPr>
          <w:p w:rsidR="00035D36" w:rsidRDefault="00BD241D">
            <w:pPr>
              <w:spacing w:after="0"/>
              <w:rPr>
                <w:noProof/>
                <w:sz w:val="22"/>
              </w:rPr>
            </w:pPr>
            <w:r>
              <w:rPr>
                <w:b/>
                <w:noProof/>
                <w:sz w:val="22"/>
              </w:rPr>
              <w:t>Objectifs stratégiques du fonds fiduciaire de l’UE</w:t>
            </w:r>
          </w:p>
        </w:tc>
        <w:tc>
          <w:tcPr>
            <w:tcW w:w="533" w:type="pct"/>
            <w:shd w:val="clear" w:color="auto" w:fill="F2F2F2" w:themeFill="background1" w:themeFillShade="F2"/>
            <w:tcMar>
              <w:top w:w="28" w:type="dxa"/>
              <w:left w:w="108" w:type="dxa"/>
              <w:bottom w:w="28" w:type="dxa"/>
              <w:right w:w="108" w:type="dxa"/>
            </w:tcMar>
            <w:vAlign w:val="bottom"/>
            <w:hideMark/>
          </w:tcPr>
          <w:p w:rsidR="00035D36" w:rsidRDefault="00BD241D">
            <w:pPr>
              <w:spacing w:after="0"/>
              <w:rPr>
                <w:b/>
                <w:bCs/>
                <w:noProof/>
                <w:sz w:val="22"/>
              </w:rPr>
            </w:pPr>
            <w:r>
              <w:rPr>
                <w:b/>
                <w:noProof/>
                <w:sz w:val="22"/>
              </w:rPr>
              <w:t>Sahel et lac Tchad</w:t>
            </w:r>
          </w:p>
        </w:tc>
        <w:tc>
          <w:tcPr>
            <w:tcW w:w="571" w:type="pct"/>
            <w:shd w:val="clear" w:color="auto" w:fill="F2F2F2" w:themeFill="background1" w:themeFillShade="F2"/>
            <w:tcMar>
              <w:top w:w="28" w:type="dxa"/>
              <w:left w:w="108" w:type="dxa"/>
              <w:bottom w:w="28" w:type="dxa"/>
              <w:right w:w="108" w:type="dxa"/>
            </w:tcMar>
            <w:vAlign w:val="bottom"/>
            <w:hideMark/>
          </w:tcPr>
          <w:p w:rsidR="00035D36" w:rsidRDefault="00BD241D">
            <w:pPr>
              <w:spacing w:after="0"/>
              <w:rPr>
                <w:b/>
                <w:bCs/>
                <w:noProof/>
                <w:sz w:val="22"/>
              </w:rPr>
            </w:pPr>
            <w:r>
              <w:rPr>
                <w:b/>
                <w:noProof/>
                <w:sz w:val="22"/>
              </w:rPr>
              <w:t>Corne de l’Afrique</w:t>
            </w:r>
          </w:p>
        </w:tc>
        <w:tc>
          <w:tcPr>
            <w:tcW w:w="707" w:type="pct"/>
            <w:shd w:val="clear" w:color="auto" w:fill="F2F2F2" w:themeFill="background1" w:themeFillShade="F2"/>
            <w:noWrap/>
            <w:tcMar>
              <w:top w:w="28" w:type="dxa"/>
              <w:left w:w="108" w:type="dxa"/>
              <w:bottom w:w="28" w:type="dxa"/>
              <w:right w:w="108" w:type="dxa"/>
            </w:tcMar>
            <w:vAlign w:val="bottom"/>
            <w:hideMark/>
          </w:tcPr>
          <w:p w:rsidR="00035D36" w:rsidRDefault="00BD241D">
            <w:pPr>
              <w:spacing w:after="0"/>
              <w:rPr>
                <w:b/>
                <w:bCs/>
                <w:noProof/>
                <w:sz w:val="22"/>
              </w:rPr>
            </w:pPr>
            <w:r>
              <w:rPr>
                <w:b/>
                <w:noProof/>
                <w:sz w:val="22"/>
              </w:rPr>
              <w:t>Afrique du</w:t>
            </w:r>
          </w:p>
          <w:p w:rsidR="00035D36" w:rsidRDefault="00BD241D">
            <w:pPr>
              <w:spacing w:after="0"/>
              <w:rPr>
                <w:b/>
                <w:bCs/>
                <w:noProof/>
                <w:sz w:val="22"/>
              </w:rPr>
            </w:pPr>
            <w:r>
              <w:rPr>
                <w:b/>
                <w:noProof/>
                <w:sz w:val="22"/>
              </w:rPr>
              <w:t>Nord</w:t>
            </w:r>
          </w:p>
        </w:tc>
        <w:tc>
          <w:tcPr>
            <w:tcW w:w="661" w:type="pct"/>
            <w:shd w:val="clear" w:color="auto" w:fill="F2F2F2" w:themeFill="background1" w:themeFillShade="F2"/>
            <w:tcMar>
              <w:top w:w="28" w:type="dxa"/>
              <w:left w:w="108" w:type="dxa"/>
              <w:bottom w:w="28" w:type="dxa"/>
              <w:right w:w="108" w:type="dxa"/>
            </w:tcMar>
            <w:vAlign w:val="bottom"/>
            <w:hideMark/>
          </w:tcPr>
          <w:p w:rsidR="00035D36" w:rsidRDefault="00BD241D">
            <w:pPr>
              <w:spacing w:after="0"/>
              <w:rPr>
                <w:b/>
                <w:bCs/>
                <w:noProof/>
                <w:sz w:val="22"/>
              </w:rPr>
            </w:pPr>
            <w:r>
              <w:rPr>
                <w:b/>
                <w:noProof/>
                <w:sz w:val="22"/>
              </w:rPr>
              <w:t>Multi-volets</w:t>
            </w:r>
          </w:p>
        </w:tc>
        <w:tc>
          <w:tcPr>
            <w:tcW w:w="570" w:type="pct"/>
            <w:shd w:val="clear" w:color="auto" w:fill="F2F2F2" w:themeFill="background1" w:themeFillShade="F2"/>
            <w:tcMar>
              <w:top w:w="28" w:type="dxa"/>
              <w:left w:w="108" w:type="dxa"/>
              <w:bottom w:w="28" w:type="dxa"/>
              <w:right w:w="108" w:type="dxa"/>
            </w:tcMar>
            <w:vAlign w:val="bottom"/>
            <w:hideMark/>
          </w:tcPr>
          <w:p w:rsidR="00035D36" w:rsidRDefault="00BD241D">
            <w:pPr>
              <w:spacing w:after="0"/>
              <w:rPr>
                <w:b/>
                <w:bCs/>
                <w:noProof/>
                <w:sz w:val="22"/>
              </w:rPr>
            </w:pPr>
            <w:r>
              <w:rPr>
                <w:b/>
                <w:noProof/>
                <w:sz w:val="22"/>
              </w:rPr>
              <w:t>Total</w:t>
            </w:r>
          </w:p>
        </w:tc>
      </w:tr>
      <w:tr w:rsidR="00035D36">
        <w:trPr>
          <w:trHeight w:val="31"/>
        </w:trPr>
        <w:tc>
          <w:tcPr>
            <w:tcW w:w="1959" w:type="pct"/>
            <w:tcMar>
              <w:top w:w="28" w:type="dxa"/>
              <w:left w:w="108" w:type="dxa"/>
              <w:bottom w:w="28" w:type="dxa"/>
              <w:right w:w="108" w:type="dxa"/>
            </w:tcMar>
            <w:vAlign w:val="bottom"/>
            <w:hideMark/>
          </w:tcPr>
          <w:p w:rsidR="00035D36" w:rsidRDefault="00BD241D">
            <w:pPr>
              <w:pStyle w:val="ListParagraph"/>
              <w:numPr>
                <w:ilvl w:val="0"/>
                <w:numId w:val="30"/>
              </w:numPr>
              <w:spacing w:after="0"/>
              <w:rPr>
                <w:noProof/>
                <w:sz w:val="22"/>
              </w:rPr>
            </w:pPr>
            <w:r>
              <w:rPr>
                <w:b/>
                <w:noProof/>
                <w:sz w:val="22"/>
              </w:rPr>
              <w:t xml:space="preserve">Accroître les opportunités économiques et les </w:t>
            </w:r>
            <w:r>
              <w:rPr>
                <w:b/>
                <w:noProof/>
                <w:sz w:val="22"/>
              </w:rPr>
              <w:t>perspectives d’emploi</w:t>
            </w:r>
          </w:p>
        </w:tc>
        <w:tc>
          <w:tcPr>
            <w:tcW w:w="533"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383,6</w:t>
            </w:r>
          </w:p>
        </w:tc>
        <w:tc>
          <w:tcPr>
            <w:tcW w:w="571"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184</w:t>
            </w:r>
          </w:p>
        </w:tc>
        <w:tc>
          <w:tcPr>
            <w:tcW w:w="707"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0</w:t>
            </w:r>
          </w:p>
        </w:tc>
        <w:tc>
          <w:tcPr>
            <w:tcW w:w="661"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0</w:t>
            </w:r>
          </w:p>
        </w:tc>
        <w:tc>
          <w:tcPr>
            <w:tcW w:w="570" w:type="pct"/>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567,6</w:t>
            </w:r>
          </w:p>
        </w:tc>
      </w:tr>
      <w:tr w:rsidR="00035D36">
        <w:trPr>
          <w:trHeight w:val="31"/>
        </w:trPr>
        <w:tc>
          <w:tcPr>
            <w:tcW w:w="1959" w:type="pct"/>
            <w:tcMar>
              <w:top w:w="28" w:type="dxa"/>
              <w:left w:w="108" w:type="dxa"/>
              <w:bottom w:w="28" w:type="dxa"/>
              <w:right w:w="108" w:type="dxa"/>
            </w:tcMar>
            <w:vAlign w:val="bottom"/>
            <w:hideMark/>
          </w:tcPr>
          <w:p w:rsidR="00035D36" w:rsidRDefault="00BD241D">
            <w:pPr>
              <w:pStyle w:val="ListParagraph"/>
              <w:numPr>
                <w:ilvl w:val="0"/>
                <w:numId w:val="30"/>
              </w:numPr>
              <w:spacing w:after="0"/>
              <w:rPr>
                <w:noProof/>
                <w:sz w:val="22"/>
              </w:rPr>
            </w:pPr>
            <w:r>
              <w:rPr>
                <w:b/>
                <w:noProof/>
                <w:sz w:val="22"/>
              </w:rPr>
              <w:t>Renforcer la résilience des communautés</w:t>
            </w:r>
          </w:p>
        </w:tc>
        <w:tc>
          <w:tcPr>
            <w:tcW w:w="533"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397</w:t>
            </w:r>
          </w:p>
        </w:tc>
        <w:tc>
          <w:tcPr>
            <w:tcW w:w="571"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335,2</w:t>
            </w:r>
          </w:p>
        </w:tc>
        <w:tc>
          <w:tcPr>
            <w:tcW w:w="707"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0</w:t>
            </w:r>
          </w:p>
        </w:tc>
        <w:tc>
          <w:tcPr>
            <w:tcW w:w="661"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0</w:t>
            </w:r>
          </w:p>
        </w:tc>
        <w:tc>
          <w:tcPr>
            <w:tcW w:w="570" w:type="pct"/>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732,2</w:t>
            </w:r>
          </w:p>
        </w:tc>
      </w:tr>
      <w:tr w:rsidR="00035D36">
        <w:trPr>
          <w:trHeight w:val="31"/>
        </w:trPr>
        <w:tc>
          <w:tcPr>
            <w:tcW w:w="1959" w:type="pct"/>
            <w:tcMar>
              <w:top w:w="28" w:type="dxa"/>
              <w:left w:w="108" w:type="dxa"/>
              <w:bottom w:w="28" w:type="dxa"/>
              <w:right w:w="108" w:type="dxa"/>
            </w:tcMar>
            <w:vAlign w:val="bottom"/>
            <w:hideMark/>
          </w:tcPr>
          <w:p w:rsidR="00035D36" w:rsidRDefault="00BD241D">
            <w:pPr>
              <w:pStyle w:val="ListParagraph"/>
              <w:numPr>
                <w:ilvl w:val="0"/>
                <w:numId w:val="30"/>
              </w:numPr>
              <w:spacing w:after="0"/>
              <w:rPr>
                <w:noProof/>
                <w:sz w:val="22"/>
              </w:rPr>
            </w:pPr>
            <w:r>
              <w:rPr>
                <w:b/>
                <w:noProof/>
                <w:sz w:val="22"/>
              </w:rPr>
              <w:t>Améliorer la gestion des migrations</w:t>
            </w:r>
          </w:p>
        </w:tc>
        <w:tc>
          <w:tcPr>
            <w:tcW w:w="533"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182,5</w:t>
            </w:r>
          </w:p>
        </w:tc>
        <w:tc>
          <w:tcPr>
            <w:tcW w:w="571"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114,15</w:t>
            </w:r>
          </w:p>
        </w:tc>
        <w:tc>
          <w:tcPr>
            <w:tcW w:w="707"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335</w:t>
            </w:r>
          </w:p>
        </w:tc>
        <w:tc>
          <w:tcPr>
            <w:tcW w:w="661"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123,6</w:t>
            </w:r>
          </w:p>
        </w:tc>
        <w:tc>
          <w:tcPr>
            <w:tcW w:w="570" w:type="pct"/>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755,25</w:t>
            </w:r>
          </w:p>
        </w:tc>
      </w:tr>
      <w:tr w:rsidR="00035D36">
        <w:trPr>
          <w:trHeight w:val="31"/>
        </w:trPr>
        <w:tc>
          <w:tcPr>
            <w:tcW w:w="1959" w:type="pct"/>
            <w:tcMar>
              <w:top w:w="28" w:type="dxa"/>
              <w:left w:w="108" w:type="dxa"/>
              <w:bottom w:w="28" w:type="dxa"/>
              <w:right w:w="108" w:type="dxa"/>
            </w:tcMar>
            <w:vAlign w:val="bottom"/>
            <w:hideMark/>
          </w:tcPr>
          <w:p w:rsidR="00035D36" w:rsidRDefault="00BD241D">
            <w:pPr>
              <w:pStyle w:val="ListParagraph"/>
              <w:numPr>
                <w:ilvl w:val="0"/>
                <w:numId w:val="30"/>
              </w:numPr>
              <w:spacing w:after="0"/>
              <w:rPr>
                <w:noProof/>
                <w:sz w:val="22"/>
              </w:rPr>
            </w:pPr>
            <w:r>
              <w:rPr>
                <w:b/>
                <w:noProof/>
                <w:sz w:val="22"/>
              </w:rPr>
              <w:t>Améliorer la gouvernance et la prévention des conflits</w:t>
            </w:r>
          </w:p>
        </w:tc>
        <w:tc>
          <w:tcPr>
            <w:tcW w:w="533" w:type="pct"/>
            <w:noWrap/>
            <w:tcMar>
              <w:top w:w="28" w:type="dxa"/>
              <w:left w:w="108" w:type="dxa"/>
              <w:bottom w:w="28" w:type="dxa"/>
              <w:right w:w="108" w:type="dxa"/>
            </w:tcMar>
            <w:vAlign w:val="bottom"/>
          </w:tcPr>
          <w:p w:rsidR="00035D36" w:rsidRDefault="00035D36">
            <w:pPr>
              <w:spacing w:after="0"/>
              <w:jc w:val="right"/>
              <w:rPr>
                <w:noProof/>
                <w:sz w:val="22"/>
              </w:rPr>
            </w:pPr>
          </w:p>
          <w:p w:rsidR="00035D36" w:rsidRDefault="00BD241D">
            <w:pPr>
              <w:spacing w:after="0"/>
              <w:jc w:val="right"/>
              <w:rPr>
                <w:noProof/>
                <w:sz w:val="22"/>
              </w:rPr>
            </w:pPr>
            <w:r>
              <w:rPr>
                <w:noProof/>
                <w:sz w:val="22"/>
              </w:rPr>
              <w:t>328,1</w:t>
            </w:r>
          </w:p>
        </w:tc>
        <w:tc>
          <w:tcPr>
            <w:tcW w:w="571" w:type="pct"/>
            <w:noWrap/>
            <w:tcMar>
              <w:top w:w="28" w:type="dxa"/>
              <w:left w:w="108" w:type="dxa"/>
              <w:bottom w:w="28" w:type="dxa"/>
              <w:right w:w="108" w:type="dxa"/>
            </w:tcMar>
            <w:vAlign w:val="bottom"/>
          </w:tcPr>
          <w:p w:rsidR="00035D36" w:rsidRDefault="00035D36">
            <w:pPr>
              <w:spacing w:after="0"/>
              <w:jc w:val="right"/>
              <w:rPr>
                <w:noProof/>
                <w:sz w:val="22"/>
              </w:rPr>
            </w:pPr>
          </w:p>
          <w:p w:rsidR="00035D36" w:rsidRDefault="00BD241D">
            <w:pPr>
              <w:spacing w:after="0"/>
              <w:jc w:val="right"/>
              <w:rPr>
                <w:noProof/>
                <w:sz w:val="22"/>
              </w:rPr>
            </w:pPr>
            <w:r>
              <w:rPr>
                <w:noProof/>
                <w:sz w:val="22"/>
              </w:rPr>
              <w:t>174,8</w:t>
            </w:r>
          </w:p>
        </w:tc>
        <w:tc>
          <w:tcPr>
            <w:tcW w:w="707" w:type="pct"/>
            <w:noWrap/>
            <w:tcMar>
              <w:top w:w="28" w:type="dxa"/>
              <w:left w:w="108" w:type="dxa"/>
              <w:bottom w:w="28" w:type="dxa"/>
              <w:right w:w="108" w:type="dxa"/>
            </w:tcMar>
            <w:vAlign w:val="bottom"/>
          </w:tcPr>
          <w:p w:rsidR="00035D36" w:rsidRDefault="00035D36">
            <w:pPr>
              <w:spacing w:after="0"/>
              <w:jc w:val="right"/>
              <w:rPr>
                <w:noProof/>
                <w:sz w:val="22"/>
              </w:rPr>
            </w:pPr>
          </w:p>
          <w:p w:rsidR="00035D36" w:rsidRDefault="00BD241D">
            <w:pPr>
              <w:spacing w:after="0"/>
              <w:jc w:val="right"/>
              <w:rPr>
                <w:noProof/>
                <w:sz w:val="22"/>
              </w:rPr>
            </w:pPr>
            <w:r>
              <w:rPr>
                <w:noProof/>
                <w:sz w:val="22"/>
              </w:rPr>
              <w:t>0</w:t>
            </w:r>
          </w:p>
        </w:tc>
        <w:tc>
          <w:tcPr>
            <w:tcW w:w="661"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0</w:t>
            </w:r>
          </w:p>
        </w:tc>
        <w:tc>
          <w:tcPr>
            <w:tcW w:w="570" w:type="pct"/>
            <w:tcMar>
              <w:top w:w="28" w:type="dxa"/>
              <w:left w:w="108" w:type="dxa"/>
              <w:bottom w:w="28" w:type="dxa"/>
              <w:right w:w="108" w:type="dxa"/>
            </w:tcMar>
            <w:vAlign w:val="bottom"/>
          </w:tcPr>
          <w:p w:rsidR="00035D36" w:rsidRDefault="00035D36">
            <w:pPr>
              <w:spacing w:after="0"/>
              <w:jc w:val="right"/>
              <w:rPr>
                <w:noProof/>
                <w:sz w:val="22"/>
              </w:rPr>
            </w:pPr>
          </w:p>
          <w:p w:rsidR="00035D36" w:rsidRDefault="00BD241D">
            <w:pPr>
              <w:spacing w:after="0"/>
              <w:jc w:val="right"/>
              <w:rPr>
                <w:noProof/>
                <w:sz w:val="22"/>
              </w:rPr>
            </w:pPr>
            <w:r>
              <w:rPr>
                <w:noProof/>
                <w:sz w:val="22"/>
              </w:rPr>
              <w:t>502,9</w:t>
            </w:r>
          </w:p>
        </w:tc>
      </w:tr>
      <w:tr w:rsidR="00035D36">
        <w:trPr>
          <w:trHeight w:val="31"/>
        </w:trPr>
        <w:tc>
          <w:tcPr>
            <w:tcW w:w="1959" w:type="pct"/>
            <w:tcMar>
              <w:top w:w="28" w:type="dxa"/>
              <w:left w:w="108" w:type="dxa"/>
              <w:bottom w:w="28" w:type="dxa"/>
              <w:right w:w="108" w:type="dxa"/>
            </w:tcMar>
            <w:vAlign w:val="bottom"/>
            <w:hideMark/>
          </w:tcPr>
          <w:p w:rsidR="00035D36" w:rsidRDefault="00BD241D">
            <w:pPr>
              <w:pStyle w:val="ListParagraph"/>
              <w:numPr>
                <w:ilvl w:val="0"/>
                <w:numId w:val="30"/>
              </w:numPr>
              <w:spacing w:after="0"/>
              <w:rPr>
                <w:noProof/>
                <w:sz w:val="22"/>
              </w:rPr>
            </w:pPr>
            <w:r>
              <w:rPr>
                <w:b/>
                <w:noProof/>
                <w:sz w:val="22"/>
              </w:rPr>
              <w:t>Autres et questions transversales</w:t>
            </w:r>
          </w:p>
        </w:tc>
        <w:tc>
          <w:tcPr>
            <w:tcW w:w="533"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2,2</w:t>
            </w:r>
          </w:p>
        </w:tc>
        <w:tc>
          <w:tcPr>
            <w:tcW w:w="571"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12,1</w:t>
            </w:r>
          </w:p>
        </w:tc>
        <w:tc>
          <w:tcPr>
            <w:tcW w:w="707"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0</w:t>
            </w:r>
          </w:p>
        </w:tc>
        <w:tc>
          <w:tcPr>
            <w:tcW w:w="661" w:type="pct"/>
            <w:noWrap/>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21,5</w:t>
            </w:r>
          </w:p>
        </w:tc>
        <w:tc>
          <w:tcPr>
            <w:tcW w:w="570" w:type="pct"/>
            <w:tcMar>
              <w:top w:w="28" w:type="dxa"/>
              <w:left w:w="108" w:type="dxa"/>
              <w:bottom w:w="28" w:type="dxa"/>
              <w:right w:w="108" w:type="dxa"/>
            </w:tcMar>
            <w:vAlign w:val="bottom"/>
            <w:hideMark/>
          </w:tcPr>
          <w:p w:rsidR="00035D36" w:rsidRDefault="00BD241D">
            <w:pPr>
              <w:spacing w:after="0"/>
              <w:jc w:val="right"/>
              <w:rPr>
                <w:noProof/>
                <w:sz w:val="22"/>
              </w:rPr>
            </w:pPr>
            <w:r>
              <w:rPr>
                <w:noProof/>
                <w:sz w:val="22"/>
              </w:rPr>
              <w:t>35,8</w:t>
            </w:r>
          </w:p>
        </w:tc>
      </w:tr>
      <w:tr w:rsidR="00035D36">
        <w:trPr>
          <w:trHeight w:val="31"/>
        </w:trPr>
        <w:tc>
          <w:tcPr>
            <w:tcW w:w="1959" w:type="pct"/>
            <w:shd w:val="clear" w:color="auto" w:fill="D9D9D9" w:themeFill="background1" w:themeFillShade="D9"/>
            <w:noWrap/>
            <w:tcMar>
              <w:top w:w="28" w:type="dxa"/>
              <w:left w:w="108" w:type="dxa"/>
              <w:bottom w:w="28" w:type="dxa"/>
              <w:right w:w="108" w:type="dxa"/>
            </w:tcMar>
            <w:vAlign w:val="bottom"/>
            <w:hideMark/>
          </w:tcPr>
          <w:p w:rsidR="00035D36" w:rsidRDefault="00BD241D">
            <w:pPr>
              <w:spacing w:after="0"/>
              <w:rPr>
                <w:noProof/>
                <w:sz w:val="22"/>
              </w:rPr>
            </w:pPr>
            <w:r>
              <w:rPr>
                <w:b/>
                <w:noProof/>
                <w:sz w:val="22"/>
              </w:rPr>
              <w:t>Total</w:t>
            </w:r>
          </w:p>
        </w:tc>
        <w:tc>
          <w:tcPr>
            <w:tcW w:w="533" w:type="pct"/>
            <w:shd w:val="clear" w:color="auto" w:fill="D9D9D9" w:themeFill="background1" w:themeFillShade="D9"/>
            <w:noWrap/>
            <w:tcMar>
              <w:top w:w="28" w:type="dxa"/>
              <w:left w:w="108" w:type="dxa"/>
              <w:bottom w:w="28" w:type="dxa"/>
              <w:right w:w="108" w:type="dxa"/>
            </w:tcMar>
            <w:vAlign w:val="bottom"/>
            <w:hideMark/>
          </w:tcPr>
          <w:p w:rsidR="00035D36" w:rsidRDefault="00BD241D">
            <w:pPr>
              <w:spacing w:after="0"/>
              <w:jc w:val="right"/>
              <w:rPr>
                <w:b/>
                <w:bCs/>
                <w:noProof/>
                <w:sz w:val="22"/>
              </w:rPr>
            </w:pPr>
            <w:r>
              <w:rPr>
                <w:b/>
                <w:noProof/>
                <w:sz w:val="22"/>
              </w:rPr>
              <w:t>1 293*</w:t>
            </w:r>
          </w:p>
        </w:tc>
        <w:tc>
          <w:tcPr>
            <w:tcW w:w="571" w:type="pct"/>
            <w:shd w:val="clear" w:color="auto" w:fill="D9D9D9" w:themeFill="background1" w:themeFillShade="D9"/>
            <w:noWrap/>
            <w:tcMar>
              <w:top w:w="28" w:type="dxa"/>
              <w:left w:w="108" w:type="dxa"/>
              <w:bottom w:w="28" w:type="dxa"/>
              <w:right w:w="108" w:type="dxa"/>
            </w:tcMar>
            <w:vAlign w:val="bottom"/>
            <w:hideMark/>
          </w:tcPr>
          <w:p w:rsidR="00035D36" w:rsidRDefault="00BD241D">
            <w:pPr>
              <w:spacing w:after="0"/>
              <w:jc w:val="right"/>
              <w:rPr>
                <w:b/>
                <w:bCs/>
                <w:noProof/>
                <w:sz w:val="22"/>
              </w:rPr>
            </w:pPr>
            <w:r>
              <w:rPr>
                <w:b/>
                <w:noProof/>
                <w:sz w:val="22"/>
              </w:rPr>
              <w:t>820,3*</w:t>
            </w:r>
          </w:p>
        </w:tc>
        <w:tc>
          <w:tcPr>
            <w:tcW w:w="707" w:type="pct"/>
            <w:shd w:val="clear" w:color="auto" w:fill="D9D9D9" w:themeFill="background1" w:themeFillShade="D9"/>
            <w:noWrap/>
            <w:tcMar>
              <w:top w:w="28" w:type="dxa"/>
              <w:left w:w="108" w:type="dxa"/>
              <w:bottom w:w="28" w:type="dxa"/>
              <w:right w:w="108" w:type="dxa"/>
            </w:tcMar>
            <w:vAlign w:val="bottom"/>
            <w:hideMark/>
          </w:tcPr>
          <w:p w:rsidR="00035D36" w:rsidRDefault="00BD241D">
            <w:pPr>
              <w:spacing w:after="0"/>
              <w:jc w:val="right"/>
              <w:rPr>
                <w:b/>
                <w:bCs/>
                <w:noProof/>
                <w:sz w:val="22"/>
              </w:rPr>
            </w:pPr>
            <w:r>
              <w:rPr>
                <w:b/>
                <w:noProof/>
                <w:sz w:val="22"/>
              </w:rPr>
              <w:t>335*</w:t>
            </w:r>
          </w:p>
        </w:tc>
        <w:tc>
          <w:tcPr>
            <w:tcW w:w="661" w:type="pct"/>
            <w:shd w:val="clear" w:color="auto" w:fill="D9D9D9" w:themeFill="background1" w:themeFillShade="D9"/>
            <w:noWrap/>
            <w:tcMar>
              <w:top w:w="28" w:type="dxa"/>
              <w:left w:w="108" w:type="dxa"/>
              <w:bottom w:w="28" w:type="dxa"/>
              <w:right w:w="108" w:type="dxa"/>
            </w:tcMar>
            <w:vAlign w:val="bottom"/>
            <w:hideMark/>
          </w:tcPr>
          <w:p w:rsidR="00035D36" w:rsidRDefault="00BD241D">
            <w:pPr>
              <w:spacing w:after="0"/>
              <w:jc w:val="right"/>
              <w:rPr>
                <w:b/>
                <w:bCs/>
                <w:noProof/>
                <w:sz w:val="22"/>
              </w:rPr>
            </w:pPr>
            <w:r>
              <w:rPr>
                <w:b/>
                <w:noProof/>
                <w:sz w:val="22"/>
              </w:rPr>
              <w:t>145,1*</w:t>
            </w:r>
          </w:p>
        </w:tc>
        <w:tc>
          <w:tcPr>
            <w:tcW w:w="570" w:type="pct"/>
            <w:shd w:val="clear" w:color="auto" w:fill="D9D9D9" w:themeFill="background1" w:themeFillShade="D9"/>
            <w:tcMar>
              <w:top w:w="28" w:type="dxa"/>
              <w:left w:w="108" w:type="dxa"/>
              <w:bottom w:w="28" w:type="dxa"/>
              <w:right w:w="108" w:type="dxa"/>
            </w:tcMar>
            <w:vAlign w:val="bottom"/>
            <w:hideMark/>
          </w:tcPr>
          <w:p w:rsidR="00035D36" w:rsidRDefault="00BD241D">
            <w:pPr>
              <w:spacing w:after="0"/>
              <w:jc w:val="right"/>
              <w:rPr>
                <w:b/>
                <w:bCs/>
                <w:noProof/>
                <w:sz w:val="22"/>
              </w:rPr>
            </w:pPr>
            <w:r>
              <w:rPr>
                <w:b/>
                <w:noProof/>
                <w:sz w:val="22"/>
              </w:rPr>
              <w:t>2 593*</w:t>
            </w:r>
          </w:p>
        </w:tc>
      </w:tr>
    </w:tbl>
    <w:p w:rsidR="00035D36" w:rsidRDefault="00BD241D">
      <w:pPr>
        <w:rPr>
          <w:noProof/>
          <w:szCs w:val="24"/>
        </w:rPr>
      </w:pPr>
      <w:r>
        <w:rPr>
          <w:noProof/>
        </w:rPr>
        <w:t>*Montants arrondis</w:t>
      </w:r>
    </w:p>
    <w:p w:rsidR="00035D36" w:rsidRDefault="00035D36">
      <w:pPr>
        <w:rPr>
          <w:noProof/>
        </w:rPr>
      </w:pPr>
    </w:p>
    <w:p w:rsidR="00035D36" w:rsidRDefault="00BD241D">
      <w:pPr>
        <w:spacing w:after="0"/>
        <w:jc w:val="left"/>
        <w:rPr>
          <w:noProof/>
        </w:rPr>
      </w:pPr>
      <w:r>
        <w:rPr>
          <w:noProof/>
        </w:rPr>
        <w:br w:type="page"/>
      </w:r>
    </w:p>
    <w:p w:rsidR="00035D36" w:rsidRDefault="00BD241D">
      <w:pPr>
        <w:pStyle w:val="SectionTitle"/>
        <w:rPr>
          <w:noProof/>
        </w:rPr>
      </w:pPr>
      <w:r>
        <w:rPr>
          <w:noProof/>
        </w:rPr>
        <w:t>ANNEXE 2 - Facilité en faveur des réfugiés en Turquie</w:t>
      </w:r>
    </w:p>
    <w:p w:rsidR="00035D36" w:rsidRDefault="00BD241D">
      <w:pPr>
        <w:spacing w:after="0"/>
        <w:rPr>
          <w:noProof/>
          <w:szCs w:val="24"/>
        </w:rPr>
      </w:pPr>
      <w:r>
        <w:rPr>
          <w:noProof/>
        </w:rPr>
        <w:t xml:space="preserve">D’un point de vue opérationnel, fin 2017, l’enveloppe totale de la facilité, soit </w:t>
      </w:r>
      <w:r>
        <w:rPr>
          <w:noProof/>
        </w:rPr>
        <w:t>3 000 000 000 EUR, était engagée et avait fait l’objet de contrats opérationnels</w:t>
      </w:r>
      <w:r>
        <w:rPr>
          <w:rStyle w:val="FootnoteReference"/>
          <w:noProof/>
        </w:rPr>
        <w:footnoteReference w:id="1"/>
      </w:r>
      <w:r>
        <w:rPr>
          <w:noProof/>
        </w:rPr>
        <w:t xml:space="preserve"> dans le cadre de 72 projets. Tous ces contrats sont en cours d’exécution. Depuis le dernier rapport en mars 2018, les décaissements sont passés de 1 850 000 000 EUR à plus de</w:t>
      </w:r>
      <w:r>
        <w:rPr>
          <w:noProof/>
        </w:rPr>
        <w:t xml:space="preserve"> 1 930 000 000 EUR, ce qui correspond à 64 % de l’enveloppe totale, le solde devant être réglé pendant la mise en œuvre des projets au titre de la facilité et les paiements finaux devant être effectués au plus tard avant la fin 2021. Le tableau actualisé d</w:t>
      </w:r>
      <w:r>
        <w:rPr>
          <w:noProof/>
        </w:rPr>
        <w:t>es projets en ligne contient de plus amples informations</w:t>
      </w:r>
      <w:r>
        <w:rPr>
          <w:rStyle w:val="FootnoteReference"/>
          <w:noProof/>
        </w:rPr>
        <w:footnoteReference w:id="2"/>
      </w:r>
      <w:r>
        <w:rPr>
          <w:noProof/>
        </w:rPr>
        <w:t>. Les activités en cours ont déjà eu une incidence significative sur le terrain:</w:t>
      </w:r>
    </w:p>
    <w:p w:rsidR="00035D36" w:rsidRDefault="00035D36">
      <w:pPr>
        <w:widowControl w:val="0"/>
        <w:spacing w:after="0"/>
        <w:rPr>
          <w:rFonts w:eastAsia="Calibri"/>
          <w:noProof/>
          <w:szCs w:val="24"/>
        </w:rPr>
      </w:pPr>
    </w:p>
    <w:p w:rsidR="00035D36" w:rsidRDefault="00BD241D">
      <w:pPr>
        <w:widowControl w:val="0"/>
        <w:spacing w:after="0"/>
        <w:rPr>
          <w:noProof/>
          <w:szCs w:val="24"/>
        </w:rPr>
      </w:pPr>
      <w:r>
        <w:rPr>
          <w:b/>
          <w:i/>
          <w:noProof/>
        </w:rPr>
        <w:t>Aide humanitaire</w:t>
      </w:r>
      <w:r>
        <w:rPr>
          <w:noProof/>
          <w:vertAlign w:val="superscript"/>
        </w:rPr>
        <w:footnoteReference w:id="3"/>
      </w:r>
    </w:p>
    <w:p w:rsidR="00035D36" w:rsidRDefault="00BD241D">
      <w:pPr>
        <w:widowControl w:val="0"/>
        <w:spacing w:after="0"/>
        <w:rPr>
          <w:noProof/>
          <w:szCs w:val="24"/>
        </w:rPr>
      </w:pPr>
      <w:r>
        <w:rPr>
          <w:noProof/>
        </w:rPr>
        <w:t>Dans le cadre du filet de sécurité sociale d’urgence, près de 1,3 million de réfugiés bénéficient d</w:t>
      </w:r>
      <w:r>
        <w:rPr>
          <w:noProof/>
        </w:rPr>
        <w:t xml:space="preserve">e transferts en espèces mensuels dans le cadre du programme. Les familles de plus de 290 000 enfants réfugiés allant à l’école de manière régulière bénéficient actuellement des transferts conditionnels en espèces pour les dépenses d’éducation. </w:t>
      </w:r>
    </w:p>
    <w:p w:rsidR="00035D36" w:rsidRDefault="00BD241D">
      <w:pPr>
        <w:widowControl w:val="0"/>
        <w:spacing w:after="0"/>
        <w:rPr>
          <w:noProof/>
          <w:szCs w:val="24"/>
        </w:rPr>
      </w:pPr>
      <w:r>
        <w:rPr>
          <w:noProof/>
        </w:rPr>
        <w:t>Le filet de</w:t>
      </w:r>
      <w:r>
        <w:rPr>
          <w:noProof/>
        </w:rPr>
        <w:t xml:space="preserve"> sécurité sociale d’urgence et les transferts conditionnels en espèces pour les dépenses d’éducation sont complétés par d’autres projets axés sur la santé, y compris les services spécialisés, l’éducation non formelle et la protection. D’autres projets vise</w:t>
      </w:r>
      <w:r>
        <w:rPr>
          <w:noProof/>
        </w:rPr>
        <w:t>nt à fournir des informations sur les services publics et l’accès à ceux-ci, ainsi qu’à faciliter la diffusion de ces informations et l’accès aux services. En tout, 45 projets humanitaires ont été approuvés au titre de la facilité.</w:t>
      </w:r>
    </w:p>
    <w:p w:rsidR="00035D36" w:rsidRDefault="00035D36">
      <w:pPr>
        <w:pStyle w:val="ListParagraph"/>
        <w:widowControl w:val="0"/>
        <w:spacing w:after="0"/>
        <w:ind w:left="360"/>
        <w:rPr>
          <w:noProof/>
          <w:szCs w:val="24"/>
        </w:rPr>
      </w:pPr>
    </w:p>
    <w:p w:rsidR="00035D36" w:rsidRDefault="00BD241D">
      <w:pPr>
        <w:widowControl w:val="0"/>
        <w:spacing w:after="0"/>
        <w:rPr>
          <w:noProof/>
          <w:szCs w:val="24"/>
        </w:rPr>
      </w:pPr>
      <w:r>
        <w:rPr>
          <w:b/>
          <w:i/>
          <w:noProof/>
        </w:rPr>
        <w:t>Aide non humanitaire</w:t>
      </w:r>
    </w:p>
    <w:p w:rsidR="00035D36" w:rsidRDefault="00BD241D">
      <w:pPr>
        <w:pStyle w:val="ListParagraph"/>
        <w:widowControl w:val="0"/>
        <w:spacing w:after="0"/>
        <w:ind w:left="0"/>
        <w:rPr>
          <w:noProof/>
          <w:szCs w:val="24"/>
        </w:rPr>
      </w:pPr>
      <w:r>
        <w:rPr>
          <w:noProof/>
        </w:rPr>
        <w:t>Dans le cadre de la subvention directe avec le ministère de la santé, 12 centres de santé pour migrants sont opérationnels et contribuent à améliorer les services de soins de santé primaires. 813 membres du personnel travaillent dans ces centres et dans le</w:t>
      </w:r>
      <w:r>
        <w:rPr>
          <w:noProof/>
        </w:rPr>
        <w:t>s 86 autres centres déjà établis. Les réfugiés ont bénéficié de 763 963 consultations pour des soins de santé primaires et 217 511 nourrissons syriens réfugiés ont pu bénéficier d’une couverture vaccinale complète</w:t>
      </w:r>
      <w:r>
        <w:rPr>
          <w:rStyle w:val="FootnoteReference"/>
          <w:noProof/>
        </w:rPr>
        <w:footnoteReference w:id="4"/>
      </w:r>
      <w:r>
        <w:rPr>
          <w:noProof/>
        </w:rPr>
        <w:t>. Par ailleurs, la construction de deux hô</w:t>
      </w:r>
      <w:r>
        <w:rPr>
          <w:noProof/>
        </w:rPr>
        <w:t>pitaux, d’une capacité de 300 et 250 lits respectivement, a commencé à Kilis et à Hatay.</w:t>
      </w:r>
    </w:p>
    <w:p w:rsidR="00035D36" w:rsidRDefault="00BD241D">
      <w:pPr>
        <w:widowControl w:val="0"/>
        <w:spacing w:after="0"/>
        <w:rPr>
          <w:noProof/>
          <w:szCs w:val="24"/>
        </w:rPr>
      </w:pPr>
      <w:r>
        <w:rPr>
          <w:noProof/>
        </w:rPr>
        <w:t>Dans le cadre de la subvention directe avec le ministère de l’éducation nationale, 312 151 enfants se sont vu dispenser une formation en langue turque par les 5 486 en</w:t>
      </w:r>
      <w:r>
        <w:rPr>
          <w:noProof/>
        </w:rPr>
        <w:t xml:space="preserve">seignants de cette langue employés dans le cadre de la facilité. La distribution de produits de papeterie et de manuels scolaires pour 500 000 étudiants ainsi que la construction de 175 écoles ont commencé. </w:t>
      </w:r>
    </w:p>
    <w:p w:rsidR="00035D36" w:rsidRDefault="00035D36">
      <w:pPr>
        <w:widowControl w:val="0"/>
        <w:spacing w:after="0"/>
        <w:rPr>
          <w:noProof/>
          <w:szCs w:val="24"/>
        </w:rPr>
      </w:pPr>
    </w:p>
    <w:p w:rsidR="00035D36" w:rsidRDefault="00BD241D">
      <w:pPr>
        <w:widowControl w:val="0"/>
        <w:spacing w:after="0"/>
        <w:rPr>
          <w:b/>
          <w:i/>
          <w:noProof/>
          <w:szCs w:val="24"/>
        </w:rPr>
      </w:pPr>
      <w:r>
        <w:rPr>
          <w:b/>
          <w:i/>
          <w:noProof/>
        </w:rPr>
        <w:t>Deuxième tranche de la facilité</w:t>
      </w:r>
    </w:p>
    <w:p w:rsidR="00035D36" w:rsidRDefault="00BD241D">
      <w:pPr>
        <w:widowControl w:val="0"/>
        <w:spacing w:after="0"/>
        <w:rPr>
          <w:noProof/>
        </w:rPr>
      </w:pPr>
      <w:r>
        <w:rPr>
          <w:noProof/>
        </w:rPr>
        <w:t xml:space="preserve">La déclaration </w:t>
      </w:r>
      <w:r>
        <w:rPr>
          <w:noProof/>
        </w:rPr>
        <w:t>UE-Turquie de mars 2016 dispose qu’«[u]ne fois que ces ressources seront sur le point d’être intégralement utilisées», l’UE «mobilisera[it] un financement additionnel [...] à hauteur de trois milliards d’euros supplémentaires jusqu’à la fin de 2018». La mo</w:t>
      </w:r>
      <w:r>
        <w:rPr>
          <w:noProof/>
        </w:rPr>
        <w:t>bilisation de la deuxième tranche de 3 000 000 000 EUR est actuellement en cours. Une mise en œuvre rapide sera nécessaire pour éviter tout déficit de financement de la facilité, afin que les premiers contrats passés au titre de la tranche suivante puissen</w:t>
      </w:r>
      <w:r>
        <w:rPr>
          <w:noProof/>
        </w:rPr>
        <w:t>t être signés durant l’été 2018. Une évaluation actualisée des besoins est en cours d’élaboration et devrait être prête d’ici juin 2018.</w:t>
      </w:r>
    </w:p>
    <w:p w:rsidR="00035D36" w:rsidRDefault="00BD241D">
      <w:pPr>
        <w:pStyle w:val="SectionTitle"/>
        <w:rPr>
          <w:noProof/>
        </w:rPr>
      </w:pPr>
      <w:r>
        <w:rPr>
          <w:noProof/>
        </w:rPr>
        <w:t>ANNEXE 3 - Corps européen de garde-frontières et de garde-côtes</w:t>
      </w:r>
    </w:p>
    <w:p w:rsidR="00035D36" w:rsidRDefault="00BD241D">
      <w:pPr>
        <w:pStyle w:val="Heading1"/>
        <w:rPr>
          <w:noProof/>
        </w:rPr>
      </w:pPr>
      <w:r>
        <w:rPr>
          <w:noProof/>
        </w:rPr>
        <w:t>Déploiements</w:t>
      </w:r>
    </w:p>
    <w:p w:rsidR="00035D36" w:rsidRDefault="00BD241D">
      <w:pPr>
        <w:spacing w:after="0"/>
        <w:rPr>
          <w:noProof/>
          <w:szCs w:val="24"/>
        </w:rPr>
      </w:pPr>
      <w:r>
        <w:rPr>
          <w:noProof/>
        </w:rPr>
        <w:t>L’Agence européenne de garde-frontières et</w:t>
      </w:r>
      <w:r>
        <w:rPr>
          <w:noProof/>
        </w:rPr>
        <w:t xml:space="preserve"> de garde-côtes continue de soutenir les États membres situés en première ligne, avec le déploiement en Grèce, en Italie, en Bulgarie et en Espagne, ainsi que dans les Balkans occidentaux, de plus de 1 300 membres des équipes du corps européen de garde-fro</w:t>
      </w:r>
      <w:r>
        <w:rPr>
          <w:noProof/>
        </w:rPr>
        <w:t>ntières et de garde-côtes. La carte présente la situation au cours de la semaine du 14 au 18 mai 2018.</w:t>
      </w:r>
    </w:p>
    <w:p w:rsidR="00035D36" w:rsidRDefault="00035D36">
      <w:pPr>
        <w:spacing w:after="0"/>
        <w:rPr>
          <w:noProof/>
          <w:sz w:val="22"/>
          <w:szCs w:val="22"/>
        </w:rPr>
      </w:pPr>
    </w:p>
    <w:p w:rsidR="00035D36" w:rsidRDefault="00BD241D">
      <w:pPr>
        <w:pStyle w:val="ListParagraph"/>
        <w:ind w:left="0"/>
        <w:rPr>
          <w:noProof/>
        </w:rPr>
      </w:pPr>
      <w:r>
        <w:rPr>
          <w:noProof/>
          <w:lang w:val="en-GB" w:eastAsia="en-GB" w:bidi="ar-SA"/>
        </w:rPr>
        <w:drawing>
          <wp:inline distT="0" distB="0" distL="0" distR="0" wp14:anchorId="38D02F34" wp14:editId="25AFC1FF">
            <wp:extent cx="5759450" cy="3586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of Deployments in FX JOs_(Week 20).jpg"/>
                    <pic:cNvPicPr/>
                  </pic:nvPicPr>
                  <pic:blipFill>
                    <a:blip r:embed="rId16">
                      <a:extLst>
                        <a:ext uri="{28A0092B-C50C-407E-A947-70E740481C1C}">
                          <a14:useLocalDpi xmlns:a14="http://schemas.microsoft.com/office/drawing/2010/main" val="0"/>
                        </a:ext>
                      </a:extLst>
                    </a:blip>
                    <a:stretch>
                      <a:fillRect/>
                    </a:stretch>
                  </pic:blipFill>
                  <pic:spPr>
                    <a:xfrm>
                      <a:off x="0" y="0"/>
                      <a:ext cx="5759450" cy="3586480"/>
                    </a:xfrm>
                    <a:prstGeom prst="rect">
                      <a:avLst/>
                    </a:prstGeom>
                  </pic:spPr>
                </pic:pic>
              </a:graphicData>
            </a:graphic>
          </wp:inline>
        </w:drawing>
      </w:r>
    </w:p>
    <w:p w:rsidR="00035D36" w:rsidRDefault="00BD241D">
      <w:pPr>
        <w:pStyle w:val="ListParagraph"/>
        <w:ind w:left="0"/>
        <w:rPr>
          <w:noProof/>
          <w:sz w:val="20"/>
        </w:rPr>
      </w:pPr>
      <w:r>
        <w:rPr>
          <w:noProof/>
          <w:sz w:val="20"/>
        </w:rPr>
        <w:t>* Balkans occidentaux</w:t>
      </w:r>
    </w:p>
    <w:p w:rsidR="00035D36" w:rsidRDefault="00035D36">
      <w:pPr>
        <w:pStyle w:val="ListParagraph"/>
        <w:ind w:left="0"/>
        <w:rPr>
          <w:noProof/>
          <w:sz w:val="20"/>
        </w:rPr>
      </w:pPr>
    </w:p>
    <w:p w:rsidR="00035D36" w:rsidRDefault="00035D36">
      <w:pPr>
        <w:pStyle w:val="ListParagraph"/>
        <w:ind w:left="0"/>
        <w:rPr>
          <w:noProof/>
          <w:sz w:val="20"/>
        </w:rPr>
      </w:pPr>
    </w:p>
    <w:p w:rsidR="00035D36" w:rsidRDefault="00BD241D">
      <w:pPr>
        <w:pStyle w:val="ListParagraph"/>
        <w:ind w:left="0"/>
        <w:rPr>
          <w:noProof/>
        </w:rPr>
      </w:pPr>
      <w:r>
        <w:rPr>
          <w:noProof/>
        </w:rPr>
        <w:t>Entre le 1</w:t>
      </w:r>
      <w:r>
        <w:rPr>
          <w:noProof/>
          <w:vertAlign w:val="superscript"/>
        </w:rPr>
        <w:t>er </w:t>
      </w:r>
      <w:r>
        <w:rPr>
          <w:noProof/>
        </w:rPr>
        <w:t>janvier et le 30 avril 2018, les États membres ont accordé plus de 75 272 jours</w:t>
      </w:r>
      <w:r>
        <w:rPr>
          <w:noProof/>
        </w:rPr>
        <w:noBreakHyphen/>
        <w:t>hommes.</w:t>
      </w:r>
    </w:p>
    <w:p w:rsidR="00035D36" w:rsidRDefault="00035D36">
      <w:pPr>
        <w:pStyle w:val="ListParagraph"/>
        <w:ind w:left="0"/>
        <w:rPr>
          <w:noProof/>
          <w:szCs w:val="24"/>
        </w:rPr>
      </w:pPr>
    </w:p>
    <w:p w:rsidR="00035D36" w:rsidRDefault="00BD241D">
      <w:pPr>
        <w:rPr>
          <w:noProof/>
          <w:szCs w:val="24"/>
        </w:rPr>
      </w:pPr>
      <w:r>
        <w:rPr>
          <w:noProof/>
        </w:rPr>
        <w:br w:type="page"/>
      </w:r>
    </w:p>
    <w:tbl>
      <w:tblPr>
        <w:tblW w:w="0" w:type="auto"/>
        <w:tblCellMar>
          <w:left w:w="0" w:type="dxa"/>
          <w:right w:w="0" w:type="dxa"/>
        </w:tblCellMar>
        <w:tblLook w:val="04A0" w:firstRow="1" w:lastRow="0" w:firstColumn="1" w:lastColumn="0" w:noHBand="0" w:noVBand="1"/>
      </w:tblPr>
      <w:tblGrid>
        <w:gridCol w:w="1417"/>
        <w:gridCol w:w="1829"/>
        <w:gridCol w:w="1920"/>
        <w:gridCol w:w="1542"/>
        <w:gridCol w:w="1505"/>
        <w:gridCol w:w="1073"/>
      </w:tblGrid>
      <w:tr w:rsidR="00035D36">
        <w:trPr>
          <w:cantSplit/>
          <w:trHeight w:val="1501"/>
          <w:tblHeader/>
        </w:trPr>
        <w:tc>
          <w:tcPr>
            <w:tcW w:w="1417" w:type="dxa"/>
            <w:tcBorders>
              <w:top w:val="single" w:sz="8" w:space="0" w:color="auto"/>
              <w:left w:val="single" w:sz="8" w:space="0" w:color="auto"/>
              <w:bottom w:val="single" w:sz="8" w:space="0" w:color="auto"/>
              <w:right w:val="single" w:sz="8" w:space="0" w:color="auto"/>
            </w:tcBorders>
            <w:shd w:val="clear" w:color="auto" w:fill="DDDDDD"/>
            <w:tcMar>
              <w:top w:w="0" w:type="dxa"/>
              <w:left w:w="108" w:type="dxa"/>
              <w:bottom w:w="0" w:type="dxa"/>
              <w:right w:w="108" w:type="dxa"/>
            </w:tcMar>
            <w:hideMark/>
          </w:tcPr>
          <w:p w:rsidR="00035D36" w:rsidRDefault="00BD241D">
            <w:pPr>
              <w:spacing w:after="0" w:line="260" w:lineRule="exact"/>
              <w:jc w:val="center"/>
              <w:rPr>
                <w:rFonts w:eastAsia="Calibri"/>
                <w:b/>
                <w:bCs/>
                <w:noProof/>
                <w:sz w:val="18"/>
              </w:rPr>
            </w:pPr>
            <w:r>
              <w:rPr>
                <w:b/>
                <w:noProof/>
                <w:sz w:val="18"/>
              </w:rPr>
              <w:t xml:space="preserve">EM/pays associés à </w:t>
            </w:r>
            <w:r>
              <w:rPr>
                <w:b/>
                <w:noProof/>
                <w:sz w:val="18"/>
              </w:rPr>
              <w:t>Schengen</w:t>
            </w:r>
            <w:r>
              <w:rPr>
                <w:rStyle w:val="FootnoteReference"/>
                <w:b/>
                <w:noProof/>
                <w:sz w:val="18"/>
              </w:rPr>
              <w:footnoteReference w:id="5"/>
            </w:r>
          </w:p>
        </w:tc>
        <w:tc>
          <w:tcPr>
            <w:tcW w:w="1829"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035D36" w:rsidRDefault="00BD241D">
            <w:pPr>
              <w:spacing w:after="0" w:line="260" w:lineRule="exact"/>
              <w:jc w:val="center"/>
              <w:rPr>
                <w:rFonts w:eastAsia="Calibri"/>
                <w:b/>
                <w:bCs/>
                <w:noProof/>
                <w:sz w:val="18"/>
              </w:rPr>
            </w:pPr>
            <w:r>
              <w:rPr>
                <w:b/>
                <w:noProof/>
                <w:sz w:val="18"/>
              </w:rPr>
              <w:t>Déploiement des équipes du corps européen de garde-frontières et garde-côtes</w:t>
            </w:r>
            <w:r>
              <w:rPr>
                <w:rStyle w:val="FootnoteReference"/>
                <w:b/>
                <w:noProof/>
                <w:sz w:val="18"/>
              </w:rPr>
              <w:footnoteReference w:id="6"/>
            </w:r>
            <w:r>
              <w:rPr>
                <w:b/>
                <w:noProof/>
                <w:sz w:val="18"/>
              </w:rPr>
              <w:t xml:space="preserve"> en jours-hommes (hors déploiements internes)</w:t>
            </w:r>
          </w:p>
        </w:tc>
        <w:tc>
          <w:tcPr>
            <w:tcW w:w="1920"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035D36" w:rsidRDefault="00BD241D">
            <w:pPr>
              <w:spacing w:after="0" w:line="260" w:lineRule="exact"/>
              <w:jc w:val="center"/>
              <w:rPr>
                <w:rFonts w:eastAsia="Calibri"/>
                <w:b/>
                <w:bCs/>
                <w:noProof/>
                <w:sz w:val="18"/>
              </w:rPr>
            </w:pPr>
            <w:r>
              <w:rPr>
                <w:b/>
                <w:noProof/>
                <w:sz w:val="18"/>
              </w:rPr>
              <w:t>Déploiement des équipages/du personnel technique, du personnel de coordination &amp; des interprètes en jours-hommes (hors dépl</w:t>
            </w:r>
            <w:r>
              <w:rPr>
                <w:b/>
                <w:noProof/>
                <w:sz w:val="18"/>
              </w:rPr>
              <w:t>oiements internes)</w:t>
            </w:r>
          </w:p>
        </w:tc>
        <w:tc>
          <w:tcPr>
            <w:tcW w:w="1542"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035D36" w:rsidRDefault="00BD241D">
            <w:pPr>
              <w:spacing w:after="0" w:line="260" w:lineRule="exact"/>
              <w:jc w:val="center"/>
              <w:rPr>
                <w:rFonts w:eastAsia="Calibri"/>
                <w:b/>
                <w:bCs/>
                <w:noProof/>
                <w:sz w:val="18"/>
              </w:rPr>
            </w:pPr>
            <w:r>
              <w:rPr>
                <w:b/>
                <w:noProof/>
                <w:sz w:val="18"/>
              </w:rPr>
              <w:t>Déploiement interne en jours-hommes</w:t>
            </w:r>
          </w:p>
        </w:tc>
        <w:tc>
          <w:tcPr>
            <w:tcW w:w="1505"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035D36" w:rsidRDefault="00BD241D">
            <w:pPr>
              <w:spacing w:after="0" w:line="260" w:lineRule="exact"/>
              <w:jc w:val="center"/>
              <w:rPr>
                <w:rFonts w:eastAsia="Calibri"/>
                <w:b/>
                <w:bCs/>
                <w:noProof/>
                <w:sz w:val="18"/>
              </w:rPr>
            </w:pPr>
            <w:r>
              <w:rPr>
                <w:b/>
                <w:noProof/>
                <w:sz w:val="18"/>
              </w:rPr>
              <w:t>Déploiements dans les Balkans occidentaux</w:t>
            </w:r>
          </w:p>
        </w:tc>
        <w:tc>
          <w:tcPr>
            <w:tcW w:w="1073"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035D36" w:rsidRDefault="00BD241D">
            <w:pPr>
              <w:spacing w:after="0" w:line="260" w:lineRule="exact"/>
              <w:jc w:val="center"/>
              <w:rPr>
                <w:rFonts w:eastAsia="Calibri"/>
                <w:b/>
                <w:bCs/>
                <w:noProof/>
                <w:sz w:val="18"/>
              </w:rPr>
            </w:pPr>
            <w:r>
              <w:rPr>
                <w:b/>
                <w:noProof/>
                <w:sz w:val="18"/>
              </w:rPr>
              <w:t>Total</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Autriche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2 725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line="260" w:lineRule="exact"/>
              <w:jc w:val="right"/>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931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3 656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Belgique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486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line="260" w:lineRule="exact"/>
              <w:jc w:val="right"/>
              <w:rPr>
                <w:rFonts w:eastAsia="Trebuchet MS"/>
                <w:noProof/>
                <w:sz w:val="22"/>
                <w:szCs w:val="22"/>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486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Bulgarie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712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line="260" w:lineRule="exact"/>
              <w:jc w:val="right"/>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3 024 </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29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3 765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Croatie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196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257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367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820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Chypre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26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line="260" w:lineRule="exact"/>
              <w:jc w:val="right"/>
              <w:rPr>
                <w:rFonts w:eastAsia="Trebuchet MS"/>
                <w:noProof/>
                <w:sz w:val="22"/>
                <w:szCs w:val="22"/>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26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République tchèque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1 514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212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1 210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2 936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Danemark</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2 014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406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rPr>
                <w:noProof/>
                <w:sz w:val="20"/>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2 420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Estonie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1 672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272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157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2 101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Finlande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568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268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6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842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France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6 213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159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167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6 539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Allemagne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8 318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378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1 714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10 410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Grèce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244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6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6 323 </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29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6 602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Hongrie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276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122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398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Islande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126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Trebuchet MS"/>
                <w:noProof/>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jc w:val="right"/>
              <w:rPr>
                <w:noProof/>
                <w:sz w:val="20"/>
              </w:rPr>
            </w:pPr>
            <w:r>
              <w:rPr>
                <w:noProof/>
                <w:sz w:val="18"/>
              </w:rPr>
              <w:t xml:space="preserve"> -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126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Italie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450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193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3 283 </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138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4 064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Lettonie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967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676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731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2 374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Lituanie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2 018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198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12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2 228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Luxembourg</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302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156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6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464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Malte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313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Trebuchet MS"/>
                <w:noProof/>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48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361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Pays-Bas</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3 659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3 653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414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7 726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Norvège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372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6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378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Pologne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3 101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157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867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4 125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Portugal</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1 161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754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306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2 221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Roumanie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1 860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167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432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2 459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Slovaquie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961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87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1 048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Slovénie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260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512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772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Espagne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470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line="260" w:lineRule="exact"/>
              <w:jc w:val="right"/>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2 033 </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301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2 804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Suède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672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line="260" w:lineRule="exact"/>
              <w:jc w:val="right"/>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57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729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Suisse</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95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250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345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noProof/>
                <w:sz w:val="18"/>
              </w:rPr>
            </w:pPr>
            <w:r>
              <w:rPr>
                <w:noProof/>
                <w:sz w:val="18"/>
              </w:rPr>
              <w:t>Royaume-Uni*</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1 163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noProof/>
                <w:sz w:val="18"/>
              </w:rPr>
            </w:pPr>
            <w:r>
              <w:rPr>
                <w:noProof/>
                <w:sz w:val="18"/>
              </w:rPr>
              <w:t xml:space="preserve"> 884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035D36">
            <w:pPr>
              <w:spacing w:after="0"/>
              <w:rPr>
                <w:noProof/>
                <w:sz w:val="20"/>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Trebuchet MS"/>
                <w:noProof/>
                <w:sz w:val="22"/>
                <w:szCs w:val="22"/>
              </w:rPr>
            </w:pPr>
            <w:r>
              <w:rPr>
                <w:noProof/>
                <w:sz w:val="18"/>
              </w:rPr>
              <w:t xml:space="preserve"> 2 047 </w:t>
            </w:r>
          </w:p>
        </w:tc>
      </w:tr>
      <w:tr w:rsidR="00035D36">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center"/>
              <w:rPr>
                <w:rFonts w:eastAsia="Calibri"/>
                <w:b/>
                <w:bCs/>
                <w:noProof/>
                <w:sz w:val="18"/>
              </w:rPr>
            </w:pPr>
            <w:r>
              <w:rPr>
                <w:b/>
                <w:noProof/>
                <w:sz w:val="18"/>
              </w:rPr>
              <w:t>Total</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b/>
                <w:bCs/>
                <w:noProof/>
                <w:sz w:val="18"/>
              </w:rPr>
            </w:pPr>
            <w:r>
              <w:rPr>
                <w:b/>
                <w:noProof/>
                <w:sz w:val="18"/>
              </w:rPr>
              <w:t xml:space="preserve"> 42 475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b/>
                <w:bCs/>
                <w:noProof/>
                <w:sz w:val="18"/>
              </w:rPr>
            </w:pPr>
            <w:r>
              <w:rPr>
                <w:b/>
                <w:noProof/>
                <w:sz w:val="18"/>
              </w:rPr>
              <w:t xml:space="preserve"> 9 235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b/>
                <w:bCs/>
                <w:noProof/>
                <w:sz w:val="18"/>
              </w:rPr>
            </w:pPr>
            <w:r>
              <w:rPr>
                <w:b/>
                <w:noProof/>
                <w:sz w:val="18"/>
              </w:rPr>
              <w:t xml:space="preserve"> 14 663 </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b/>
                <w:bCs/>
                <w:noProof/>
                <w:sz w:val="18"/>
              </w:rPr>
            </w:pPr>
            <w:r>
              <w:rPr>
                <w:b/>
                <w:noProof/>
                <w:sz w:val="18"/>
              </w:rPr>
              <w:t xml:space="preserve"> 8 899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035D36" w:rsidRDefault="00BD241D">
            <w:pPr>
              <w:spacing w:after="0" w:line="260" w:lineRule="exact"/>
              <w:jc w:val="right"/>
              <w:rPr>
                <w:rFonts w:eastAsia="Calibri"/>
                <w:b/>
                <w:bCs/>
                <w:noProof/>
                <w:sz w:val="18"/>
              </w:rPr>
            </w:pPr>
            <w:r>
              <w:rPr>
                <w:b/>
                <w:noProof/>
                <w:sz w:val="18"/>
              </w:rPr>
              <w:t xml:space="preserve"> 75 272 </w:t>
            </w:r>
          </w:p>
        </w:tc>
      </w:tr>
    </w:tbl>
    <w:p w:rsidR="00035D36" w:rsidRDefault="00BD241D">
      <w:pPr>
        <w:pStyle w:val="ListParagraph"/>
        <w:ind w:left="0"/>
        <w:rPr>
          <w:noProof/>
          <w:sz w:val="20"/>
        </w:rPr>
      </w:pPr>
      <w:r>
        <w:rPr>
          <w:noProof/>
        </w:rPr>
        <w:t xml:space="preserve">* </w:t>
      </w:r>
      <w:r>
        <w:rPr>
          <w:noProof/>
          <w:sz w:val="20"/>
        </w:rPr>
        <w:t xml:space="preserve">Ne contribue pas formellement aux équipes du corps européen de </w:t>
      </w:r>
      <w:r>
        <w:rPr>
          <w:noProof/>
          <w:sz w:val="20"/>
        </w:rPr>
        <w:t>garde-frontières et garde-côtes.</w:t>
      </w:r>
    </w:p>
    <w:p w:rsidR="00035D36" w:rsidRDefault="00035D36">
      <w:pPr>
        <w:pStyle w:val="ListParagraph"/>
        <w:ind w:left="0"/>
        <w:rPr>
          <w:noProof/>
          <w:color w:val="1F497D"/>
          <w:sz w:val="22"/>
          <w:szCs w:val="22"/>
        </w:rPr>
      </w:pPr>
    </w:p>
    <w:p w:rsidR="00035D36" w:rsidRDefault="00BD241D">
      <w:pPr>
        <w:pStyle w:val="ListParagraph"/>
        <w:ind w:left="0"/>
        <w:rPr>
          <w:noProof/>
        </w:rPr>
      </w:pPr>
      <w:r>
        <w:rPr>
          <w:noProof/>
        </w:rPr>
        <w:t>Toutefois, d’importants déficits au niveau des offres de ressources humaines et techniques ont été recensés pour les activités opérationnelles menées en 2018. Malgré deux appels ouverts pour des équipements supplémentaires</w:t>
      </w:r>
      <w:r>
        <w:rPr>
          <w:noProof/>
        </w:rPr>
        <w:t xml:space="preserve">, les pénuries considérables risquent de limiter fortement la mise en œuvre des activités prévues pour mai-décembre 2018 aux frontières terrestres, maritimes et aériennes. </w:t>
      </w:r>
    </w:p>
    <w:p w:rsidR="00035D36" w:rsidRDefault="00035D36">
      <w:pPr>
        <w:pStyle w:val="ListParagraph"/>
        <w:ind w:left="0"/>
        <w:rPr>
          <w:noProof/>
        </w:rPr>
      </w:pPr>
    </w:p>
    <w:tbl>
      <w:tblPr>
        <w:tblStyle w:val="TableGrid"/>
        <w:tblW w:w="0" w:type="auto"/>
        <w:tblCellMar>
          <w:top w:w="28" w:type="dxa"/>
          <w:bottom w:w="28" w:type="dxa"/>
        </w:tblCellMar>
        <w:tblLook w:val="04A0" w:firstRow="1" w:lastRow="0" w:firstColumn="1" w:lastColumn="0" w:noHBand="0" w:noVBand="1"/>
      </w:tblPr>
      <w:tblGrid>
        <w:gridCol w:w="3650"/>
        <w:gridCol w:w="1409"/>
        <w:gridCol w:w="1409"/>
        <w:gridCol w:w="1409"/>
        <w:gridCol w:w="1409"/>
      </w:tblGrid>
      <w:tr w:rsidR="00035D36">
        <w:trPr>
          <w:trHeight w:val="416"/>
        </w:trPr>
        <w:tc>
          <w:tcPr>
            <w:tcW w:w="9286"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rsidR="00035D36" w:rsidRDefault="00BD241D">
            <w:pPr>
              <w:keepNext/>
              <w:spacing w:after="0"/>
              <w:jc w:val="center"/>
              <w:rPr>
                <w:b/>
                <w:bCs/>
                <w:noProof/>
                <w:sz w:val="18"/>
                <w:szCs w:val="18"/>
              </w:rPr>
            </w:pPr>
            <w:r>
              <w:rPr>
                <w:b/>
                <w:noProof/>
                <w:sz w:val="18"/>
              </w:rPr>
              <w:t>Frontières terrestres</w:t>
            </w:r>
          </w:p>
        </w:tc>
      </w:tr>
      <w:tr w:rsidR="00035D36">
        <w:trPr>
          <w:trHeight w:val="625"/>
        </w:trPr>
        <w:tc>
          <w:tcPr>
            <w:tcW w:w="3650" w:type="dxa"/>
            <w:tcBorders>
              <w:top w:val="single" w:sz="4" w:space="0" w:color="auto"/>
              <w:left w:val="single" w:sz="4" w:space="0" w:color="auto"/>
              <w:bottom w:val="single" w:sz="4" w:space="0" w:color="auto"/>
              <w:right w:val="single" w:sz="4" w:space="0" w:color="auto"/>
            </w:tcBorders>
            <w:noWrap/>
            <w:hideMark/>
          </w:tcPr>
          <w:p w:rsidR="00035D36" w:rsidRDefault="00035D36">
            <w:pPr>
              <w:rPr>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keepNext/>
              <w:spacing w:after="0"/>
              <w:jc w:val="center"/>
              <w:rPr>
                <w:bCs/>
                <w:i/>
                <w:noProof/>
                <w:sz w:val="18"/>
                <w:szCs w:val="18"/>
              </w:rPr>
            </w:pPr>
            <w:r>
              <w:rPr>
                <w:i/>
                <w:noProof/>
                <w:sz w:val="18"/>
              </w:rPr>
              <w:t>Jours-hommes requis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keepNext/>
              <w:spacing w:after="0"/>
              <w:jc w:val="center"/>
              <w:rPr>
                <w:bCs/>
                <w:i/>
                <w:noProof/>
                <w:sz w:val="18"/>
                <w:szCs w:val="18"/>
              </w:rPr>
            </w:pPr>
            <w:r>
              <w:rPr>
                <w:i/>
                <w:noProof/>
                <w:sz w:val="18"/>
              </w:rPr>
              <w:t>Jours-hommes convenus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keepNext/>
              <w:spacing w:after="0"/>
              <w:jc w:val="center"/>
              <w:rPr>
                <w:bCs/>
                <w:i/>
                <w:noProof/>
                <w:sz w:val="18"/>
                <w:szCs w:val="18"/>
              </w:rPr>
            </w:pPr>
            <w:r>
              <w:rPr>
                <w:i/>
                <w:noProof/>
                <w:sz w:val="18"/>
              </w:rPr>
              <w:t>Déficits</w:t>
            </w:r>
          </w:p>
          <w:p w:rsidR="00035D36" w:rsidRDefault="00BD241D">
            <w:pPr>
              <w:keepNext/>
              <w:spacing w:after="0"/>
              <w:jc w:val="center"/>
              <w:rPr>
                <w:bCs/>
                <w:i/>
                <w:noProof/>
                <w:sz w:val="18"/>
                <w:szCs w:val="18"/>
              </w:rPr>
            </w:pPr>
            <w:r>
              <w:rPr>
                <w:i/>
                <w:noProof/>
                <w:sz w:val="18"/>
              </w:rPr>
              <w:t>jours-h</w:t>
            </w:r>
            <w:r>
              <w:rPr>
                <w:i/>
                <w:noProof/>
                <w:sz w:val="18"/>
              </w:rPr>
              <w:t>ommes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keepNext/>
              <w:spacing w:after="0"/>
              <w:jc w:val="center"/>
              <w:rPr>
                <w:bCs/>
                <w:i/>
                <w:noProof/>
                <w:sz w:val="18"/>
                <w:szCs w:val="18"/>
              </w:rPr>
            </w:pPr>
            <w:r>
              <w:rPr>
                <w:i/>
                <w:noProof/>
                <w:sz w:val="18"/>
              </w:rPr>
              <w:t>Déficit jours-hommes en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b/>
                <w:bCs/>
                <w:noProof/>
                <w:sz w:val="18"/>
                <w:szCs w:val="18"/>
              </w:rPr>
            </w:pPr>
            <w:r>
              <w:rPr>
                <w:b/>
                <w:noProof/>
                <w:sz w:val="18"/>
              </w:rPr>
              <w:t xml:space="preserve">Ressources humaines </w:t>
            </w:r>
            <w:r>
              <w:rPr>
                <w:noProof/>
                <w:sz w:val="18"/>
              </w:rPr>
              <w:t>(différents profils d’équipes du corps européen de garde-frontières et garde-côtes)</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Cs/>
                <w:noProof/>
                <w:sz w:val="18"/>
                <w:szCs w:val="18"/>
              </w:rPr>
            </w:pPr>
            <w:r>
              <w:rPr>
                <w:noProof/>
                <w:sz w:val="18"/>
              </w:rPr>
              <w:t>106 045</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Cs/>
                <w:noProof/>
                <w:sz w:val="18"/>
                <w:szCs w:val="18"/>
              </w:rPr>
            </w:pPr>
            <w:r>
              <w:rPr>
                <w:noProof/>
                <w:sz w:val="18"/>
              </w:rPr>
              <w:t>48 232</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Cs/>
                <w:noProof/>
                <w:sz w:val="18"/>
                <w:szCs w:val="18"/>
              </w:rPr>
            </w:pPr>
            <w:r>
              <w:rPr>
                <w:noProof/>
                <w:sz w:val="18"/>
              </w:rPr>
              <w:t>57 847</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55 %</w:t>
            </w:r>
          </w:p>
        </w:tc>
      </w:tr>
      <w:tr w:rsidR="00035D36">
        <w:trPr>
          <w:trHeight w:val="484"/>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035D36">
            <w:pPr>
              <w:rPr>
                <w:b/>
                <w:bCs/>
                <w:noProof/>
                <w:sz w:val="18"/>
                <w:szCs w:val="18"/>
                <w:highlight w:val="yellow"/>
              </w:rPr>
            </w:pP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35D36" w:rsidRDefault="00BD241D">
            <w:pPr>
              <w:spacing w:after="0"/>
              <w:jc w:val="center"/>
              <w:rPr>
                <w:bCs/>
                <w:i/>
                <w:noProof/>
                <w:sz w:val="18"/>
                <w:szCs w:val="18"/>
              </w:rPr>
            </w:pPr>
            <w:r>
              <w:rPr>
                <w:i/>
                <w:noProof/>
                <w:sz w:val="18"/>
              </w:rPr>
              <w:t>Actifs-jours requis</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35D36" w:rsidRDefault="00BD241D">
            <w:pPr>
              <w:spacing w:after="0"/>
              <w:jc w:val="center"/>
              <w:rPr>
                <w:bCs/>
                <w:i/>
                <w:noProof/>
                <w:sz w:val="18"/>
                <w:szCs w:val="18"/>
              </w:rPr>
            </w:pPr>
            <w:r>
              <w:rPr>
                <w:i/>
                <w:noProof/>
                <w:sz w:val="18"/>
              </w:rPr>
              <w:t>Actifs-jours convenus</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35D36" w:rsidRDefault="00BD241D">
            <w:pPr>
              <w:spacing w:after="0"/>
              <w:jc w:val="center"/>
              <w:rPr>
                <w:bCs/>
                <w:i/>
                <w:noProof/>
                <w:sz w:val="18"/>
                <w:szCs w:val="18"/>
              </w:rPr>
            </w:pPr>
            <w:r>
              <w:rPr>
                <w:i/>
                <w:noProof/>
                <w:sz w:val="18"/>
              </w:rPr>
              <w:t>Déficits</w:t>
            </w:r>
          </w:p>
          <w:p w:rsidR="00035D36" w:rsidRDefault="00BD241D">
            <w:pPr>
              <w:spacing w:after="0"/>
              <w:jc w:val="center"/>
              <w:rPr>
                <w:bCs/>
                <w:i/>
                <w:noProof/>
                <w:sz w:val="18"/>
                <w:szCs w:val="18"/>
              </w:rPr>
            </w:pPr>
            <w:r>
              <w:rPr>
                <w:i/>
                <w:noProof/>
                <w:sz w:val="18"/>
              </w:rPr>
              <w:t>actifs-jours</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35D36" w:rsidRDefault="00BD241D">
            <w:pPr>
              <w:spacing w:after="0"/>
              <w:jc w:val="center"/>
              <w:rPr>
                <w:bCs/>
                <w:i/>
                <w:noProof/>
                <w:sz w:val="18"/>
                <w:szCs w:val="18"/>
              </w:rPr>
            </w:pPr>
            <w:r>
              <w:rPr>
                <w:i/>
                <w:noProof/>
                <w:sz w:val="18"/>
              </w:rPr>
              <w:t>Déficit actifs-jours en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Voitures de patrouille</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21 061</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8 372</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12 689</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60 %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Véhicules équipés d’appareils de vision thermique</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2 368</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1 209</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1 159</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49 %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Véhicules de transport</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786</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786</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100 %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Détecteurs de CO</w:t>
            </w:r>
            <w:r>
              <w:rPr>
                <w:noProof/>
                <w:sz w:val="18"/>
                <w:vertAlign w:val="subscript"/>
              </w:rPr>
              <w:t>2</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1 320</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1 603</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0 %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Détecteurs de battements de cœur</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338</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338</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100 %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Laboratoires mobiles</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169</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noProof/>
                <w:sz w:val="18"/>
                <w:szCs w:val="18"/>
              </w:rPr>
            </w:pPr>
            <w:r>
              <w:rPr>
                <w:noProof/>
                <w:sz w:val="18"/>
              </w:rPr>
              <w:t>169</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100 %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b/>
                <w:bCs/>
                <w:noProof/>
                <w:sz w:val="18"/>
                <w:szCs w:val="18"/>
              </w:rPr>
            </w:pPr>
            <w:r>
              <w:rPr>
                <w:b/>
                <w:noProof/>
                <w:sz w:val="18"/>
              </w:rPr>
              <w:t>Total</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b/>
                <w:noProof/>
                <w:sz w:val="18"/>
              </w:rPr>
              <w:t>26 042</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b/>
                <w:noProof/>
                <w:sz w:val="18"/>
              </w:rPr>
              <w:t>11 184</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b/>
                <w:noProof/>
                <w:sz w:val="18"/>
              </w:rPr>
              <w:t>15 141</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b/>
                <w:noProof/>
                <w:sz w:val="18"/>
              </w:rPr>
              <w:t>58 %</w:t>
            </w:r>
          </w:p>
        </w:tc>
      </w:tr>
      <w:tr w:rsidR="00035D36">
        <w:trPr>
          <w:trHeight w:val="300"/>
        </w:trPr>
        <w:tc>
          <w:tcPr>
            <w:tcW w:w="9286"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rsidR="00035D36" w:rsidRDefault="00BD241D">
            <w:pPr>
              <w:spacing w:after="0"/>
              <w:jc w:val="center"/>
              <w:rPr>
                <w:b/>
                <w:bCs/>
                <w:noProof/>
                <w:sz w:val="18"/>
                <w:szCs w:val="18"/>
              </w:rPr>
            </w:pPr>
            <w:r>
              <w:rPr>
                <w:b/>
                <w:noProof/>
                <w:sz w:val="18"/>
              </w:rPr>
              <w:t>Frontières maritimes</w:t>
            </w:r>
          </w:p>
        </w:tc>
      </w:tr>
      <w:tr w:rsidR="00035D36">
        <w:trPr>
          <w:trHeight w:val="300"/>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035D36">
            <w:pPr>
              <w:rPr>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035D36" w:rsidRDefault="00BD241D">
            <w:pPr>
              <w:spacing w:after="0"/>
              <w:jc w:val="center"/>
              <w:rPr>
                <w:bCs/>
                <w:i/>
                <w:noProof/>
                <w:sz w:val="18"/>
                <w:szCs w:val="18"/>
              </w:rPr>
            </w:pPr>
            <w:r>
              <w:rPr>
                <w:i/>
                <w:noProof/>
                <w:sz w:val="18"/>
              </w:rPr>
              <w:t>Jours-hommes requis</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035D36" w:rsidRDefault="00BD241D">
            <w:pPr>
              <w:spacing w:after="0"/>
              <w:jc w:val="center"/>
              <w:rPr>
                <w:bCs/>
                <w:i/>
                <w:noProof/>
                <w:sz w:val="18"/>
                <w:szCs w:val="18"/>
              </w:rPr>
            </w:pPr>
            <w:r>
              <w:rPr>
                <w:i/>
                <w:noProof/>
                <w:sz w:val="18"/>
              </w:rPr>
              <w:t>Jours-hommes convenus</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035D36" w:rsidRDefault="00BD241D">
            <w:pPr>
              <w:spacing w:after="0"/>
              <w:jc w:val="center"/>
              <w:rPr>
                <w:bCs/>
                <w:i/>
                <w:noProof/>
                <w:sz w:val="18"/>
                <w:szCs w:val="18"/>
              </w:rPr>
            </w:pPr>
            <w:r>
              <w:rPr>
                <w:i/>
                <w:noProof/>
                <w:sz w:val="18"/>
              </w:rPr>
              <w:t>Déficits</w:t>
            </w:r>
          </w:p>
          <w:p w:rsidR="00035D36" w:rsidRDefault="00BD241D">
            <w:pPr>
              <w:spacing w:after="0"/>
              <w:jc w:val="center"/>
              <w:rPr>
                <w:bCs/>
                <w:i/>
                <w:noProof/>
                <w:sz w:val="18"/>
                <w:szCs w:val="18"/>
              </w:rPr>
            </w:pPr>
            <w:r>
              <w:rPr>
                <w:i/>
                <w:noProof/>
                <w:sz w:val="18"/>
              </w:rPr>
              <w:t>jours-hommes</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035D36" w:rsidRDefault="00BD241D">
            <w:pPr>
              <w:spacing w:after="0"/>
              <w:jc w:val="center"/>
              <w:rPr>
                <w:bCs/>
                <w:i/>
                <w:noProof/>
                <w:sz w:val="18"/>
                <w:szCs w:val="18"/>
              </w:rPr>
            </w:pPr>
            <w:r>
              <w:rPr>
                <w:i/>
                <w:noProof/>
                <w:sz w:val="18"/>
              </w:rPr>
              <w:t>Déficit jours-hommes en %</w:t>
            </w:r>
          </w:p>
        </w:tc>
      </w:tr>
      <w:tr w:rsidR="00035D36">
        <w:trPr>
          <w:trHeight w:val="300"/>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b/>
                <w:bCs/>
                <w:noProof/>
                <w:sz w:val="18"/>
                <w:szCs w:val="18"/>
              </w:rPr>
            </w:pPr>
            <w:r>
              <w:rPr>
                <w:b/>
                <w:noProof/>
                <w:sz w:val="18"/>
              </w:rPr>
              <w:t xml:space="preserve">Ressources humaines </w:t>
            </w:r>
            <w:r>
              <w:rPr>
                <w:noProof/>
                <w:sz w:val="18"/>
              </w:rPr>
              <w:t xml:space="preserve">(différents profils d’équipes du corps européen de </w:t>
            </w:r>
            <w:r>
              <w:rPr>
                <w:noProof/>
                <w:sz w:val="18"/>
              </w:rPr>
              <w:t>garde-frontières et garde-côtes)</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112 176</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88 623</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23 553</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21 %</w:t>
            </w:r>
          </w:p>
        </w:tc>
      </w:tr>
      <w:tr w:rsidR="00035D36">
        <w:trPr>
          <w:trHeight w:val="300"/>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035D36">
            <w:pPr>
              <w:rPr>
                <w:b/>
                <w:bCs/>
                <w:noProof/>
                <w:sz w:val="18"/>
                <w:szCs w:val="18"/>
                <w:highlight w:val="yellow"/>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spacing w:after="0"/>
              <w:jc w:val="center"/>
              <w:rPr>
                <w:bCs/>
                <w:i/>
                <w:noProof/>
                <w:sz w:val="18"/>
                <w:szCs w:val="18"/>
              </w:rPr>
            </w:pPr>
            <w:r>
              <w:rPr>
                <w:i/>
                <w:noProof/>
                <w:sz w:val="18"/>
              </w:rPr>
              <w:t>Actifs-jours requis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spacing w:after="0"/>
              <w:jc w:val="center"/>
              <w:rPr>
                <w:bCs/>
                <w:i/>
                <w:noProof/>
                <w:sz w:val="18"/>
                <w:szCs w:val="18"/>
              </w:rPr>
            </w:pPr>
            <w:r>
              <w:rPr>
                <w:i/>
                <w:noProof/>
                <w:sz w:val="18"/>
              </w:rPr>
              <w:t>Actifs-jours convenus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spacing w:after="0"/>
              <w:jc w:val="center"/>
              <w:rPr>
                <w:bCs/>
                <w:i/>
                <w:noProof/>
                <w:sz w:val="18"/>
                <w:szCs w:val="18"/>
              </w:rPr>
            </w:pPr>
            <w:r>
              <w:rPr>
                <w:i/>
                <w:noProof/>
                <w:sz w:val="18"/>
              </w:rPr>
              <w:t>Déficits</w:t>
            </w:r>
          </w:p>
          <w:p w:rsidR="00035D36" w:rsidRDefault="00BD241D">
            <w:pPr>
              <w:spacing w:after="0"/>
              <w:jc w:val="center"/>
              <w:rPr>
                <w:bCs/>
                <w:i/>
                <w:noProof/>
                <w:sz w:val="18"/>
                <w:szCs w:val="18"/>
              </w:rPr>
            </w:pPr>
            <w:r>
              <w:rPr>
                <w:i/>
                <w:noProof/>
                <w:sz w:val="18"/>
              </w:rPr>
              <w:t>actifs-jours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spacing w:after="0"/>
              <w:jc w:val="center"/>
              <w:rPr>
                <w:bCs/>
                <w:i/>
                <w:noProof/>
                <w:sz w:val="18"/>
                <w:szCs w:val="18"/>
              </w:rPr>
            </w:pPr>
            <w:r>
              <w:rPr>
                <w:i/>
                <w:noProof/>
                <w:sz w:val="18"/>
              </w:rPr>
              <w:t>Déficit actifs-jours en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Patrouilleurs de haute mer</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1711</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899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812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b/>
                <w:bCs/>
                <w:noProof/>
                <w:sz w:val="18"/>
                <w:szCs w:val="18"/>
              </w:rPr>
            </w:pPr>
            <w:r>
              <w:rPr>
                <w:noProof/>
                <w:sz w:val="18"/>
              </w:rPr>
              <w:t>47 %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Navires de patrouille côtière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1 778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510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1 268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b/>
                <w:bCs/>
                <w:noProof/>
                <w:sz w:val="18"/>
                <w:szCs w:val="18"/>
              </w:rPr>
            </w:pPr>
            <w:r>
              <w:rPr>
                <w:noProof/>
                <w:sz w:val="18"/>
              </w:rPr>
              <w:t>71 %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Bateaux de patrouille côtière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3 554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2 048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1 506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b/>
                <w:bCs/>
                <w:noProof/>
                <w:sz w:val="18"/>
                <w:szCs w:val="18"/>
              </w:rPr>
            </w:pPr>
            <w:r>
              <w:rPr>
                <w:noProof/>
                <w:sz w:val="18"/>
              </w:rPr>
              <w:t>42 %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Aéronefs à voilure fixe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1 220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814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406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33 %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Hélicoptères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1 102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630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472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b/>
                <w:bCs/>
                <w:noProof/>
                <w:sz w:val="18"/>
                <w:szCs w:val="18"/>
              </w:rPr>
            </w:pPr>
            <w:r>
              <w:rPr>
                <w:noProof/>
                <w:sz w:val="18"/>
              </w:rPr>
              <w:t>43 %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Véhicules équipés d’appareils de vision thermique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736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1 106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b/>
                <w:bCs/>
                <w:noProof/>
                <w:sz w:val="18"/>
                <w:szCs w:val="18"/>
              </w:rPr>
            </w:pPr>
            <w:r>
              <w:rPr>
                <w:noProof/>
                <w:sz w:val="18"/>
              </w:rPr>
              <w:t>0 %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Voitures de patrouille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4 725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887</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3 838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b/>
                <w:bCs/>
                <w:noProof/>
                <w:sz w:val="18"/>
                <w:szCs w:val="18"/>
              </w:rPr>
            </w:pPr>
            <w:r>
              <w:rPr>
                <w:noProof/>
                <w:sz w:val="18"/>
              </w:rPr>
              <w:t>81 %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noProof/>
                <w:sz w:val="18"/>
                <w:szCs w:val="18"/>
              </w:rPr>
            </w:pPr>
            <w:r>
              <w:rPr>
                <w:noProof/>
                <w:sz w:val="18"/>
              </w:rPr>
              <w:t xml:space="preserve">Véhicules de </w:t>
            </w:r>
            <w:r>
              <w:rPr>
                <w:noProof/>
                <w:sz w:val="18"/>
              </w:rPr>
              <w:t>transport</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2 376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2 376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b/>
                <w:bCs/>
                <w:noProof/>
                <w:sz w:val="18"/>
                <w:szCs w:val="18"/>
              </w:rPr>
            </w:pPr>
            <w:r>
              <w:rPr>
                <w:noProof/>
                <w:sz w:val="18"/>
              </w:rPr>
              <w:t>0 %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b/>
                <w:bCs/>
                <w:noProof/>
                <w:sz w:val="18"/>
                <w:szCs w:val="18"/>
              </w:rPr>
            </w:pPr>
            <w:r>
              <w:rPr>
                <w:b/>
                <w:noProof/>
                <w:sz w:val="18"/>
              </w:rPr>
              <w:t>Total</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b/>
                <w:bCs/>
                <w:noProof/>
                <w:sz w:val="18"/>
                <w:szCs w:val="18"/>
              </w:rPr>
            </w:pPr>
            <w:r>
              <w:rPr>
                <w:b/>
                <w:noProof/>
                <w:sz w:val="18"/>
              </w:rPr>
              <w:t>17 202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b/>
                <w:bCs/>
                <w:noProof/>
                <w:sz w:val="18"/>
                <w:szCs w:val="18"/>
              </w:rPr>
            </w:pPr>
            <w:r>
              <w:rPr>
                <w:b/>
                <w:noProof/>
                <w:sz w:val="18"/>
              </w:rPr>
              <w:t>9 270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b/>
                <w:bCs/>
                <w:noProof/>
                <w:sz w:val="18"/>
                <w:szCs w:val="18"/>
              </w:rPr>
            </w:pPr>
            <w:r>
              <w:rPr>
                <w:b/>
                <w:noProof/>
                <w:sz w:val="18"/>
              </w:rPr>
              <w:t>8 302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right"/>
              <w:rPr>
                <w:b/>
                <w:bCs/>
                <w:noProof/>
                <w:sz w:val="18"/>
                <w:szCs w:val="18"/>
              </w:rPr>
            </w:pPr>
            <w:r>
              <w:rPr>
                <w:b/>
                <w:noProof/>
                <w:sz w:val="18"/>
              </w:rPr>
              <w:t>48 %</w:t>
            </w:r>
          </w:p>
        </w:tc>
      </w:tr>
      <w:tr w:rsidR="00035D36">
        <w:trPr>
          <w:trHeight w:val="300"/>
        </w:trPr>
        <w:tc>
          <w:tcPr>
            <w:tcW w:w="9286"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rsidR="00035D36" w:rsidRDefault="00BD241D">
            <w:pPr>
              <w:spacing w:after="0"/>
              <w:jc w:val="center"/>
              <w:rPr>
                <w:b/>
                <w:bCs/>
                <w:noProof/>
                <w:sz w:val="18"/>
                <w:szCs w:val="18"/>
              </w:rPr>
            </w:pPr>
            <w:r>
              <w:rPr>
                <w:b/>
                <w:noProof/>
                <w:sz w:val="18"/>
              </w:rPr>
              <w:t>Frontières aériennes</w:t>
            </w:r>
          </w:p>
        </w:tc>
      </w:tr>
      <w:tr w:rsidR="00035D36">
        <w:trPr>
          <w:trHeight w:val="300"/>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035D36">
            <w:pPr>
              <w:rPr>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spacing w:after="0"/>
              <w:jc w:val="center"/>
              <w:rPr>
                <w:bCs/>
                <w:i/>
                <w:noProof/>
                <w:sz w:val="18"/>
                <w:szCs w:val="18"/>
              </w:rPr>
            </w:pPr>
            <w:r>
              <w:rPr>
                <w:i/>
                <w:noProof/>
                <w:sz w:val="18"/>
              </w:rPr>
              <w:t>Jours-hommes requis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spacing w:after="0"/>
              <w:jc w:val="center"/>
              <w:rPr>
                <w:bCs/>
                <w:i/>
                <w:noProof/>
                <w:sz w:val="18"/>
                <w:szCs w:val="18"/>
              </w:rPr>
            </w:pPr>
            <w:r>
              <w:rPr>
                <w:i/>
                <w:noProof/>
                <w:sz w:val="18"/>
              </w:rPr>
              <w:t>Jours-hommes convenus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spacing w:after="0"/>
              <w:jc w:val="center"/>
              <w:rPr>
                <w:bCs/>
                <w:i/>
                <w:noProof/>
                <w:sz w:val="18"/>
                <w:szCs w:val="18"/>
              </w:rPr>
            </w:pPr>
            <w:r>
              <w:rPr>
                <w:i/>
                <w:noProof/>
                <w:sz w:val="18"/>
              </w:rPr>
              <w:t>Déficits</w:t>
            </w:r>
          </w:p>
          <w:p w:rsidR="00035D36" w:rsidRDefault="00BD241D">
            <w:pPr>
              <w:spacing w:after="0"/>
              <w:jc w:val="center"/>
              <w:rPr>
                <w:bCs/>
                <w:i/>
                <w:noProof/>
                <w:sz w:val="18"/>
                <w:szCs w:val="18"/>
              </w:rPr>
            </w:pPr>
            <w:r>
              <w:rPr>
                <w:i/>
                <w:noProof/>
                <w:sz w:val="18"/>
              </w:rPr>
              <w:t>jours-hommes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035D36" w:rsidRDefault="00BD241D">
            <w:pPr>
              <w:spacing w:after="0"/>
              <w:jc w:val="center"/>
              <w:rPr>
                <w:bCs/>
                <w:i/>
                <w:noProof/>
                <w:sz w:val="18"/>
                <w:szCs w:val="18"/>
              </w:rPr>
            </w:pPr>
            <w:r>
              <w:rPr>
                <w:i/>
                <w:noProof/>
                <w:sz w:val="18"/>
              </w:rPr>
              <w:t>Déficit jours-hommes en %</w:t>
            </w:r>
          </w:p>
        </w:tc>
      </w:tr>
      <w:tr w:rsidR="00035D36">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rsidR="00035D36" w:rsidRDefault="00BD241D">
            <w:pPr>
              <w:spacing w:after="0"/>
              <w:jc w:val="center"/>
              <w:rPr>
                <w:b/>
                <w:bCs/>
                <w:noProof/>
                <w:sz w:val="18"/>
                <w:szCs w:val="18"/>
              </w:rPr>
            </w:pPr>
            <w:r>
              <w:rPr>
                <w:b/>
                <w:noProof/>
                <w:sz w:val="18"/>
              </w:rPr>
              <w:t xml:space="preserve">Ressources humaines </w:t>
            </w:r>
            <w:r>
              <w:rPr>
                <w:noProof/>
                <w:sz w:val="18"/>
              </w:rPr>
              <w:t xml:space="preserve">(différents profils d’équipes du corps européen de </w:t>
            </w:r>
            <w:r>
              <w:rPr>
                <w:noProof/>
                <w:sz w:val="18"/>
              </w:rPr>
              <w:t>garde-frontières et garde-côtes)</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11 111</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7 942</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3 169</w:t>
            </w:r>
          </w:p>
        </w:tc>
        <w:tc>
          <w:tcPr>
            <w:tcW w:w="1409"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jc w:val="right"/>
              <w:rPr>
                <w:b/>
                <w:bCs/>
                <w:noProof/>
                <w:sz w:val="18"/>
                <w:szCs w:val="18"/>
              </w:rPr>
            </w:pPr>
            <w:r>
              <w:rPr>
                <w:noProof/>
                <w:sz w:val="18"/>
              </w:rPr>
              <w:t>29 %</w:t>
            </w:r>
          </w:p>
        </w:tc>
      </w:tr>
    </w:tbl>
    <w:p w:rsidR="00035D36" w:rsidRDefault="00035D36">
      <w:pPr>
        <w:pStyle w:val="ListParagraph"/>
        <w:ind w:left="0"/>
        <w:rPr>
          <w:noProof/>
          <w:color w:val="1F497D"/>
          <w:sz w:val="22"/>
          <w:szCs w:val="22"/>
        </w:rPr>
      </w:pPr>
    </w:p>
    <w:p w:rsidR="00035D36" w:rsidRDefault="00BD241D">
      <w:pPr>
        <w:rPr>
          <w:rFonts w:eastAsia="SimSun"/>
          <w:b/>
          <w:bCs/>
          <w:noProof/>
          <w:color w:val="000000"/>
          <w:szCs w:val="24"/>
        </w:rPr>
      </w:pPr>
      <w:r>
        <w:rPr>
          <w:noProof/>
        </w:rPr>
        <w:br w:type="page"/>
      </w:r>
    </w:p>
    <w:p w:rsidR="00035D36" w:rsidRDefault="00BD241D">
      <w:pPr>
        <w:pStyle w:val="Heading1"/>
        <w:rPr>
          <w:noProof/>
        </w:rPr>
      </w:pPr>
      <w:r>
        <w:rPr>
          <w:noProof/>
        </w:rPr>
        <w:t>Capacités de réaction rapide, notamment par la mise en commun obligatoire de ressources</w:t>
      </w:r>
    </w:p>
    <w:p w:rsidR="00035D36" w:rsidRDefault="00BD241D">
      <w:pPr>
        <w:rPr>
          <w:rFonts w:eastAsiaTheme="minorHAnsi"/>
          <w:noProof/>
          <w:sz w:val="22"/>
          <w:szCs w:val="22"/>
        </w:rPr>
      </w:pPr>
      <w:r>
        <w:rPr>
          <w:noProof/>
        </w:rPr>
        <w:t xml:space="preserve">Au 30 avril 2018, le nombre total de garde-frontières «désignés» mis à disposition pour être déployés au </w:t>
      </w:r>
      <w:r>
        <w:rPr>
          <w:noProof/>
        </w:rPr>
        <w:t>titre de la réserve de réaction rapide (RRR) s’élève à 1482, ce qui correspond à 99 % de la réserve (il manque deux nominations complètes de la part de deux États membres et deux autres doivent être complétées).</w:t>
      </w:r>
    </w:p>
    <w:p w:rsidR="00035D36" w:rsidRDefault="00035D36">
      <w:pPr>
        <w:spacing w:after="0"/>
        <w:rPr>
          <w:noProof/>
        </w:rPr>
      </w:pPr>
    </w:p>
    <w:tbl>
      <w:tblPr>
        <w:tblW w:w="10215" w:type="dxa"/>
        <w:jc w:val="center"/>
        <w:tblLook w:val="04A0" w:firstRow="1" w:lastRow="0" w:firstColumn="1" w:lastColumn="0" w:noHBand="0" w:noVBand="1"/>
      </w:tblPr>
      <w:tblGrid>
        <w:gridCol w:w="885"/>
        <w:gridCol w:w="312"/>
        <w:gridCol w:w="312"/>
        <w:gridCol w:w="312"/>
        <w:gridCol w:w="313"/>
        <w:gridCol w:w="313"/>
        <w:gridCol w:w="345"/>
        <w:gridCol w:w="313"/>
        <w:gridCol w:w="345"/>
        <w:gridCol w:w="313"/>
        <w:gridCol w:w="345"/>
        <w:gridCol w:w="345"/>
        <w:gridCol w:w="313"/>
        <w:gridCol w:w="313"/>
        <w:gridCol w:w="313"/>
        <w:gridCol w:w="345"/>
        <w:gridCol w:w="313"/>
        <w:gridCol w:w="313"/>
        <w:gridCol w:w="313"/>
        <w:gridCol w:w="313"/>
        <w:gridCol w:w="313"/>
        <w:gridCol w:w="313"/>
        <w:gridCol w:w="345"/>
        <w:gridCol w:w="313"/>
        <w:gridCol w:w="345"/>
        <w:gridCol w:w="313"/>
        <w:gridCol w:w="313"/>
        <w:gridCol w:w="345"/>
        <w:gridCol w:w="313"/>
        <w:gridCol w:w="313"/>
      </w:tblGrid>
      <w:tr w:rsidR="00035D36">
        <w:trPr>
          <w:trHeight w:val="1678"/>
          <w:jc w:val="center"/>
        </w:trPr>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7" w:type="dxa"/>
              <w:bottom w:w="0" w:type="dxa"/>
              <w:right w:w="57" w:type="dxa"/>
            </w:tcMar>
            <w:vAlign w:val="center"/>
            <w:hideMark/>
          </w:tcPr>
          <w:p w:rsidR="00035D36" w:rsidRDefault="00BD241D">
            <w:pPr>
              <w:spacing w:after="0"/>
              <w:contextualSpacing/>
              <w:jc w:val="center"/>
              <w:rPr>
                <w:noProof/>
                <w:color w:val="000000"/>
                <w:sz w:val="14"/>
              </w:rPr>
            </w:pPr>
            <w:r>
              <w:rPr>
                <w:noProof/>
                <w:color w:val="000000"/>
                <w:sz w:val="14"/>
              </w:rPr>
              <w:t>États membres</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Autriche</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Belgique</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Bulgarie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Cr</w:t>
            </w:r>
            <w:r>
              <w:rPr>
                <w:noProof/>
                <w:color w:val="000000"/>
                <w:sz w:val="14"/>
              </w:rPr>
              <w:t>oatie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Chypre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République tchèque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Danemark</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Estonie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Finlande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France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Allemagne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Grèce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Hongrie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Islande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Italie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Lettonie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Lituanie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Luxembourg</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Malte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Pays-Bas</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Norvège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Pologne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Portugal</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Roumanie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Slovaquie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Slovénie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Espagne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Suède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rsidR="00035D36" w:rsidRDefault="00BD241D">
            <w:pPr>
              <w:spacing w:after="0"/>
              <w:contextualSpacing/>
              <w:jc w:val="center"/>
              <w:rPr>
                <w:noProof/>
                <w:color w:val="000000"/>
                <w:sz w:val="14"/>
              </w:rPr>
            </w:pPr>
            <w:r>
              <w:rPr>
                <w:noProof/>
                <w:color w:val="000000"/>
                <w:sz w:val="14"/>
              </w:rPr>
              <w:t>Suisse</w:t>
            </w:r>
          </w:p>
        </w:tc>
      </w:tr>
      <w:tr w:rsidR="00035D36">
        <w:trPr>
          <w:trHeight w:val="806"/>
          <w:jc w:val="center"/>
        </w:trPr>
        <w:tc>
          <w:tcPr>
            <w:tcW w:w="88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4"/>
              </w:rPr>
            </w:pPr>
            <w:r>
              <w:rPr>
                <w:noProof/>
                <w:color w:val="000000"/>
                <w:sz w:val="14"/>
              </w:rPr>
              <w:t>Nombre de garde-frontières désignés dans Opera</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55</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83</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40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96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147</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28</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175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57</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400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377</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87</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65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130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30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52</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8</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14</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93</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13</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284</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68</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196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56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36</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146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53</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sz w:val="10"/>
              </w:rPr>
              <w:t>49</w:t>
            </w:r>
          </w:p>
        </w:tc>
      </w:tr>
      <w:tr w:rsidR="00035D36">
        <w:trPr>
          <w:trHeight w:val="1154"/>
          <w:jc w:val="center"/>
        </w:trPr>
        <w:tc>
          <w:tcPr>
            <w:tcW w:w="88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4"/>
              </w:rPr>
            </w:pPr>
            <w:r>
              <w:rPr>
                <w:noProof/>
                <w:color w:val="000000"/>
                <w:sz w:val="14"/>
              </w:rPr>
              <w:t xml:space="preserve">Nombre disponible pour le </w:t>
            </w:r>
            <w:r>
              <w:rPr>
                <w:noProof/>
                <w:color w:val="000000"/>
                <w:sz w:val="14"/>
              </w:rPr>
              <w:t>déploiement obligatoire au titre de la RRR</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34</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30</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40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65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20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28</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18</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170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225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50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65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125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39</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8</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50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12</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100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47</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75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35</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111</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17</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16</w:t>
            </w:r>
          </w:p>
        </w:tc>
      </w:tr>
      <w:tr w:rsidR="00035D36">
        <w:trPr>
          <w:trHeight w:val="1182"/>
          <w:jc w:val="center"/>
        </w:trPr>
        <w:tc>
          <w:tcPr>
            <w:tcW w:w="88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4"/>
              </w:rPr>
            </w:pPr>
            <w:r>
              <w:rPr>
                <w:noProof/>
                <w:color w:val="000000"/>
                <w:sz w:val="14"/>
              </w:rPr>
              <w:t>Contributions au titre de l’annexe I du règlement relatif au corps européen de garde-frontières et de garde-côtes</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34</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30</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40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65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8</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20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29</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18</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170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225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50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65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2</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125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sz w:val="10"/>
              </w:rPr>
            </w:pPr>
            <w:r>
              <w:rPr>
                <w:noProof/>
                <w:sz w:val="10"/>
              </w:rPr>
              <w:t>30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39</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8</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50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20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100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47</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75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35</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111</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17</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035D36" w:rsidRDefault="00BD241D">
            <w:pPr>
              <w:spacing w:after="0"/>
              <w:contextualSpacing/>
              <w:jc w:val="center"/>
              <w:rPr>
                <w:noProof/>
                <w:color w:val="000000"/>
                <w:sz w:val="10"/>
              </w:rPr>
            </w:pPr>
            <w:r>
              <w:rPr>
                <w:noProof/>
                <w:color w:val="000000"/>
                <w:sz w:val="10"/>
              </w:rPr>
              <w:t>16</w:t>
            </w:r>
          </w:p>
        </w:tc>
      </w:tr>
    </w:tbl>
    <w:p w:rsidR="00035D36" w:rsidRDefault="00035D36">
      <w:pPr>
        <w:spacing w:after="0"/>
        <w:rPr>
          <w:rFonts w:eastAsiaTheme="minorHAnsi"/>
          <w:noProof/>
          <w:sz w:val="22"/>
          <w:szCs w:val="22"/>
        </w:rPr>
      </w:pPr>
    </w:p>
    <w:p w:rsidR="00035D36" w:rsidRDefault="00035D36">
      <w:pPr>
        <w:spacing w:after="0"/>
        <w:rPr>
          <w:noProof/>
        </w:rPr>
      </w:pPr>
    </w:p>
    <w:p w:rsidR="00035D36" w:rsidRDefault="00BD241D">
      <w:pPr>
        <w:rPr>
          <w:rFonts w:asciiTheme="minorHAnsi" w:hAnsiTheme="minorHAnsi" w:cstheme="minorBidi"/>
          <w:noProof/>
        </w:rPr>
      </w:pPr>
      <w:r>
        <w:rPr>
          <w:noProof/>
        </w:rPr>
        <w:t xml:space="preserve">En ce qui concerne le </w:t>
      </w:r>
      <w:r>
        <w:rPr>
          <w:b/>
          <w:noProof/>
        </w:rPr>
        <w:t>parc d’équipements de réaction rapide</w:t>
      </w:r>
      <w:r>
        <w:rPr>
          <w:noProof/>
        </w:rPr>
        <w:t xml:space="preserve">, bien que certaines améliorations aient été effectuées, il y a toujours un déficit considérable pour la plupart </w:t>
      </w:r>
      <w:r>
        <w:rPr>
          <w:noProof/>
        </w:rPr>
        <w:t>des types d’équipement et seuls 15 États membres/États associés continuent d’assurer les contributions actuelles:</w:t>
      </w:r>
    </w:p>
    <w:tbl>
      <w:tblPr>
        <w:tblStyle w:val="GridTable4-Accent11"/>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388"/>
        <w:gridCol w:w="2253"/>
        <w:gridCol w:w="2046"/>
        <w:gridCol w:w="1030"/>
        <w:gridCol w:w="1860"/>
      </w:tblGrid>
      <w:tr w:rsidR="00035D36" w:rsidTr="00035D3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35D36" w:rsidRDefault="00BD241D">
            <w:pPr>
              <w:spacing w:after="0"/>
              <w:jc w:val="center"/>
              <w:rPr>
                <w:rFonts w:ascii="Times New Roman" w:hAnsi="Times New Roman" w:cs="Times New Roman"/>
                <w:noProof/>
                <w:color w:val="auto"/>
                <w:sz w:val="20"/>
                <w:szCs w:val="20"/>
              </w:rPr>
            </w:pPr>
            <w:r>
              <w:rPr>
                <w:rFonts w:ascii="Times New Roman" w:hAnsi="Times New Roman"/>
                <w:noProof/>
                <w:color w:val="auto"/>
                <w:sz w:val="20"/>
              </w:rPr>
              <w:t>Type d’équipement</w:t>
            </w:r>
          </w:p>
        </w:tc>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5D36" w:rsidRDefault="00BD241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Nombre d’actifs-mois demandés par décision du conseil d’administration</w:t>
            </w:r>
          </w:p>
        </w:tc>
        <w:tc>
          <w:tcPr>
            <w:tcW w:w="2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5D36" w:rsidRDefault="00BD241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 xml:space="preserve">Nombre d’actifs-mois offerts par EM/pays associés à </w:t>
            </w:r>
            <w:r>
              <w:rPr>
                <w:rFonts w:ascii="Times New Roman" w:hAnsi="Times New Roman"/>
                <w:noProof/>
                <w:color w:val="auto"/>
                <w:sz w:val="20"/>
              </w:rPr>
              <w:t>Schengen</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5D36" w:rsidRDefault="00BD241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Déficit</w:t>
            </w:r>
          </w:p>
        </w:tc>
        <w:tc>
          <w:tcPr>
            <w:tcW w:w="1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5D36" w:rsidRDefault="00BD241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États qui contribuent</w:t>
            </w:r>
          </w:p>
        </w:tc>
      </w:tr>
      <w:tr w:rsidR="00035D36" w:rsidTr="00035D36">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rPr>
                <w:rFonts w:ascii="Times New Roman" w:hAnsi="Times New Roman" w:cs="Times New Roman"/>
                <w:b w:val="0"/>
                <w:noProof/>
                <w:sz w:val="20"/>
                <w:szCs w:val="20"/>
              </w:rPr>
            </w:pPr>
            <w:r>
              <w:rPr>
                <w:rFonts w:ascii="Times New Roman" w:hAnsi="Times New Roman"/>
                <w:b w:val="0"/>
                <w:noProof/>
                <w:sz w:val="20"/>
              </w:rPr>
              <w:t>Bateaux de patrouille côtière</w:t>
            </w:r>
          </w:p>
        </w:tc>
        <w:tc>
          <w:tcPr>
            <w:tcW w:w="2253" w:type="dxa"/>
            <w:tcBorders>
              <w:top w:val="single" w:sz="4" w:space="0" w:color="auto"/>
              <w:left w:val="single" w:sz="4" w:space="0" w:color="auto"/>
              <w:bottom w:val="single" w:sz="4" w:space="0" w:color="auto"/>
              <w:right w:val="single" w:sz="4" w:space="0" w:color="auto"/>
            </w:tcBorders>
            <w:hideMark/>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67</w:t>
            </w:r>
          </w:p>
        </w:tc>
        <w:tc>
          <w:tcPr>
            <w:tcW w:w="2046" w:type="dxa"/>
            <w:tcBorders>
              <w:top w:val="single" w:sz="4" w:space="0" w:color="auto"/>
              <w:left w:val="single" w:sz="4" w:space="0" w:color="auto"/>
              <w:bottom w:val="single" w:sz="4" w:space="0" w:color="auto"/>
              <w:right w:val="single" w:sz="4" w:space="0" w:color="auto"/>
            </w:tcBorders>
            <w:hideMark/>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24</w:t>
            </w:r>
          </w:p>
        </w:tc>
        <w:tc>
          <w:tcPr>
            <w:tcW w:w="1030" w:type="dxa"/>
            <w:tcBorders>
              <w:top w:val="single" w:sz="4" w:space="0" w:color="auto"/>
              <w:left w:val="single" w:sz="4" w:space="0" w:color="auto"/>
              <w:bottom w:val="single" w:sz="4" w:space="0" w:color="auto"/>
              <w:right w:val="single" w:sz="4" w:space="0" w:color="auto"/>
            </w:tcBorders>
            <w:hideMark/>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43</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035D36" w:rsidRDefault="00BD241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Allemagne, Autriche, Bulgarie, Croatie, Danemark, Finlande, Hongrie, Italie, Lettonie, Pays-Bas, Pologne, Portugal, République tchèque, Slovénie, Suisse</w:t>
            </w:r>
          </w:p>
          <w:p w:rsidR="00035D36" w:rsidRDefault="00035D3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p w:rsidR="00035D36" w:rsidRDefault="00035D3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035D36" w:rsidTr="00035D36">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rsidR="00035D36" w:rsidRDefault="00BD241D">
            <w:pPr>
              <w:spacing w:after="0"/>
              <w:rPr>
                <w:rFonts w:ascii="Times New Roman" w:hAnsi="Times New Roman" w:cs="Times New Roman"/>
                <w:b w:val="0"/>
                <w:noProof/>
                <w:sz w:val="20"/>
                <w:szCs w:val="20"/>
              </w:rPr>
            </w:pPr>
            <w:r>
              <w:rPr>
                <w:rFonts w:ascii="Times New Roman" w:hAnsi="Times New Roman"/>
                <w:b w:val="0"/>
                <w:noProof/>
                <w:sz w:val="20"/>
              </w:rPr>
              <w:t>Navires de patrouille</w:t>
            </w:r>
            <w:r>
              <w:rPr>
                <w:rFonts w:ascii="Times New Roman" w:hAnsi="Times New Roman"/>
                <w:b w:val="0"/>
                <w:noProof/>
                <w:sz w:val="20"/>
              </w:rPr>
              <w:t xml:space="preserve"> côtière</w:t>
            </w:r>
          </w:p>
        </w:tc>
        <w:tc>
          <w:tcPr>
            <w:tcW w:w="2253"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33</w:t>
            </w:r>
          </w:p>
        </w:tc>
        <w:tc>
          <w:tcPr>
            <w:tcW w:w="2046"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14</w:t>
            </w:r>
          </w:p>
        </w:tc>
        <w:tc>
          <w:tcPr>
            <w:tcW w:w="1030"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5D36" w:rsidRDefault="00035D3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035D36" w:rsidTr="00035D36">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rsidR="00035D36" w:rsidRDefault="00BD241D">
            <w:pPr>
              <w:spacing w:after="0"/>
              <w:rPr>
                <w:rFonts w:ascii="Times New Roman" w:hAnsi="Times New Roman" w:cs="Times New Roman"/>
                <w:b w:val="0"/>
                <w:noProof/>
                <w:sz w:val="20"/>
                <w:szCs w:val="20"/>
              </w:rPr>
            </w:pPr>
            <w:r>
              <w:rPr>
                <w:rFonts w:ascii="Times New Roman" w:hAnsi="Times New Roman"/>
                <w:b w:val="0"/>
                <w:noProof/>
                <w:sz w:val="20"/>
              </w:rPr>
              <w:t>Aéronefs à voilure fixe</w:t>
            </w:r>
          </w:p>
        </w:tc>
        <w:tc>
          <w:tcPr>
            <w:tcW w:w="2253"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19</w:t>
            </w:r>
          </w:p>
        </w:tc>
        <w:tc>
          <w:tcPr>
            <w:tcW w:w="2046"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w:t>
            </w:r>
          </w:p>
        </w:tc>
        <w:tc>
          <w:tcPr>
            <w:tcW w:w="1030"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5D36" w:rsidRDefault="00035D3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035D36" w:rsidTr="00035D36">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rsidR="00035D36" w:rsidRDefault="00BD241D">
            <w:pPr>
              <w:spacing w:after="0"/>
              <w:rPr>
                <w:rFonts w:ascii="Times New Roman" w:hAnsi="Times New Roman" w:cs="Times New Roman"/>
                <w:b w:val="0"/>
                <w:noProof/>
                <w:sz w:val="20"/>
                <w:szCs w:val="20"/>
              </w:rPr>
            </w:pPr>
            <w:r>
              <w:rPr>
                <w:rFonts w:ascii="Times New Roman" w:hAnsi="Times New Roman"/>
                <w:b w:val="0"/>
                <w:noProof/>
                <w:sz w:val="20"/>
              </w:rPr>
              <w:t>Hélicoptères</w:t>
            </w:r>
          </w:p>
        </w:tc>
        <w:tc>
          <w:tcPr>
            <w:tcW w:w="2253"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20</w:t>
            </w:r>
          </w:p>
        </w:tc>
        <w:tc>
          <w:tcPr>
            <w:tcW w:w="2046"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w:t>
            </w:r>
          </w:p>
        </w:tc>
        <w:tc>
          <w:tcPr>
            <w:tcW w:w="1030"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5D36" w:rsidRDefault="00035D3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035D36" w:rsidTr="00035D36">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rsidR="00035D36" w:rsidRDefault="00BD241D">
            <w:pPr>
              <w:spacing w:after="0"/>
              <w:rPr>
                <w:rFonts w:ascii="Times New Roman" w:hAnsi="Times New Roman" w:cs="Times New Roman"/>
                <w:b w:val="0"/>
                <w:noProof/>
                <w:sz w:val="20"/>
                <w:szCs w:val="20"/>
              </w:rPr>
            </w:pPr>
            <w:r>
              <w:rPr>
                <w:rFonts w:ascii="Times New Roman" w:hAnsi="Times New Roman"/>
                <w:b w:val="0"/>
                <w:noProof/>
                <w:sz w:val="20"/>
              </w:rPr>
              <w:t>Patrouilleurs de haute mer</w:t>
            </w:r>
          </w:p>
        </w:tc>
        <w:tc>
          <w:tcPr>
            <w:tcW w:w="2253"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28</w:t>
            </w:r>
          </w:p>
        </w:tc>
        <w:tc>
          <w:tcPr>
            <w:tcW w:w="2046"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14</w:t>
            </w:r>
          </w:p>
        </w:tc>
        <w:tc>
          <w:tcPr>
            <w:tcW w:w="1030"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5D36" w:rsidRDefault="00035D3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035D36" w:rsidTr="00035D36">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rsidR="00035D36" w:rsidRDefault="00BD241D">
            <w:pPr>
              <w:spacing w:after="0"/>
              <w:rPr>
                <w:rFonts w:ascii="Times New Roman" w:hAnsi="Times New Roman" w:cs="Times New Roman"/>
                <w:b w:val="0"/>
                <w:noProof/>
                <w:sz w:val="20"/>
                <w:szCs w:val="20"/>
              </w:rPr>
            </w:pPr>
            <w:r>
              <w:rPr>
                <w:rFonts w:ascii="Times New Roman" w:hAnsi="Times New Roman"/>
                <w:b w:val="0"/>
                <w:noProof/>
                <w:sz w:val="20"/>
              </w:rPr>
              <w:t>Voitures de patrouille</w:t>
            </w:r>
          </w:p>
        </w:tc>
        <w:tc>
          <w:tcPr>
            <w:tcW w:w="2253"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167</w:t>
            </w:r>
          </w:p>
        </w:tc>
        <w:tc>
          <w:tcPr>
            <w:tcW w:w="2046"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453</w:t>
            </w:r>
          </w:p>
        </w:tc>
        <w:tc>
          <w:tcPr>
            <w:tcW w:w="1030"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5D36" w:rsidRDefault="00035D3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035D36" w:rsidTr="00035D36">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rsidR="00035D36" w:rsidRDefault="00BD241D">
            <w:pPr>
              <w:spacing w:after="0"/>
              <w:rPr>
                <w:rFonts w:ascii="Times New Roman" w:hAnsi="Times New Roman" w:cs="Times New Roman"/>
                <w:b w:val="0"/>
                <w:noProof/>
                <w:sz w:val="20"/>
                <w:szCs w:val="20"/>
              </w:rPr>
            </w:pPr>
            <w:r>
              <w:rPr>
                <w:rFonts w:ascii="Times New Roman" w:hAnsi="Times New Roman"/>
                <w:b w:val="0"/>
                <w:noProof/>
                <w:sz w:val="20"/>
              </w:rPr>
              <w:t>Détecteurs de battements de cœur</w:t>
            </w:r>
          </w:p>
        </w:tc>
        <w:tc>
          <w:tcPr>
            <w:tcW w:w="2253"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6</w:t>
            </w:r>
          </w:p>
        </w:tc>
        <w:tc>
          <w:tcPr>
            <w:tcW w:w="2046"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w:t>
            </w:r>
          </w:p>
        </w:tc>
        <w:tc>
          <w:tcPr>
            <w:tcW w:w="1030" w:type="dxa"/>
            <w:tcBorders>
              <w:top w:val="single" w:sz="4" w:space="0" w:color="auto"/>
              <w:left w:val="single" w:sz="4" w:space="0" w:color="auto"/>
              <w:bottom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5D36" w:rsidRDefault="00035D3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035D36" w:rsidTr="00035D36">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right w:val="single" w:sz="4" w:space="0" w:color="auto"/>
            </w:tcBorders>
            <w:noWrap/>
          </w:tcPr>
          <w:p w:rsidR="00035D36" w:rsidRDefault="00BD241D">
            <w:pPr>
              <w:spacing w:after="0"/>
              <w:rPr>
                <w:rFonts w:ascii="Times New Roman" w:hAnsi="Times New Roman" w:cs="Times New Roman"/>
                <w:b w:val="0"/>
                <w:noProof/>
                <w:sz w:val="20"/>
                <w:szCs w:val="20"/>
              </w:rPr>
            </w:pPr>
            <w:r>
              <w:rPr>
                <w:rFonts w:ascii="Times New Roman" w:hAnsi="Times New Roman"/>
                <w:b w:val="0"/>
                <w:noProof/>
                <w:sz w:val="20"/>
              </w:rPr>
              <w:t>Véhicules équipés d’appareils de vision thermique</w:t>
            </w:r>
          </w:p>
          <w:p w:rsidR="00035D36" w:rsidRDefault="00035D36">
            <w:pPr>
              <w:spacing w:after="0"/>
              <w:rPr>
                <w:rFonts w:ascii="Times New Roman" w:hAnsi="Times New Roman" w:cs="Times New Roman"/>
                <w:b w:val="0"/>
                <w:noProof/>
                <w:sz w:val="20"/>
                <w:szCs w:val="20"/>
              </w:rPr>
            </w:pPr>
          </w:p>
        </w:tc>
        <w:tc>
          <w:tcPr>
            <w:tcW w:w="2253" w:type="dxa"/>
            <w:tcBorders>
              <w:top w:val="single" w:sz="4" w:space="0" w:color="auto"/>
              <w:left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noProof/>
                <w:sz w:val="20"/>
              </w:rPr>
              <w:t>55</w:t>
            </w:r>
          </w:p>
        </w:tc>
        <w:tc>
          <w:tcPr>
            <w:tcW w:w="2046" w:type="dxa"/>
            <w:tcBorders>
              <w:top w:val="single" w:sz="4" w:space="0" w:color="auto"/>
              <w:left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noProof/>
                <w:sz w:val="20"/>
              </w:rPr>
              <w:t>35</w:t>
            </w:r>
          </w:p>
          <w:p w:rsidR="00035D36" w:rsidRDefault="00035D36">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p>
        </w:tc>
        <w:tc>
          <w:tcPr>
            <w:tcW w:w="1030" w:type="dxa"/>
            <w:tcBorders>
              <w:top w:val="single" w:sz="4" w:space="0" w:color="auto"/>
              <w:left w:val="single" w:sz="4" w:space="0" w:color="auto"/>
              <w:right w:val="single" w:sz="4" w:space="0" w:color="auto"/>
            </w:tcBorders>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noProof/>
                <w:sz w:val="20"/>
              </w:rPr>
              <w:t>20</w:t>
            </w:r>
          </w:p>
          <w:p w:rsidR="00035D36" w:rsidRDefault="00035D36">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5D36" w:rsidRDefault="00035D3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035D36" w:rsidTr="00035D36">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rPr>
                <w:rFonts w:ascii="Times New Roman" w:hAnsi="Times New Roman" w:cs="Times New Roman"/>
                <w:b w:val="0"/>
                <w:noProof/>
                <w:sz w:val="20"/>
                <w:szCs w:val="20"/>
              </w:rPr>
            </w:pPr>
            <w:r>
              <w:rPr>
                <w:rFonts w:ascii="Times New Roman" w:hAnsi="Times New Roman"/>
                <w:noProof/>
                <w:sz w:val="20"/>
              </w:rPr>
              <w:t>Détecteurs de CO</w:t>
            </w:r>
            <w:r>
              <w:rPr>
                <w:rFonts w:ascii="Times New Roman" w:hAnsi="Times New Roman"/>
                <w:noProof/>
                <w:sz w:val="20"/>
                <w:vertAlign w:val="subscript"/>
              </w:rPr>
              <w:t>2</w:t>
            </w:r>
          </w:p>
        </w:tc>
        <w:tc>
          <w:tcPr>
            <w:tcW w:w="2253" w:type="dxa"/>
            <w:tcBorders>
              <w:top w:val="single" w:sz="4" w:space="0" w:color="auto"/>
              <w:left w:val="single" w:sz="4" w:space="0" w:color="auto"/>
              <w:bottom w:val="single" w:sz="4" w:space="0" w:color="auto"/>
              <w:right w:val="single" w:sz="4" w:space="0" w:color="auto"/>
            </w:tcBorders>
            <w:hideMark/>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54</w:t>
            </w:r>
          </w:p>
        </w:tc>
        <w:tc>
          <w:tcPr>
            <w:tcW w:w="2046" w:type="dxa"/>
            <w:tcBorders>
              <w:top w:val="single" w:sz="4" w:space="0" w:color="auto"/>
              <w:left w:val="single" w:sz="4" w:space="0" w:color="auto"/>
              <w:bottom w:val="single" w:sz="4" w:space="0" w:color="auto"/>
              <w:right w:val="single" w:sz="4" w:space="0" w:color="auto"/>
            </w:tcBorders>
            <w:hideMark/>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0</w:t>
            </w:r>
          </w:p>
        </w:tc>
        <w:tc>
          <w:tcPr>
            <w:tcW w:w="1030" w:type="dxa"/>
            <w:tcBorders>
              <w:top w:val="single" w:sz="4" w:space="0" w:color="auto"/>
              <w:left w:val="single" w:sz="4" w:space="0" w:color="auto"/>
              <w:bottom w:val="single" w:sz="4" w:space="0" w:color="auto"/>
              <w:right w:val="single" w:sz="4" w:space="0" w:color="auto"/>
            </w:tcBorders>
            <w:hideMark/>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54</w:t>
            </w:r>
          </w:p>
        </w:tc>
        <w:tc>
          <w:tcPr>
            <w:tcW w:w="1860" w:type="dxa"/>
            <w:tcBorders>
              <w:top w:val="single" w:sz="4" w:space="0" w:color="auto"/>
              <w:left w:val="single" w:sz="4" w:space="0" w:color="auto"/>
              <w:bottom w:val="single" w:sz="4" w:space="0" w:color="auto"/>
              <w:right w:val="single" w:sz="4" w:space="0" w:color="auto"/>
            </w:tcBorders>
          </w:tcPr>
          <w:p w:rsidR="00035D36" w:rsidRDefault="00035D36">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035D36" w:rsidTr="00035D36">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hideMark/>
          </w:tcPr>
          <w:p w:rsidR="00035D36" w:rsidRDefault="00BD241D">
            <w:pPr>
              <w:spacing w:after="0"/>
              <w:rPr>
                <w:rFonts w:ascii="Times New Roman" w:hAnsi="Times New Roman" w:cs="Times New Roman"/>
                <w:b w:val="0"/>
                <w:noProof/>
                <w:sz w:val="20"/>
                <w:szCs w:val="20"/>
              </w:rPr>
            </w:pPr>
            <w:r>
              <w:rPr>
                <w:rFonts w:ascii="Times New Roman" w:hAnsi="Times New Roman"/>
                <w:noProof/>
                <w:sz w:val="20"/>
              </w:rPr>
              <w:t>Laboratoires mobiles</w:t>
            </w:r>
          </w:p>
        </w:tc>
        <w:tc>
          <w:tcPr>
            <w:tcW w:w="2253" w:type="dxa"/>
            <w:tcBorders>
              <w:top w:val="single" w:sz="4" w:space="0" w:color="auto"/>
              <w:left w:val="single" w:sz="4" w:space="0" w:color="auto"/>
              <w:bottom w:val="single" w:sz="4" w:space="0" w:color="auto"/>
              <w:right w:val="single" w:sz="4" w:space="0" w:color="auto"/>
            </w:tcBorders>
            <w:hideMark/>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w:t>
            </w:r>
          </w:p>
        </w:tc>
        <w:tc>
          <w:tcPr>
            <w:tcW w:w="2046" w:type="dxa"/>
            <w:tcBorders>
              <w:top w:val="single" w:sz="4" w:space="0" w:color="auto"/>
              <w:left w:val="single" w:sz="4" w:space="0" w:color="auto"/>
              <w:bottom w:val="single" w:sz="4" w:space="0" w:color="auto"/>
              <w:right w:val="single" w:sz="4" w:space="0" w:color="auto"/>
            </w:tcBorders>
            <w:hideMark/>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0</w:t>
            </w:r>
          </w:p>
        </w:tc>
        <w:tc>
          <w:tcPr>
            <w:tcW w:w="1030" w:type="dxa"/>
            <w:tcBorders>
              <w:top w:val="single" w:sz="4" w:space="0" w:color="auto"/>
              <w:left w:val="single" w:sz="4" w:space="0" w:color="auto"/>
              <w:bottom w:val="single" w:sz="4" w:space="0" w:color="auto"/>
              <w:right w:val="single" w:sz="4" w:space="0" w:color="auto"/>
            </w:tcBorders>
            <w:hideMark/>
          </w:tcPr>
          <w:p w:rsidR="00035D36" w:rsidRDefault="00BD241D">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w:t>
            </w:r>
          </w:p>
        </w:tc>
        <w:tc>
          <w:tcPr>
            <w:tcW w:w="1860" w:type="dxa"/>
            <w:tcBorders>
              <w:top w:val="single" w:sz="4" w:space="0" w:color="auto"/>
              <w:left w:val="single" w:sz="4" w:space="0" w:color="auto"/>
              <w:bottom w:val="single" w:sz="4" w:space="0" w:color="auto"/>
              <w:right w:val="single" w:sz="4" w:space="0" w:color="auto"/>
            </w:tcBorders>
          </w:tcPr>
          <w:p w:rsidR="00035D36" w:rsidRDefault="00035D36">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bl>
    <w:p w:rsidR="00035D36" w:rsidRDefault="00035D36">
      <w:pPr>
        <w:suppressAutoHyphens/>
        <w:spacing w:after="120"/>
        <w:contextualSpacing/>
        <w:rPr>
          <w:noProof/>
          <w:sz w:val="16"/>
          <w:szCs w:val="16"/>
        </w:rPr>
      </w:pPr>
    </w:p>
    <w:p w:rsidR="00035D36" w:rsidRDefault="00035D36">
      <w:pPr>
        <w:suppressAutoHyphens/>
        <w:spacing w:after="120"/>
        <w:contextualSpacing/>
        <w:rPr>
          <w:noProof/>
          <w:sz w:val="16"/>
          <w:szCs w:val="16"/>
        </w:rPr>
      </w:pPr>
    </w:p>
    <w:p w:rsidR="00035D36" w:rsidRDefault="00BD241D">
      <w:pPr>
        <w:pStyle w:val="Heading1"/>
        <w:rPr>
          <w:noProof/>
        </w:rPr>
      </w:pPr>
      <w:r>
        <w:rPr>
          <w:noProof/>
        </w:rPr>
        <w:t>Évaluations des vulnérabilités</w:t>
      </w:r>
    </w:p>
    <w:p w:rsidR="00035D36" w:rsidRDefault="00BD241D">
      <w:pPr>
        <w:rPr>
          <w:noProof/>
          <w:szCs w:val="24"/>
        </w:rPr>
      </w:pPr>
      <w:r>
        <w:rPr>
          <w:noProof/>
        </w:rPr>
        <w:t xml:space="preserve">Au 27 avril 2018, à la suite des évaluations 2017, l’Agence a recommandé 53 mesures dans 21 États membres visant des vulnérabilités dans différents domaines. Des recommandations supplémentaires peuvent encore être émises.  </w:t>
      </w:r>
    </w:p>
    <w:tbl>
      <w:tblPr>
        <w:tblStyle w:val="TableGrid"/>
        <w:tblW w:w="0" w:type="auto"/>
        <w:jc w:val="center"/>
        <w:tblLook w:val="04A0" w:firstRow="1" w:lastRow="0" w:firstColumn="1" w:lastColumn="0" w:noHBand="0" w:noVBand="1"/>
      </w:tblPr>
      <w:tblGrid>
        <w:gridCol w:w="1572"/>
        <w:gridCol w:w="5754"/>
        <w:gridCol w:w="1960"/>
      </w:tblGrid>
      <w:tr w:rsidR="00035D36">
        <w:trPr>
          <w:jc w:val="center"/>
        </w:trPr>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5D36" w:rsidRDefault="00BD241D">
            <w:pPr>
              <w:spacing w:after="0"/>
              <w:rPr>
                <w:b/>
                <w:noProof/>
                <w:sz w:val="20"/>
              </w:rPr>
            </w:pPr>
            <w:r>
              <w:rPr>
                <w:b/>
                <w:noProof/>
                <w:sz w:val="20"/>
              </w:rPr>
              <w:t xml:space="preserve">Vulnérabilités </w:t>
            </w:r>
          </w:p>
        </w:tc>
        <w:tc>
          <w:tcPr>
            <w:tcW w:w="5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5D36" w:rsidRDefault="00BD241D">
            <w:pPr>
              <w:spacing w:after="0"/>
              <w:rPr>
                <w:b/>
                <w:noProof/>
                <w:sz w:val="20"/>
              </w:rPr>
            </w:pPr>
            <w:r>
              <w:rPr>
                <w:b/>
                <w:noProof/>
                <w:sz w:val="20"/>
              </w:rPr>
              <w:t>Mesures recomman</w:t>
            </w:r>
            <w:r>
              <w:rPr>
                <w:b/>
                <w:noProof/>
                <w:sz w:val="20"/>
              </w:rPr>
              <w:t>dées</w:t>
            </w:r>
          </w:p>
        </w:tc>
        <w:tc>
          <w:tcPr>
            <w:tcW w:w="1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5D36" w:rsidRDefault="00BD241D">
            <w:pPr>
              <w:spacing w:after="0"/>
              <w:rPr>
                <w:b/>
                <w:noProof/>
                <w:sz w:val="20"/>
              </w:rPr>
            </w:pPr>
            <w:r>
              <w:rPr>
                <w:b/>
                <w:noProof/>
                <w:sz w:val="20"/>
              </w:rPr>
              <w:t>Nombre d’États membres</w:t>
            </w:r>
          </w:p>
        </w:tc>
      </w:tr>
      <w:tr w:rsidR="00035D36">
        <w:trPr>
          <w:jc w:val="center"/>
        </w:trPr>
        <w:tc>
          <w:tcPr>
            <w:tcW w:w="1572" w:type="dxa"/>
            <w:tcBorders>
              <w:top w:val="single" w:sz="4" w:space="0" w:color="auto"/>
              <w:left w:val="single" w:sz="4" w:space="0" w:color="auto"/>
              <w:bottom w:val="single" w:sz="4" w:space="0" w:color="auto"/>
              <w:right w:val="single" w:sz="4" w:space="0" w:color="auto"/>
            </w:tcBorders>
            <w:hideMark/>
          </w:tcPr>
          <w:p w:rsidR="00035D36" w:rsidRDefault="00BD241D">
            <w:pPr>
              <w:spacing w:after="0"/>
              <w:rPr>
                <w:b/>
                <w:noProof/>
                <w:sz w:val="20"/>
              </w:rPr>
            </w:pPr>
            <w:r>
              <w:rPr>
                <w:b/>
                <w:noProof/>
                <w:sz w:val="20"/>
              </w:rPr>
              <w:t xml:space="preserve">Contrôles aux frontières </w:t>
            </w:r>
          </w:p>
        </w:tc>
        <w:tc>
          <w:tcPr>
            <w:tcW w:w="5754" w:type="dxa"/>
            <w:tcBorders>
              <w:top w:val="single" w:sz="4" w:space="0" w:color="auto"/>
              <w:left w:val="single" w:sz="4" w:space="0" w:color="auto"/>
              <w:bottom w:val="single" w:sz="4" w:space="0" w:color="auto"/>
              <w:right w:val="single" w:sz="4" w:space="0" w:color="auto"/>
            </w:tcBorders>
            <w:hideMark/>
          </w:tcPr>
          <w:p w:rsidR="00035D36" w:rsidRDefault="00BD241D">
            <w:pPr>
              <w:pStyle w:val="ListParagraph"/>
              <w:numPr>
                <w:ilvl w:val="0"/>
                <w:numId w:val="32"/>
              </w:numPr>
              <w:spacing w:after="0"/>
              <w:ind w:right="85"/>
              <w:jc w:val="left"/>
              <w:rPr>
                <w:noProof/>
                <w:sz w:val="20"/>
              </w:rPr>
            </w:pPr>
            <w:r>
              <w:rPr>
                <w:noProof/>
                <w:sz w:val="20"/>
              </w:rPr>
              <w:t xml:space="preserve">Adapter les procédures de consultation des bases de données pour les vérifications systématiques </w:t>
            </w:r>
          </w:p>
          <w:p w:rsidR="00035D36" w:rsidRDefault="00BD241D">
            <w:pPr>
              <w:pStyle w:val="ListParagraph"/>
              <w:numPr>
                <w:ilvl w:val="0"/>
                <w:numId w:val="32"/>
              </w:numPr>
              <w:spacing w:after="0"/>
              <w:ind w:right="85"/>
              <w:jc w:val="left"/>
              <w:rPr>
                <w:noProof/>
                <w:sz w:val="20"/>
              </w:rPr>
            </w:pPr>
            <w:r>
              <w:rPr>
                <w:noProof/>
                <w:sz w:val="20"/>
              </w:rPr>
              <w:t>Fixer un nombre estimatif de cas non détectés de fraude documentaire/d’entrées clandestines et réaliser</w:t>
            </w:r>
            <w:r>
              <w:rPr>
                <w:noProof/>
                <w:sz w:val="20"/>
              </w:rPr>
              <w:t xml:space="preserve"> des vérifications ciblées</w:t>
            </w:r>
          </w:p>
        </w:tc>
        <w:tc>
          <w:tcPr>
            <w:tcW w:w="196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noProof/>
                <w:sz w:val="20"/>
              </w:rPr>
            </w:pPr>
            <w:r>
              <w:rPr>
                <w:noProof/>
                <w:sz w:val="20"/>
              </w:rPr>
              <w:t>21</w:t>
            </w:r>
          </w:p>
        </w:tc>
      </w:tr>
      <w:tr w:rsidR="00035D36">
        <w:trPr>
          <w:jc w:val="center"/>
        </w:trPr>
        <w:tc>
          <w:tcPr>
            <w:tcW w:w="1572" w:type="dxa"/>
            <w:tcBorders>
              <w:top w:val="single" w:sz="4" w:space="0" w:color="auto"/>
              <w:left w:val="single" w:sz="4" w:space="0" w:color="auto"/>
              <w:bottom w:val="single" w:sz="4" w:space="0" w:color="auto"/>
              <w:right w:val="single" w:sz="4" w:space="0" w:color="auto"/>
            </w:tcBorders>
            <w:hideMark/>
          </w:tcPr>
          <w:p w:rsidR="00035D36" w:rsidRDefault="00BD241D">
            <w:pPr>
              <w:spacing w:after="0"/>
              <w:rPr>
                <w:b/>
                <w:noProof/>
                <w:sz w:val="20"/>
              </w:rPr>
            </w:pPr>
            <w:r>
              <w:rPr>
                <w:b/>
                <w:noProof/>
                <w:sz w:val="20"/>
              </w:rPr>
              <w:t xml:space="preserve">Planification des mesures d’urgence </w:t>
            </w:r>
          </w:p>
        </w:tc>
        <w:tc>
          <w:tcPr>
            <w:tcW w:w="5754" w:type="dxa"/>
            <w:tcBorders>
              <w:top w:val="single" w:sz="4" w:space="0" w:color="auto"/>
              <w:left w:val="single" w:sz="4" w:space="0" w:color="auto"/>
              <w:bottom w:val="single" w:sz="4" w:space="0" w:color="auto"/>
              <w:right w:val="single" w:sz="4" w:space="0" w:color="auto"/>
            </w:tcBorders>
            <w:hideMark/>
          </w:tcPr>
          <w:p w:rsidR="00035D36" w:rsidRDefault="00BD241D">
            <w:pPr>
              <w:pStyle w:val="ListParagraph"/>
              <w:numPr>
                <w:ilvl w:val="0"/>
                <w:numId w:val="33"/>
              </w:numPr>
              <w:spacing w:after="0"/>
              <w:ind w:right="85"/>
              <w:jc w:val="left"/>
              <w:rPr>
                <w:noProof/>
                <w:sz w:val="20"/>
              </w:rPr>
            </w:pPr>
            <w:r>
              <w:rPr>
                <w:noProof/>
                <w:sz w:val="20"/>
              </w:rPr>
              <w:t>Élaborer et/ou actualiser le plan d’intervention d’urgence, tester le plan</w:t>
            </w:r>
          </w:p>
        </w:tc>
        <w:tc>
          <w:tcPr>
            <w:tcW w:w="196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noProof/>
                <w:sz w:val="20"/>
              </w:rPr>
            </w:pPr>
            <w:r>
              <w:rPr>
                <w:noProof/>
                <w:sz w:val="20"/>
              </w:rPr>
              <w:t>10</w:t>
            </w:r>
          </w:p>
        </w:tc>
      </w:tr>
      <w:tr w:rsidR="00035D36">
        <w:trPr>
          <w:jc w:val="center"/>
        </w:trPr>
        <w:tc>
          <w:tcPr>
            <w:tcW w:w="1572" w:type="dxa"/>
            <w:tcBorders>
              <w:top w:val="single" w:sz="4" w:space="0" w:color="auto"/>
              <w:left w:val="single" w:sz="4" w:space="0" w:color="auto"/>
              <w:bottom w:val="single" w:sz="4" w:space="0" w:color="auto"/>
              <w:right w:val="single" w:sz="4" w:space="0" w:color="auto"/>
            </w:tcBorders>
            <w:hideMark/>
          </w:tcPr>
          <w:p w:rsidR="00035D36" w:rsidRDefault="00BD241D">
            <w:pPr>
              <w:spacing w:after="0"/>
              <w:rPr>
                <w:b/>
                <w:noProof/>
                <w:sz w:val="20"/>
              </w:rPr>
            </w:pPr>
            <w:r>
              <w:rPr>
                <w:b/>
                <w:noProof/>
                <w:sz w:val="20"/>
              </w:rPr>
              <w:t xml:space="preserve">Enregistrement et capacité d’hébergement </w:t>
            </w:r>
          </w:p>
        </w:tc>
        <w:tc>
          <w:tcPr>
            <w:tcW w:w="5754" w:type="dxa"/>
            <w:tcBorders>
              <w:top w:val="single" w:sz="4" w:space="0" w:color="auto"/>
              <w:left w:val="single" w:sz="4" w:space="0" w:color="auto"/>
              <w:bottom w:val="single" w:sz="4" w:space="0" w:color="auto"/>
              <w:right w:val="single" w:sz="4" w:space="0" w:color="auto"/>
            </w:tcBorders>
            <w:hideMark/>
          </w:tcPr>
          <w:p w:rsidR="00035D36" w:rsidRDefault="00BD241D">
            <w:pPr>
              <w:pStyle w:val="ListParagraph"/>
              <w:numPr>
                <w:ilvl w:val="0"/>
                <w:numId w:val="33"/>
              </w:numPr>
              <w:spacing w:after="0"/>
              <w:ind w:right="85"/>
              <w:jc w:val="left"/>
              <w:rPr>
                <w:noProof/>
                <w:sz w:val="20"/>
              </w:rPr>
            </w:pPr>
            <w:r>
              <w:rPr>
                <w:noProof/>
                <w:sz w:val="20"/>
              </w:rPr>
              <w:t>Accroître la capacité d’hébergement</w:t>
            </w:r>
          </w:p>
          <w:p w:rsidR="00035D36" w:rsidRDefault="00BD241D">
            <w:pPr>
              <w:pStyle w:val="ListParagraph"/>
              <w:numPr>
                <w:ilvl w:val="0"/>
                <w:numId w:val="33"/>
              </w:numPr>
              <w:spacing w:after="0"/>
              <w:ind w:right="85"/>
              <w:jc w:val="left"/>
              <w:rPr>
                <w:noProof/>
                <w:sz w:val="20"/>
              </w:rPr>
            </w:pPr>
            <w:r>
              <w:rPr>
                <w:noProof/>
                <w:sz w:val="20"/>
              </w:rPr>
              <w:t xml:space="preserve">Dresser un inventaire détaillé </w:t>
            </w:r>
            <w:r>
              <w:rPr>
                <w:noProof/>
                <w:sz w:val="20"/>
              </w:rPr>
              <w:t>des capteurs d’empreintes digitales EURODAC</w:t>
            </w:r>
          </w:p>
        </w:tc>
        <w:tc>
          <w:tcPr>
            <w:tcW w:w="196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noProof/>
                <w:sz w:val="20"/>
              </w:rPr>
            </w:pPr>
            <w:r>
              <w:rPr>
                <w:noProof/>
                <w:sz w:val="20"/>
              </w:rPr>
              <w:t>7</w:t>
            </w:r>
          </w:p>
        </w:tc>
      </w:tr>
      <w:tr w:rsidR="00035D36">
        <w:trPr>
          <w:jc w:val="center"/>
        </w:trPr>
        <w:tc>
          <w:tcPr>
            <w:tcW w:w="1572" w:type="dxa"/>
            <w:tcBorders>
              <w:top w:val="single" w:sz="4" w:space="0" w:color="auto"/>
              <w:left w:val="single" w:sz="4" w:space="0" w:color="auto"/>
              <w:bottom w:val="single" w:sz="4" w:space="0" w:color="auto"/>
              <w:right w:val="single" w:sz="4" w:space="0" w:color="auto"/>
            </w:tcBorders>
            <w:hideMark/>
          </w:tcPr>
          <w:p w:rsidR="00035D36" w:rsidRDefault="00BD241D">
            <w:pPr>
              <w:spacing w:after="0"/>
              <w:rPr>
                <w:b/>
                <w:noProof/>
                <w:sz w:val="20"/>
              </w:rPr>
            </w:pPr>
            <w:r>
              <w:rPr>
                <w:b/>
                <w:noProof/>
                <w:sz w:val="20"/>
              </w:rPr>
              <w:t>Dotation en effectifs pour les contrôles aux frontières</w:t>
            </w:r>
          </w:p>
        </w:tc>
        <w:tc>
          <w:tcPr>
            <w:tcW w:w="5754" w:type="dxa"/>
            <w:tcBorders>
              <w:top w:val="single" w:sz="4" w:space="0" w:color="auto"/>
              <w:left w:val="single" w:sz="4" w:space="0" w:color="auto"/>
              <w:bottom w:val="single" w:sz="4" w:space="0" w:color="auto"/>
              <w:right w:val="single" w:sz="4" w:space="0" w:color="auto"/>
            </w:tcBorders>
            <w:hideMark/>
          </w:tcPr>
          <w:p w:rsidR="00035D36" w:rsidRDefault="00BD241D">
            <w:pPr>
              <w:pStyle w:val="ListParagraph"/>
              <w:numPr>
                <w:ilvl w:val="0"/>
                <w:numId w:val="34"/>
              </w:numPr>
              <w:spacing w:after="0"/>
              <w:ind w:right="85"/>
              <w:jc w:val="left"/>
              <w:rPr>
                <w:noProof/>
                <w:sz w:val="20"/>
              </w:rPr>
            </w:pPr>
            <w:r>
              <w:rPr>
                <w:noProof/>
                <w:sz w:val="20"/>
              </w:rPr>
              <w:t>Augmenter le nombre effectif de membres du personnel</w:t>
            </w:r>
          </w:p>
        </w:tc>
        <w:tc>
          <w:tcPr>
            <w:tcW w:w="196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noProof/>
                <w:sz w:val="20"/>
              </w:rPr>
            </w:pPr>
            <w:r>
              <w:rPr>
                <w:noProof/>
                <w:sz w:val="20"/>
              </w:rPr>
              <w:t>2</w:t>
            </w:r>
          </w:p>
        </w:tc>
      </w:tr>
      <w:tr w:rsidR="00035D36">
        <w:trPr>
          <w:jc w:val="center"/>
        </w:trPr>
        <w:tc>
          <w:tcPr>
            <w:tcW w:w="1572" w:type="dxa"/>
            <w:tcBorders>
              <w:top w:val="single" w:sz="4" w:space="0" w:color="auto"/>
              <w:left w:val="single" w:sz="4" w:space="0" w:color="auto"/>
              <w:bottom w:val="single" w:sz="4" w:space="0" w:color="auto"/>
              <w:right w:val="single" w:sz="4" w:space="0" w:color="auto"/>
            </w:tcBorders>
          </w:tcPr>
          <w:p w:rsidR="00035D36" w:rsidRDefault="00BD241D">
            <w:pPr>
              <w:spacing w:after="0"/>
              <w:rPr>
                <w:b/>
                <w:noProof/>
                <w:sz w:val="20"/>
              </w:rPr>
            </w:pPr>
            <w:r>
              <w:rPr>
                <w:b/>
                <w:noProof/>
                <w:sz w:val="20"/>
              </w:rPr>
              <w:t>Analyse des risques</w:t>
            </w:r>
          </w:p>
        </w:tc>
        <w:tc>
          <w:tcPr>
            <w:tcW w:w="5754" w:type="dxa"/>
            <w:tcBorders>
              <w:top w:val="single" w:sz="4" w:space="0" w:color="auto"/>
              <w:left w:val="single" w:sz="4" w:space="0" w:color="auto"/>
              <w:bottom w:val="single" w:sz="4" w:space="0" w:color="auto"/>
              <w:right w:val="single" w:sz="4" w:space="0" w:color="auto"/>
            </w:tcBorders>
          </w:tcPr>
          <w:p w:rsidR="00035D36" w:rsidRDefault="00BD241D">
            <w:pPr>
              <w:pStyle w:val="ListParagraph"/>
              <w:numPr>
                <w:ilvl w:val="0"/>
                <w:numId w:val="34"/>
              </w:numPr>
              <w:spacing w:after="0"/>
              <w:ind w:right="85"/>
              <w:jc w:val="left"/>
              <w:rPr>
                <w:noProof/>
                <w:sz w:val="20"/>
              </w:rPr>
            </w:pPr>
            <w:r>
              <w:rPr>
                <w:noProof/>
                <w:sz w:val="20"/>
              </w:rPr>
              <w:t>Mise en œuvre du modèle commun d’analyse des risques</w:t>
            </w:r>
          </w:p>
        </w:tc>
        <w:tc>
          <w:tcPr>
            <w:tcW w:w="1960" w:type="dxa"/>
            <w:tcBorders>
              <w:top w:val="single" w:sz="4" w:space="0" w:color="auto"/>
              <w:left w:val="single" w:sz="4" w:space="0" w:color="auto"/>
              <w:bottom w:val="single" w:sz="4" w:space="0" w:color="auto"/>
              <w:right w:val="single" w:sz="4" w:space="0" w:color="auto"/>
            </w:tcBorders>
            <w:vAlign w:val="center"/>
          </w:tcPr>
          <w:p w:rsidR="00035D36" w:rsidRDefault="00BD241D">
            <w:pPr>
              <w:spacing w:after="0"/>
              <w:jc w:val="center"/>
              <w:rPr>
                <w:noProof/>
                <w:sz w:val="20"/>
              </w:rPr>
            </w:pPr>
            <w:r>
              <w:rPr>
                <w:noProof/>
                <w:sz w:val="20"/>
              </w:rPr>
              <w:t>1</w:t>
            </w:r>
          </w:p>
        </w:tc>
      </w:tr>
      <w:tr w:rsidR="00035D36">
        <w:trPr>
          <w:jc w:val="center"/>
        </w:trPr>
        <w:tc>
          <w:tcPr>
            <w:tcW w:w="1572" w:type="dxa"/>
            <w:tcBorders>
              <w:top w:val="single" w:sz="4" w:space="0" w:color="auto"/>
              <w:left w:val="single" w:sz="4" w:space="0" w:color="auto"/>
              <w:bottom w:val="single" w:sz="4" w:space="0" w:color="auto"/>
              <w:right w:val="single" w:sz="4" w:space="0" w:color="auto"/>
            </w:tcBorders>
          </w:tcPr>
          <w:p w:rsidR="00035D36" w:rsidRDefault="00BD241D">
            <w:pPr>
              <w:spacing w:after="0"/>
              <w:rPr>
                <w:b/>
                <w:noProof/>
                <w:sz w:val="20"/>
              </w:rPr>
            </w:pPr>
            <w:r>
              <w:rPr>
                <w:b/>
                <w:noProof/>
                <w:sz w:val="20"/>
              </w:rPr>
              <w:t xml:space="preserve">Mouvements secondaires </w:t>
            </w:r>
          </w:p>
        </w:tc>
        <w:tc>
          <w:tcPr>
            <w:tcW w:w="5754" w:type="dxa"/>
            <w:tcBorders>
              <w:top w:val="single" w:sz="4" w:space="0" w:color="auto"/>
              <w:left w:val="single" w:sz="4" w:space="0" w:color="auto"/>
              <w:bottom w:val="single" w:sz="4" w:space="0" w:color="auto"/>
              <w:right w:val="single" w:sz="4" w:space="0" w:color="auto"/>
            </w:tcBorders>
          </w:tcPr>
          <w:p w:rsidR="00035D36" w:rsidRDefault="00BD241D">
            <w:pPr>
              <w:pStyle w:val="ListParagraph"/>
              <w:numPr>
                <w:ilvl w:val="0"/>
                <w:numId w:val="34"/>
              </w:numPr>
              <w:spacing w:after="0"/>
              <w:ind w:right="85"/>
              <w:jc w:val="left"/>
              <w:rPr>
                <w:noProof/>
                <w:sz w:val="20"/>
              </w:rPr>
            </w:pPr>
            <w:r>
              <w:rPr>
                <w:noProof/>
                <w:sz w:val="20"/>
              </w:rPr>
              <w:t xml:space="preserve">Procéder à des contrôles pour éviter les mouvements secondaires </w:t>
            </w:r>
          </w:p>
        </w:tc>
        <w:tc>
          <w:tcPr>
            <w:tcW w:w="1960" w:type="dxa"/>
            <w:tcBorders>
              <w:top w:val="single" w:sz="4" w:space="0" w:color="auto"/>
              <w:left w:val="single" w:sz="4" w:space="0" w:color="auto"/>
              <w:bottom w:val="single" w:sz="4" w:space="0" w:color="auto"/>
              <w:right w:val="single" w:sz="4" w:space="0" w:color="auto"/>
            </w:tcBorders>
            <w:vAlign w:val="center"/>
          </w:tcPr>
          <w:p w:rsidR="00035D36" w:rsidRDefault="00BD241D">
            <w:pPr>
              <w:spacing w:after="0"/>
              <w:jc w:val="center"/>
              <w:rPr>
                <w:noProof/>
                <w:sz w:val="20"/>
              </w:rPr>
            </w:pPr>
            <w:r>
              <w:rPr>
                <w:noProof/>
                <w:sz w:val="20"/>
              </w:rPr>
              <w:t>1</w:t>
            </w:r>
          </w:p>
        </w:tc>
      </w:tr>
      <w:tr w:rsidR="00035D36">
        <w:trPr>
          <w:jc w:val="center"/>
        </w:trPr>
        <w:tc>
          <w:tcPr>
            <w:tcW w:w="1572" w:type="dxa"/>
            <w:tcBorders>
              <w:top w:val="single" w:sz="4" w:space="0" w:color="auto"/>
              <w:left w:val="single" w:sz="4" w:space="0" w:color="auto"/>
              <w:bottom w:val="single" w:sz="4" w:space="0" w:color="auto"/>
              <w:right w:val="single" w:sz="4" w:space="0" w:color="auto"/>
            </w:tcBorders>
            <w:hideMark/>
          </w:tcPr>
          <w:p w:rsidR="00035D36" w:rsidRDefault="00BD241D">
            <w:pPr>
              <w:spacing w:after="0"/>
              <w:rPr>
                <w:b/>
                <w:noProof/>
                <w:sz w:val="20"/>
              </w:rPr>
            </w:pPr>
            <w:r>
              <w:rPr>
                <w:b/>
                <w:noProof/>
                <w:sz w:val="20"/>
              </w:rPr>
              <w:t>Surveillance des frontières</w:t>
            </w:r>
          </w:p>
        </w:tc>
        <w:tc>
          <w:tcPr>
            <w:tcW w:w="5754" w:type="dxa"/>
            <w:tcBorders>
              <w:top w:val="single" w:sz="4" w:space="0" w:color="auto"/>
              <w:left w:val="single" w:sz="4" w:space="0" w:color="auto"/>
              <w:bottom w:val="single" w:sz="4" w:space="0" w:color="auto"/>
              <w:right w:val="single" w:sz="4" w:space="0" w:color="auto"/>
            </w:tcBorders>
            <w:hideMark/>
          </w:tcPr>
          <w:p w:rsidR="00035D36" w:rsidRDefault="00BD241D">
            <w:pPr>
              <w:pStyle w:val="ListParagraph"/>
              <w:numPr>
                <w:ilvl w:val="0"/>
                <w:numId w:val="34"/>
              </w:numPr>
              <w:spacing w:after="0"/>
              <w:ind w:right="85"/>
              <w:jc w:val="left"/>
              <w:rPr>
                <w:noProof/>
                <w:sz w:val="20"/>
              </w:rPr>
            </w:pPr>
            <w:r>
              <w:rPr>
                <w:noProof/>
                <w:sz w:val="20"/>
              </w:rPr>
              <w:t>Créer un registre des délais de réaction après détection</w:t>
            </w:r>
          </w:p>
        </w:tc>
        <w:tc>
          <w:tcPr>
            <w:tcW w:w="196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noProof/>
                <w:sz w:val="20"/>
              </w:rPr>
            </w:pPr>
            <w:r>
              <w:rPr>
                <w:noProof/>
                <w:sz w:val="20"/>
              </w:rPr>
              <w:t>11</w:t>
            </w:r>
          </w:p>
        </w:tc>
      </w:tr>
    </w:tbl>
    <w:p w:rsidR="00035D36" w:rsidRDefault="00035D36">
      <w:pPr>
        <w:suppressAutoHyphens/>
        <w:spacing w:after="120"/>
        <w:contextualSpacing/>
        <w:rPr>
          <w:b/>
          <w:bCs/>
          <w:noProof/>
          <w:color w:val="000000"/>
          <w:sz w:val="20"/>
        </w:rPr>
      </w:pPr>
    </w:p>
    <w:p w:rsidR="00035D36" w:rsidRDefault="00035D36">
      <w:pPr>
        <w:suppressAutoHyphens/>
        <w:spacing w:after="120"/>
        <w:contextualSpacing/>
        <w:rPr>
          <w:b/>
          <w:bCs/>
          <w:noProof/>
          <w:color w:val="000000"/>
          <w:sz w:val="20"/>
        </w:rPr>
      </w:pPr>
    </w:p>
    <w:p w:rsidR="00035D36" w:rsidRDefault="00BD241D">
      <w:pPr>
        <w:spacing w:after="0"/>
        <w:jc w:val="left"/>
        <w:rPr>
          <w:noProof/>
        </w:rPr>
      </w:pPr>
      <w:r>
        <w:rPr>
          <w:noProof/>
        </w:rPr>
        <w:br w:type="page"/>
      </w:r>
    </w:p>
    <w:p w:rsidR="00035D36" w:rsidRDefault="00BD241D">
      <w:pPr>
        <w:pStyle w:val="SectionTitle"/>
        <w:rPr>
          <w:noProof/>
        </w:rPr>
      </w:pPr>
      <w:r>
        <w:rPr>
          <w:noProof/>
        </w:rPr>
        <w:t>ANNEXE 4 - Réinstallation - État des lieux au 4 mai 2018</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61"/>
        <w:gridCol w:w="1548"/>
        <w:gridCol w:w="1150"/>
        <w:gridCol w:w="1483"/>
        <w:gridCol w:w="1548"/>
        <w:gridCol w:w="1428"/>
      </w:tblGrid>
      <w:tr w:rsidR="00035D36">
        <w:trPr>
          <w:trHeight w:hRule="exact" w:val="2145"/>
          <w:tblHeader/>
          <w:jc w:val="center"/>
        </w:trPr>
        <w:tc>
          <w:tcPr>
            <w:tcW w:w="16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35D36" w:rsidRDefault="00BD241D">
            <w:pPr>
              <w:spacing w:after="60"/>
              <w:jc w:val="center"/>
              <w:rPr>
                <w:b/>
                <w:bCs/>
                <w:noProof/>
                <w:sz w:val="20"/>
                <w:szCs w:val="24"/>
              </w:rPr>
            </w:pPr>
            <w:r>
              <w:rPr>
                <w:b/>
                <w:noProof/>
                <w:sz w:val="20"/>
              </w:rPr>
              <w:t>État membre/</w:t>
            </w:r>
            <w:r>
              <w:rPr>
                <w:b/>
                <w:noProof/>
                <w:sz w:val="20"/>
                <w:szCs w:val="24"/>
              </w:rPr>
              <w:br/>
            </w:r>
            <w:r>
              <w:rPr>
                <w:b/>
                <w:i/>
                <w:noProof/>
                <w:sz w:val="20"/>
              </w:rPr>
              <w:t>État associé</w:t>
            </w:r>
          </w:p>
        </w:tc>
        <w:tc>
          <w:tcPr>
            <w:tcW w:w="1275" w:type="dxa"/>
            <w:tcBorders>
              <w:top w:val="single" w:sz="4" w:space="0" w:color="auto"/>
              <w:left w:val="single" w:sz="4" w:space="0" w:color="auto"/>
              <w:bottom w:val="single" w:sz="4" w:space="0" w:color="auto"/>
              <w:right w:val="single" w:sz="4" w:space="0" w:color="auto"/>
            </w:tcBorders>
            <w:shd w:val="clear" w:color="auto" w:fill="DDDDDD"/>
            <w:hideMark/>
          </w:tcPr>
          <w:p w:rsidR="00035D36" w:rsidRDefault="00BD241D">
            <w:pPr>
              <w:spacing w:after="60"/>
              <w:jc w:val="center"/>
              <w:rPr>
                <w:bCs/>
                <w:i/>
                <w:noProof/>
                <w:sz w:val="20"/>
                <w:szCs w:val="24"/>
              </w:rPr>
            </w:pPr>
            <w:r>
              <w:rPr>
                <w:i/>
                <w:noProof/>
                <w:sz w:val="20"/>
              </w:rPr>
              <w:t>Offres de places annoncées</w:t>
            </w:r>
            <w:r>
              <w:rPr>
                <w:rStyle w:val="FootnoteReference"/>
                <w:i/>
                <w:noProof/>
                <w:sz w:val="20"/>
              </w:rPr>
              <w:footnoteReference w:id="7"/>
            </w:r>
            <w:r>
              <w:rPr>
                <w:i/>
                <w:noProof/>
                <w:sz w:val="20"/>
              </w:rPr>
              <w:t xml:space="preserve"> au titre des conclusions du 20 juillet 2015</w:t>
            </w:r>
          </w:p>
        </w:tc>
        <w:tc>
          <w:tcPr>
            <w:tcW w:w="1276" w:type="dxa"/>
            <w:tcBorders>
              <w:top w:val="single" w:sz="4" w:space="0" w:color="auto"/>
              <w:left w:val="single" w:sz="4" w:space="0" w:color="auto"/>
              <w:bottom w:val="single" w:sz="4" w:space="0" w:color="auto"/>
              <w:right w:val="single" w:sz="4" w:space="0" w:color="auto"/>
            </w:tcBorders>
            <w:shd w:val="clear" w:color="auto" w:fill="DDDDDD"/>
          </w:tcPr>
          <w:p w:rsidR="00035D36" w:rsidRDefault="00BD241D">
            <w:pPr>
              <w:spacing w:after="60"/>
              <w:jc w:val="center"/>
              <w:rPr>
                <w:b/>
                <w:noProof/>
                <w:sz w:val="20"/>
                <w:szCs w:val="24"/>
              </w:rPr>
            </w:pPr>
            <w:r>
              <w:rPr>
                <w:b/>
                <w:noProof/>
                <w:sz w:val="20"/>
              </w:rPr>
              <w:t>Réinstallations</w:t>
            </w:r>
            <w:r>
              <w:rPr>
                <w:rStyle w:val="FootnoteReference"/>
                <w:noProof/>
                <w:sz w:val="20"/>
              </w:rPr>
              <w:footnoteReference w:id="8"/>
            </w:r>
            <w:r>
              <w:rPr>
                <w:b/>
                <w:noProof/>
                <w:sz w:val="20"/>
              </w:rPr>
              <w:t xml:space="preserve"> au titre des conclusions du 20 juillet 2015</w:t>
            </w:r>
          </w:p>
          <w:p w:rsidR="00035D36" w:rsidRDefault="00035D36">
            <w:pPr>
              <w:spacing w:after="60"/>
              <w:jc w:val="center"/>
              <w:rPr>
                <w:b/>
                <w:noProof/>
                <w:sz w:val="20"/>
                <w:szCs w:val="24"/>
              </w:rPr>
            </w:pPr>
          </w:p>
        </w:tc>
        <w:tc>
          <w:tcPr>
            <w:tcW w:w="1271" w:type="dxa"/>
            <w:tcBorders>
              <w:top w:val="single" w:sz="4" w:space="0" w:color="auto"/>
              <w:left w:val="single" w:sz="4" w:space="0" w:color="auto"/>
              <w:bottom w:val="single" w:sz="4" w:space="0" w:color="auto"/>
              <w:right w:val="single" w:sz="4" w:space="0" w:color="auto"/>
            </w:tcBorders>
            <w:shd w:val="clear" w:color="auto" w:fill="DDDDDD"/>
            <w:hideMark/>
          </w:tcPr>
          <w:p w:rsidR="00035D36" w:rsidRDefault="00BD241D">
            <w:pPr>
              <w:spacing w:after="60"/>
              <w:jc w:val="center"/>
              <w:rPr>
                <w:b/>
                <w:noProof/>
                <w:sz w:val="20"/>
                <w:szCs w:val="24"/>
              </w:rPr>
            </w:pPr>
            <w:r>
              <w:rPr>
                <w:i/>
                <w:noProof/>
                <w:sz w:val="20"/>
              </w:rPr>
              <w:t>Offres de places annoncées au titre du programme visant à réinstaller 50 000 personnes</w:t>
            </w:r>
          </w:p>
        </w:tc>
        <w:tc>
          <w:tcPr>
            <w:tcW w:w="1272" w:type="dxa"/>
            <w:tcBorders>
              <w:top w:val="single" w:sz="4" w:space="0" w:color="auto"/>
              <w:left w:val="single" w:sz="4" w:space="0" w:color="auto"/>
              <w:bottom w:val="single" w:sz="4" w:space="0" w:color="auto"/>
              <w:right w:val="single" w:sz="4" w:space="0" w:color="auto"/>
            </w:tcBorders>
            <w:shd w:val="clear" w:color="auto" w:fill="DDDDDD"/>
            <w:hideMark/>
          </w:tcPr>
          <w:p w:rsidR="00035D36" w:rsidRDefault="00BD241D">
            <w:pPr>
              <w:spacing w:after="60"/>
              <w:jc w:val="center"/>
              <w:rPr>
                <w:b/>
                <w:noProof/>
                <w:sz w:val="20"/>
                <w:szCs w:val="24"/>
              </w:rPr>
            </w:pPr>
            <w:r>
              <w:rPr>
                <w:b/>
                <w:noProof/>
                <w:sz w:val="20"/>
              </w:rPr>
              <w:t xml:space="preserve">Réinstallations au </w:t>
            </w:r>
            <w:r>
              <w:rPr>
                <w:b/>
                <w:noProof/>
                <w:sz w:val="20"/>
              </w:rPr>
              <w:t>titre du programme visant à réinstaller 50 000 personnes</w:t>
            </w:r>
          </w:p>
        </w:tc>
        <w:tc>
          <w:tcPr>
            <w:tcW w:w="1390" w:type="dxa"/>
            <w:tcBorders>
              <w:top w:val="single" w:sz="4" w:space="0" w:color="auto"/>
              <w:left w:val="single" w:sz="4" w:space="0" w:color="auto"/>
              <w:bottom w:val="single" w:sz="4" w:space="0" w:color="auto"/>
              <w:right w:val="single" w:sz="4" w:space="0" w:color="auto"/>
            </w:tcBorders>
            <w:shd w:val="clear" w:color="auto" w:fill="DDDDDD"/>
            <w:hideMark/>
          </w:tcPr>
          <w:p w:rsidR="00035D36" w:rsidRDefault="00BD241D">
            <w:pPr>
              <w:spacing w:after="60"/>
              <w:jc w:val="center"/>
              <w:rPr>
                <w:i/>
                <w:noProof/>
                <w:sz w:val="20"/>
                <w:szCs w:val="22"/>
              </w:rPr>
            </w:pPr>
            <w:r>
              <w:rPr>
                <w:b/>
                <w:noProof/>
                <w:sz w:val="20"/>
              </w:rPr>
              <w:t>Réinstallations</w:t>
            </w:r>
            <w:r>
              <w:rPr>
                <w:rStyle w:val="FootnoteReference"/>
                <w:noProof/>
                <w:sz w:val="20"/>
              </w:rPr>
              <w:footnoteReference w:id="9"/>
            </w:r>
            <w:r>
              <w:rPr>
                <w:b/>
                <w:noProof/>
                <w:sz w:val="20"/>
              </w:rPr>
              <w:t xml:space="preserve"> au titre de la déclaration UE-Turquie</w:t>
            </w:r>
          </w:p>
        </w:tc>
        <w:tc>
          <w:tcPr>
            <w:tcW w:w="1330" w:type="dxa"/>
            <w:tcBorders>
              <w:top w:val="single" w:sz="4" w:space="0" w:color="auto"/>
              <w:left w:val="single" w:sz="4" w:space="0" w:color="auto"/>
              <w:bottom w:val="single" w:sz="4" w:space="0" w:color="auto"/>
              <w:right w:val="single" w:sz="4" w:space="0" w:color="auto"/>
            </w:tcBorders>
            <w:shd w:val="clear" w:color="auto" w:fill="DDDDDD"/>
            <w:hideMark/>
          </w:tcPr>
          <w:p w:rsidR="00035D36" w:rsidRDefault="00BD241D">
            <w:pPr>
              <w:spacing w:after="60"/>
              <w:jc w:val="center"/>
              <w:rPr>
                <w:b/>
                <w:noProof/>
                <w:sz w:val="20"/>
                <w:szCs w:val="24"/>
              </w:rPr>
            </w:pPr>
            <w:r>
              <w:rPr>
                <w:b/>
                <w:noProof/>
                <w:sz w:val="20"/>
              </w:rPr>
              <w:t>Total des réinstallations au titre des programmes de l’UE</w:t>
            </w:r>
          </w:p>
          <w:p w:rsidR="00035D36" w:rsidRDefault="00BD241D">
            <w:pPr>
              <w:spacing w:after="60"/>
              <w:jc w:val="center"/>
              <w:rPr>
                <w:b/>
                <w:noProof/>
                <w:sz w:val="20"/>
                <w:szCs w:val="24"/>
              </w:rPr>
            </w:pPr>
            <w:r>
              <w:rPr>
                <w:b/>
                <w:noProof/>
                <w:sz w:val="20"/>
              </w:rPr>
              <w:t>(2015-2018)</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Autriche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1 900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1 900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i/>
                <w:noProof/>
                <w:sz w:val="20"/>
                <w:szCs w:val="24"/>
              </w:rPr>
            </w:pPr>
            <w:r>
              <w:rPr>
                <w:noProof/>
                <w:sz w:val="20"/>
              </w:rPr>
              <w:t>210</w:t>
            </w:r>
            <w:r>
              <w:rPr>
                <w:i/>
                <w:noProof/>
                <w:sz w:val="20"/>
              </w:rPr>
              <w:t xml:space="preserve"> (210)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noProof/>
                <w:sz w:val="20"/>
                <w:szCs w:val="24"/>
              </w:rPr>
            </w:pPr>
            <w:r>
              <w:rPr>
                <w:b/>
                <w:noProof/>
                <w:sz w:val="20"/>
              </w:rPr>
              <w:t>1 900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Belgique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1 100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1 100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0"/>
              <w:jc w:val="center"/>
              <w:rPr>
                <w:i/>
                <w:noProof/>
                <w:sz w:val="20"/>
                <w:szCs w:val="24"/>
              </w:rPr>
            </w:pPr>
            <w:r>
              <w:rPr>
                <w:i/>
                <w:noProof/>
                <w:sz w:val="20"/>
              </w:rPr>
              <w:t>2 000</w:t>
            </w:r>
          </w:p>
        </w:tc>
        <w:tc>
          <w:tcPr>
            <w:tcW w:w="1272" w:type="dxa"/>
            <w:tcBorders>
              <w:top w:val="single" w:sz="4" w:space="0" w:color="auto"/>
              <w:left w:val="single" w:sz="4" w:space="0" w:color="auto"/>
              <w:bottom w:val="single" w:sz="4" w:space="0" w:color="auto"/>
              <w:right w:val="single" w:sz="4" w:space="0" w:color="auto"/>
            </w:tcBorders>
            <w:hideMark/>
          </w:tcPr>
          <w:p w:rsidR="00035D36" w:rsidRDefault="00BD241D">
            <w:pPr>
              <w:spacing w:after="0"/>
              <w:jc w:val="center"/>
              <w:rPr>
                <w:noProof/>
                <w:sz w:val="20"/>
                <w:szCs w:val="24"/>
              </w:rPr>
            </w:pPr>
            <w:r>
              <w:rPr>
                <w:noProof/>
                <w:sz w:val="20"/>
              </w:rPr>
              <w:t>360</w:t>
            </w: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noProof/>
                <w:sz w:val="20"/>
                <w:szCs w:val="24"/>
              </w:rPr>
            </w:pPr>
            <w:r>
              <w:rPr>
                <w:noProof/>
                <w:sz w:val="20"/>
              </w:rPr>
              <w:t>823 (</w:t>
            </w:r>
            <w:r>
              <w:rPr>
                <w:i/>
                <w:noProof/>
                <w:sz w:val="20"/>
              </w:rPr>
              <w:t>252</w:t>
            </w:r>
            <w:r>
              <w:rPr>
                <w:noProof/>
                <w:sz w:val="20"/>
              </w:rPr>
              <w:t>)</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noProof/>
                <w:sz w:val="20"/>
                <w:szCs w:val="24"/>
              </w:rPr>
            </w:pPr>
            <w:r>
              <w:rPr>
                <w:b/>
                <w:noProof/>
                <w:sz w:val="20"/>
              </w:rPr>
              <w:t>2 031</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Bulgarie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110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Croatie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40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200</w:t>
            </w:r>
          </w:p>
        </w:tc>
        <w:tc>
          <w:tcPr>
            <w:tcW w:w="1272"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noProof/>
                <w:sz w:val="20"/>
                <w:szCs w:val="24"/>
              </w:rPr>
            </w:pPr>
            <w:r>
              <w:rPr>
                <w:noProof/>
                <w:sz w:val="20"/>
              </w:rPr>
              <w:t>41</w:t>
            </w: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81 (</w:t>
            </w:r>
            <w:r>
              <w:rPr>
                <w:i/>
                <w:noProof/>
                <w:sz w:val="20"/>
              </w:rPr>
              <w:t>81</w:t>
            </w:r>
            <w:r>
              <w:rPr>
                <w:noProof/>
                <w:sz w:val="20"/>
              </w:rPr>
              <w:t>)</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81</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Chypre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69</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République tchèque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52</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noProof/>
                <w:sz w:val="20"/>
                <w:szCs w:val="24"/>
              </w:rPr>
            </w:pPr>
            <w:r>
              <w:rPr>
                <w:b/>
                <w:noProof/>
                <w:sz w:val="20"/>
              </w:rPr>
              <w:t>52</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Danemark</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1 000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481</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481</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Estonie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20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80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 xml:space="preserve">59 </w:t>
            </w:r>
            <w:r>
              <w:rPr>
                <w:i/>
                <w:noProof/>
                <w:sz w:val="20"/>
              </w:rPr>
              <w:t>(20)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59</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Finlande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293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293</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1 670</w:t>
            </w:r>
          </w:p>
        </w:tc>
        <w:tc>
          <w:tcPr>
            <w:tcW w:w="1272"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noProof/>
                <w:sz w:val="20"/>
                <w:szCs w:val="24"/>
              </w:rPr>
            </w:pPr>
            <w:r>
              <w:rPr>
                <w:noProof/>
                <w:sz w:val="20"/>
              </w:rPr>
              <w:t>163</w:t>
            </w: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1 002 (5)</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1 453</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France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2 375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2 375</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10 200</w:t>
            </w:r>
          </w:p>
        </w:tc>
        <w:tc>
          <w:tcPr>
            <w:tcW w:w="1272"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noProof/>
                <w:sz w:val="20"/>
                <w:szCs w:val="24"/>
              </w:rPr>
            </w:pPr>
            <w:r>
              <w:rPr>
                <w:noProof/>
                <w:sz w:val="20"/>
              </w:rPr>
              <w:t>1 425</w:t>
            </w: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 xml:space="preserve">1 681 </w:t>
            </w:r>
            <w:r>
              <w:rPr>
                <w:i/>
                <w:noProof/>
                <w:sz w:val="20"/>
              </w:rPr>
              <w:t>(730)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4 751</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Allemagne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1 600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1 600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10 200</w:t>
            </w:r>
            <w:r>
              <w:rPr>
                <w:rStyle w:val="FootnoteReference"/>
                <w:i/>
                <w:noProof/>
                <w:sz w:val="20"/>
              </w:rPr>
              <w:footnoteReference w:id="10"/>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 xml:space="preserve">4 840 </w:t>
            </w:r>
            <w:r>
              <w:rPr>
                <w:i/>
                <w:noProof/>
                <w:sz w:val="20"/>
              </w:rPr>
              <w:t>(1 600)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4 840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Grèce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354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Hongrie</w:t>
            </w:r>
          </w:p>
        </w:tc>
        <w:tc>
          <w:tcPr>
            <w:tcW w:w="1275" w:type="dxa"/>
            <w:tcBorders>
              <w:top w:val="single" w:sz="4" w:space="0" w:color="auto"/>
              <w:left w:val="single" w:sz="4" w:space="0" w:color="auto"/>
              <w:bottom w:val="single" w:sz="4" w:space="0" w:color="auto"/>
              <w:right w:val="single" w:sz="4" w:space="0" w:color="auto"/>
            </w:tcBorders>
            <w:vAlign w:val="center"/>
          </w:tcPr>
          <w:p w:rsidR="00035D36" w:rsidRDefault="00035D36">
            <w:pPr>
              <w:spacing w:after="60"/>
              <w:jc w:val="center"/>
              <w:rPr>
                <w:bCs/>
                <w:i/>
                <w:noProof/>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35D36" w:rsidRDefault="00035D36">
            <w:pPr>
              <w:spacing w:after="60"/>
              <w:jc w:val="center"/>
              <w:rPr>
                <w:noProof/>
                <w:sz w:val="20"/>
                <w:szCs w:val="24"/>
              </w:rPr>
            </w:pP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i/>
                <w:noProof/>
                <w:sz w:val="20"/>
                <w:szCs w:val="24"/>
              </w:rPr>
            </w:pPr>
            <w:r>
              <w:rPr>
                <w:b/>
                <w:i/>
                <w:noProof/>
                <w:sz w:val="20"/>
              </w:rPr>
              <w:t>Islande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i/>
                <w:noProof/>
                <w:sz w:val="20"/>
                <w:szCs w:val="24"/>
              </w:rPr>
            </w:pPr>
            <w:r>
              <w:rPr>
                <w:i/>
                <w:noProof/>
                <w:sz w:val="20"/>
              </w:rPr>
              <w:t>50</w:t>
            </w:r>
          </w:p>
        </w:tc>
        <w:tc>
          <w:tcPr>
            <w:tcW w:w="1271"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i/>
                <w:noProof/>
                <w:sz w:val="20"/>
                <w:szCs w:val="24"/>
              </w:rPr>
            </w:pP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i/>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035D36" w:rsidRDefault="00035D36">
            <w:pPr>
              <w:spacing w:after="60"/>
              <w:jc w:val="center"/>
              <w:rPr>
                <w:b/>
                <w:i/>
                <w:noProof/>
                <w:sz w:val="20"/>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i/>
                <w:noProof/>
                <w:sz w:val="20"/>
                <w:szCs w:val="24"/>
              </w:rPr>
            </w:pPr>
            <w:r>
              <w:rPr>
                <w:b/>
                <w:i/>
                <w:noProof/>
                <w:sz w:val="20"/>
              </w:rPr>
              <w:t>50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Irlande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520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1 200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520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Italie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1 989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1 612</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1 000</w:t>
            </w:r>
          </w:p>
        </w:tc>
        <w:tc>
          <w:tcPr>
            <w:tcW w:w="1272"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noProof/>
                <w:sz w:val="20"/>
                <w:szCs w:val="24"/>
              </w:rPr>
            </w:pPr>
            <w:r>
              <w:rPr>
                <w:noProof/>
                <w:sz w:val="20"/>
              </w:rPr>
              <w:t>94</w:t>
            </w: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 xml:space="preserve">327 </w:t>
            </w:r>
            <w:r>
              <w:rPr>
                <w:i/>
                <w:noProof/>
                <w:sz w:val="20"/>
              </w:rPr>
              <w:t>(327)</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1 706</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Lettonie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46</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 xml:space="preserve">46 </w:t>
            </w:r>
            <w:r>
              <w:rPr>
                <w:i/>
                <w:noProof/>
                <w:sz w:val="20"/>
              </w:rPr>
              <w:t>(46)</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46</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i/>
                <w:noProof/>
                <w:sz w:val="20"/>
                <w:szCs w:val="24"/>
              </w:rPr>
            </w:pPr>
            <w:r>
              <w:rPr>
                <w:b/>
                <w:i/>
                <w:noProof/>
                <w:sz w:val="20"/>
              </w:rPr>
              <w:t>Liechtenstein</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i/>
                <w:noProof/>
                <w:sz w:val="20"/>
                <w:szCs w:val="24"/>
              </w:rPr>
            </w:pPr>
            <w:r>
              <w:rPr>
                <w:i/>
                <w:noProof/>
                <w:sz w:val="20"/>
              </w:rPr>
              <w:t>20</w:t>
            </w:r>
          </w:p>
        </w:tc>
        <w:tc>
          <w:tcPr>
            <w:tcW w:w="1271"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i/>
                <w:noProof/>
                <w:sz w:val="20"/>
                <w:szCs w:val="24"/>
              </w:rPr>
            </w:pP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i/>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035D36" w:rsidRDefault="00035D36">
            <w:pPr>
              <w:spacing w:after="60"/>
              <w:jc w:val="center"/>
              <w:rPr>
                <w:b/>
                <w:i/>
                <w:noProof/>
                <w:sz w:val="20"/>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i/>
                <w:noProof/>
                <w:sz w:val="20"/>
                <w:szCs w:val="24"/>
              </w:rPr>
            </w:pPr>
            <w:r>
              <w:rPr>
                <w:b/>
                <w:i/>
                <w:noProof/>
                <w:sz w:val="20"/>
              </w:rPr>
              <w:t>20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Lituanie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32</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74</w:t>
            </w:r>
          </w:p>
        </w:tc>
        <w:tc>
          <w:tcPr>
            <w:tcW w:w="1272"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noProof/>
                <w:sz w:val="20"/>
                <w:szCs w:val="24"/>
              </w:rPr>
            </w:pPr>
            <w:r>
              <w:rPr>
                <w:noProof/>
                <w:sz w:val="20"/>
              </w:rPr>
              <w:t>52</w:t>
            </w: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 xml:space="preserve">84 </w:t>
            </w:r>
            <w:r>
              <w:rPr>
                <w:i/>
                <w:noProof/>
                <w:sz w:val="20"/>
              </w:rPr>
              <w:t>(84)</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84</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Luxembourg</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28</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200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206</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234</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Malte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14</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20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 xml:space="preserve">17 </w:t>
            </w:r>
            <w:r>
              <w:rPr>
                <w:i/>
                <w:noProof/>
                <w:sz w:val="20"/>
              </w:rPr>
              <w:t>(14)</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17</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Pays-Bas</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1 000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1 000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0"/>
              <w:jc w:val="center"/>
              <w:rPr>
                <w:i/>
                <w:noProof/>
                <w:sz w:val="20"/>
                <w:szCs w:val="24"/>
              </w:rPr>
            </w:pPr>
            <w:r>
              <w:rPr>
                <w:i/>
                <w:noProof/>
                <w:sz w:val="20"/>
              </w:rPr>
              <w:t>3 000</w:t>
            </w:r>
          </w:p>
        </w:tc>
        <w:tc>
          <w:tcPr>
            <w:tcW w:w="1272" w:type="dxa"/>
            <w:tcBorders>
              <w:top w:val="single" w:sz="4" w:space="0" w:color="auto"/>
              <w:left w:val="single" w:sz="4" w:space="0" w:color="auto"/>
              <w:bottom w:val="single" w:sz="4" w:space="0" w:color="auto"/>
              <w:right w:val="single" w:sz="4" w:space="0" w:color="auto"/>
            </w:tcBorders>
            <w:hideMark/>
          </w:tcPr>
          <w:p w:rsidR="00035D36" w:rsidRDefault="00BD241D">
            <w:pPr>
              <w:spacing w:after="0"/>
              <w:jc w:val="center"/>
              <w:rPr>
                <w:noProof/>
                <w:sz w:val="20"/>
                <w:szCs w:val="24"/>
              </w:rPr>
            </w:pPr>
            <w:r>
              <w:rPr>
                <w:noProof/>
                <w:sz w:val="20"/>
              </w:rPr>
              <w:t>24</w:t>
            </w: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noProof/>
                <w:sz w:val="20"/>
                <w:szCs w:val="24"/>
              </w:rPr>
            </w:pPr>
            <w:r>
              <w:rPr>
                <w:noProof/>
                <w:sz w:val="20"/>
              </w:rPr>
              <w:t xml:space="preserve">2 602 </w:t>
            </w:r>
            <w:r>
              <w:rPr>
                <w:i/>
                <w:noProof/>
                <w:sz w:val="20"/>
              </w:rPr>
              <w:t>(570)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noProof/>
                <w:sz w:val="20"/>
                <w:szCs w:val="24"/>
              </w:rPr>
            </w:pPr>
            <w:r>
              <w:rPr>
                <w:b/>
                <w:noProof/>
                <w:sz w:val="20"/>
              </w:rPr>
              <w:t>3 056</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i/>
                <w:noProof/>
                <w:sz w:val="20"/>
                <w:szCs w:val="24"/>
              </w:rPr>
            </w:pPr>
            <w:r>
              <w:rPr>
                <w:b/>
                <w:i/>
                <w:noProof/>
                <w:sz w:val="20"/>
              </w:rPr>
              <w:t>Norvège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3 500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i/>
                <w:noProof/>
                <w:sz w:val="20"/>
                <w:szCs w:val="24"/>
              </w:rPr>
            </w:pPr>
            <w:r>
              <w:rPr>
                <w:i/>
                <w:noProof/>
                <w:sz w:val="20"/>
              </w:rPr>
              <w:t>3 500</w:t>
            </w:r>
          </w:p>
        </w:tc>
        <w:tc>
          <w:tcPr>
            <w:tcW w:w="1271"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i/>
                <w:noProof/>
                <w:sz w:val="20"/>
                <w:szCs w:val="24"/>
              </w:rPr>
            </w:pP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i/>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035D36" w:rsidRDefault="00035D36">
            <w:pPr>
              <w:spacing w:after="60"/>
              <w:jc w:val="center"/>
              <w:rPr>
                <w:b/>
                <w:i/>
                <w:noProof/>
                <w:sz w:val="20"/>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i/>
                <w:noProof/>
                <w:sz w:val="20"/>
                <w:szCs w:val="24"/>
              </w:rPr>
            </w:pPr>
            <w:r>
              <w:rPr>
                <w:b/>
                <w:i/>
                <w:noProof/>
                <w:sz w:val="20"/>
              </w:rPr>
              <w:t>3 500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Pologne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Portugal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191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136</w:t>
            </w:r>
            <w:r>
              <w:rPr>
                <w:noProof/>
                <w:sz w:val="20"/>
                <w:vertAlign w:val="superscript"/>
              </w:rPr>
              <w:footnoteReference w:id="11"/>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1 010</w:t>
            </w:r>
          </w:p>
        </w:tc>
        <w:tc>
          <w:tcPr>
            <w:tcW w:w="1272"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noProof/>
                <w:sz w:val="20"/>
                <w:szCs w:val="24"/>
              </w:rPr>
            </w:pPr>
            <w:r>
              <w:rPr>
                <w:noProof/>
                <w:sz w:val="20"/>
              </w:rPr>
              <w:t>43</w:t>
            </w: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 xml:space="preserve">142 </w:t>
            </w:r>
            <w:r>
              <w:rPr>
                <w:i/>
                <w:noProof/>
                <w:sz w:val="20"/>
              </w:rPr>
              <w:t>(142)</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179</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Roumanie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43</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146</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43</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Slovaquie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Slovénie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60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0</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Espagne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1 449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1 360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2 250</w:t>
            </w:r>
          </w:p>
        </w:tc>
        <w:tc>
          <w:tcPr>
            <w:tcW w:w="1272"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noProof/>
                <w:sz w:val="20"/>
                <w:szCs w:val="24"/>
              </w:rPr>
            </w:pPr>
            <w:r>
              <w:rPr>
                <w:noProof/>
                <w:sz w:val="20"/>
              </w:rPr>
              <w:t>64</w:t>
            </w: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 xml:space="preserve">440 </w:t>
            </w:r>
            <w:r>
              <w:rPr>
                <w:i/>
                <w:noProof/>
                <w:sz w:val="20"/>
              </w:rPr>
              <w:t>(440)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1 424</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Suède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491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491</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i/>
                <w:noProof/>
                <w:sz w:val="20"/>
                <w:szCs w:val="24"/>
              </w:rPr>
            </w:pPr>
            <w:r>
              <w:rPr>
                <w:i/>
                <w:noProof/>
                <w:sz w:val="20"/>
              </w:rPr>
              <w:t>8 750</w:t>
            </w:r>
          </w:p>
        </w:tc>
        <w:tc>
          <w:tcPr>
            <w:tcW w:w="1272" w:type="dxa"/>
            <w:tcBorders>
              <w:top w:val="single" w:sz="4" w:space="0" w:color="auto"/>
              <w:left w:val="single" w:sz="4" w:space="0" w:color="auto"/>
              <w:bottom w:val="single" w:sz="4" w:space="0" w:color="auto"/>
              <w:right w:val="single" w:sz="4" w:space="0" w:color="auto"/>
            </w:tcBorders>
            <w:hideMark/>
          </w:tcPr>
          <w:p w:rsidR="00035D36" w:rsidRDefault="00BD241D">
            <w:pPr>
              <w:spacing w:after="60"/>
              <w:jc w:val="center"/>
              <w:rPr>
                <w:noProof/>
                <w:sz w:val="20"/>
                <w:szCs w:val="24"/>
              </w:rPr>
            </w:pPr>
            <w:r>
              <w:rPr>
                <w:noProof/>
                <w:sz w:val="20"/>
              </w:rPr>
              <w:t>1 986</w:t>
            </w: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noProof/>
                <w:sz w:val="20"/>
              </w:rPr>
              <w:t xml:space="preserve">753 </w:t>
            </w:r>
            <w:r>
              <w:rPr>
                <w:i/>
                <w:noProof/>
                <w:sz w:val="20"/>
              </w:rPr>
              <w:t>(269)</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
                <w:noProof/>
                <w:sz w:val="20"/>
                <w:szCs w:val="24"/>
              </w:rPr>
            </w:pPr>
            <w:r>
              <w:rPr>
                <w:b/>
                <w:noProof/>
                <w:sz w:val="20"/>
              </w:rPr>
              <w:t>2 961</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i/>
                <w:noProof/>
                <w:sz w:val="20"/>
                <w:szCs w:val="24"/>
              </w:rPr>
            </w:pPr>
            <w:r>
              <w:rPr>
                <w:b/>
                <w:i/>
                <w:noProof/>
                <w:sz w:val="20"/>
              </w:rPr>
              <w:t>Suisse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519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i/>
                <w:noProof/>
                <w:sz w:val="20"/>
                <w:szCs w:val="24"/>
              </w:rPr>
            </w:pPr>
            <w:r>
              <w:rPr>
                <w:i/>
                <w:noProof/>
                <w:sz w:val="20"/>
              </w:rPr>
              <w:t>519</w:t>
            </w:r>
          </w:p>
        </w:tc>
        <w:tc>
          <w:tcPr>
            <w:tcW w:w="1271" w:type="dxa"/>
            <w:tcBorders>
              <w:top w:val="single" w:sz="4" w:space="0" w:color="auto"/>
              <w:left w:val="single" w:sz="4" w:space="0" w:color="auto"/>
              <w:bottom w:val="single" w:sz="4" w:space="0" w:color="auto"/>
              <w:right w:val="single" w:sz="4" w:space="0" w:color="auto"/>
            </w:tcBorders>
          </w:tcPr>
          <w:p w:rsidR="00035D36" w:rsidRDefault="00035D36">
            <w:pPr>
              <w:spacing w:after="0"/>
              <w:jc w:val="center"/>
              <w:rPr>
                <w:i/>
                <w:noProof/>
                <w:sz w:val="20"/>
                <w:szCs w:val="24"/>
              </w:rPr>
            </w:pP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0"/>
              <w:jc w:val="center"/>
              <w:rPr>
                <w:i/>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035D36" w:rsidRDefault="00035D36">
            <w:pPr>
              <w:spacing w:after="0"/>
              <w:jc w:val="center"/>
              <w:rPr>
                <w:b/>
                <w:i/>
                <w:noProof/>
                <w:sz w:val="20"/>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i/>
                <w:noProof/>
                <w:sz w:val="20"/>
                <w:szCs w:val="24"/>
              </w:rPr>
            </w:pPr>
            <w:r>
              <w:rPr>
                <w:b/>
                <w:i/>
                <w:noProof/>
                <w:sz w:val="20"/>
              </w:rPr>
              <w:t>519</w:t>
            </w:r>
          </w:p>
        </w:tc>
      </w:tr>
      <w:tr w:rsidR="00035D36">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rPr>
                <w:b/>
                <w:bCs/>
                <w:noProof/>
                <w:sz w:val="20"/>
                <w:szCs w:val="24"/>
              </w:rPr>
            </w:pPr>
            <w:r>
              <w:rPr>
                <w:b/>
                <w:noProof/>
                <w:sz w:val="20"/>
              </w:rPr>
              <w:t>Royaume-Uni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bCs/>
                <w:i/>
                <w:noProof/>
                <w:sz w:val="20"/>
                <w:szCs w:val="24"/>
              </w:rPr>
            </w:pPr>
            <w:r>
              <w:rPr>
                <w:i/>
                <w:noProof/>
                <w:sz w:val="20"/>
              </w:rPr>
              <w:t>2 200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60"/>
              <w:jc w:val="center"/>
              <w:rPr>
                <w:noProof/>
                <w:sz w:val="20"/>
                <w:szCs w:val="24"/>
              </w:rPr>
            </w:pPr>
            <w:r>
              <w:rPr>
                <w:noProof/>
                <w:sz w:val="20"/>
              </w:rPr>
              <w:t>2 200</w:t>
            </w:r>
          </w:p>
        </w:tc>
        <w:tc>
          <w:tcPr>
            <w:tcW w:w="1271" w:type="dxa"/>
            <w:tcBorders>
              <w:top w:val="single" w:sz="4" w:space="0" w:color="auto"/>
              <w:left w:val="single" w:sz="4" w:space="0" w:color="auto"/>
              <w:bottom w:val="single" w:sz="4" w:space="0" w:color="auto"/>
              <w:right w:val="single" w:sz="4" w:space="0" w:color="auto"/>
            </w:tcBorders>
            <w:hideMark/>
          </w:tcPr>
          <w:p w:rsidR="00035D36" w:rsidRDefault="00BD241D">
            <w:pPr>
              <w:spacing w:after="0"/>
              <w:jc w:val="center"/>
              <w:rPr>
                <w:i/>
                <w:noProof/>
                <w:sz w:val="20"/>
                <w:szCs w:val="24"/>
              </w:rPr>
            </w:pPr>
            <w:r>
              <w:rPr>
                <w:i/>
                <w:noProof/>
                <w:sz w:val="20"/>
              </w:rPr>
              <w:t>7 800</w:t>
            </w:r>
          </w:p>
        </w:tc>
        <w:tc>
          <w:tcPr>
            <w:tcW w:w="1272" w:type="dxa"/>
            <w:tcBorders>
              <w:top w:val="single" w:sz="4" w:space="0" w:color="auto"/>
              <w:left w:val="single" w:sz="4" w:space="0" w:color="auto"/>
              <w:bottom w:val="single" w:sz="4" w:space="0" w:color="auto"/>
              <w:right w:val="single" w:sz="4" w:space="0" w:color="auto"/>
            </w:tcBorders>
          </w:tcPr>
          <w:p w:rsidR="00035D36" w:rsidRDefault="00035D36">
            <w:pPr>
              <w:spacing w:after="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noProof/>
                <w:sz w:val="20"/>
                <w:szCs w:val="24"/>
              </w:rPr>
            </w:pPr>
            <w:r>
              <w:rPr>
                <w:b/>
                <w:noProof/>
                <w:sz w:val="20"/>
              </w:rPr>
              <w:t>2 200</w:t>
            </w:r>
          </w:p>
        </w:tc>
      </w:tr>
      <w:tr w:rsidR="00035D36">
        <w:trPr>
          <w:trHeight w:hRule="exact" w:val="570"/>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rPr>
                <w:b/>
                <w:bCs/>
                <w:noProof/>
                <w:sz w:val="20"/>
                <w:szCs w:val="24"/>
              </w:rPr>
            </w:pPr>
            <w:r>
              <w:rPr>
                <w:b/>
                <w:noProof/>
                <w:sz w:val="20"/>
              </w:rPr>
              <w:t>TOTAL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Cs/>
                <w:i/>
                <w:noProof/>
                <w:sz w:val="20"/>
                <w:szCs w:val="24"/>
              </w:rPr>
            </w:pPr>
            <w:r>
              <w:rPr>
                <w:i/>
                <w:noProof/>
                <w:sz w:val="20"/>
              </w:rPr>
              <w:t>22 504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noProof/>
                <w:sz w:val="20"/>
                <w:szCs w:val="24"/>
              </w:rPr>
            </w:pPr>
            <w:r>
              <w:rPr>
                <w:b/>
                <w:noProof/>
                <w:sz w:val="20"/>
              </w:rPr>
              <w:t>19 432</w:t>
            </w:r>
          </w:p>
        </w:tc>
        <w:tc>
          <w:tcPr>
            <w:tcW w:w="1271"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Cs/>
                <w:i/>
                <w:noProof/>
                <w:sz w:val="20"/>
                <w:szCs w:val="24"/>
              </w:rPr>
            </w:pPr>
            <w:r>
              <w:rPr>
                <w:i/>
                <w:noProof/>
                <w:sz w:val="20"/>
              </w:rPr>
              <w:t xml:space="preserve">50 </w:t>
            </w:r>
            <w:r>
              <w:rPr>
                <w:i/>
                <w:noProof/>
                <w:sz w:val="20"/>
              </w:rPr>
              <w:t>039</w:t>
            </w:r>
          </w:p>
        </w:tc>
        <w:tc>
          <w:tcPr>
            <w:tcW w:w="1272"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bCs/>
                <w:noProof/>
                <w:sz w:val="20"/>
                <w:szCs w:val="24"/>
              </w:rPr>
            </w:pPr>
            <w:r>
              <w:rPr>
                <w:b/>
                <w:noProof/>
                <w:sz w:val="20"/>
              </w:rPr>
              <w:t>4 252</w:t>
            </w:r>
          </w:p>
        </w:tc>
        <w:tc>
          <w:tcPr>
            <w:tcW w:w="139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bCs/>
                <w:noProof/>
                <w:sz w:val="20"/>
                <w:szCs w:val="24"/>
              </w:rPr>
            </w:pPr>
            <w:r>
              <w:rPr>
                <w:b/>
                <w:noProof/>
                <w:sz w:val="20"/>
              </w:rPr>
              <w:t xml:space="preserve">13 313 </w:t>
            </w:r>
            <w:r>
              <w:rPr>
                <w:i/>
                <w:noProof/>
                <w:sz w:val="20"/>
              </w:rPr>
              <w:t>(4 790)</w:t>
            </w:r>
          </w:p>
        </w:tc>
        <w:tc>
          <w:tcPr>
            <w:tcW w:w="1330" w:type="dxa"/>
            <w:tcBorders>
              <w:top w:val="single" w:sz="4" w:space="0" w:color="auto"/>
              <w:left w:val="single" w:sz="4" w:space="0" w:color="auto"/>
              <w:bottom w:val="single" w:sz="4" w:space="0" w:color="auto"/>
              <w:right w:val="single" w:sz="4" w:space="0" w:color="auto"/>
            </w:tcBorders>
            <w:vAlign w:val="center"/>
            <w:hideMark/>
          </w:tcPr>
          <w:p w:rsidR="00035D36" w:rsidRDefault="00BD241D">
            <w:pPr>
              <w:spacing w:after="0"/>
              <w:jc w:val="center"/>
              <w:rPr>
                <w:b/>
                <w:bCs/>
                <w:noProof/>
                <w:sz w:val="20"/>
                <w:szCs w:val="24"/>
              </w:rPr>
            </w:pPr>
            <w:r>
              <w:rPr>
                <w:b/>
                <w:noProof/>
                <w:sz w:val="20"/>
              </w:rPr>
              <w:t>32 207</w:t>
            </w:r>
          </w:p>
        </w:tc>
      </w:tr>
    </w:tbl>
    <w:p w:rsidR="00035D36" w:rsidRDefault="00035D36">
      <w:pPr>
        <w:spacing w:after="0"/>
        <w:jc w:val="left"/>
        <w:rPr>
          <w:noProof/>
        </w:rPr>
        <w:sectPr w:rsidR="00035D36">
          <w:headerReference w:type="even" r:id="rId17"/>
          <w:headerReference w:type="default" r:id="rId18"/>
          <w:footerReference w:type="even" r:id="rId19"/>
          <w:footerReference w:type="default" r:id="rId20"/>
          <w:headerReference w:type="first" r:id="rId21"/>
          <w:footerReference w:type="first" r:id="rId22"/>
          <w:pgSz w:w="11906" w:h="16838" w:code="9"/>
          <w:pgMar w:top="1021" w:right="1418" w:bottom="1021" w:left="1418" w:header="567" w:footer="567" w:gutter="0"/>
          <w:cols w:space="720"/>
          <w:titlePg/>
        </w:sectPr>
      </w:pPr>
    </w:p>
    <w:p w:rsidR="00035D36" w:rsidRDefault="00BD241D">
      <w:pPr>
        <w:pStyle w:val="SectionTitle"/>
        <w:rPr>
          <w:noProof/>
        </w:rPr>
      </w:pPr>
      <w:r>
        <w:rPr>
          <w:noProof/>
        </w:rPr>
        <w:t>ANNEXE 5 – Statistiques en matière de retour</w:t>
      </w:r>
    </w:p>
    <w:tbl>
      <w:tblPr>
        <w:tblW w:w="15361" w:type="dxa"/>
        <w:tblInd w:w="108" w:type="dxa"/>
        <w:tblLook w:val="04A0" w:firstRow="1" w:lastRow="0" w:firstColumn="1" w:lastColumn="0" w:noHBand="0" w:noVBand="1"/>
      </w:tblPr>
      <w:tblGrid>
        <w:gridCol w:w="2083"/>
        <w:gridCol w:w="975"/>
        <w:gridCol w:w="847"/>
        <w:gridCol w:w="794"/>
        <w:gridCol w:w="830"/>
        <w:gridCol w:w="874"/>
        <w:gridCol w:w="847"/>
        <w:gridCol w:w="794"/>
        <w:gridCol w:w="830"/>
        <w:gridCol w:w="874"/>
        <w:gridCol w:w="847"/>
        <w:gridCol w:w="794"/>
        <w:gridCol w:w="830"/>
        <w:gridCol w:w="874"/>
        <w:gridCol w:w="847"/>
        <w:gridCol w:w="794"/>
        <w:gridCol w:w="750"/>
      </w:tblGrid>
      <w:tr w:rsidR="00035D36">
        <w:trPr>
          <w:cantSplit/>
          <w:trHeight w:val="425"/>
          <w:tblHeader/>
        </w:trPr>
        <w:tc>
          <w:tcPr>
            <w:tcW w:w="2083" w:type="dxa"/>
            <w:shd w:val="clear" w:color="auto" w:fill="FFFFFF" w:themeFill="background1"/>
            <w:noWrap/>
            <w:vAlign w:val="bottom"/>
            <w:hideMark/>
          </w:tcPr>
          <w:p w:rsidR="00035D36" w:rsidRDefault="00035D36">
            <w:pPr>
              <w:spacing w:after="0"/>
              <w:jc w:val="left"/>
              <w:rPr>
                <w:noProof/>
                <w:sz w:val="20"/>
              </w:rPr>
            </w:pPr>
          </w:p>
        </w:tc>
        <w:tc>
          <w:tcPr>
            <w:tcW w:w="3423" w:type="dxa"/>
            <w:gridSpan w:val="4"/>
            <w:tcBorders>
              <w:top w:val="single" w:sz="8" w:space="0" w:color="auto"/>
              <w:left w:val="single" w:sz="8" w:space="0" w:color="auto"/>
              <w:bottom w:val="single" w:sz="4" w:space="0" w:color="000000"/>
              <w:right w:val="single" w:sz="8"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2014</w:t>
            </w:r>
          </w:p>
        </w:tc>
        <w:tc>
          <w:tcPr>
            <w:tcW w:w="3311" w:type="dxa"/>
            <w:gridSpan w:val="4"/>
            <w:tcBorders>
              <w:top w:val="single" w:sz="8" w:space="0" w:color="auto"/>
              <w:left w:val="nil"/>
              <w:bottom w:val="single" w:sz="4" w:space="0" w:color="000000"/>
              <w:right w:val="single" w:sz="8"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2015</w:t>
            </w:r>
          </w:p>
        </w:tc>
        <w:tc>
          <w:tcPr>
            <w:tcW w:w="3311" w:type="dxa"/>
            <w:gridSpan w:val="4"/>
            <w:tcBorders>
              <w:top w:val="single" w:sz="8" w:space="0" w:color="auto"/>
              <w:left w:val="nil"/>
              <w:bottom w:val="single" w:sz="4" w:space="0" w:color="000000"/>
              <w:right w:val="single" w:sz="8"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2016</w:t>
            </w:r>
          </w:p>
        </w:tc>
        <w:tc>
          <w:tcPr>
            <w:tcW w:w="3232" w:type="dxa"/>
            <w:gridSpan w:val="4"/>
            <w:tcBorders>
              <w:top w:val="single" w:sz="8" w:space="0" w:color="auto"/>
              <w:left w:val="nil"/>
              <w:bottom w:val="single" w:sz="4" w:space="0" w:color="000000"/>
              <w:right w:val="single" w:sz="8"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2017</w:t>
            </w:r>
          </w:p>
        </w:tc>
      </w:tr>
      <w:tr w:rsidR="00035D36">
        <w:trPr>
          <w:cantSplit/>
          <w:trHeight w:val="768"/>
          <w:tblHeader/>
        </w:trPr>
        <w:tc>
          <w:tcPr>
            <w:tcW w:w="2083" w:type="dxa"/>
            <w:shd w:val="clear" w:color="auto" w:fill="FFFFFF" w:themeFill="background1"/>
            <w:noWrap/>
            <w:vAlign w:val="bottom"/>
            <w:hideMark/>
          </w:tcPr>
          <w:p w:rsidR="00035D36" w:rsidRDefault="00035D36">
            <w:pPr>
              <w:rPr>
                <w:b/>
                <w:bCs/>
                <w:noProof/>
                <w:sz w:val="16"/>
                <w:szCs w:val="16"/>
              </w:rPr>
            </w:pPr>
          </w:p>
        </w:tc>
        <w:tc>
          <w:tcPr>
            <w:tcW w:w="975" w:type="dxa"/>
            <w:tcBorders>
              <w:top w:val="nil"/>
              <w:left w:val="single" w:sz="8" w:space="0" w:color="auto"/>
              <w:bottom w:val="single" w:sz="8" w:space="0" w:color="auto"/>
              <w:right w:val="nil"/>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En séjour irrégulier</w:t>
            </w:r>
          </w:p>
        </w:tc>
        <w:tc>
          <w:tcPr>
            <w:tcW w:w="836" w:type="dxa"/>
            <w:tcBorders>
              <w:top w:val="nil"/>
              <w:left w:val="single" w:sz="4" w:space="0" w:color="auto"/>
              <w:bottom w:val="single" w:sz="8" w:space="0" w:color="auto"/>
              <w:right w:val="single" w:sz="4"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Ayant reçu l’ordre de quitter le territoire</w:t>
            </w:r>
          </w:p>
        </w:tc>
        <w:tc>
          <w:tcPr>
            <w:tcW w:w="794" w:type="dxa"/>
            <w:tcBorders>
              <w:top w:val="nil"/>
              <w:left w:val="nil"/>
              <w:bottom w:val="single" w:sz="8" w:space="0" w:color="auto"/>
              <w:right w:val="single" w:sz="4"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 xml:space="preserve">Ayant fait l’objet d’un </w:t>
            </w:r>
            <w:r>
              <w:rPr>
                <w:b/>
                <w:noProof/>
                <w:sz w:val="16"/>
              </w:rPr>
              <w:t>retour dans un pays tiers</w:t>
            </w:r>
          </w:p>
        </w:tc>
        <w:tc>
          <w:tcPr>
            <w:tcW w:w="819" w:type="dxa"/>
            <w:tcBorders>
              <w:top w:val="nil"/>
              <w:left w:val="nil"/>
              <w:bottom w:val="single" w:sz="8" w:space="0" w:color="auto"/>
              <w:right w:val="single" w:sz="8" w:space="0" w:color="auto"/>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Taux de retour</w:t>
            </w:r>
          </w:p>
        </w:tc>
        <w:tc>
          <w:tcPr>
            <w:tcW w:w="862" w:type="dxa"/>
            <w:tcBorders>
              <w:top w:val="nil"/>
              <w:left w:val="nil"/>
              <w:bottom w:val="single" w:sz="8" w:space="0" w:color="auto"/>
              <w:right w:val="nil"/>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En séjour irrégulier</w:t>
            </w:r>
          </w:p>
        </w:tc>
        <w:tc>
          <w:tcPr>
            <w:tcW w:w="836" w:type="dxa"/>
            <w:tcBorders>
              <w:top w:val="nil"/>
              <w:left w:val="single" w:sz="4" w:space="0" w:color="auto"/>
              <w:bottom w:val="single" w:sz="8" w:space="0" w:color="auto"/>
              <w:right w:val="single" w:sz="4"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Ayant reçu l’ordre de quitter le territoire</w:t>
            </w:r>
          </w:p>
        </w:tc>
        <w:tc>
          <w:tcPr>
            <w:tcW w:w="794" w:type="dxa"/>
            <w:tcBorders>
              <w:top w:val="nil"/>
              <w:left w:val="nil"/>
              <w:bottom w:val="single" w:sz="8" w:space="0" w:color="auto"/>
              <w:right w:val="single" w:sz="4"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Ayant fait l’objet d’un retour dans un pays tiers</w:t>
            </w:r>
          </w:p>
        </w:tc>
        <w:tc>
          <w:tcPr>
            <w:tcW w:w="819" w:type="dxa"/>
            <w:tcBorders>
              <w:top w:val="nil"/>
              <w:left w:val="nil"/>
              <w:bottom w:val="single" w:sz="8" w:space="0" w:color="auto"/>
              <w:right w:val="single" w:sz="8" w:space="0" w:color="auto"/>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Taux de retour</w:t>
            </w:r>
          </w:p>
        </w:tc>
        <w:tc>
          <w:tcPr>
            <w:tcW w:w="862" w:type="dxa"/>
            <w:tcBorders>
              <w:top w:val="nil"/>
              <w:left w:val="nil"/>
              <w:bottom w:val="single" w:sz="8" w:space="0" w:color="auto"/>
              <w:right w:val="nil"/>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En séjour irrégulier</w:t>
            </w:r>
          </w:p>
        </w:tc>
        <w:tc>
          <w:tcPr>
            <w:tcW w:w="836" w:type="dxa"/>
            <w:tcBorders>
              <w:top w:val="nil"/>
              <w:left w:val="single" w:sz="4" w:space="0" w:color="auto"/>
              <w:bottom w:val="single" w:sz="8" w:space="0" w:color="auto"/>
              <w:right w:val="single" w:sz="4"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Ayant reçu l’ordre de quitter le territoire</w:t>
            </w:r>
          </w:p>
        </w:tc>
        <w:tc>
          <w:tcPr>
            <w:tcW w:w="794" w:type="dxa"/>
            <w:tcBorders>
              <w:top w:val="nil"/>
              <w:left w:val="nil"/>
              <w:bottom w:val="single" w:sz="8" w:space="0" w:color="auto"/>
              <w:right w:val="single" w:sz="4"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 xml:space="preserve">Ayant fait l’objet </w:t>
            </w:r>
            <w:r>
              <w:rPr>
                <w:b/>
                <w:noProof/>
                <w:sz w:val="16"/>
              </w:rPr>
              <w:t>d’un retour dans un pays tiers</w:t>
            </w:r>
          </w:p>
        </w:tc>
        <w:tc>
          <w:tcPr>
            <w:tcW w:w="819" w:type="dxa"/>
            <w:tcBorders>
              <w:top w:val="nil"/>
              <w:left w:val="nil"/>
              <w:bottom w:val="single" w:sz="8" w:space="0" w:color="auto"/>
              <w:right w:val="single" w:sz="8" w:space="0" w:color="auto"/>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Taux de retour</w:t>
            </w:r>
          </w:p>
        </w:tc>
        <w:tc>
          <w:tcPr>
            <w:tcW w:w="862" w:type="dxa"/>
            <w:tcBorders>
              <w:top w:val="nil"/>
              <w:left w:val="nil"/>
              <w:bottom w:val="single" w:sz="8" w:space="0" w:color="auto"/>
              <w:right w:val="nil"/>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En séjour irrégulier</w:t>
            </w:r>
          </w:p>
        </w:tc>
        <w:tc>
          <w:tcPr>
            <w:tcW w:w="836" w:type="dxa"/>
            <w:tcBorders>
              <w:top w:val="nil"/>
              <w:left w:val="single" w:sz="4" w:space="0" w:color="auto"/>
              <w:bottom w:val="single" w:sz="8" w:space="0" w:color="auto"/>
              <w:right w:val="single" w:sz="4"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Ayant reçu l’ordre de quitter le territoire</w:t>
            </w:r>
          </w:p>
        </w:tc>
        <w:tc>
          <w:tcPr>
            <w:tcW w:w="794" w:type="dxa"/>
            <w:tcBorders>
              <w:top w:val="nil"/>
              <w:left w:val="nil"/>
              <w:bottom w:val="single" w:sz="8" w:space="0" w:color="auto"/>
              <w:right w:val="single" w:sz="4" w:space="0" w:color="000000"/>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Ayant fait l’objet d’un retour dans un pays tiers</w:t>
            </w:r>
          </w:p>
        </w:tc>
        <w:tc>
          <w:tcPr>
            <w:tcW w:w="740" w:type="dxa"/>
            <w:tcBorders>
              <w:top w:val="nil"/>
              <w:left w:val="nil"/>
              <w:bottom w:val="single" w:sz="8" w:space="0" w:color="auto"/>
              <w:right w:val="single" w:sz="8" w:space="0" w:color="auto"/>
            </w:tcBorders>
            <w:shd w:val="clear" w:color="auto" w:fill="BFBFBF" w:themeFill="background1" w:themeFillShade="BF"/>
            <w:vAlign w:val="bottom"/>
            <w:hideMark/>
          </w:tcPr>
          <w:p w:rsidR="00035D36" w:rsidRDefault="00BD241D">
            <w:pPr>
              <w:spacing w:after="0"/>
              <w:jc w:val="center"/>
              <w:rPr>
                <w:b/>
                <w:bCs/>
                <w:noProof/>
                <w:sz w:val="16"/>
                <w:szCs w:val="16"/>
              </w:rPr>
            </w:pPr>
            <w:r>
              <w:rPr>
                <w:b/>
                <w:noProof/>
                <w:sz w:val="16"/>
              </w:rPr>
              <w:t>Taux de retour</w:t>
            </w:r>
          </w:p>
        </w:tc>
      </w:tr>
      <w:tr w:rsidR="00035D36">
        <w:trPr>
          <w:trHeight w:val="425"/>
        </w:trPr>
        <w:tc>
          <w:tcPr>
            <w:tcW w:w="2083" w:type="dxa"/>
            <w:tcBorders>
              <w:top w:val="single" w:sz="8" w:space="0" w:color="auto"/>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Union européenne (28 pays)</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672 215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470 080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170 415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36,25 %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2 154 675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533 395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196 190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36,78 %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983 860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493 785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226 150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45,80 %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550 670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516 115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188 920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36,60 %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Belgique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15 540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35 245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5 250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14,90 %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16 275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31 045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5 550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17,88 %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19 320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33 020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6 920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20,96 %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18 285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32 235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5 255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16,30 %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Bulgarie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12 870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12 870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1 090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8,47 %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20 810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20 810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540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2,59 %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14 125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14 120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1 105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7,83 %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2 595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2 600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1 250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48,08 %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République tchèque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4 430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2 460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315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12,80 %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8 165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4 510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330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7,32 %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4 885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3 760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390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10,37 %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4 360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6 090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680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11,17 %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Danemark</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515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2 905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910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31,33 %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2 165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3 925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1 040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26,50 %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1 390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3 050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930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30,49 %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1 105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3 185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1 115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35,01 %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 xml:space="preserve">Allemagne </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128 290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34 255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19 060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55,64 %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376 435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54 080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53 640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99,19 %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370 555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70 005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74 080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105,82 %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156 710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97 165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44 960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46,27 %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Estonie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720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100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21,05 %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980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590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6,78 %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665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505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380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75,25 %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755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645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580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89,92 %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Irlande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900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970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335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34,54 %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2 315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875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205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23,43 %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2 315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1 355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245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18,08 %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2 780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1 105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270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24,43 %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Grèce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73 670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73 670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27 055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36,72 %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911,470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104 575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14 390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13,76 %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204 820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33 790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19 055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56,39 %</w:t>
            </w:r>
          </w:p>
        </w:tc>
        <w:tc>
          <w:tcPr>
            <w:tcW w:w="862" w:type="dxa"/>
            <w:tcBorders>
              <w:top w:val="nil"/>
              <w:left w:val="nil"/>
              <w:bottom w:val="single" w:sz="4" w:space="0" w:color="000000"/>
              <w:right w:val="nil"/>
            </w:tcBorders>
            <w:noWrap/>
            <w:vAlign w:val="bottom"/>
            <w:hideMark/>
          </w:tcPr>
          <w:p w:rsidR="00035D36" w:rsidRDefault="00BD241D">
            <w:pPr>
              <w:spacing w:after="0"/>
              <w:rPr>
                <w:noProof/>
                <w:sz w:val="16"/>
                <w:szCs w:val="16"/>
              </w:rPr>
            </w:pPr>
            <w:r>
              <w:rPr>
                <w:noProof/>
                <w:sz w:val="16"/>
              </w:rPr>
              <w:t>:</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45 765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18 060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39,46 %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Espagne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47 885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42 150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14 155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33,58 %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42 605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33 495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12 235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36,53 %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37 295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27 845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9 530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34,23 %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44 625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27 340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10 165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37,18 %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France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96 375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86 955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13 030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14,98 %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109 720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79 950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12 195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15,25 %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91 985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81 000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10 930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13,49 %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115 085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84 675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12 720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15,02 %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Croatie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2 500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3 120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2 150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68,91 %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3 295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3 910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1 405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35,93 %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3 320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4 730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1 720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36,36 %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3 495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4 400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1 980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45,00 %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Italie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25 300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25 300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5 310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20,99 %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27 305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27 305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4 670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17,10 %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32 365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32 365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5 715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17,66 %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36 230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36 240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7 045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19,44 %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Chypre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4 980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3 525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2 985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84,68 %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4 215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2 250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1 840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81,78 %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3 450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1 575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1 035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65,71 %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4 090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1 850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760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41,08 %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Lettonie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265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1 555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1 550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99,68 %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745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1 190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1 030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86,55 %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745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1 450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1 355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93,45 %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400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1 350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1 275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94,44 %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Lituanie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2 465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2 245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1 925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85,75 %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2 040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1 870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1 685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90,11 %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1 920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1 740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1 545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88,79 %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2 210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2 080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1 860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89,42 %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Luxembourg</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440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605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78,06 %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190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700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720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102,86 %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140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655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405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61,83 %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300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915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435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47,54 %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Hongrie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56 170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5 885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3 440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58,45 %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424 055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11 750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5 755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48,98 %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41 560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10 765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780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7,25 %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25 730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8 730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685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7,85 %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Malte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990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990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495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50,00 %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575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465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80,87 %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450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415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420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101,20 %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530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470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470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100 %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Pays-Bas</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2 645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33 735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7 655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22,69 %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2 340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23 765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8 380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35,26 %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2 685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32 950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11 980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36,36 %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2 165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31 565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8 310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26,33 %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Autriche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33 055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rPr>
                <w:noProof/>
                <w:sz w:val="16"/>
                <w:szCs w:val="16"/>
              </w:rPr>
            </w:pPr>
            <w:r>
              <w:rPr>
                <w:noProof/>
                <w:sz w:val="16"/>
              </w:rPr>
              <w:t>:</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86 220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9 910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rPr>
                <w:noProof/>
                <w:sz w:val="16"/>
                <w:szCs w:val="16"/>
              </w:rPr>
            </w:pPr>
            <w:r>
              <w:rPr>
                <w:noProof/>
                <w:sz w:val="16"/>
              </w:rPr>
              <w:t>:</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49 810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11 850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5 895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49,75 %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26 660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8 850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5 715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64,58 %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Pologne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12 050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10 160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9 000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88,58 %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16 835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13 635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12 750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93,51 %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23 375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20 010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18 530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92,60 %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28 470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24 825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22 165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89,28 %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Portugal</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4 530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3 845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760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19,77 %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5 145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5 080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565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11,12 %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6 500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6 200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0 %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6 005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5 760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0 %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Roumanie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2 335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2 030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2 085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102 71 %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2 010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1 930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1 995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103,37 %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2 430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2 070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1 865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90,10 %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3 340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1 975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1 815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91,90 %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Slovénie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1 025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1 025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150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14,63 %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1 025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1 025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155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15,12 %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2 475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1 375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205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14,91 %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4 180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1 220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120</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9,84 %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Slovaquie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1 155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925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655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70,81 %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1 985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1 575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970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61,59 %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2 035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1 735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1 390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80,12 %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2 590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2 375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1 725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72,63 %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Finlande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2 930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3 360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2 855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84,97 %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14 285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4 905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2 980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60,75 %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2 130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17 975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5 610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31,21 %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930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7 255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3 565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49,14 %</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Suède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72 835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14 280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6 230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43,63 %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1 445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18 150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9 695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53,42 %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1 210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17 585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10 160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57,78 %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2 145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20 525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6 845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33,35 %</w:t>
            </w:r>
          </w:p>
        </w:tc>
      </w:tr>
      <w:tr w:rsidR="00035D36">
        <w:trPr>
          <w:trHeight w:val="447"/>
        </w:trPr>
        <w:tc>
          <w:tcPr>
            <w:tcW w:w="2083" w:type="dxa"/>
            <w:tcBorders>
              <w:top w:val="nil"/>
              <w:left w:val="single" w:sz="8" w:space="0" w:color="auto"/>
              <w:bottom w:val="nil"/>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Royaume-Uni</w:t>
            </w:r>
          </w:p>
        </w:tc>
        <w:tc>
          <w:tcPr>
            <w:tcW w:w="975" w:type="dxa"/>
            <w:noWrap/>
            <w:vAlign w:val="bottom"/>
            <w:hideMark/>
          </w:tcPr>
          <w:p w:rsidR="00035D36" w:rsidRDefault="00BD241D">
            <w:pPr>
              <w:spacing w:after="0"/>
              <w:jc w:val="right"/>
              <w:rPr>
                <w:noProof/>
                <w:sz w:val="16"/>
                <w:szCs w:val="16"/>
              </w:rPr>
            </w:pPr>
            <w:r>
              <w:rPr>
                <w:noProof/>
                <w:sz w:val="16"/>
              </w:rPr>
              <w:t>65 365</w:t>
            </w:r>
          </w:p>
        </w:tc>
        <w:tc>
          <w:tcPr>
            <w:tcW w:w="836" w:type="dxa"/>
            <w:tcBorders>
              <w:top w:val="nil"/>
              <w:left w:val="single" w:sz="4" w:space="0" w:color="auto"/>
              <w:bottom w:val="nil"/>
              <w:right w:val="single" w:sz="4" w:space="0" w:color="000000"/>
            </w:tcBorders>
            <w:noWrap/>
            <w:vAlign w:val="bottom"/>
            <w:hideMark/>
          </w:tcPr>
          <w:p w:rsidR="00035D36" w:rsidRDefault="00BD241D">
            <w:pPr>
              <w:spacing w:after="0"/>
              <w:jc w:val="right"/>
              <w:rPr>
                <w:noProof/>
                <w:sz w:val="16"/>
                <w:szCs w:val="16"/>
              </w:rPr>
            </w:pPr>
            <w:r>
              <w:rPr>
                <w:noProof/>
                <w:sz w:val="16"/>
              </w:rPr>
              <w:t>65 365</w:t>
            </w:r>
          </w:p>
        </w:tc>
        <w:tc>
          <w:tcPr>
            <w:tcW w:w="794" w:type="dxa"/>
            <w:tcBorders>
              <w:top w:val="nil"/>
              <w:left w:val="nil"/>
              <w:bottom w:val="nil"/>
              <w:right w:val="single" w:sz="4" w:space="0" w:color="000000"/>
            </w:tcBorders>
            <w:noWrap/>
            <w:vAlign w:val="bottom"/>
            <w:hideMark/>
          </w:tcPr>
          <w:p w:rsidR="00035D36" w:rsidRDefault="00BD241D">
            <w:pPr>
              <w:spacing w:after="0"/>
              <w:jc w:val="right"/>
              <w:rPr>
                <w:noProof/>
                <w:sz w:val="16"/>
                <w:szCs w:val="16"/>
              </w:rPr>
            </w:pPr>
            <w:r>
              <w:rPr>
                <w:noProof/>
                <w:sz w:val="16"/>
              </w:rPr>
              <w:t>41 265</w:t>
            </w:r>
          </w:p>
        </w:tc>
        <w:tc>
          <w:tcPr>
            <w:tcW w:w="819" w:type="dxa"/>
            <w:tcBorders>
              <w:top w:val="nil"/>
              <w:left w:val="nil"/>
              <w:bottom w:val="nil"/>
              <w:right w:val="single" w:sz="8" w:space="0" w:color="auto"/>
            </w:tcBorders>
            <w:noWrap/>
            <w:vAlign w:val="bottom"/>
            <w:hideMark/>
          </w:tcPr>
          <w:p w:rsidR="00035D36" w:rsidRDefault="00BD241D">
            <w:pPr>
              <w:spacing w:after="0"/>
              <w:jc w:val="right"/>
              <w:rPr>
                <w:noProof/>
                <w:sz w:val="16"/>
                <w:szCs w:val="16"/>
              </w:rPr>
            </w:pPr>
            <w:r>
              <w:rPr>
                <w:noProof/>
                <w:sz w:val="16"/>
              </w:rPr>
              <w:t>63,13 %</w:t>
            </w:r>
          </w:p>
        </w:tc>
        <w:tc>
          <w:tcPr>
            <w:tcW w:w="862" w:type="dxa"/>
            <w:noWrap/>
            <w:vAlign w:val="bottom"/>
            <w:hideMark/>
          </w:tcPr>
          <w:p w:rsidR="00035D36" w:rsidRDefault="00BD241D">
            <w:pPr>
              <w:spacing w:after="0"/>
              <w:jc w:val="right"/>
              <w:rPr>
                <w:noProof/>
                <w:sz w:val="16"/>
                <w:szCs w:val="16"/>
              </w:rPr>
            </w:pPr>
            <w:r>
              <w:rPr>
                <w:noProof/>
                <w:sz w:val="16"/>
              </w:rPr>
              <w:t>70 020</w:t>
            </w:r>
          </w:p>
        </w:tc>
        <w:tc>
          <w:tcPr>
            <w:tcW w:w="836" w:type="dxa"/>
            <w:tcBorders>
              <w:top w:val="nil"/>
              <w:left w:val="single" w:sz="4" w:space="0" w:color="auto"/>
              <w:bottom w:val="nil"/>
              <w:right w:val="single" w:sz="4" w:space="0" w:color="000000"/>
            </w:tcBorders>
            <w:noWrap/>
            <w:vAlign w:val="bottom"/>
            <w:hideMark/>
          </w:tcPr>
          <w:p w:rsidR="00035D36" w:rsidRDefault="00BD241D">
            <w:pPr>
              <w:spacing w:after="0"/>
              <w:jc w:val="right"/>
              <w:rPr>
                <w:noProof/>
                <w:sz w:val="16"/>
                <w:szCs w:val="16"/>
              </w:rPr>
            </w:pPr>
            <w:r>
              <w:rPr>
                <w:noProof/>
                <w:sz w:val="16"/>
              </w:rPr>
              <w:t>70 020</w:t>
            </w:r>
          </w:p>
        </w:tc>
        <w:tc>
          <w:tcPr>
            <w:tcW w:w="794" w:type="dxa"/>
            <w:tcBorders>
              <w:top w:val="nil"/>
              <w:left w:val="nil"/>
              <w:bottom w:val="nil"/>
              <w:right w:val="single" w:sz="4" w:space="0" w:color="000000"/>
            </w:tcBorders>
            <w:noWrap/>
            <w:vAlign w:val="bottom"/>
            <w:hideMark/>
          </w:tcPr>
          <w:p w:rsidR="00035D36" w:rsidRDefault="00BD241D">
            <w:pPr>
              <w:spacing w:after="0"/>
              <w:jc w:val="right"/>
              <w:rPr>
                <w:noProof/>
                <w:sz w:val="16"/>
                <w:szCs w:val="16"/>
              </w:rPr>
            </w:pPr>
            <w:r>
              <w:rPr>
                <w:noProof/>
                <w:sz w:val="16"/>
              </w:rPr>
              <w:t>40 965</w:t>
            </w:r>
          </w:p>
        </w:tc>
        <w:tc>
          <w:tcPr>
            <w:tcW w:w="819" w:type="dxa"/>
            <w:tcBorders>
              <w:top w:val="nil"/>
              <w:left w:val="nil"/>
              <w:bottom w:val="nil"/>
              <w:right w:val="single" w:sz="8" w:space="0" w:color="auto"/>
            </w:tcBorders>
            <w:noWrap/>
            <w:vAlign w:val="bottom"/>
            <w:hideMark/>
          </w:tcPr>
          <w:p w:rsidR="00035D36" w:rsidRDefault="00BD241D">
            <w:pPr>
              <w:spacing w:after="0"/>
              <w:jc w:val="right"/>
              <w:rPr>
                <w:noProof/>
                <w:sz w:val="16"/>
                <w:szCs w:val="16"/>
              </w:rPr>
            </w:pPr>
            <w:r>
              <w:rPr>
                <w:noProof/>
                <w:sz w:val="16"/>
              </w:rPr>
              <w:t>58,50 %</w:t>
            </w:r>
          </w:p>
        </w:tc>
        <w:tc>
          <w:tcPr>
            <w:tcW w:w="862" w:type="dxa"/>
            <w:noWrap/>
            <w:vAlign w:val="bottom"/>
            <w:hideMark/>
          </w:tcPr>
          <w:p w:rsidR="00035D36" w:rsidRDefault="00BD241D">
            <w:pPr>
              <w:spacing w:after="0"/>
              <w:jc w:val="right"/>
              <w:rPr>
                <w:noProof/>
                <w:sz w:val="16"/>
                <w:szCs w:val="16"/>
              </w:rPr>
            </w:pPr>
            <w:r>
              <w:rPr>
                <w:noProof/>
                <w:sz w:val="16"/>
              </w:rPr>
              <w:t>59 895</w:t>
            </w:r>
          </w:p>
        </w:tc>
        <w:tc>
          <w:tcPr>
            <w:tcW w:w="836" w:type="dxa"/>
            <w:tcBorders>
              <w:top w:val="nil"/>
              <w:left w:val="single" w:sz="4" w:space="0" w:color="auto"/>
              <w:bottom w:val="nil"/>
              <w:right w:val="single" w:sz="4" w:space="0" w:color="000000"/>
            </w:tcBorders>
            <w:noWrap/>
            <w:vAlign w:val="bottom"/>
            <w:hideMark/>
          </w:tcPr>
          <w:p w:rsidR="00035D36" w:rsidRDefault="00BD241D">
            <w:pPr>
              <w:spacing w:after="0"/>
              <w:jc w:val="right"/>
              <w:rPr>
                <w:noProof/>
                <w:sz w:val="16"/>
                <w:szCs w:val="16"/>
              </w:rPr>
            </w:pPr>
            <w:r>
              <w:rPr>
                <w:noProof/>
                <w:sz w:val="16"/>
              </w:rPr>
              <w:t>59 895</w:t>
            </w:r>
          </w:p>
        </w:tc>
        <w:tc>
          <w:tcPr>
            <w:tcW w:w="794" w:type="dxa"/>
            <w:tcBorders>
              <w:top w:val="nil"/>
              <w:left w:val="nil"/>
              <w:bottom w:val="nil"/>
              <w:right w:val="single" w:sz="4" w:space="0" w:color="000000"/>
            </w:tcBorders>
            <w:noWrap/>
            <w:vAlign w:val="bottom"/>
            <w:hideMark/>
          </w:tcPr>
          <w:p w:rsidR="00035D36" w:rsidRDefault="00BD241D">
            <w:pPr>
              <w:spacing w:after="0"/>
              <w:jc w:val="right"/>
              <w:rPr>
                <w:noProof/>
                <w:sz w:val="16"/>
                <w:szCs w:val="16"/>
              </w:rPr>
            </w:pPr>
            <w:r>
              <w:rPr>
                <w:noProof/>
                <w:sz w:val="16"/>
              </w:rPr>
              <w:t>36 445</w:t>
            </w:r>
          </w:p>
        </w:tc>
        <w:tc>
          <w:tcPr>
            <w:tcW w:w="819" w:type="dxa"/>
            <w:tcBorders>
              <w:top w:val="nil"/>
              <w:left w:val="nil"/>
              <w:bottom w:val="nil"/>
              <w:right w:val="single" w:sz="8" w:space="0" w:color="auto"/>
            </w:tcBorders>
            <w:noWrap/>
            <w:vAlign w:val="bottom"/>
            <w:hideMark/>
          </w:tcPr>
          <w:p w:rsidR="00035D36" w:rsidRDefault="00BD241D">
            <w:pPr>
              <w:spacing w:after="0"/>
              <w:jc w:val="right"/>
              <w:rPr>
                <w:noProof/>
                <w:sz w:val="16"/>
                <w:szCs w:val="16"/>
              </w:rPr>
            </w:pPr>
            <w:r>
              <w:rPr>
                <w:noProof/>
                <w:sz w:val="16"/>
              </w:rPr>
              <w:t>60,85 %</w:t>
            </w:r>
          </w:p>
        </w:tc>
        <w:tc>
          <w:tcPr>
            <w:tcW w:w="862" w:type="dxa"/>
            <w:noWrap/>
            <w:vAlign w:val="bottom"/>
            <w:hideMark/>
          </w:tcPr>
          <w:p w:rsidR="00035D36" w:rsidRDefault="00BD241D">
            <w:pPr>
              <w:spacing w:after="0"/>
              <w:jc w:val="right"/>
              <w:rPr>
                <w:noProof/>
                <w:sz w:val="16"/>
                <w:szCs w:val="16"/>
              </w:rPr>
            </w:pPr>
            <w:r>
              <w:rPr>
                <w:noProof/>
                <w:sz w:val="16"/>
              </w:rPr>
              <w:t>54 910</w:t>
            </w:r>
          </w:p>
        </w:tc>
        <w:tc>
          <w:tcPr>
            <w:tcW w:w="836" w:type="dxa"/>
            <w:tcBorders>
              <w:top w:val="nil"/>
              <w:left w:val="single" w:sz="4" w:space="0" w:color="auto"/>
              <w:bottom w:val="nil"/>
              <w:right w:val="single" w:sz="4" w:space="0" w:color="000000"/>
            </w:tcBorders>
            <w:noWrap/>
            <w:vAlign w:val="bottom"/>
            <w:hideMark/>
          </w:tcPr>
          <w:p w:rsidR="00035D36" w:rsidRDefault="00BD241D">
            <w:pPr>
              <w:spacing w:after="0"/>
              <w:jc w:val="right"/>
              <w:rPr>
                <w:noProof/>
                <w:sz w:val="16"/>
                <w:szCs w:val="16"/>
              </w:rPr>
            </w:pPr>
            <w:r>
              <w:rPr>
                <w:noProof/>
                <w:sz w:val="16"/>
              </w:rPr>
              <w:t>54 910</w:t>
            </w:r>
          </w:p>
        </w:tc>
        <w:tc>
          <w:tcPr>
            <w:tcW w:w="794" w:type="dxa"/>
            <w:tcBorders>
              <w:top w:val="nil"/>
              <w:left w:val="nil"/>
              <w:bottom w:val="nil"/>
              <w:right w:val="single" w:sz="4" w:space="0" w:color="000000"/>
            </w:tcBorders>
            <w:noWrap/>
            <w:vAlign w:val="bottom"/>
            <w:hideMark/>
          </w:tcPr>
          <w:p w:rsidR="00035D36" w:rsidRDefault="00BD241D">
            <w:pPr>
              <w:spacing w:after="0"/>
              <w:jc w:val="right"/>
              <w:rPr>
                <w:noProof/>
                <w:sz w:val="16"/>
                <w:szCs w:val="16"/>
              </w:rPr>
            </w:pPr>
            <w:r>
              <w:rPr>
                <w:noProof/>
                <w:sz w:val="16"/>
              </w:rPr>
              <w:t>29 090</w:t>
            </w:r>
          </w:p>
        </w:tc>
        <w:tc>
          <w:tcPr>
            <w:tcW w:w="740" w:type="dxa"/>
            <w:tcBorders>
              <w:top w:val="nil"/>
              <w:left w:val="nil"/>
              <w:bottom w:val="nil"/>
              <w:right w:val="single" w:sz="8" w:space="0" w:color="auto"/>
            </w:tcBorders>
            <w:noWrap/>
            <w:vAlign w:val="bottom"/>
            <w:hideMark/>
          </w:tcPr>
          <w:p w:rsidR="00035D36" w:rsidRDefault="00BD241D">
            <w:pPr>
              <w:spacing w:after="0"/>
              <w:jc w:val="right"/>
              <w:rPr>
                <w:noProof/>
                <w:sz w:val="16"/>
                <w:szCs w:val="16"/>
              </w:rPr>
            </w:pPr>
            <w:r>
              <w:rPr>
                <w:noProof/>
                <w:sz w:val="16"/>
              </w:rPr>
              <w:t>52,98 %</w:t>
            </w:r>
          </w:p>
        </w:tc>
      </w:tr>
      <w:tr w:rsidR="00035D36">
        <w:trPr>
          <w:trHeight w:val="425"/>
        </w:trPr>
        <w:tc>
          <w:tcPr>
            <w:tcW w:w="2083" w:type="dxa"/>
            <w:tcBorders>
              <w:top w:val="single" w:sz="8" w:space="0" w:color="auto"/>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Islande</w:t>
            </w:r>
          </w:p>
        </w:tc>
        <w:tc>
          <w:tcPr>
            <w:tcW w:w="975" w:type="dxa"/>
            <w:tcBorders>
              <w:top w:val="single" w:sz="8" w:space="0" w:color="auto"/>
              <w:left w:val="nil"/>
              <w:bottom w:val="single" w:sz="4" w:space="0" w:color="000000"/>
              <w:right w:val="nil"/>
            </w:tcBorders>
            <w:noWrap/>
            <w:vAlign w:val="bottom"/>
            <w:hideMark/>
          </w:tcPr>
          <w:p w:rsidR="00035D36" w:rsidRDefault="00BD241D">
            <w:pPr>
              <w:spacing w:after="0"/>
              <w:rPr>
                <w:noProof/>
                <w:sz w:val="16"/>
                <w:szCs w:val="16"/>
              </w:rPr>
            </w:pPr>
            <w:r>
              <w:rPr>
                <w:noProof/>
                <w:sz w:val="16"/>
              </w:rPr>
              <w:t>:</w:t>
            </w:r>
          </w:p>
        </w:tc>
        <w:tc>
          <w:tcPr>
            <w:tcW w:w="836" w:type="dxa"/>
            <w:tcBorders>
              <w:top w:val="single" w:sz="8" w:space="0" w:color="auto"/>
              <w:left w:val="single" w:sz="4" w:space="0" w:color="auto"/>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794" w:type="dxa"/>
            <w:tcBorders>
              <w:top w:val="single" w:sz="8" w:space="0" w:color="auto"/>
              <w:left w:val="nil"/>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819" w:type="dxa"/>
            <w:tcBorders>
              <w:top w:val="single" w:sz="8" w:space="0" w:color="auto"/>
              <w:left w:val="nil"/>
              <w:bottom w:val="single" w:sz="4" w:space="0" w:color="000000"/>
              <w:right w:val="single" w:sz="8" w:space="0" w:color="auto"/>
            </w:tcBorders>
            <w:noWrap/>
            <w:vAlign w:val="bottom"/>
            <w:hideMark/>
          </w:tcPr>
          <w:p w:rsidR="00035D36" w:rsidRDefault="00BD241D">
            <w:pPr>
              <w:spacing w:after="0"/>
              <w:rPr>
                <w:noProof/>
                <w:sz w:val="16"/>
                <w:szCs w:val="16"/>
              </w:rPr>
            </w:pPr>
            <w:r>
              <w:rPr>
                <w:noProof/>
                <w:sz w:val="16"/>
              </w:rPr>
              <w:t>:</w:t>
            </w:r>
          </w:p>
        </w:tc>
        <w:tc>
          <w:tcPr>
            <w:tcW w:w="862" w:type="dxa"/>
            <w:tcBorders>
              <w:top w:val="single" w:sz="8" w:space="0" w:color="auto"/>
              <w:left w:val="nil"/>
              <w:bottom w:val="single" w:sz="4" w:space="0" w:color="000000"/>
              <w:right w:val="nil"/>
            </w:tcBorders>
            <w:noWrap/>
            <w:vAlign w:val="bottom"/>
            <w:hideMark/>
          </w:tcPr>
          <w:p w:rsidR="00035D36" w:rsidRDefault="00BD241D">
            <w:pPr>
              <w:spacing w:after="0"/>
              <w:rPr>
                <w:noProof/>
                <w:sz w:val="16"/>
                <w:szCs w:val="16"/>
              </w:rPr>
            </w:pPr>
            <w:r>
              <w:rPr>
                <w:noProof/>
                <w:sz w:val="16"/>
              </w:rPr>
              <w:t>:</w:t>
            </w:r>
          </w:p>
        </w:tc>
        <w:tc>
          <w:tcPr>
            <w:tcW w:w="836" w:type="dxa"/>
            <w:tcBorders>
              <w:top w:val="single" w:sz="8" w:space="0" w:color="auto"/>
              <w:left w:val="single" w:sz="4" w:space="0" w:color="auto"/>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794" w:type="dxa"/>
            <w:tcBorders>
              <w:top w:val="single" w:sz="8" w:space="0" w:color="auto"/>
              <w:left w:val="nil"/>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819" w:type="dxa"/>
            <w:tcBorders>
              <w:top w:val="single" w:sz="8" w:space="0" w:color="auto"/>
              <w:left w:val="nil"/>
              <w:bottom w:val="single" w:sz="4" w:space="0" w:color="000000"/>
              <w:right w:val="single" w:sz="8" w:space="0" w:color="auto"/>
            </w:tcBorders>
            <w:noWrap/>
            <w:vAlign w:val="bottom"/>
            <w:hideMark/>
          </w:tcPr>
          <w:p w:rsidR="00035D36" w:rsidRDefault="00BD241D">
            <w:pPr>
              <w:spacing w:after="0"/>
              <w:rPr>
                <w:noProof/>
                <w:sz w:val="16"/>
                <w:szCs w:val="16"/>
              </w:rPr>
            </w:pPr>
            <w:r>
              <w:rPr>
                <w:noProof/>
                <w:sz w:val="16"/>
              </w:rPr>
              <w:t>:</w:t>
            </w:r>
          </w:p>
        </w:tc>
        <w:tc>
          <w:tcPr>
            <w:tcW w:w="862" w:type="dxa"/>
            <w:tcBorders>
              <w:top w:val="single" w:sz="8" w:space="0" w:color="auto"/>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30</w:t>
            </w:r>
          </w:p>
        </w:tc>
        <w:tc>
          <w:tcPr>
            <w:tcW w:w="836" w:type="dxa"/>
            <w:tcBorders>
              <w:top w:val="single" w:sz="8" w:space="0" w:color="auto"/>
              <w:left w:val="single" w:sz="4" w:space="0" w:color="auto"/>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794" w:type="dxa"/>
            <w:tcBorders>
              <w:top w:val="single" w:sz="8" w:space="0" w:color="auto"/>
              <w:left w:val="nil"/>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819" w:type="dxa"/>
            <w:tcBorders>
              <w:top w:val="single" w:sz="8" w:space="0" w:color="auto"/>
              <w:left w:val="nil"/>
              <w:bottom w:val="single" w:sz="4" w:space="0" w:color="000000"/>
              <w:right w:val="single" w:sz="8" w:space="0" w:color="auto"/>
            </w:tcBorders>
            <w:noWrap/>
            <w:vAlign w:val="bottom"/>
            <w:hideMark/>
          </w:tcPr>
          <w:p w:rsidR="00035D36" w:rsidRDefault="00BD241D">
            <w:pPr>
              <w:spacing w:after="0"/>
              <w:rPr>
                <w:noProof/>
                <w:sz w:val="16"/>
                <w:szCs w:val="16"/>
              </w:rPr>
            </w:pPr>
            <w:r>
              <w:rPr>
                <w:noProof/>
                <w:sz w:val="16"/>
              </w:rPr>
              <w:t>:</w:t>
            </w:r>
          </w:p>
        </w:tc>
        <w:tc>
          <w:tcPr>
            <w:tcW w:w="862" w:type="dxa"/>
            <w:tcBorders>
              <w:top w:val="single" w:sz="8" w:space="0" w:color="auto"/>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15</w:t>
            </w:r>
          </w:p>
        </w:tc>
        <w:tc>
          <w:tcPr>
            <w:tcW w:w="836" w:type="dxa"/>
            <w:tcBorders>
              <w:top w:val="single" w:sz="8" w:space="0" w:color="auto"/>
              <w:left w:val="single" w:sz="4" w:space="0" w:color="auto"/>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794" w:type="dxa"/>
            <w:tcBorders>
              <w:top w:val="single" w:sz="8" w:space="0" w:color="auto"/>
              <w:left w:val="nil"/>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740" w:type="dxa"/>
            <w:tcBorders>
              <w:top w:val="single" w:sz="8" w:space="0" w:color="auto"/>
              <w:left w:val="nil"/>
              <w:bottom w:val="single" w:sz="4" w:space="0" w:color="000000"/>
              <w:right w:val="single" w:sz="8" w:space="0" w:color="auto"/>
            </w:tcBorders>
            <w:noWrap/>
            <w:vAlign w:val="bottom"/>
            <w:hideMark/>
          </w:tcPr>
          <w:p w:rsidR="00035D36" w:rsidRDefault="00BD241D">
            <w:pPr>
              <w:spacing w:after="0"/>
              <w:rPr>
                <w:noProof/>
                <w:sz w:val="16"/>
                <w:szCs w:val="16"/>
              </w:rPr>
            </w:pPr>
            <w:r>
              <w:rPr>
                <w:noProof/>
                <w:sz w:val="16"/>
              </w:rPr>
              <w:t>:</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Liechtenstein</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33,33 %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110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0 %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40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33,33 %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rPr>
                <w:noProof/>
                <w:sz w:val="16"/>
                <w:szCs w:val="16"/>
              </w:rPr>
            </w:pPr>
            <w:r>
              <w:rPr>
                <w:noProof/>
                <w:sz w:val="16"/>
              </w:rPr>
              <w:t>:</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rPr>
                <w:noProof/>
                <w:sz w:val="16"/>
                <w:szCs w:val="16"/>
              </w:rPr>
            </w:pPr>
            <w:r>
              <w:rPr>
                <w:noProof/>
                <w:sz w:val="16"/>
              </w:rPr>
              <w:t>:</w:t>
            </w:r>
          </w:p>
        </w:tc>
      </w:tr>
      <w:tr w:rsidR="00035D36">
        <w:trPr>
          <w:trHeight w:val="425"/>
        </w:trPr>
        <w:tc>
          <w:tcPr>
            <w:tcW w:w="2083" w:type="dxa"/>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Norvège</w:t>
            </w:r>
          </w:p>
        </w:tc>
        <w:tc>
          <w:tcPr>
            <w:tcW w:w="975"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3 720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13 305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3 755</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28,22 %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5 455</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13 705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3 540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25,83 %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5 330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14 540</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3 540</w:t>
            </w:r>
          </w:p>
        </w:tc>
        <w:tc>
          <w:tcPr>
            <w:tcW w:w="819"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24,35 %</w:t>
            </w:r>
          </w:p>
        </w:tc>
        <w:tc>
          <w:tcPr>
            <w:tcW w:w="862" w:type="dxa"/>
            <w:tcBorders>
              <w:top w:val="nil"/>
              <w:left w:val="nil"/>
              <w:bottom w:val="single" w:sz="4" w:space="0" w:color="000000"/>
              <w:right w:val="nil"/>
            </w:tcBorders>
            <w:noWrap/>
            <w:vAlign w:val="bottom"/>
            <w:hideMark/>
          </w:tcPr>
          <w:p w:rsidR="00035D36" w:rsidRDefault="00BD241D">
            <w:pPr>
              <w:spacing w:after="0"/>
              <w:jc w:val="right"/>
              <w:rPr>
                <w:noProof/>
                <w:sz w:val="16"/>
                <w:szCs w:val="16"/>
              </w:rPr>
            </w:pPr>
            <w:r>
              <w:rPr>
                <w:noProof/>
                <w:sz w:val="16"/>
              </w:rPr>
              <w:t>3 850</w:t>
            </w:r>
          </w:p>
        </w:tc>
        <w:tc>
          <w:tcPr>
            <w:tcW w:w="836" w:type="dxa"/>
            <w:tcBorders>
              <w:top w:val="nil"/>
              <w:left w:val="single" w:sz="4" w:space="0" w:color="auto"/>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9 795</w:t>
            </w:r>
          </w:p>
        </w:tc>
        <w:tc>
          <w:tcPr>
            <w:tcW w:w="794" w:type="dxa"/>
            <w:tcBorders>
              <w:top w:val="nil"/>
              <w:left w:val="nil"/>
              <w:bottom w:val="single" w:sz="4" w:space="0" w:color="000000"/>
              <w:right w:val="single" w:sz="4" w:space="0" w:color="000000"/>
            </w:tcBorders>
            <w:noWrap/>
            <w:vAlign w:val="bottom"/>
            <w:hideMark/>
          </w:tcPr>
          <w:p w:rsidR="00035D36" w:rsidRDefault="00BD241D">
            <w:pPr>
              <w:spacing w:after="0"/>
              <w:jc w:val="right"/>
              <w:rPr>
                <w:noProof/>
                <w:sz w:val="16"/>
                <w:szCs w:val="16"/>
              </w:rPr>
            </w:pPr>
            <w:r>
              <w:rPr>
                <w:noProof/>
                <w:sz w:val="16"/>
              </w:rPr>
              <w:t>2 345</w:t>
            </w:r>
          </w:p>
        </w:tc>
        <w:tc>
          <w:tcPr>
            <w:tcW w:w="740" w:type="dxa"/>
            <w:tcBorders>
              <w:top w:val="nil"/>
              <w:left w:val="nil"/>
              <w:bottom w:val="single" w:sz="4" w:space="0" w:color="000000"/>
              <w:right w:val="single" w:sz="8" w:space="0" w:color="auto"/>
            </w:tcBorders>
            <w:noWrap/>
            <w:vAlign w:val="bottom"/>
            <w:hideMark/>
          </w:tcPr>
          <w:p w:rsidR="00035D36" w:rsidRDefault="00BD241D">
            <w:pPr>
              <w:spacing w:after="0"/>
              <w:jc w:val="right"/>
              <w:rPr>
                <w:noProof/>
                <w:sz w:val="16"/>
                <w:szCs w:val="16"/>
              </w:rPr>
            </w:pPr>
            <w:r>
              <w:rPr>
                <w:noProof/>
                <w:sz w:val="16"/>
              </w:rPr>
              <w:t>23,94 %</w:t>
            </w:r>
          </w:p>
        </w:tc>
      </w:tr>
      <w:tr w:rsidR="00035D36">
        <w:trPr>
          <w:trHeight w:val="447"/>
        </w:trPr>
        <w:tc>
          <w:tcPr>
            <w:tcW w:w="2083" w:type="dxa"/>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rsidR="00035D36" w:rsidRDefault="00BD241D">
            <w:pPr>
              <w:spacing w:after="0"/>
              <w:rPr>
                <w:b/>
                <w:bCs/>
                <w:noProof/>
                <w:sz w:val="16"/>
                <w:szCs w:val="16"/>
              </w:rPr>
            </w:pPr>
            <w:r>
              <w:rPr>
                <w:b/>
                <w:noProof/>
                <w:sz w:val="16"/>
              </w:rPr>
              <w:t>Suisse</w:t>
            </w:r>
          </w:p>
        </w:tc>
        <w:tc>
          <w:tcPr>
            <w:tcW w:w="975" w:type="dxa"/>
            <w:tcBorders>
              <w:top w:val="nil"/>
              <w:left w:val="nil"/>
              <w:bottom w:val="single" w:sz="8" w:space="0" w:color="auto"/>
              <w:right w:val="nil"/>
            </w:tcBorders>
            <w:noWrap/>
            <w:vAlign w:val="bottom"/>
            <w:hideMark/>
          </w:tcPr>
          <w:p w:rsidR="00035D36" w:rsidRDefault="00BD241D">
            <w:pPr>
              <w:spacing w:after="0"/>
              <w:jc w:val="right"/>
              <w:rPr>
                <w:noProof/>
                <w:sz w:val="16"/>
                <w:szCs w:val="16"/>
              </w:rPr>
            </w:pPr>
            <w:r>
              <w:rPr>
                <w:noProof/>
                <w:sz w:val="16"/>
              </w:rPr>
              <w:t>13 800</w:t>
            </w:r>
          </w:p>
        </w:tc>
        <w:tc>
          <w:tcPr>
            <w:tcW w:w="836" w:type="dxa"/>
            <w:tcBorders>
              <w:top w:val="nil"/>
              <w:left w:val="single" w:sz="4" w:space="0" w:color="auto"/>
              <w:bottom w:val="single" w:sz="8" w:space="0" w:color="auto"/>
              <w:right w:val="single" w:sz="4" w:space="0" w:color="000000"/>
            </w:tcBorders>
            <w:noWrap/>
            <w:vAlign w:val="bottom"/>
            <w:hideMark/>
          </w:tcPr>
          <w:p w:rsidR="00035D36" w:rsidRDefault="00BD241D">
            <w:pPr>
              <w:spacing w:after="0"/>
              <w:jc w:val="right"/>
              <w:rPr>
                <w:noProof/>
                <w:sz w:val="16"/>
                <w:szCs w:val="16"/>
              </w:rPr>
            </w:pPr>
            <w:r>
              <w:rPr>
                <w:noProof/>
                <w:sz w:val="16"/>
              </w:rPr>
              <w:t>3 335</w:t>
            </w:r>
          </w:p>
        </w:tc>
        <w:tc>
          <w:tcPr>
            <w:tcW w:w="794" w:type="dxa"/>
            <w:tcBorders>
              <w:top w:val="nil"/>
              <w:left w:val="nil"/>
              <w:bottom w:val="single" w:sz="8" w:space="0" w:color="auto"/>
              <w:right w:val="single" w:sz="4" w:space="0" w:color="000000"/>
            </w:tcBorders>
            <w:noWrap/>
            <w:vAlign w:val="bottom"/>
            <w:hideMark/>
          </w:tcPr>
          <w:p w:rsidR="00035D36" w:rsidRDefault="00BD241D">
            <w:pPr>
              <w:spacing w:after="0"/>
              <w:rPr>
                <w:noProof/>
                <w:sz w:val="16"/>
                <w:szCs w:val="16"/>
              </w:rPr>
            </w:pPr>
            <w:r>
              <w:rPr>
                <w:noProof/>
                <w:sz w:val="16"/>
              </w:rPr>
              <w:t>:</w:t>
            </w:r>
          </w:p>
        </w:tc>
        <w:tc>
          <w:tcPr>
            <w:tcW w:w="819" w:type="dxa"/>
            <w:tcBorders>
              <w:top w:val="nil"/>
              <w:left w:val="nil"/>
              <w:bottom w:val="single" w:sz="8" w:space="0" w:color="auto"/>
              <w:right w:val="single" w:sz="8" w:space="0" w:color="auto"/>
            </w:tcBorders>
            <w:noWrap/>
            <w:vAlign w:val="bottom"/>
            <w:hideMark/>
          </w:tcPr>
          <w:p w:rsidR="00035D36" w:rsidRDefault="00BD241D">
            <w:pPr>
              <w:spacing w:after="0"/>
              <w:rPr>
                <w:noProof/>
                <w:sz w:val="16"/>
                <w:szCs w:val="16"/>
              </w:rPr>
            </w:pPr>
            <w:r>
              <w:rPr>
                <w:noProof/>
                <w:sz w:val="16"/>
              </w:rPr>
              <w:t>:</w:t>
            </w:r>
          </w:p>
        </w:tc>
        <w:tc>
          <w:tcPr>
            <w:tcW w:w="862" w:type="dxa"/>
            <w:tcBorders>
              <w:top w:val="nil"/>
              <w:left w:val="nil"/>
              <w:bottom w:val="single" w:sz="8" w:space="0" w:color="auto"/>
              <w:right w:val="nil"/>
            </w:tcBorders>
            <w:noWrap/>
            <w:vAlign w:val="bottom"/>
            <w:hideMark/>
          </w:tcPr>
          <w:p w:rsidR="00035D36" w:rsidRDefault="00BD241D">
            <w:pPr>
              <w:spacing w:after="0"/>
              <w:jc w:val="right"/>
              <w:rPr>
                <w:noProof/>
                <w:sz w:val="16"/>
                <w:szCs w:val="16"/>
              </w:rPr>
            </w:pPr>
            <w:r>
              <w:rPr>
                <w:noProof/>
                <w:sz w:val="16"/>
              </w:rPr>
              <w:t>15 555</w:t>
            </w:r>
          </w:p>
        </w:tc>
        <w:tc>
          <w:tcPr>
            <w:tcW w:w="836" w:type="dxa"/>
            <w:tcBorders>
              <w:top w:val="nil"/>
              <w:left w:val="single" w:sz="4" w:space="0" w:color="auto"/>
              <w:bottom w:val="single" w:sz="8" w:space="0" w:color="auto"/>
              <w:right w:val="single" w:sz="4" w:space="0" w:color="000000"/>
            </w:tcBorders>
            <w:noWrap/>
            <w:vAlign w:val="bottom"/>
            <w:hideMark/>
          </w:tcPr>
          <w:p w:rsidR="00035D36" w:rsidRDefault="00BD241D">
            <w:pPr>
              <w:spacing w:after="0"/>
              <w:jc w:val="right"/>
              <w:rPr>
                <w:noProof/>
                <w:sz w:val="16"/>
                <w:szCs w:val="16"/>
              </w:rPr>
            </w:pPr>
            <w:r>
              <w:rPr>
                <w:noProof/>
                <w:sz w:val="16"/>
              </w:rPr>
              <w:t>3 730</w:t>
            </w:r>
          </w:p>
        </w:tc>
        <w:tc>
          <w:tcPr>
            <w:tcW w:w="794" w:type="dxa"/>
            <w:tcBorders>
              <w:top w:val="nil"/>
              <w:left w:val="nil"/>
              <w:bottom w:val="single" w:sz="8" w:space="0" w:color="auto"/>
              <w:right w:val="single" w:sz="4" w:space="0" w:color="000000"/>
            </w:tcBorders>
            <w:noWrap/>
            <w:vAlign w:val="bottom"/>
            <w:hideMark/>
          </w:tcPr>
          <w:p w:rsidR="00035D36" w:rsidRDefault="00BD241D">
            <w:pPr>
              <w:spacing w:after="0"/>
              <w:jc w:val="right"/>
              <w:rPr>
                <w:noProof/>
                <w:sz w:val="16"/>
                <w:szCs w:val="16"/>
              </w:rPr>
            </w:pPr>
            <w:r>
              <w:rPr>
                <w:noProof/>
                <w:sz w:val="16"/>
              </w:rPr>
              <w:t>0</w:t>
            </w:r>
          </w:p>
        </w:tc>
        <w:tc>
          <w:tcPr>
            <w:tcW w:w="819" w:type="dxa"/>
            <w:tcBorders>
              <w:top w:val="nil"/>
              <w:left w:val="nil"/>
              <w:bottom w:val="single" w:sz="8" w:space="0" w:color="auto"/>
              <w:right w:val="single" w:sz="8" w:space="0" w:color="auto"/>
            </w:tcBorders>
            <w:noWrap/>
            <w:vAlign w:val="bottom"/>
            <w:hideMark/>
          </w:tcPr>
          <w:p w:rsidR="00035D36" w:rsidRDefault="00BD241D">
            <w:pPr>
              <w:spacing w:after="0"/>
              <w:jc w:val="right"/>
              <w:rPr>
                <w:noProof/>
                <w:sz w:val="16"/>
                <w:szCs w:val="16"/>
              </w:rPr>
            </w:pPr>
            <w:r>
              <w:rPr>
                <w:noProof/>
                <w:sz w:val="16"/>
              </w:rPr>
              <w:t>0 %</w:t>
            </w:r>
          </w:p>
        </w:tc>
        <w:tc>
          <w:tcPr>
            <w:tcW w:w="862" w:type="dxa"/>
            <w:tcBorders>
              <w:top w:val="nil"/>
              <w:left w:val="nil"/>
              <w:bottom w:val="single" w:sz="8" w:space="0" w:color="auto"/>
              <w:right w:val="nil"/>
            </w:tcBorders>
            <w:noWrap/>
            <w:vAlign w:val="bottom"/>
            <w:hideMark/>
          </w:tcPr>
          <w:p w:rsidR="00035D36" w:rsidRDefault="00BD241D">
            <w:pPr>
              <w:spacing w:after="0"/>
              <w:jc w:val="right"/>
              <w:rPr>
                <w:noProof/>
                <w:sz w:val="16"/>
                <w:szCs w:val="16"/>
              </w:rPr>
            </w:pPr>
            <w:r>
              <w:rPr>
                <w:noProof/>
                <w:sz w:val="16"/>
              </w:rPr>
              <w:t>15 765</w:t>
            </w:r>
          </w:p>
        </w:tc>
        <w:tc>
          <w:tcPr>
            <w:tcW w:w="836" w:type="dxa"/>
            <w:tcBorders>
              <w:top w:val="nil"/>
              <w:left w:val="single" w:sz="4" w:space="0" w:color="auto"/>
              <w:bottom w:val="single" w:sz="8" w:space="0" w:color="auto"/>
              <w:right w:val="single" w:sz="4" w:space="0" w:color="000000"/>
            </w:tcBorders>
            <w:noWrap/>
            <w:vAlign w:val="bottom"/>
            <w:hideMark/>
          </w:tcPr>
          <w:p w:rsidR="00035D36" w:rsidRDefault="00BD241D">
            <w:pPr>
              <w:spacing w:after="0"/>
              <w:rPr>
                <w:noProof/>
                <w:sz w:val="16"/>
                <w:szCs w:val="16"/>
              </w:rPr>
            </w:pPr>
            <w:r>
              <w:rPr>
                <w:noProof/>
                <w:sz w:val="16"/>
              </w:rPr>
              <w:t>:</w:t>
            </w:r>
          </w:p>
        </w:tc>
        <w:tc>
          <w:tcPr>
            <w:tcW w:w="794" w:type="dxa"/>
            <w:tcBorders>
              <w:top w:val="nil"/>
              <w:left w:val="nil"/>
              <w:bottom w:val="single" w:sz="8" w:space="0" w:color="auto"/>
              <w:right w:val="single" w:sz="4" w:space="0" w:color="000000"/>
            </w:tcBorders>
            <w:noWrap/>
            <w:vAlign w:val="bottom"/>
            <w:hideMark/>
          </w:tcPr>
          <w:p w:rsidR="00035D36" w:rsidRDefault="00BD241D">
            <w:pPr>
              <w:spacing w:after="0"/>
              <w:rPr>
                <w:noProof/>
                <w:sz w:val="16"/>
                <w:szCs w:val="16"/>
              </w:rPr>
            </w:pPr>
            <w:r>
              <w:rPr>
                <w:noProof/>
                <w:sz w:val="16"/>
              </w:rPr>
              <w:t>:</w:t>
            </w:r>
          </w:p>
        </w:tc>
        <w:tc>
          <w:tcPr>
            <w:tcW w:w="819" w:type="dxa"/>
            <w:tcBorders>
              <w:top w:val="nil"/>
              <w:left w:val="nil"/>
              <w:bottom w:val="single" w:sz="8" w:space="0" w:color="auto"/>
              <w:right w:val="single" w:sz="8" w:space="0" w:color="auto"/>
            </w:tcBorders>
            <w:noWrap/>
            <w:vAlign w:val="bottom"/>
            <w:hideMark/>
          </w:tcPr>
          <w:p w:rsidR="00035D36" w:rsidRDefault="00BD241D">
            <w:pPr>
              <w:spacing w:after="0"/>
              <w:rPr>
                <w:noProof/>
                <w:sz w:val="16"/>
                <w:szCs w:val="16"/>
              </w:rPr>
            </w:pPr>
            <w:r>
              <w:rPr>
                <w:noProof/>
                <w:sz w:val="16"/>
              </w:rPr>
              <w:t>:</w:t>
            </w:r>
          </w:p>
        </w:tc>
        <w:tc>
          <w:tcPr>
            <w:tcW w:w="862" w:type="dxa"/>
            <w:tcBorders>
              <w:top w:val="nil"/>
              <w:left w:val="nil"/>
              <w:bottom w:val="single" w:sz="8" w:space="0" w:color="auto"/>
              <w:right w:val="nil"/>
            </w:tcBorders>
            <w:noWrap/>
            <w:vAlign w:val="bottom"/>
            <w:hideMark/>
          </w:tcPr>
          <w:p w:rsidR="00035D36" w:rsidRDefault="00BD241D">
            <w:pPr>
              <w:spacing w:after="0"/>
              <w:rPr>
                <w:noProof/>
                <w:sz w:val="16"/>
                <w:szCs w:val="16"/>
              </w:rPr>
            </w:pPr>
            <w:r>
              <w:rPr>
                <w:noProof/>
                <w:sz w:val="16"/>
              </w:rPr>
              <w:t>:</w:t>
            </w:r>
          </w:p>
        </w:tc>
        <w:tc>
          <w:tcPr>
            <w:tcW w:w="836" w:type="dxa"/>
            <w:tcBorders>
              <w:top w:val="nil"/>
              <w:left w:val="single" w:sz="4" w:space="0" w:color="auto"/>
              <w:bottom w:val="single" w:sz="8" w:space="0" w:color="auto"/>
              <w:right w:val="single" w:sz="4" w:space="0" w:color="000000"/>
            </w:tcBorders>
            <w:noWrap/>
            <w:vAlign w:val="bottom"/>
            <w:hideMark/>
          </w:tcPr>
          <w:p w:rsidR="00035D36" w:rsidRDefault="00BD241D">
            <w:pPr>
              <w:spacing w:after="0"/>
              <w:rPr>
                <w:noProof/>
                <w:sz w:val="16"/>
                <w:szCs w:val="16"/>
              </w:rPr>
            </w:pPr>
            <w:r>
              <w:rPr>
                <w:noProof/>
                <w:sz w:val="16"/>
              </w:rPr>
              <w:t>:</w:t>
            </w:r>
          </w:p>
        </w:tc>
        <w:tc>
          <w:tcPr>
            <w:tcW w:w="794" w:type="dxa"/>
            <w:tcBorders>
              <w:top w:val="nil"/>
              <w:left w:val="nil"/>
              <w:bottom w:val="single" w:sz="8" w:space="0" w:color="auto"/>
              <w:right w:val="single" w:sz="4" w:space="0" w:color="000000"/>
            </w:tcBorders>
            <w:noWrap/>
            <w:vAlign w:val="bottom"/>
            <w:hideMark/>
          </w:tcPr>
          <w:p w:rsidR="00035D36" w:rsidRDefault="00BD241D">
            <w:pPr>
              <w:spacing w:after="0"/>
              <w:rPr>
                <w:noProof/>
                <w:sz w:val="16"/>
                <w:szCs w:val="16"/>
              </w:rPr>
            </w:pPr>
            <w:r>
              <w:rPr>
                <w:noProof/>
                <w:sz w:val="16"/>
              </w:rPr>
              <w:t>:</w:t>
            </w:r>
          </w:p>
        </w:tc>
        <w:tc>
          <w:tcPr>
            <w:tcW w:w="740" w:type="dxa"/>
            <w:tcBorders>
              <w:top w:val="nil"/>
              <w:left w:val="nil"/>
              <w:bottom w:val="single" w:sz="8" w:space="0" w:color="auto"/>
              <w:right w:val="single" w:sz="8" w:space="0" w:color="auto"/>
            </w:tcBorders>
            <w:noWrap/>
            <w:vAlign w:val="bottom"/>
            <w:hideMark/>
          </w:tcPr>
          <w:p w:rsidR="00035D36" w:rsidRDefault="00BD241D">
            <w:pPr>
              <w:spacing w:after="0"/>
              <w:rPr>
                <w:noProof/>
                <w:sz w:val="16"/>
                <w:szCs w:val="16"/>
              </w:rPr>
            </w:pPr>
            <w:r>
              <w:rPr>
                <w:noProof/>
                <w:sz w:val="16"/>
              </w:rPr>
              <w:t>:</w:t>
            </w:r>
          </w:p>
        </w:tc>
      </w:tr>
    </w:tbl>
    <w:p w:rsidR="00035D36" w:rsidRDefault="00035D36">
      <w:pPr>
        <w:spacing w:after="120"/>
        <w:rPr>
          <w:rFonts w:eastAsiaTheme="minorHAnsi"/>
          <w:b/>
          <w:noProof/>
          <w:sz w:val="22"/>
          <w:szCs w:val="22"/>
        </w:rPr>
      </w:pPr>
    </w:p>
    <w:p w:rsidR="00035D36" w:rsidRDefault="00BD241D">
      <w:pPr>
        <w:spacing w:after="0"/>
        <w:rPr>
          <w:b/>
          <w:bCs/>
          <w:noProof/>
          <w:sz w:val="16"/>
          <w:szCs w:val="16"/>
        </w:rPr>
      </w:pPr>
      <w:r>
        <w:rPr>
          <w:b/>
          <w:noProof/>
          <w:sz w:val="16"/>
        </w:rPr>
        <w:t>Données tirées de la base de données d’EUROSTAT:</w:t>
      </w:r>
    </w:p>
    <w:p w:rsidR="00035D36" w:rsidRDefault="00BD241D">
      <w:pPr>
        <w:tabs>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b/>
          <w:noProof/>
          <w:sz w:val="16"/>
        </w:rPr>
        <w:t>Ressortissants de pays tiers reconnus comme étant en situation irrégulière - données annu</w:t>
      </w:r>
      <w:r>
        <w:rPr>
          <w:b/>
          <w:noProof/>
          <w:sz w:val="16"/>
        </w:rPr>
        <w:t>elles (chiffres arrondis) [migr_eipre]</w:t>
      </w:r>
      <w:r>
        <w:rPr>
          <w:noProof/>
        </w:rPr>
        <w:tab/>
      </w:r>
      <w:r>
        <w:rPr>
          <w:noProof/>
        </w:rPr>
        <w:tab/>
      </w:r>
      <w:r>
        <w:rPr>
          <w:noProof/>
        </w:rPr>
        <w:tab/>
      </w:r>
      <w:r>
        <w:rPr>
          <w:noProof/>
        </w:rPr>
        <w:tab/>
      </w:r>
      <w:r>
        <w:rPr>
          <w:noProof/>
        </w:rPr>
        <w:tab/>
      </w:r>
      <w:r>
        <w:rPr>
          <w:noProof/>
        </w:rPr>
        <w:tab/>
      </w:r>
      <w:r>
        <w:rPr>
          <w:noProof/>
        </w:rPr>
        <w:tab/>
      </w:r>
      <w:r>
        <w:rPr>
          <w:noProof/>
        </w:rPr>
        <w:tab/>
      </w:r>
    </w:p>
    <w:p w:rsidR="00035D36" w:rsidRDefault="00BD241D">
      <w:pPr>
        <w:tabs>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b/>
          <w:noProof/>
          <w:sz w:val="16"/>
        </w:rPr>
        <w:t>Ressortissants de pays tiers ayant reçu l’ordre de quitter le territoire - données annuelles (chiffres arrondis) [migr_eiord]</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035D36" w:rsidRDefault="00BD241D">
      <w:pPr>
        <w:tabs>
          <w:tab w:val="left" w:pos="9516"/>
          <w:tab w:val="left" w:pos="10250"/>
          <w:tab w:val="left" w:pos="10984"/>
          <w:tab w:val="left" w:pos="11718"/>
          <w:tab w:val="left" w:pos="12452"/>
          <w:tab w:val="left" w:pos="13186"/>
          <w:tab w:val="left" w:pos="13920"/>
        </w:tabs>
        <w:spacing w:after="0"/>
        <w:ind w:left="108"/>
        <w:rPr>
          <w:noProof/>
          <w:sz w:val="16"/>
          <w:szCs w:val="16"/>
        </w:rPr>
      </w:pPr>
      <w:r>
        <w:rPr>
          <w:b/>
          <w:noProof/>
          <w:sz w:val="16"/>
        </w:rPr>
        <w:t xml:space="preserve">Ressortissants de pays tiers ayant fait l’objet d’un retour dans un pays </w:t>
      </w:r>
      <w:r>
        <w:rPr>
          <w:b/>
          <w:noProof/>
          <w:sz w:val="16"/>
        </w:rPr>
        <w:t>tiers à la suite d’une injonction de quitter le territoire - données annuelles (chiffres arrondis) [migr_eirtn]</w:t>
      </w:r>
      <w:r>
        <w:rPr>
          <w:noProof/>
        </w:rPr>
        <w:tab/>
      </w:r>
      <w:r>
        <w:rPr>
          <w:noProof/>
        </w:rPr>
        <w:tab/>
      </w:r>
      <w:r>
        <w:rPr>
          <w:noProof/>
        </w:rPr>
        <w:tab/>
      </w:r>
      <w:r>
        <w:rPr>
          <w:noProof/>
        </w:rPr>
        <w:tab/>
      </w:r>
      <w:r>
        <w:rPr>
          <w:noProof/>
        </w:rPr>
        <w:tab/>
      </w:r>
      <w:r>
        <w:rPr>
          <w:noProof/>
        </w:rPr>
        <w:tab/>
      </w:r>
      <w:r>
        <w:rPr>
          <w:noProof/>
        </w:rPr>
        <w:tab/>
      </w:r>
    </w:p>
    <w:p w:rsidR="00035D36" w:rsidRDefault="00BD241D">
      <w:pPr>
        <w:tabs>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b/>
          <w:noProof/>
          <w:sz w:val="16"/>
        </w:rPr>
        <w:t>Taux de retour - calculé</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035D36" w:rsidRDefault="00BD241D">
      <w:pPr>
        <w:tabs>
          <w:tab w:val="left" w:pos="3377"/>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035D36" w:rsidRDefault="00BD241D">
      <w:pPr>
        <w:tabs>
          <w:tab w:val="left" w:pos="3377"/>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noProof/>
          <w:sz w:val="16"/>
        </w:rPr>
        <w:t>Date de la dernière mise à jour</w:t>
      </w:r>
      <w:r>
        <w:rPr>
          <w:noProof/>
        </w:rPr>
        <w:tab/>
      </w:r>
      <w:r>
        <w:rPr>
          <w:noProof/>
          <w:sz w:val="16"/>
        </w:rPr>
        <w:t>17.4.18</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035D36" w:rsidRDefault="00BD241D">
      <w:pPr>
        <w:tabs>
          <w:tab w:val="left" w:pos="3377"/>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noProof/>
          <w:sz w:val="16"/>
        </w:rPr>
        <w:t>Données extraites le</w:t>
      </w:r>
      <w:r>
        <w:rPr>
          <w:noProof/>
        </w:rPr>
        <w:tab/>
      </w:r>
      <w:r>
        <w:rPr>
          <w:noProof/>
          <w:sz w:val="16"/>
        </w:rPr>
        <w:t>17.4.18</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035D36" w:rsidRDefault="00BD241D">
      <w:pPr>
        <w:tabs>
          <w:tab w:val="left" w:pos="3377"/>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noProof/>
          <w:sz w:val="16"/>
        </w:rPr>
        <w:t>Source des données</w:t>
      </w:r>
      <w:r>
        <w:rPr>
          <w:noProof/>
        </w:rPr>
        <w:tab/>
      </w:r>
      <w:r>
        <w:rPr>
          <w:noProof/>
          <w:sz w:val="16"/>
        </w:rPr>
        <w:t>Eurostat</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035D36" w:rsidRDefault="00BD241D">
      <w:pPr>
        <w:tabs>
          <w:tab w:val="left" w:pos="3377"/>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noProof/>
          <w:sz w:val="16"/>
        </w:rPr>
        <w:t>UNITÉ</w:t>
      </w:r>
      <w:r>
        <w:rPr>
          <w:noProof/>
        </w:rPr>
        <w:tab/>
      </w:r>
      <w:r>
        <w:rPr>
          <w:noProof/>
          <w:sz w:val="16"/>
        </w:rPr>
        <w:t>Personne</w:t>
      </w:r>
      <w:r>
        <w:rPr>
          <w:noProof/>
        </w:rPr>
        <w:tab/>
      </w:r>
      <w:r>
        <w:rPr>
          <w:noProof/>
          <w:sz w:val="16"/>
        </w:rPr>
        <w:t xml:space="preserve"> </w:t>
      </w:r>
    </w:p>
    <w:p w:rsidR="00035D36" w:rsidRDefault="00035D36">
      <w:pPr>
        <w:rPr>
          <w:noProof/>
        </w:rPr>
      </w:pPr>
    </w:p>
    <w:sectPr w:rsidR="00035D36">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418" w:right="1021" w:bottom="1418" w:left="102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36" w:rsidRDefault="00BD241D">
      <w:pPr>
        <w:spacing w:after="0"/>
      </w:pPr>
      <w:r>
        <w:separator/>
      </w:r>
    </w:p>
  </w:endnote>
  <w:endnote w:type="continuationSeparator" w:id="0">
    <w:p w:rsidR="00035D36" w:rsidRDefault="00BD24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1D" w:rsidRDefault="00BD2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36" w:rsidRDefault="00035D36">
    <w:pPr>
      <w:pStyle w:val="FooterCoverPage"/>
      <w:rPr>
        <w:rFonts w:ascii="Arial" w:hAnsi="Arial" w:cs="Arial"/>
        <w:b/>
        <w:sz w:val="4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1D" w:rsidRDefault="00BD24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36" w:rsidRDefault="00035D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36" w:rsidRDefault="00BD241D">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10</w:t>
    </w:r>
    <w:r>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143586"/>
      <w:docPartObj>
        <w:docPartGallery w:val="Page Numbers (Bottom of Page)"/>
        <w:docPartUnique/>
      </w:docPartObj>
    </w:sdtPr>
    <w:sdtEndPr>
      <w:rPr>
        <w:noProof/>
      </w:rPr>
    </w:sdtEndPr>
    <w:sdtContent>
      <w:p w:rsidR="00035D36" w:rsidRDefault="00BD241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36" w:rsidRDefault="00035D3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36" w:rsidRDefault="00BD241D">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13</w:t>
    </w:r>
    <w:r>
      <w:rPr>
        <w:rFonts w:ascii="Times New Roman" w:hAnsi="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240457"/>
      <w:docPartObj>
        <w:docPartGallery w:val="Page Numbers (Bottom of Page)"/>
        <w:docPartUnique/>
      </w:docPartObj>
    </w:sdtPr>
    <w:sdtEndPr>
      <w:rPr>
        <w:noProof/>
      </w:rPr>
    </w:sdtEndPr>
    <w:sdtContent>
      <w:p w:rsidR="00035D36" w:rsidRDefault="00BD241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36" w:rsidRDefault="00BD241D">
      <w:pPr>
        <w:spacing w:after="0"/>
      </w:pPr>
      <w:r>
        <w:separator/>
      </w:r>
    </w:p>
  </w:footnote>
  <w:footnote w:type="continuationSeparator" w:id="0">
    <w:p w:rsidR="00035D36" w:rsidRDefault="00BD241D">
      <w:pPr>
        <w:spacing w:after="0"/>
      </w:pPr>
      <w:r>
        <w:continuationSeparator/>
      </w:r>
    </w:p>
  </w:footnote>
  <w:footnote w:id="1">
    <w:p w:rsidR="00035D36" w:rsidRDefault="00BD241D">
      <w:pPr>
        <w:pStyle w:val="FootnoteText"/>
        <w:spacing w:after="0"/>
      </w:pPr>
      <w:r>
        <w:rPr>
          <w:rStyle w:val="FootnoteReference"/>
        </w:rPr>
        <w:footnoteRef/>
      </w:r>
      <w:r>
        <w:t xml:space="preserve"> </w:t>
      </w:r>
      <w:r>
        <w:tab/>
        <w:t xml:space="preserve">Conformément au règlement financier, les dépenses administratives et le soutien technique, ainsi que le suivi, </w:t>
      </w:r>
      <w:r>
        <w:t>l’évaluation et l’audit, peuvent faire l’objet de contrats au-delà de 2017.</w:t>
      </w:r>
    </w:p>
  </w:footnote>
  <w:footnote w:id="2">
    <w:p w:rsidR="00035D36" w:rsidRDefault="00BD241D">
      <w:pPr>
        <w:pStyle w:val="FootnoteText"/>
        <w:spacing w:after="0"/>
      </w:pPr>
      <w:r>
        <w:rPr>
          <w:rStyle w:val="FootnoteReference"/>
        </w:rPr>
        <w:footnoteRef/>
      </w:r>
      <w:r>
        <w:t xml:space="preserve"> </w:t>
      </w:r>
      <w:r>
        <w:tab/>
      </w:r>
      <w:hyperlink r:id="rId1">
        <w:r>
          <w:rPr>
            <w:rStyle w:val="Hyperlink"/>
          </w:rPr>
          <w:t>https://ec.europa.eu/neighbourhood-enlargement/news_corner/migration_en</w:t>
        </w:r>
      </w:hyperlink>
      <w:r>
        <w:rPr>
          <w:rStyle w:val="Hyperlink"/>
        </w:rPr>
        <w:t xml:space="preserve"> </w:t>
      </w:r>
    </w:p>
  </w:footnote>
  <w:footnote w:id="3">
    <w:p w:rsidR="00035D36" w:rsidRDefault="00BD241D">
      <w:pPr>
        <w:pStyle w:val="FootnoteText"/>
        <w:spacing w:after="0"/>
      </w:pPr>
      <w:r>
        <w:rPr>
          <w:rStyle w:val="FootnoteReference"/>
        </w:rPr>
        <w:footnoteRef/>
      </w:r>
      <w:r>
        <w:t xml:space="preserve"> </w:t>
      </w:r>
      <w:r>
        <w:tab/>
        <w:t>L'aide hum</w:t>
      </w:r>
      <w:r>
        <w:t>anitaire fournie au titre de la facilité est mise en œuvre conformément à la législation de l'Union applicable en la matière et aux principes énoncés dans le consensus européen sur l'aide humanitaire.</w:t>
      </w:r>
    </w:p>
  </w:footnote>
  <w:footnote w:id="4">
    <w:p w:rsidR="00035D36" w:rsidRDefault="00BD241D">
      <w:pPr>
        <w:pStyle w:val="FootnoteText"/>
        <w:spacing w:after="0"/>
      </w:pPr>
      <w:r>
        <w:rPr>
          <w:rStyle w:val="FootnoteReference"/>
        </w:rPr>
        <w:footnoteRef/>
      </w:r>
      <w:r>
        <w:t xml:space="preserve"> </w:t>
      </w:r>
      <w:r>
        <w:tab/>
        <w:t>Au 31 octobre 2017.</w:t>
      </w:r>
    </w:p>
  </w:footnote>
  <w:footnote w:id="5">
    <w:p w:rsidR="00035D36" w:rsidRDefault="00BD241D">
      <w:pPr>
        <w:pStyle w:val="FootnoteText"/>
        <w:spacing w:after="0"/>
      </w:pPr>
      <w:r>
        <w:rPr>
          <w:rStyle w:val="FootnoteReference"/>
        </w:rPr>
        <w:footnoteRef/>
      </w:r>
      <w:r>
        <w:t xml:space="preserve"> </w:t>
      </w:r>
      <w:r>
        <w:tab/>
        <w:t>États membres/pays associés à</w:t>
      </w:r>
      <w:r>
        <w:t xml:space="preserve"> Schengen.</w:t>
      </w:r>
    </w:p>
  </w:footnote>
  <w:footnote w:id="6">
    <w:p w:rsidR="00035D36" w:rsidRDefault="00BD241D">
      <w:pPr>
        <w:pStyle w:val="FootnoteText"/>
        <w:rPr>
          <w:rFonts w:asciiTheme="minorHAnsi" w:hAnsiTheme="minorHAnsi" w:cstheme="minorBidi"/>
        </w:rPr>
      </w:pPr>
      <w:r>
        <w:rPr>
          <w:rStyle w:val="FootnoteReference"/>
        </w:rPr>
        <w:footnoteRef/>
      </w:r>
      <w:r>
        <w:t xml:space="preserve"> </w:t>
      </w:r>
      <w:r>
        <w:tab/>
        <w:t>Corps européen de garde-frontières et garde-côtes.</w:t>
      </w:r>
    </w:p>
  </w:footnote>
  <w:footnote w:id="7">
    <w:p w:rsidR="00035D36" w:rsidRDefault="00BD241D">
      <w:pPr>
        <w:pStyle w:val="FootnoteText"/>
        <w:spacing w:after="0"/>
        <w:rPr>
          <w:rFonts w:eastAsiaTheme="minorHAnsi"/>
        </w:rPr>
      </w:pPr>
      <w:r>
        <w:rPr>
          <w:rStyle w:val="FootnoteReference"/>
        </w:rPr>
        <w:footnoteRef/>
      </w:r>
      <w:r>
        <w:t xml:space="preserve"> </w:t>
      </w:r>
      <w:r>
        <w:tab/>
        <w:t>Plusieurs États membres ont reporté une partie de leurs offres de places non respectées à l’année 2018. Celles-ci sont comptabilisées dans le cadre du nouveau programme visant à réinstalle</w:t>
      </w:r>
      <w:r>
        <w:t>r 50 000 personnes conformément à la recommandation de la Commission du 27 septembre 2017.</w:t>
      </w:r>
    </w:p>
  </w:footnote>
  <w:footnote w:id="8">
    <w:p w:rsidR="00035D36" w:rsidRDefault="00BD241D">
      <w:pPr>
        <w:pStyle w:val="FootnoteText"/>
        <w:spacing w:after="0"/>
      </w:pPr>
      <w:r>
        <w:rPr>
          <w:rStyle w:val="FootnoteReference"/>
        </w:rPr>
        <w:footnoteRef/>
      </w:r>
      <w:r>
        <w:t xml:space="preserve"> </w:t>
      </w:r>
      <w:r>
        <w:tab/>
        <w:t>Au cours de la même période, certains États membres et États associés ont procédé à la réinstallation de personnes supplémentaires, en dehors du programme de l’UE</w:t>
      </w:r>
      <w:r>
        <w:t xml:space="preserve">. </w:t>
      </w:r>
    </w:p>
  </w:footnote>
  <w:footnote w:id="9">
    <w:p w:rsidR="00035D36" w:rsidRDefault="00BD241D">
      <w:pPr>
        <w:pStyle w:val="FootnoteText"/>
        <w:spacing w:after="0"/>
        <w:rPr>
          <w:rFonts w:asciiTheme="minorHAnsi" w:hAnsiTheme="minorHAnsi" w:cstheme="minorBidi"/>
        </w:rPr>
      </w:pPr>
      <w:r>
        <w:rPr>
          <w:rStyle w:val="FootnoteReference"/>
        </w:rPr>
        <w:footnoteRef/>
      </w:r>
      <w:r>
        <w:t xml:space="preserve"> </w:t>
      </w:r>
      <w:r>
        <w:tab/>
        <w:t xml:space="preserve">Le chiffre entre parenthèses correspond au nombre de personnes réinstallées en application de la déclaration UE-Turquie qui sont déjà prises en compte au titre du programme de l’UE du 20 juillet 2015 ou dans le cadre du nouveau programme visant à </w:t>
      </w:r>
      <w:r>
        <w:t>réinstaller 50 000 personnes.</w:t>
      </w:r>
    </w:p>
  </w:footnote>
  <w:footnote w:id="10">
    <w:p w:rsidR="00035D36" w:rsidRDefault="00BD241D">
      <w:pPr>
        <w:pStyle w:val="FootnoteText"/>
        <w:spacing w:after="0"/>
      </w:pPr>
      <w:r>
        <w:rPr>
          <w:rStyle w:val="FootnoteReference"/>
        </w:rPr>
        <w:footnoteRef/>
      </w:r>
      <w:r>
        <w:tab/>
        <w:t>L’Allemagne n'a pas encore officiellement présenté son offre de places.</w:t>
      </w:r>
    </w:p>
  </w:footnote>
  <w:footnote w:id="11">
    <w:p w:rsidR="00035D36" w:rsidRDefault="00BD241D">
      <w:pPr>
        <w:pStyle w:val="FootnoteText"/>
        <w:spacing w:after="0"/>
      </w:pPr>
      <w:r>
        <w:rPr>
          <w:rStyle w:val="FootnoteReference"/>
        </w:rPr>
        <w:footnoteRef/>
      </w:r>
      <w:r>
        <w:t xml:space="preserve"> </w:t>
      </w:r>
      <w:r>
        <w:tab/>
        <w:t>Les chiffres finaux pour le Portugal au titre des conclusions du 20 juillet 2015 doivent encore être confirmés.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1D" w:rsidRDefault="00BD2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1D" w:rsidRDefault="00BD2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1D" w:rsidRDefault="00BD24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36" w:rsidRDefault="00035D3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36" w:rsidRDefault="00035D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36" w:rsidRDefault="00035D36">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36" w:rsidRDefault="00035D3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36" w:rsidRDefault="00035D3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36" w:rsidRDefault="00035D36">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62A1F34"/>
    <w:multiLevelType w:val="hybridMultilevel"/>
    <w:tmpl w:val="4E5455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C512C7"/>
    <w:multiLevelType w:val="hybridMultilevel"/>
    <w:tmpl w:val="2B0A63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3D1C32"/>
    <w:multiLevelType w:val="hybridMultilevel"/>
    <w:tmpl w:val="AA5C0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7A17B0B"/>
    <w:multiLevelType w:val="hybridMultilevel"/>
    <w:tmpl w:val="4B8815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6"/>
  </w:num>
  <w:num w:numId="5">
    <w:abstractNumId w:val="10"/>
  </w:num>
  <w:num w:numId="6">
    <w:abstractNumId w:val="15"/>
  </w:num>
  <w:num w:numId="7">
    <w:abstractNumId w:val="21"/>
  </w:num>
  <w:num w:numId="8">
    <w:abstractNumId w:val="22"/>
  </w:num>
  <w:num w:numId="9">
    <w:abstractNumId w:val="13"/>
  </w:num>
  <w:num w:numId="10">
    <w:abstractNumId w:val="20"/>
  </w:num>
  <w:num w:numId="11">
    <w:abstractNumId w:val="19"/>
  </w:num>
  <w:num w:numId="12">
    <w:abstractNumId w:val="17"/>
  </w:num>
  <w:num w:numId="13">
    <w:abstractNumId w:val="18"/>
  </w:num>
  <w:num w:numId="14">
    <w:abstractNumId w:val="8"/>
  </w:num>
  <w:num w:numId="15">
    <w:abstractNumId w:val="14"/>
  </w:num>
  <w:num w:numId="16">
    <w:abstractNumId w:val="5"/>
  </w:num>
  <w:num w:numId="17">
    <w:abstractNumId w:val="11"/>
  </w:num>
  <w:num w:numId="18">
    <w:abstractNumId w:val="23"/>
  </w:num>
  <w:num w:numId="19">
    <w:abstractNumId w:val="12"/>
  </w:num>
  <w:num w:numId="20">
    <w:abstractNumId w:val="24"/>
  </w:num>
  <w:num w:numId="21">
    <w:abstractNumId w:val="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7"/>
  </w:num>
  <w:num w:numId="29">
    <w:abstractNumId w:val="7"/>
  </w:num>
  <w:num w:numId="30">
    <w:abstractNumId w:val="9"/>
  </w:num>
  <w:num w:numId="31">
    <w:abstractNumId w:val="7"/>
  </w:num>
  <w:num w:numId="32">
    <w:abstractNumId w:val="6"/>
  </w:num>
  <w:num w:numId="33">
    <w:abstractNumId w:val="2"/>
  </w:num>
  <w:num w:numId="34">
    <w:abstractNumId w:val="4"/>
  </w:num>
  <w:num w:numId="35">
    <w:abstractNumId w:val="7"/>
  </w:num>
  <w:num w:numId="36">
    <w:abstractNumId w:val="7"/>
  </w:num>
  <w:num w:numId="37">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de la"/>
    <w:docVar w:name="LW_ANNEX_NBR_FIRST" w:val="1"/>
    <w:docVar w:name="LW_ANNEX_NBR_LAST" w:val="5"/>
    <w:docVar w:name="LW_ANNEX_UNIQUE" w:val="0"/>
    <w:docVar w:name="LW_CORRIGENDUM" w:val="&lt;UNUSED&gt;"/>
    <w:docVar w:name="LW_COVERPAGE_EXISTS" w:val="True"/>
    <w:docVar w:name="LW_COVERPAGE_GUID" w:val="C47DCFBF-CB4D-4465-A5B9-992C078282B0"/>
    <w:docVar w:name="LW_COVERPAGE_TYPE" w:val="1"/>
    <w:docVar w:name="LW_CROSSREFERENCE" w:val="&lt;UNUSED&gt;"/>
    <w:docVar w:name="LW_DocType" w:val="REP"/>
    <w:docVar w:name="LW_EMISSION" w:val="16.5.2018"/>
    <w:docVar w:name="LW_EMISSION_ISODATE" w:val="2018-05-16"/>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d\u8217?avancement sur la mise en \u339?uvre de l\u8217?agenda européen en matière de migration_x000b_"/>
    <w:docVar w:name="LW_PART_NBR" w:val="&lt;UNUSED&gt;"/>
    <w:docVar w:name="LW_PART_NBR_TOTAL" w:val="&lt;UNUSED&gt;"/>
    <w:docVar w:name="LW_REF.INST.NEW" w:val="COM"/>
    <w:docVar w:name="LW_REF.INST.NEW_ADOPTED" w:val="final"/>
    <w:docVar w:name="LW_REF.INST.NEW_TEXT" w:val="(2018)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UNICATION DE LA COMMISSION AU PARLEMENT EUROPÉEN, AU CONSEIL EUROPÉEN ET AU CONSEIL"/>
  </w:docVars>
  <w:rsids>
    <w:rsidRoot w:val="00035D36"/>
    <w:rsid w:val="00035D36"/>
    <w:rsid w:val="00BD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lang w:eastAsia="fr-FR"/>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sz w:val="20"/>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sz w:val="24"/>
      <w:lang w:eastAsia="fr-FR"/>
    </w:rPr>
  </w:style>
  <w:style w:type="character" w:customStyle="1" w:styleId="CommentTextChar">
    <w:name w:val="Comment Text Char"/>
    <w:basedOn w:val="DefaultParagraphFont"/>
    <w:link w:val="CommentText"/>
    <w:uiPriority w:val="99"/>
    <w:semiHidden/>
    <w:rPr>
      <w:lang w:eastAsia="fr-FR"/>
    </w:rPr>
  </w:style>
  <w:style w:type="character" w:styleId="CommentReference">
    <w:name w:val="annotation reference"/>
    <w:basedOn w:val="DefaultParagraphFont"/>
    <w:uiPriority w:val="99"/>
    <w:semiHidden/>
    <w:unhideWhenUsed/>
    <w:rPr>
      <w:sz w:val="16"/>
      <w:szCs w:val="16"/>
    </w:rPr>
  </w:style>
  <w:style w:type="table" w:customStyle="1" w:styleId="GridTable4-Accent11">
    <w:name w:val="Grid Table 4 - Accent 1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lang w:eastAsia="fr-FR"/>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sz w:val="20"/>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sz w:val="24"/>
      <w:lang w:eastAsia="fr-FR"/>
    </w:rPr>
  </w:style>
  <w:style w:type="character" w:customStyle="1" w:styleId="CommentTextChar">
    <w:name w:val="Comment Text Char"/>
    <w:basedOn w:val="DefaultParagraphFont"/>
    <w:link w:val="CommentText"/>
    <w:uiPriority w:val="99"/>
    <w:semiHidden/>
    <w:rPr>
      <w:lang w:eastAsia="fr-FR"/>
    </w:rPr>
  </w:style>
  <w:style w:type="character" w:styleId="CommentReference">
    <w:name w:val="annotation reference"/>
    <w:basedOn w:val="DefaultParagraphFont"/>
    <w:uiPriority w:val="99"/>
    <w:semiHidden/>
    <w:unhideWhenUsed/>
    <w:rPr>
      <w:sz w:val="16"/>
      <w:szCs w:val="16"/>
    </w:rPr>
  </w:style>
  <w:style w:type="table" w:customStyle="1" w:styleId="GridTable4-Accent11">
    <w:name w:val="Grid Table 4 - Accent 1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2466">
      <w:bodyDiv w:val="1"/>
      <w:marLeft w:val="0"/>
      <w:marRight w:val="0"/>
      <w:marTop w:val="0"/>
      <w:marBottom w:val="0"/>
      <w:divBdr>
        <w:top w:val="none" w:sz="0" w:space="0" w:color="auto"/>
        <w:left w:val="none" w:sz="0" w:space="0" w:color="auto"/>
        <w:bottom w:val="none" w:sz="0" w:space="0" w:color="auto"/>
        <w:right w:val="none" w:sz="0" w:space="0" w:color="auto"/>
      </w:divBdr>
    </w:div>
    <w:div w:id="651906316">
      <w:bodyDiv w:val="1"/>
      <w:marLeft w:val="0"/>
      <w:marRight w:val="0"/>
      <w:marTop w:val="0"/>
      <w:marBottom w:val="0"/>
      <w:divBdr>
        <w:top w:val="none" w:sz="0" w:space="0" w:color="auto"/>
        <w:left w:val="none" w:sz="0" w:space="0" w:color="auto"/>
        <w:bottom w:val="none" w:sz="0" w:space="0" w:color="auto"/>
        <w:right w:val="none" w:sz="0" w:space="0" w:color="auto"/>
      </w:divBdr>
    </w:div>
    <w:div w:id="936864712">
      <w:bodyDiv w:val="1"/>
      <w:marLeft w:val="0"/>
      <w:marRight w:val="0"/>
      <w:marTop w:val="0"/>
      <w:marBottom w:val="0"/>
      <w:divBdr>
        <w:top w:val="none" w:sz="0" w:space="0" w:color="auto"/>
        <w:left w:val="none" w:sz="0" w:space="0" w:color="auto"/>
        <w:bottom w:val="none" w:sz="0" w:space="0" w:color="auto"/>
        <w:right w:val="none" w:sz="0" w:space="0" w:color="auto"/>
      </w:divBdr>
    </w:div>
    <w:div w:id="157407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ighbourhood-enlargement/news_corner/migra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D990-14B3-4919-A8B4-34D0A611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13</TotalTime>
  <Pages>14</Pages>
  <Words>3816</Words>
  <Characters>19603</Characters>
  <Application>Microsoft Office Word</Application>
  <DocSecurity>0</DocSecurity>
  <PresentationFormat>Microsoft Word 14.0</PresentationFormat>
  <Lines>2800</Lines>
  <Paragraphs>2602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Therace</dc:creator>
  <cp:keywords>EL4</cp:keywords>
  <cp:lastModifiedBy>PAREDES ECHAURI Cristina (CAB-ALMUNIA)</cp:lastModifiedBy>
  <cp:revision>12</cp:revision>
  <dcterms:created xsi:type="dcterms:W3CDTF">2018-05-17T09:30:00Z</dcterms:created>
  <dcterms:modified xsi:type="dcterms:W3CDTF">2018-05-17T13:37:00Z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5</vt:lpwstr>
  </property>
  <property fmtid="{D5CDD505-2E9C-101B-9397-08002B2CF9AE}" pid="16" name="Unique annex">
    <vt:lpwstr>0</vt:lpwstr>
  </property>
  <property fmtid="{D5CDD505-2E9C-101B-9397-08002B2CF9AE}" pid="17" name="Part">
    <vt:lpwstr>&lt;UNUSED&gt;</vt:lpwstr>
  </property>
  <property fmtid="{D5CDD505-2E9C-101B-9397-08002B2CF9AE}" pid="18" name="Total parts">
    <vt:lpwstr>&lt;UNUSED&gt;</vt:lpwstr>
  </property>
  <property fmtid="{D5CDD505-2E9C-101B-9397-08002B2CF9AE}" pid="19" name="DocStatus">
    <vt:lpwstr>Red</vt:lpwstr>
  </property>
</Properties>
</file>