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996CA26F-92A1-430C-9694-3DEC743901CF" style="width:450.75pt;height:352.1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Bullet1"/>
        <w:numPr>
          <w:ilvl w:val="0"/>
          <w:numId w:val="10"/>
        </w:numPr>
        <w:tabs>
          <w:tab w:val="clear" w:pos="1417"/>
          <w:tab w:val="num" w:pos="851"/>
        </w:tabs>
        <w:ind w:hanging="1417"/>
        <w:rPr>
          <w:b/>
          <w:noProof/>
        </w:rPr>
      </w:pPr>
      <w:r>
        <w:rPr>
          <w:b/>
          <w:noProof/>
        </w:rPr>
        <w:t>Основания и цели на предложението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 xml:space="preserve">На 7 март 2016 г. Съветът даде разрешение на Комисията да започне преговори с правителството на Китайската народна република относно безопасността на гражданското въздухоплаване, за улесняване на търговията и инвестициите между ЕС и Китай в областта на въздухоплавателните продукти, части и устройства. Съветът даде на Комисията набор от указания за водене на преговорите и назначи специален комитет, който да я консултира при изпълнението на тази задача. </w:t>
      </w:r>
    </w:p>
    <w:p>
      <w:pPr>
        <w:pStyle w:val="Bullet1"/>
        <w:numPr>
          <w:ilvl w:val="0"/>
          <w:numId w:val="10"/>
        </w:numPr>
        <w:tabs>
          <w:tab w:val="clear" w:pos="1417"/>
          <w:tab w:val="num" w:pos="851"/>
        </w:tabs>
        <w:ind w:hanging="1417"/>
        <w:rPr>
          <w:b/>
          <w:noProof/>
        </w:rPr>
      </w:pPr>
      <w:r>
        <w:rPr>
          <w:b/>
          <w:noProof/>
        </w:rPr>
        <w:t>Съгласуваност със съществуващите разпоредби в тази област на политиката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Споразумението отразява структурата на съществуващите двустранни споразумения за авиационна безопасност (BASA) между Съюза и трети държави (САЩ, Канада и Бразилия).</w:t>
      </w:r>
    </w:p>
    <w:p>
      <w:pPr>
        <w:pStyle w:val="Bullet1"/>
        <w:numPr>
          <w:ilvl w:val="0"/>
          <w:numId w:val="10"/>
        </w:numPr>
        <w:tabs>
          <w:tab w:val="clear" w:pos="1417"/>
          <w:tab w:val="num" w:pos="851"/>
        </w:tabs>
        <w:ind w:hanging="1417"/>
        <w:rPr>
          <w:b/>
          <w:noProof/>
        </w:rPr>
      </w:pPr>
      <w:r>
        <w:rPr>
          <w:b/>
          <w:noProof/>
        </w:rPr>
        <w:t>Съгласуваност с другите политики на Съюза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Споразумението ще обслужва една основна цел на външната политика на Съюза в областта на въздухоплаването, като подобрява безопасността на гражданското въздухоплаване, и ще улесни търговията и инвестициите в областта въздухоплавателните продукти.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Bullet1"/>
        <w:numPr>
          <w:ilvl w:val="0"/>
          <w:numId w:val="10"/>
        </w:numPr>
        <w:tabs>
          <w:tab w:val="clear" w:pos="1417"/>
          <w:tab w:val="num" w:pos="851"/>
        </w:tabs>
        <w:ind w:hanging="1417"/>
        <w:rPr>
          <w:b/>
          <w:noProof/>
        </w:rPr>
      </w:pPr>
      <w:r>
        <w:rPr>
          <w:b/>
          <w:noProof/>
        </w:rPr>
        <w:t>Правно основание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 xml:space="preserve">Договор за функционирането на Европейския съюз, и по-специално член 100, параграф 2 във връзка с член 218, параграф 5. </w:t>
      </w:r>
    </w:p>
    <w:p>
      <w:pPr>
        <w:pStyle w:val="Bullet1"/>
        <w:numPr>
          <w:ilvl w:val="0"/>
          <w:numId w:val="10"/>
        </w:numPr>
        <w:tabs>
          <w:tab w:val="clear" w:pos="1417"/>
          <w:tab w:val="num" w:pos="851"/>
        </w:tabs>
        <w:ind w:hanging="1417"/>
        <w:rPr>
          <w:b/>
          <w:noProof/>
        </w:rPr>
      </w:pPr>
      <w:r>
        <w:rPr>
          <w:b/>
          <w:noProof/>
        </w:rPr>
        <w:t>Субсидиарност (извън областите на изключителна компетентност)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Не се прилага.</w:t>
      </w:r>
    </w:p>
    <w:p>
      <w:pPr>
        <w:pStyle w:val="Bullet1"/>
        <w:numPr>
          <w:ilvl w:val="0"/>
          <w:numId w:val="10"/>
        </w:numPr>
        <w:tabs>
          <w:tab w:val="clear" w:pos="1417"/>
          <w:tab w:val="num" w:pos="851"/>
        </w:tabs>
        <w:ind w:hanging="1417"/>
        <w:rPr>
          <w:b/>
          <w:noProof/>
        </w:rPr>
      </w:pPr>
      <w:r>
        <w:rPr>
          <w:b/>
          <w:noProof/>
        </w:rPr>
        <w:t>Пропорционалност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Не се прилага.</w:t>
      </w:r>
    </w:p>
    <w:p>
      <w:pPr>
        <w:pStyle w:val="Bullet1"/>
        <w:numPr>
          <w:ilvl w:val="0"/>
          <w:numId w:val="10"/>
        </w:numPr>
        <w:tabs>
          <w:tab w:val="clear" w:pos="1417"/>
          <w:tab w:val="num" w:pos="851"/>
        </w:tabs>
        <w:ind w:hanging="1417"/>
        <w:rPr>
          <w:b/>
          <w:noProof/>
        </w:rPr>
      </w:pPr>
      <w:r>
        <w:rPr>
          <w:b/>
          <w:noProof/>
        </w:rPr>
        <w:t>Избор на инструмент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Споразумението между Съюза и Китайската народна република е най-ефикасният инструмент за постигане на целта за подобряване на сътрудничеството в областта на сертифицирането и мониторинга на въздухоплавателните продукти, части и устройства и надзора върху производството и екологичното сертифициране.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консултации със заинтересованите страни и оценки на въздействието</w:t>
      </w:r>
    </w:p>
    <w:p>
      <w:pPr>
        <w:pStyle w:val="Bullet1"/>
        <w:numPr>
          <w:ilvl w:val="0"/>
          <w:numId w:val="10"/>
        </w:numPr>
        <w:tabs>
          <w:tab w:val="clear" w:pos="1417"/>
          <w:tab w:val="num" w:pos="851"/>
        </w:tabs>
        <w:ind w:hanging="1417"/>
        <w:rPr>
          <w:b/>
          <w:noProof/>
        </w:rPr>
      </w:pPr>
      <w:r>
        <w:rPr>
          <w:b/>
          <w:noProof/>
        </w:rPr>
        <w:t>Последващи оценки/проверки за пригодност на действащото законодателство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Не се прилага.</w:t>
      </w:r>
    </w:p>
    <w:p>
      <w:pPr>
        <w:pStyle w:val="Bullet1"/>
        <w:numPr>
          <w:ilvl w:val="0"/>
          <w:numId w:val="10"/>
        </w:numPr>
        <w:tabs>
          <w:tab w:val="clear" w:pos="1417"/>
          <w:tab w:val="num" w:pos="851"/>
        </w:tabs>
        <w:ind w:hanging="1417"/>
        <w:rPr>
          <w:b/>
          <w:noProof/>
        </w:rPr>
      </w:pPr>
      <w:r>
        <w:rPr>
          <w:b/>
          <w:noProof/>
        </w:rPr>
        <w:t>Консултации със заинтересованите страни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lastRenderedPageBreak/>
        <w:t xml:space="preserve">В съответствие с член 218, параграф 4 от ДФЕС Комисията проведе преговорите в консултация със специален комитет. В процеса на преговори бе потърсено и становището на представители на сектора. Направените коментари бяха взети предвид. </w:t>
      </w:r>
    </w:p>
    <w:p>
      <w:pPr>
        <w:pStyle w:val="Bullet1"/>
        <w:numPr>
          <w:ilvl w:val="0"/>
          <w:numId w:val="10"/>
        </w:numPr>
        <w:tabs>
          <w:tab w:val="clear" w:pos="1417"/>
          <w:tab w:val="num" w:pos="851"/>
        </w:tabs>
        <w:ind w:hanging="1417"/>
        <w:rPr>
          <w:b/>
          <w:noProof/>
        </w:rPr>
      </w:pPr>
      <w:r>
        <w:rPr>
          <w:b/>
          <w:noProof/>
        </w:rPr>
        <w:t>Събиране и използване на експертни становища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Не се прилага.</w:t>
      </w:r>
    </w:p>
    <w:p>
      <w:pPr>
        <w:pStyle w:val="Bullet1"/>
        <w:numPr>
          <w:ilvl w:val="0"/>
          <w:numId w:val="10"/>
        </w:numPr>
        <w:tabs>
          <w:tab w:val="clear" w:pos="1417"/>
          <w:tab w:val="num" w:pos="851"/>
        </w:tabs>
        <w:ind w:hanging="1417"/>
        <w:rPr>
          <w:b/>
          <w:noProof/>
        </w:rPr>
      </w:pPr>
      <w:r>
        <w:rPr>
          <w:b/>
          <w:noProof/>
        </w:rPr>
        <w:t>Оценка на въздействието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Не се прилага.</w:t>
      </w:r>
    </w:p>
    <w:p>
      <w:pPr>
        <w:pStyle w:val="Bullet1"/>
        <w:numPr>
          <w:ilvl w:val="0"/>
          <w:numId w:val="10"/>
        </w:numPr>
        <w:tabs>
          <w:tab w:val="clear" w:pos="1417"/>
          <w:tab w:val="num" w:pos="851"/>
        </w:tabs>
        <w:ind w:hanging="1417"/>
        <w:rPr>
          <w:b/>
          <w:noProof/>
        </w:rPr>
      </w:pPr>
      <w:r>
        <w:rPr>
          <w:b/>
          <w:noProof/>
        </w:rPr>
        <w:t>Пригодност и опростяване на законодателството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Не се прилага.</w:t>
      </w:r>
    </w:p>
    <w:p>
      <w:pPr>
        <w:pStyle w:val="Bullet1"/>
        <w:numPr>
          <w:ilvl w:val="0"/>
          <w:numId w:val="10"/>
        </w:numPr>
        <w:tabs>
          <w:tab w:val="clear" w:pos="1417"/>
          <w:tab w:val="num" w:pos="851"/>
        </w:tabs>
        <w:ind w:hanging="1417"/>
        <w:rPr>
          <w:b/>
          <w:noProof/>
        </w:rPr>
      </w:pPr>
      <w:r>
        <w:rPr>
          <w:b/>
          <w:noProof/>
        </w:rPr>
        <w:t>Основни права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Не се прилага.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Не се прилага.</w:t>
      </w:r>
    </w:p>
    <w:p>
      <w:pPr>
        <w:pStyle w:val="ManualHeading1"/>
        <w:ind w:left="0" w:firstLine="0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Bullet1"/>
        <w:numPr>
          <w:ilvl w:val="0"/>
          <w:numId w:val="10"/>
        </w:numPr>
        <w:tabs>
          <w:tab w:val="clear" w:pos="1417"/>
          <w:tab w:val="num" w:pos="851"/>
        </w:tabs>
        <w:ind w:hanging="1417"/>
        <w:rPr>
          <w:b/>
          <w:noProof/>
        </w:rPr>
      </w:pPr>
      <w:r>
        <w:rPr>
          <w:b/>
          <w:noProof/>
        </w:rPr>
        <w:t>Планове за изпълнение и механизъм за мониторинг, оценка и докладване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Не се прилага.</w:t>
      </w:r>
    </w:p>
    <w:p>
      <w:pPr>
        <w:pStyle w:val="Bullet1"/>
        <w:numPr>
          <w:ilvl w:val="0"/>
          <w:numId w:val="10"/>
        </w:numPr>
        <w:tabs>
          <w:tab w:val="clear" w:pos="1417"/>
          <w:tab w:val="num" w:pos="851"/>
        </w:tabs>
        <w:ind w:hanging="1417"/>
        <w:rPr>
          <w:b/>
          <w:noProof/>
        </w:rPr>
      </w:pPr>
      <w:r>
        <w:rPr>
          <w:b/>
          <w:noProof/>
        </w:rPr>
        <w:t>Обяснителни документи (за директивите)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Не се прилага.</w:t>
      </w:r>
    </w:p>
    <w:p>
      <w:pPr>
        <w:pStyle w:val="Bullet1"/>
        <w:numPr>
          <w:ilvl w:val="0"/>
          <w:numId w:val="10"/>
        </w:numPr>
        <w:tabs>
          <w:tab w:val="clear" w:pos="1417"/>
          <w:tab w:val="num" w:pos="851"/>
        </w:tabs>
        <w:ind w:hanging="1417"/>
        <w:rPr>
          <w:b/>
          <w:noProof/>
        </w:rPr>
      </w:pPr>
      <w:r>
        <w:rPr>
          <w:b/>
          <w:noProof/>
        </w:rPr>
        <w:t>Подробно разяснение на отделните разпоредби на предложението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На 29 септември 2017 г., след провеждането на 4 кръга преговори между Комисията (ГД „Мобилност и транспорт“) и Органа за гражданско въздухоплаване на Китай (CAAC), преговарящите екипи се споразумяха за проект за текст на споразумението и неговото приложение за сертифицирането за летателна годност и за опазване на околната среда. Текстът беше парафиран на 8 декември 2017 г.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 xml:space="preserve">Както и в случая със съществуващите BАSА, споразумението се базира на взаимното доверие в системата на другата страна и на сравнението на регулаторните различия. Следователно, то налага задължения и методи за сътрудничество между органите и техническите агенти, така че последните да са в състояние да издават свои собствени сертификати за въздухоплавателните продукти, части или устройства, без оценките, извършени от другия орган, да бъдат дублирани. 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 xml:space="preserve">Проектът предвижда всяка от страните да приема констатациите за съответствие на другата страна в резултат на определени процедури на компетентния орган на другата страна (член 4.1). Средствата за постигането на горепосоченото, т.е. за начина за осъществяване на сътрудничество и взаимно приемане на констатациите на другата страна по сертифицирането за летателна годност и за опазване на околната среда (методи, обхват по отношение на продукти или услуги, регулаторни различия) се съдържат в приложенията към споразумението. 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 xml:space="preserve">Проектоспоразумението гарантира също така поддържане на взаимното доверие чрез подходящ механизъм. То предвижда система за трайно сътрудничество и консултации, която се изгражда посредством сътрудничество в рамките на одити и инспекции, </w:t>
      </w:r>
      <w:r>
        <w:rPr>
          <w:noProof/>
        </w:rPr>
        <w:lastRenderedPageBreak/>
        <w:t>своевременни уведомления и консултации по всички въпроси, попадащи в обхвата ѝ (членове 4, 5, 7, 8 и 9).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 xml:space="preserve">Проектоспоразумението дава също така възможност на страните да разглеждат начини за по-нататъшно подобряване на прилагането на споразумението и да дават препоръки за изменения, включително за добавяне на нови приложения към него чрез съвместния комитет (член 3). 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Основни разпоредби на споразумението: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Проектоспоразумението обхваща по начало всички въздухоплавателни продукти. Разпоредба в приложение 1 (параграф 4.4.2.2) обаче ще гарантира, че при навлизането на нови китайски продукти на пазара в ЕС ЕААБ ще прилага специални процедури и надзор при първоначалното валидиране на дадена категория продукти и че всяко последващо валидиране ще следва принципа на степента на участие. Приложение 1 (параграф 4.4.2.1) съдържа подробен списък с фактори за определяне на степента на участие.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По отношение на приемането на сертификати, издадени от всяка от страните, към приложение 1 е добавено допълнение, което описва и определя условията за приемане и валидиране на сертификати. За да се вземе предвид различната степен на развитие на регулаторните системи, прилагани в ЕС и Китай, в това допълнение се заявява изрично, че условията за издадени в ЕС сертификати са различни от тези за сертификати, издадени от CAAC. Разпоредбите на допълнението значително намаляват и ограничават участието на CAAC във валидирането на сертификати на ЕААБ, което ще спести на европейската промишленост време и средства. От друга страна, за сертификатите на CAAC ще има намаляване на степента на участие на ЕААБ само за незначителни промени и поправки (автоматично приемане), както и за някои европейски технически стандарти.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 xml:space="preserve">Относно китайското производство на въздухоплавателни продукти за износ в ЕС беше договорено също така, че ЕААБ ще състави списък с притежателите на китайски производствени сертификати, чиито продукти се приемат в Европейския съюз (приложение, параграф 4.5.9). Този списък ще бъде публикуван на уебсайта на ЕААБ. CAAC няма да бъде официално ангажирана със съставянето и поддържането на този списък, нито ще може да налага вето върху съдържанието му. Тази разпоредба беше включена в споразумението поради констатациите на ЕААБ от периода на изграждане на доверието, които доведоха до някои забележки. 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По отношение на производствените обекти на ЕС в Китай, споразумението предвижда производственият сертификат на ЕААБ да може да бъде разширяван, така че да включва производствени обекти в Китай (приложение, параграф 4.5.4), което е особено важно за европейските предприятия с производствени обекти в Китай. Съществуващите договорености не могат да бъдат променяни без съгласието и на двете страни (приложение, параграф 4.5.5).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В сравнение със съществуващите двустранни споразумения за авиационна безопасност (BASA), в член 3 (Обхват) споразумението вече включва широк обхват области на сътрудничество, сред които са и потенциални бъдещи области на сътрудничество, по-специално лицензирането и обучението на персонал, експлоатацията на въздухоплавателни средства, обслужването на въздушното движение и управлението на въздушното движение.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 xml:space="preserve">Освен това споразумението предвижда рамка за регулаторно сътрудничество, взаимопомощ и прозрачност (член 7), както и разпоредби за обмен на информация, </w:t>
      </w:r>
      <w:r>
        <w:rPr>
          <w:noProof/>
        </w:rPr>
        <w:lastRenderedPageBreak/>
        <w:t>свързана с безопасността (член 8). Споразумението включва конкретни разпоредби за засилване на защитата на поверителността и частните данни и информация (член 10 и приложение, параграф 4.3), както и възможността за участие на трети държави (член 14, параграф 2).</w:t>
      </w:r>
    </w:p>
    <w:p>
      <w:pPr>
        <w:pStyle w:val="ManualNumPar1"/>
        <w:ind w:left="0" w:firstLine="0"/>
        <w:rPr>
          <w:noProof/>
        </w:rPr>
      </w:pPr>
      <w:r>
        <w:rPr>
          <w:noProof/>
        </w:rPr>
        <w:t>Освен другото, със споразумението се създава съвместен комитет за неговото администриране (член 11) и първи съвместен подкомитет, свързан със сертифицирането за летателна годност и за опазване на околната среда (приложение, параграф 3.1).</w:t>
      </w:r>
    </w:p>
    <w:p>
      <w:pPr>
        <w:pStyle w:val="ManualNumPar1"/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2018/0156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подписване на споразумение между Европейския съюз и правителството на Китайската народна република за безопасност на гражданското въздухоплаване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100, параграф 2 във връзка с член 218, параграф 5,</w:t>
      </w:r>
    </w:p>
    <w:p>
      <w:pPr>
        <w:rPr>
          <w:noProof/>
        </w:rPr>
      </w:pPr>
      <w:r>
        <w:rPr>
          <w:noProof/>
        </w:rPr>
        <w:t>като взе предвид предложението на Комисията,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Комисията договори от името на Европейския съюз споразумение за безопасност на гражданското въздухоплаване с Китайската народна република в съответствие с Решение № 6489/16 ADD1 на Съвета от 7 март 2016 г., с което на Комисията се разрешава да започне преговори;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Целта на споразумението е да се насърчи двустранното сътрудничество в областта на безопасността на гражданското въздухоплаване и да се улеснят търговията и инвестициите във въздухоплавателните продукти между Съюза и Китайската народна република;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Договореното от Комисията споразумение следва да бъде подписано, при условие че ще бъде сключено на по-късен етап,</w:t>
      </w:r>
    </w:p>
    <w:p>
      <w:pPr>
        <w:pStyle w:val="Formuledadoption"/>
        <w:rPr>
          <w:noProof/>
        </w:rPr>
      </w:pPr>
      <w:r>
        <w:rPr>
          <w:noProof/>
        </w:rPr>
        <w:t>РЕШИ: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Подписването на споразумението между Европейския съюз и правителството на Китайската народна република за безопасност на гражданското въздухоплаване (наричано по-нататък „споразумението“) се одобрява от името на Съюза, при условие че споразумението бъде сключено.</w:t>
      </w:r>
    </w:p>
    <w:p>
      <w:pPr>
        <w:rPr>
          <w:noProof/>
        </w:rPr>
      </w:pPr>
      <w:r>
        <w:rPr>
          <w:noProof/>
        </w:rPr>
        <w:t>Текстът на споразумението, което следва да бъде подписано, е приложен към настоящото решение.</w:t>
      </w:r>
    </w:p>
    <w:p>
      <w:pPr>
        <w:pStyle w:val="Titrearticle"/>
        <w:rPr>
          <w:noProof/>
        </w:rPr>
      </w:pPr>
      <w:r>
        <w:rPr>
          <w:noProof/>
        </w:rPr>
        <w:lastRenderedPageBreak/>
        <w:t>Член 2</w:t>
      </w:r>
    </w:p>
    <w:p>
      <w:pPr>
        <w:keepNext/>
        <w:keepLines/>
        <w:rPr>
          <w:noProof/>
        </w:rPr>
      </w:pPr>
      <w:r>
        <w:rPr>
          <w:noProof/>
        </w:rPr>
        <w:t>Генералният секретариат на Съвета изготвя акта за предоставяне на пълномощия за подписване на споразумението, при условие че то бъде сключено, на лицето или лицата, посочени от преговарящия по споразумението [и по изключение от държавата членка, която председателства Съвета.]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 xml:space="preserve">Председател </w:t>
      </w:r>
      <w:r>
        <w:rPr>
          <w:noProof/>
        </w:rPr>
        <w:br/>
      </w:r>
      <w:r>
        <w:rPr>
          <w:noProof/>
        </w:rPr>
        <w:tab/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D84DA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E4AAD1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1D8DD8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79A99B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808589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1EC0DB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8140F8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A4ED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6"/>
    <w:lvlOverride w:ilvl="0">
      <w:startOverride w:val="1"/>
    </w:lvlOverride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17 17:07:15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46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996CA26F-92A1-430C-9694-3DEC743901CF"/>
    <w:docVar w:name="LW_COVERPAGE_TYPE" w:val="1"/>
    <w:docVar w:name="LW_CROSSREFERENCE" w:val="&lt;UNUSED&gt;"/>
    <w:docVar w:name="LW_DocType" w:val="COM"/>
    <w:docVar w:name="LW_EMISSION" w:val="18.5.2018"/>
    <w:docVar w:name="LW_EMISSION_ISODATE" w:val="2018-05-18"/>
    <w:docVar w:name="LW_EMISSION_LOCATION" w:val="BRX"/>
    <w:docVar w:name="LW_EMISSION_PREFIX" w:val="Брюксел, "/>
    <w:docVar w:name="LW_EMISSION_SUFFIX" w:val="&lt;EMPTY&gt;"/>
    <w:docVar w:name="LW_ID_DOCMODEL" w:val="SJ-019"/>
    <w:docVar w:name="LW_ID_DOCSIGNATURE" w:val="SJ-019"/>
    <w:docVar w:name="LW_ID_DOCSTRUCTURE" w:val="COM/PL/ORG"/>
    <w:docVar w:name="LW_ID_DOCTYPE" w:val="SJ-019"/>
    <w:docVar w:name="LW_ID_EXP.MOTIFS.NEW" w:val="EM_PL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156"/>
    <w:docVar w:name="LW_REF.II.NEW.CP_YEAR" w:val="2018"/>
    <w:docVar w:name="LW_REF.INST.NEW" w:val="COM"/>
    <w:docVar w:name="LW_REF.INST.NEW_ADOPTED" w:val="final"/>
    <w:docVar w:name="LW_REF.INST.NEW_TEXT" w:val="(2018) 30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79?\u1072? \u1087?\u1086?\u1076?\u1087?\u1080?\u1089?\u1074?\u1072?\u1085?\u1077? \u1085?\u1072? \u1089?\u1087?\u1086?\u1088?\u1072?\u1079?\u1091?\u1084?\u1077?\u1085?\u1080?\u1077? \u1084?\u1077?\u1078?\u1076?\u1091? \u1045?\u1074?\u1088?\u1086?\u1087?\u1077?\u1081?\u1089?\u1082?\u1080?\u1103? \u1089?\u1098?\u1102?\u1079? \u1080? \u1087?\u1088?\u1072?\u1074?\u1080?\u1090?\u1077?\u1083?\u1089?\u1090?\u1074?\u1086?\u1090?\u1086? \u1085?\u1072? \u1050?\u1080?\u1090?\u1072?\u1081?\u1089?\u1082?\u1072?\u1090?\u1072? \u1085?\u1072?\u1088?\u1086?\u1076?\u1085?\u1072? \u1088?\u1077?\u1087?\u1091?\u1073?\u1083?\u1080?\u1082?\u1072? \u1079?\u1072? \u1073?\u1077?\u1079?\u1086?\u1087?\u1072?\u1089?\u1085?\u1086?\u1089?\u1090? \u1085?\u1072? \u1075?\u1088?\u1072?\u1078?\u1076?\u1072?\u1085?\u1089?\u1082?\u1086?\u1090?\u1086? \u1074?\u1098?\u1079?\u1076?\u1091?\u1093?\u1086?\u1087?\u1083?\u1072?\u1074?\u1072?\u1085?\u1077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D5221-08D0-4FF6-82C1-90F32E41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7</Pages>
  <Words>1358</Words>
  <Characters>8422</Characters>
  <Application>Microsoft Office Word</Application>
  <DocSecurity>0</DocSecurity>
  <Lines>175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2018-03-06T16:58:00Z</cp:lastPrinted>
  <dcterms:created xsi:type="dcterms:W3CDTF">2018-05-03T09:35:00Z</dcterms:created>
  <dcterms:modified xsi:type="dcterms:W3CDTF">2018-05-17T15:07:00Z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