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C9667DD0-71FB-4748-83FC-29632EE8A558" style="width:450.75pt;height:352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На 7 март 2016 г. Съветът даде разрешение на Комисията да започне преговори с правителството на Китайската народна република относно безопасността на гражданското въздухоплаване, с цел улесняване на търговията и инвестициите между ЕС и Китай в областта на въздухоплавателните продукти, части и устройства. За провеждане на преговорите Съветът изпрати на Комисията набор от указания за водене на преговори и назначи специален комитет, с който да се водят консултации при изпълнението на тази задача. 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Съгласуваност със съществуващите разпоредби в тази област на политиката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отразява структурата на съществуващите двустранни споразумения за авиационна безопасност („BASA“) между Съюза и трети държави (САЩ, Канада и Бразилия).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Съгласуваност с други политики на Съюза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ще обслужва една основна цел на външната политика на Съюза в областта на въздухоплаването, като подобрява безопасността на гражданското въздухоплаване, и ще улесни търговията и инвестициите в областта на въздухоплавателните продукти.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Правно основание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Договор за функционирането на Европейския съюз, и по-специално член 100, параграф 2 във връзка с член 218, параграф 5 от него. 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Субсидиарност (при неизключителна компетентност)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Пропорционалност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между Съюза и Китайската народна република е най-ефикасният инструмент за постигане на целта за засилено сътрудничество в областта на сертифицирането и мониторинга на въздухоплавателните продукти, части и устройства, както и надзора върху производството и сертифицирането за опазване на околната среда.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Последващи оценки/проверки за пригодност на действащото законодателство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Консултации със заинтересованите страни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В съответствие с член 218, параграф 4 от ДФЕС Комисията проведе преговорите в консултация със специален комитет. В процеса на преговорите беше потърсено и становището на представители на сектора. Направените коментари бяха взети предвид. 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Събиране и използване на експертни становища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Оценка на въздействието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Регулаторна пригодност и опростяване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Основни права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ind w:left="0" w:firstLine="0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Планове за изпълнение и механизми за мониторинг, оценка и докладване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Обяснителни документи (за директиви)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е приложимо.</w:t>
      </w:r>
    </w:p>
    <w:p>
      <w:pPr>
        <w:pStyle w:val="Bullet1"/>
        <w:numPr>
          <w:ilvl w:val="0"/>
          <w:numId w:val="9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Подробни разяснения на отделните разпоредби на предложението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На 29 септември 2017 г., след 4 кръга от преговори между Комисията (ГД „Мобилност и транспорт“) и Органа за гражданско въздухоплаване на Китай (CAAC), двата преговарящи екипа постигнаха съгласие по проект за текст на споразумението и приложението към него относно сертифицирането за летателна годност и за опазване на околната среда. Текстът беше парафиран на 8 декември 2017 г.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Както и в случая със съществуващите споразумения „BАSА“, споразумението се основава на взаимното доверие в системата на другата страна и на сравнението на регулаторните различия. Следователно то налага задължения и методи за сътрудничество между органите и техническите агенти, така че последните да могат да издават свои собствени сертификати за въздухоплавателните продукти, части или устройства, без да се дублират всички оценки, извършени от органа на другата страна.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В проекта се предвижда всяка от страните да приема констатациите за съответствие, изготвени в резултат на определени процедури от компетентния орган на другата страна (член 4.1). Средствата за постигането на горепосоченото, т.е. за начините, по които ще се осъществяват сътрудничеството и взаимното приемане на констатациите на другата страна по сертифицирането в областта на летателната годност и сертифицирането за опазване на околната среда (методи, обхват по отношение на продукти или услуги и регулаторни различия), се съдържат в приложенията към споразумението.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Проектът на споразумението гарантира също поддържането на взаимно доверие чрез подходящ механизъм. Той предвижда въвеждането на система за трайно сътрудничество и консултации чрез активно сътрудничество при одити, инспекции, своевременни уведомления и консултации по всички въпроси, които попадат в неговия обхват (членове 4.5, 7, 8 и 9).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Проектът на споразумението дава също възможност на страните да разглеждат начини за допълнително подобряване на прилагането на споразумението, както и да правят препоръки за изменения, включително за добавяне на нови приложения към споразумението посредством съвместния комитет (член 3).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Основни разпоредби на споразумението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Проектът на споразумението обхваща от самото начало всички въздухоплавателни продукти. Въпреки това по отношение на новите китайски продукти, влизащи на пазара на ЕС, една разпоредба в приложение 1 (параграф 4.4.2.2.) ще гарантира, че EAAБ ще прилага специални процедури и контрол при първото заверяване на дадена категория продукти и че всяко следващо заверяване ще се извършва съгласно принципа за „Степен на участие“. В приложение 1 (параграф 4.4.2.1.) се съдържа подробен списък от фактори за това как да се определя „Степента на участие“.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Относно приемането на сертификатите, издавани от всяка страна, в приложение 1 е добавено допълнение, описващо и определящо реда и условията за приемане и заверяване на сертификати. С цел отчитане на различните равнища на зрялост на регулаторните системи, прилагани в ЕС и в Китай, в допълнението се  посочва, че редът и условията за сертификатите на ЕС и за издадените от CAAC сертификати са различни. Разпоредбите в допълнението значително намаляват и ограничават участието на CAAC при заверяването на сертификатите на ЕААБ и следователно ще спестят време и разходи на европейската промишленост. От друга страна, за сертификатите на CAAC ще има намаляване на степента на участие на ЕААБ само за малки промени и ремонти (автоматично приемане) и за някои технически стандарти.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Относно китайското производство на въздухоплавателни продукти за износ в ЕС беше договорено също така, че ЕААБ ще състави списък с притежателите на китайски производствени сертификати, чиито продукти се приемат в Европейския съюз (приложение, параграф 4.5.9). Този списък ще бъде публикуван на уебсайта на ЕААБ. CAAC няма да бъде официално ангажирана със съставянето и поддържането на този списък, нито ще може да налага вето върху съдържанието му. Тази разпоредба беше включена в споразумението поради констатациите на ЕААБ от периода на изграждане на доверието, които доведоха до редица забележки.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По отношение на производствените обекти на ЕС в Китай, споразумението предвижда производственият сертификат на ЕААБ да може да бъде разширяван, така че да включва производствени обекти в Китай (приложение, параграф 4.5.4), което е особено важно за европейските предприятия с производствени обекти в Китай. Съществуващите договорености не могат да бъдат променяни без одобрението на двете страни (приложение, параграф 4.5.5).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В сравнение със съществуващите двустранни споразумения за авиационна безопасност (BASA), в член 3 (Обхват) споразумението вече включва широк обхват на сътрудничество, сред които са и потенциални бъдещи области на сътрудничество, по-специално лицензирането и обучението на персонал, експлоатацията на въздухоплавателни средства, обслужването на въздушното движение и управлението на въздушното движение.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Освен това със споразумението се създава рамка за регулаторно сътрудничество, взаимопомощ и прозрачност (член 7), както и разпоредби за обмен на информация, свързана с безопасността (член 8). Споразумението включва конкретни разпоредби за засилване на защитата на поверителността и частните данни и информация (член 10 и приложение, параграф 4.3), както и възможността за участие на трети държави (член 14, параграф 2).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И накрая, със споразумението се създава съвместен комитет за неговото администриране (член 11) и първи съвместен подкомитет, свързан със сертифицирането за летателна годност и за опазване на околната среда (приложение, параграф 3.1).</w:t>
      </w:r>
    </w:p>
    <w:p>
      <w:pPr>
        <w:pStyle w:val="Text1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2018/0155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между Европейския съюз и правителството на Китайската народна република за безопасност на гражданското въздухоплаване</w:t>
      </w:r>
    </w:p>
    <w:p>
      <w:pPr>
        <w:keepNext/>
        <w:spacing w:before="600"/>
        <w:rPr>
          <w:rFonts w:eastAsia="Calibri"/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100, параграф 2 във връзка с член 218, параграф 6, буква а), подточка v)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rFonts w:eastAsia="Calibri"/>
          <w:noProof/>
        </w:rPr>
      </w:pPr>
      <w:r>
        <w:rPr>
          <w:noProof/>
        </w:rPr>
        <w:t>като има предвид, че: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(1)</w:t>
      </w:r>
      <w:r>
        <w:rPr>
          <w:noProof/>
        </w:rPr>
        <w:tab/>
        <w:t>Комисията договори от името на Европейския съюз споразумение за безопасност на гражданското въздухоплаване с Китайската народна република в съответствие с решението на Съвета, с което на Комисията се разрешава да започне преговори.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В съответствие с Решение </w:t>
      </w:r>
      <w:r>
        <w:rPr>
          <w:noProof/>
          <w:color w:val="FF0000"/>
        </w:rPr>
        <w:t>[   ]</w:t>
      </w:r>
      <w:r>
        <w:rPr>
          <w:noProof/>
        </w:rPr>
        <w:t xml:space="preserve"> на Съвета споразумението беше подписано на </w:t>
      </w:r>
      <w:r>
        <w:rPr>
          <w:noProof/>
          <w:color w:val="FF0000"/>
        </w:rPr>
        <w:t xml:space="preserve">…….. </w:t>
      </w:r>
      <w:r>
        <w:rPr>
          <w:noProof/>
        </w:rPr>
        <w:t>2018 г</w:t>
      </w:r>
      <w:r>
        <w:rPr>
          <w:noProof/>
          <w:color w:val="FF0000"/>
        </w:rPr>
        <w:t>.</w:t>
      </w:r>
      <w:r>
        <w:rPr>
          <w:noProof/>
        </w:rPr>
        <w:t>, при условие на сключването му на по-късна дата.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(3)</w:t>
      </w:r>
      <w:r>
        <w:rPr>
          <w:noProof/>
        </w:rPr>
        <w:tab/>
        <w:t>Споразумението следва да бъде одобрено.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(4)</w:t>
      </w:r>
      <w:r>
        <w:rPr>
          <w:noProof/>
        </w:rPr>
        <w:tab/>
        <w:t>Необходимо е да бъдат установени процедурните договорености за участието на Съюза в съвместните органи, учредени от споразумението, както и за приемането на някои решения, засягащи по-специално изменението на споразумението и приложенията към него, добавянето на нови приложения, прекратяването на действието на отделни приложения, консултациите, разрешаването на спорове и приемането на предпазни мерки,</w:t>
      </w:r>
    </w:p>
    <w:p>
      <w:pPr>
        <w:keepNext/>
        <w:rPr>
          <w:rFonts w:eastAsia="Calibri"/>
          <w:noProof/>
        </w:rPr>
      </w:pPr>
      <w:r>
        <w:rPr>
          <w:noProof/>
        </w:rPr>
        <w:t xml:space="preserve">ПРИЕ НАСТОЯЩОТО РЕШЕНИЕ: 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 1</w:t>
      </w:r>
    </w:p>
    <w:p>
      <w:pPr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Споразумението между Европейския съюз и правителството на Китайската народна република за безопасност на гражданското въздухоплаване се одобрява от името на Съюза.</w:t>
      </w:r>
    </w:p>
    <w:p>
      <w:pPr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Текстът на споразумението е приложен към настоящото решение.</w:t>
      </w:r>
    </w:p>
    <w:p>
      <w:pPr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 2</w:t>
      </w:r>
    </w:p>
    <w:p>
      <w:pPr>
        <w:rPr>
          <w:rFonts w:eastAsia="Calibri"/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уведомяването, предвидено в член 17, параграф 1 от споразумението, за да изрази съгласието на Европейския съюз да бъде обвързан със споразумението.</w:t>
      </w:r>
    </w:p>
    <w:p>
      <w:pPr>
        <w:pStyle w:val="ti-art"/>
        <w:rPr>
          <w:noProof/>
          <w:color w:val="000000"/>
        </w:rPr>
      </w:pPr>
      <w:r>
        <w:rPr>
          <w:noProof/>
          <w:color w:val="000000"/>
        </w:rPr>
        <w:t>Член 3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1.</w:t>
      </w:r>
      <w:r>
        <w:rPr>
          <w:noProof/>
        </w:rPr>
        <w:tab/>
      </w:r>
      <w:r>
        <w:rPr>
          <w:noProof/>
          <w:color w:val="000000"/>
        </w:rPr>
        <w:t>В съвместния комитет на страните, учреден съгласно член 11 от споразумението, Съюзът ще бъде представляван от Европейската комисия, подпомагана от Европейската агенция за авиационна безопасност и придружавана от въздухоплавателните органи в качеството им на представители на държавите членки.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2.</w:t>
      </w:r>
      <w:r>
        <w:rPr>
          <w:noProof/>
        </w:rPr>
        <w:tab/>
      </w:r>
      <w:r>
        <w:rPr>
          <w:noProof/>
          <w:color w:val="000000"/>
        </w:rPr>
        <w:t>В Надзорния съвет по сертифицирането, учреден съгласно параграф 3.1.1 от приложение 1 към споразумението, Съюзът ще бъде представляван от Европейската агенция за авиационна безопасност, подпомагана от въздухоплавателните органи, които са пряко заинтересовани от въпросите, включени в дневния ред на всяко заседание.</w:t>
      </w:r>
    </w:p>
    <w:p>
      <w:pPr>
        <w:pStyle w:val="ti-art"/>
        <w:rPr>
          <w:noProof/>
          <w:color w:val="000000"/>
        </w:rPr>
      </w:pPr>
      <w:r>
        <w:rPr>
          <w:noProof/>
          <w:color w:val="000000"/>
        </w:rPr>
        <w:t>Член 4</w:t>
      </w:r>
    </w:p>
    <w:p>
      <w:pPr>
        <w:rPr>
          <w:rFonts w:eastAsia="Calibri"/>
          <w:noProof/>
        </w:rPr>
      </w:pPr>
      <w:r>
        <w:rPr>
          <w:noProof/>
          <w:color w:val="000000"/>
        </w:rPr>
        <w:t>1.</w:t>
      </w:r>
      <w:r>
        <w:rPr>
          <w:noProof/>
        </w:rPr>
        <w:tab/>
      </w:r>
      <w:r>
        <w:rPr>
          <w:noProof/>
          <w:color w:val="000000"/>
        </w:rPr>
        <w:t>Комисията определя позицията, която трябва да се заеме от Съюза в рамките на съвместния комитет на страните по следните въпроси: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приемането или изменението на процедурния правилник на съвместния комитет на страните, предвиден в член 11 от споразумението.</w:t>
      </w:r>
    </w:p>
    <w:p>
      <w:pPr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След консултация със Специалния комитет, назначен от Съвета, Комисията може да предприеме следните действия:</w:t>
      </w:r>
    </w:p>
    <w:p>
      <w:pPr>
        <w:pStyle w:val="Tiret0"/>
        <w:rPr>
          <w:noProof/>
        </w:rPr>
      </w:pPr>
      <w:r>
        <w:rPr>
          <w:noProof/>
        </w:rPr>
        <w:t>да приеме предпазни мерки в съответствие с член 5 от споразумението,</w:t>
      </w:r>
    </w:p>
    <w:p>
      <w:pPr>
        <w:pStyle w:val="Tiret0"/>
        <w:rPr>
          <w:noProof/>
        </w:rPr>
      </w:pPr>
      <w:r>
        <w:rPr>
          <w:noProof/>
        </w:rPr>
        <w:t>да изиска консултации в съответствие с член 15 от споразумението,</w:t>
      </w:r>
    </w:p>
    <w:p>
      <w:pPr>
        <w:pStyle w:val="Tiret0"/>
        <w:rPr>
          <w:noProof/>
        </w:rPr>
      </w:pPr>
      <w:r>
        <w:rPr>
          <w:noProof/>
        </w:rPr>
        <w:t>да вземе мерки за временно спиране в съответствие с член 16 от споразумението,</w:t>
      </w:r>
    </w:p>
    <w:p>
      <w:pPr>
        <w:pStyle w:val="Tiret0"/>
        <w:rPr>
          <w:noProof/>
        </w:rPr>
      </w:pPr>
      <w:r>
        <w:rPr>
          <w:noProof/>
        </w:rPr>
        <w:t>да предприеме всякакви изменения на приложенията към споразумението в съответствие с член 17, параграф 6 от споразумението, доколкото тези изменения са в съответствие със съответните правни актове на Съюза и не водят до промени в тях,</w:t>
      </w:r>
    </w:p>
    <w:p>
      <w:pPr>
        <w:pStyle w:val="Tiret0"/>
        <w:rPr>
          <w:noProof/>
        </w:rPr>
      </w:pPr>
      <w:r>
        <w:rPr>
          <w:noProof/>
        </w:rPr>
        <w:t>да предприеме всякакви други действия, чието предприемане от някоя от страните е предвидено в споразумението, при спазване на параграф 3 от настоящия член и на правото на ЕС.</w:t>
      </w:r>
    </w:p>
    <w:p>
      <w:pPr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>Като действа с квалифицирано мнозинство въз основа на предложение от Комисията и в съответствие с разпоредбите на Договора, Съветът взема решение относно всякакви други изменения на споразумението, които не попадат в обхвата на параграф 2 от настоящия член, включително прекратяването на действието на отделни приложения в съответствие с член 17, параграф 4 от споразумението.</w:t>
      </w:r>
    </w:p>
    <w:p>
      <w:pPr>
        <w:keepNext/>
        <w:spacing w:before="360"/>
        <w:jc w:val="center"/>
        <w:rPr>
          <w:rFonts w:eastAsia="Calibri"/>
          <w:i/>
          <w:noProof/>
        </w:rPr>
      </w:pPr>
      <w:r>
        <w:rPr>
          <w:i/>
          <w:noProof/>
        </w:rPr>
        <w:t>Член 5</w:t>
      </w:r>
    </w:p>
    <w:p>
      <w:pPr>
        <w:keepNext/>
        <w:keepLines/>
        <w:rPr>
          <w:rFonts w:eastAsia="Calibri"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keepNext/>
        <w:spacing w:after="0"/>
        <w:rPr>
          <w:rFonts w:eastAsia="Calibri"/>
          <w:noProof/>
        </w:rPr>
      </w:pPr>
      <w:r>
        <w:rPr>
          <w:noProof/>
        </w:rPr>
        <w:t>Съставено в Брюксел на […] година.</w:t>
      </w:r>
    </w:p>
    <w:p>
      <w:pPr>
        <w:keepNext/>
        <w:tabs>
          <w:tab w:val="left" w:pos="4252"/>
        </w:tabs>
        <w:spacing w:before="720" w:after="0"/>
        <w:rPr>
          <w:rFonts w:eastAsia="Calibri"/>
          <w:i/>
          <w:noProof/>
        </w:rPr>
      </w:pPr>
      <w:r>
        <w:rPr>
          <w:noProof/>
        </w:rPr>
        <w:tab/>
      </w:r>
      <w:r>
        <w:rPr>
          <w:i/>
          <w:noProof/>
        </w:rPr>
        <w:t>За Съвета</w:t>
      </w:r>
    </w:p>
    <w:p>
      <w:pPr>
        <w:tabs>
          <w:tab w:val="left" w:pos="4252"/>
        </w:tabs>
        <w:spacing w:before="0" w:after="0"/>
        <w:jc w:val="left"/>
        <w:rPr>
          <w:rFonts w:eastAsia="Calibri"/>
          <w:i/>
          <w:noProof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5C86E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A16E9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4AE0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344AC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7686E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EA31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1F8A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D2A65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6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7:11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4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9667DD0-71FB-4748-83FC-29632EE8A558"/>
    <w:docVar w:name="LW_COVERPAGE_TYPE" w:val="1"/>
    <w:docVar w:name="LW_CROSSREFERENCE" w:val="&lt;UNUSED&gt;"/>
    <w:docVar w:name="LW_DocType" w:val="COM"/>
    <w:docVar w:name="LW_EMISSION" w:val="18.5.2018"/>
    <w:docVar w:name="LW_EMISSION_ISODATE" w:val="2018-05-18"/>
    <w:docVar w:name="LW_EMISSION_LOCATION" w:val="BRX"/>
    <w:docVar w:name="LW_EMISSION_PREFIX" w:val="\u1041?\u1088?\u1102?\u1082?\u1089?\u1077?\u1083?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5"/>
    <w:docVar w:name="LW_REF.II.NEW.CP_YEAR" w:val="2018"/>
    <w:docVar w:name="LW_REF.INST.NEW" w:val="COM"/>
    <w:docVar w:name="LW_REF.INST.NEW_ADOPTED" w:val="final"/>
    <w:docVar w:name="LW_REF.INST.NEW_TEXT" w:val="(2018) 3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89?\u1087?\u1086?\u1088?\u1072?\u1079?\u1091?\u1084?\u1077?\u1085?\u1080?\u1077? \u1084?\u1077?\u1078?\u1076?\u1091? \u1045?\u1074?\u1088?\u1086?\u1087?\u1077?\u1081?\u1089?\u1082?\u1080?\u1103? \u1089?\u1098?\u1102?\u1079? \u1080? \u1087?\u1088?\u1072?\u1074?\u1080?\u1090?\u1077?\u1083?\u1089?\u1090?\u1074?\u1086?\u1090?\u1086? \u1085?\u1072? \u1050?\u1080?\u1090?\u1072?\u1081?\u1089?\u1082?\u1072?\u1090?\u1072? \u1085?\u1072?\u1088?\u1086?\u1076?\u1085?\u1072? \u1088?\u1077?\u1087?\u1091?\u1073?\u1083?\u1080?\u1082?\u1072? \u1079?\u1072? \u1073?\u1077?\u1079?\u1086?\u1087?\u1072?\u1089?\u1085?\u1086?\u1089?\u1090? \u1085?\u1072? \u1075?\u1088?\u1072?\u1078?\u1076?\u1072?\u1085?\u1089?\u1082?\u1086?\u1090?\u1086? \u1074?\u1098?\u1079?\u1076?\u1091?\u1093?\u1086?\u1087?\u1083?\u1072?\u1074?\u1072?\u1085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Bullet1bold">
    <w:name w:val="Bullet 1 bold"/>
    <w:basedOn w:val="Bullet1"/>
    <w:qFormat/>
    <w:pPr>
      <w:numPr>
        <w:numId w:val="0"/>
      </w:numPr>
      <w:tabs>
        <w:tab w:val="num" w:pos="1417"/>
      </w:tabs>
      <w:ind w:left="1417" w:hanging="567"/>
    </w:pPr>
    <w:rPr>
      <w:b/>
    </w:rPr>
  </w:style>
  <w:style w:type="paragraph" w:customStyle="1" w:styleId="Normal1">
    <w:name w:val="Normal1"/>
    <w:basedOn w:val="Normal"/>
    <w:pPr>
      <w:spacing w:after="0"/>
    </w:pPr>
    <w:rPr>
      <w:rFonts w:eastAsia="Times New Roman"/>
      <w:szCs w:val="24"/>
    </w:rPr>
  </w:style>
  <w:style w:type="paragraph" w:customStyle="1" w:styleId="ti-art">
    <w:name w:val="ti-art"/>
    <w:basedOn w:val="Normal"/>
    <w:pPr>
      <w:spacing w:before="360"/>
      <w:jc w:val="center"/>
    </w:pPr>
    <w:rPr>
      <w:rFonts w:eastAsia="Times New Roman"/>
      <w:i/>
      <w:i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Bullet1bold">
    <w:name w:val="Bullet 1 bold"/>
    <w:basedOn w:val="Bullet1"/>
    <w:qFormat/>
    <w:pPr>
      <w:numPr>
        <w:numId w:val="0"/>
      </w:numPr>
      <w:tabs>
        <w:tab w:val="num" w:pos="1417"/>
      </w:tabs>
      <w:ind w:left="1417" w:hanging="567"/>
    </w:pPr>
    <w:rPr>
      <w:b/>
    </w:rPr>
  </w:style>
  <w:style w:type="paragraph" w:customStyle="1" w:styleId="Normal1">
    <w:name w:val="Normal1"/>
    <w:basedOn w:val="Normal"/>
    <w:pPr>
      <w:spacing w:after="0"/>
    </w:pPr>
    <w:rPr>
      <w:rFonts w:eastAsia="Times New Roman"/>
      <w:szCs w:val="24"/>
    </w:rPr>
  </w:style>
  <w:style w:type="paragraph" w:customStyle="1" w:styleId="ti-art">
    <w:name w:val="ti-art"/>
    <w:basedOn w:val="Normal"/>
    <w:pPr>
      <w:spacing w:before="360"/>
      <w:jc w:val="center"/>
    </w:pPr>
    <w:rPr>
      <w:rFonts w:eastAsia="Times New Roman"/>
      <w:i/>
      <w:i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4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0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7CD7-1362-47C6-8EFC-F3AE2AB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1710</Words>
  <Characters>10432</Characters>
  <Application>Microsoft Office Word</Application>
  <DocSecurity>0</DocSecurity>
  <Lines>212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2018-04-23T14:07:00Z</cp:lastPrinted>
  <dcterms:created xsi:type="dcterms:W3CDTF">2018-05-03T09:58:00Z</dcterms:created>
  <dcterms:modified xsi:type="dcterms:W3CDTF">2018-05-17T15:11:00Z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