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F7" w:rsidRDefault="00C956E5" w:rsidP="00C956E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00032CF-16DD-49C9-B5A3-902A86D2D8D7" style="width:450.7pt;height:372.15pt">
            <v:imagedata r:id="rId13" o:title=""/>
          </v:shape>
        </w:pict>
      </w:r>
    </w:p>
    <w:bookmarkEnd w:id="0"/>
    <w:p w:rsidR="009817F7" w:rsidRDefault="009817F7">
      <w:pPr>
        <w:rPr>
          <w:noProof/>
        </w:rPr>
        <w:sectPr w:rsidR="009817F7" w:rsidSect="00C956E5">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rsidR="009817F7" w:rsidRDefault="00C956E5">
      <w:pPr>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 xml:space="preserve">La directive 2003/98/CE concernant la réutilisation des informations du secteur public (directive ISP) vise à faciliter la réutilisation desdites </w:t>
      </w:r>
      <w:r>
        <w:rPr>
          <w:rFonts w:ascii="Times New Roman" w:hAnsi="Times New Roman"/>
          <w:noProof/>
          <w:sz w:val="24"/>
        </w:rPr>
        <w:t>informations dans toute l’Union en harmonisant les conditions fondamentales de leur mise à disposition à cette fin. Elle poursuit plus particulièrement les objectifs suivants:</w:t>
      </w:r>
    </w:p>
    <w:p w:rsidR="009817F7" w:rsidRDefault="00C956E5">
      <w:pPr>
        <w:pStyle w:val="ListParagraph"/>
        <w:numPr>
          <w:ilvl w:val="0"/>
          <w:numId w:val="54"/>
        </w:numPr>
        <w:spacing w:after="200" w:line="276" w:lineRule="auto"/>
        <w:rPr>
          <w:noProof/>
          <w:szCs w:val="24"/>
        </w:rPr>
      </w:pPr>
      <w:r>
        <w:rPr>
          <w:noProof/>
        </w:rPr>
        <w:t>améliorer la mise au point de produits et de services fondés sur les ISP à l’éch</w:t>
      </w:r>
      <w:r>
        <w:rPr>
          <w:noProof/>
        </w:rPr>
        <w:t>elle de l’Union;</w:t>
      </w:r>
    </w:p>
    <w:p w:rsidR="009817F7" w:rsidRDefault="00C956E5">
      <w:pPr>
        <w:pStyle w:val="ListParagraph"/>
        <w:numPr>
          <w:ilvl w:val="0"/>
          <w:numId w:val="54"/>
        </w:numPr>
        <w:spacing w:after="200" w:line="276" w:lineRule="auto"/>
        <w:rPr>
          <w:noProof/>
          <w:szCs w:val="24"/>
        </w:rPr>
      </w:pPr>
      <w:r>
        <w:rPr>
          <w:noProof/>
        </w:rPr>
        <w:t>encourager la réutilisation transfrontalière des ISP; et</w:t>
      </w:r>
    </w:p>
    <w:p w:rsidR="009817F7" w:rsidRDefault="00C956E5">
      <w:pPr>
        <w:pStyle w:val="ListParagraph"/>
        <w:numPr>
          <w:ilvl w:val="0"/>
          <w:numId w:val="54"/>
        </w:numPr>
        <w:spacing w:after="200" w:line="276" w:lineRule="auto"/>
        <w:rPr>
          <w:noProof/>
          <w:szCs w:val="24"/>
        </w:rPr>
      </w:pPr>
      <w:r>
        <w:rPr>
          <w:noProof/>
        </w:rPr>
        <w:t>prévenir les distorsions de concurrence sur les marchés liés aux ISP.</w:t>
      </w:r>
    </w:p>
    <w:p w:rsidR="009817F7" w:rsidRDefault="00C956E5">
      <w:pPr>
        <w:jc w:val="both"/>
        <w:rPr>
          <w:rFonts w:ascii="Times New Roman" w:hAnsi="Times New Roman" w:cs="Times New Roman"/>
          <w:noProof/>
          <w:sz w:val="24"/>
          <w:szCs w:val="24"/>
        </w:rPr>
      </w:pPr>
      <w:r>
        <w:rPr>
          <w:rFonts w:ascii="Times New Roman" w:hAnsi="Times New Roman"/>
          <w:noProof/>
          <w:sz w:val="24"/>
        </w:rPr>
        <w:t>La directive ISP a été modifiée en juillet 2013 par la directive 2013/37/UE pour lever un certain nombre d’obsta</w:t>
      </w:r>
      <w:r>
        <w:rPr>
          <w:rFonts w:ascii="Times New Roman" w:hAnsi="Times New Roman"/>
          <w:noProof/>
          <w:sz w:val="24"/>
        </w:rPr>
        <w:t>cles empêchant la pleine réalisation des avantages qu'entraîne la réutilisation des ISP. Les modifications ont consisté à i) étendre le champ d’application au secteur culturel; ii) établir le principe d'une tarification n'excédant pas les coûts marginaux d</w:t>
      </w:r>
      <w:r>
        <w:rPr>
          <w:rFonts w:ascii="Times New Roman" w:hAnsi="Times New Roman"/>
          <w:noProof/>
          <w:sz w:val="24"/>
        </w:rPr>
        <w:t>e diffusion; et iii) formuler une recommandation selon laquelle les organismes du secteur public devraient, dans la mesure du possible, mettre les ISP à disposition dans un format ouvert et lisible par machine.</w:t>
      </w:r>
    </w:p>
    <w:p w:rsidR="009817F7" w:rsidRDefault="00C956E5">
      <w:pPr>
        <w:jc w:val="both"/>
        <w:rPr>
          <w:rFonts w:ascii="Times New Roman" w:hAnsi="Times New Roman" w:cs="Times New Roman"/>
          <w:noProof/>
          <w:sz w:val="24"/>
          <w:szCs w:val="24"/>
        </w:rPr>
      </w:pPr>
      <w:r>
        <w:rPr>
          <w:rFonts w:ascii="Times New Roman" w:hAnsi="Times New Roman"/>
          <w:noProof/>
          <w:sz w:val="24"/>
        </w:rPr>
        <w:t>La présente évaluation dans le cadre du progr</w:t>
      </w:r>
      <w:r>
        <w:rPr>
          <w:rFonts w:ascii="Times New Roman" w:hAnsi="Times New Roman"/>
          <w:noProof/>
          <w:sz w:val="24"/>
        </w:rPr>
        <w:t>amme REFIT a pour objet de satisfaire à l’obligation de réexamen périodique prévue à l'article 13, paragraphe 1, de la directive ISP, aux termes duquel «</w:t>
      </w:r>
      <w:r>
        <w:rPr>
          <w:rFonts w:ascii="Times New Roman" w:hAnsi="Times New Roman"/>
          <w:i/>
          <w:noProof/>
          <w:sz w:val="24"/>
        </w:rPr>
        <w:t>[l]a Commission procède à un réexamen de l’application de la présente directive avant le 18 juillet 201</w:t>
      </w:r>
      <w:r>
        <w:rPr>
          <w:rFonts w:ascii="Times New Roman" w:hAnsi="Times New Roman"/>
          <w:i/>
          <w:noProof/>
          <w:sz w:val="24"/>
        </w:rPr>
        <w:t>8</w:t>
      </w:r>
      <w:r>
        <w:rPr>
          <w:rFonts w:ascii="Times New Roman" w:hAnsi="Times New Roman"/>
          <w:noProof/>
          <w:sz w:val="24"/>
        </w:rPr>
        <w:t>». En même temps, elle contribuera à la réalisation des objectifs de la stratégie pour un marché unique numérique dans le domaine de l’économie fondée sur les données. En mai 2017, à l'occasion de l'examen à mi-parcours de la stratégie pour un marché uniq</w:t>
      </w:r>
      <w:r>
        <w:rPr>
          <w:rFonts w:ascii="Times New Roman" w:hAnsi="Times New Roman"/>
          <w:noProof/>
          <w:sz w:val="24"/>
        </w:rPr>
        <w:t>ue numérique, la Commission a annoncé qu’elle «</w:t>
      </w:r>
      <w:r>
        <w:rPr>
          <w:rFonts w:ascii="Times New Roman" w:hAnsi="Times New Roman"/>
          <w:i/>
          <w:noProof/>
          <w:sz w:val="24"/>
        </w:rPr>
        <w:t xml:space="preserve">préparera[it] pour le printemps 2018, sur la base d’une évaluation de la législation existante, une initiative, qui fera[it] l’objet d’une analyse d’impact, sur l’accessibilité et la réutilisation des données </w:t>
      </w:r>
      <w:r>
        <w:rPr>
          <w:rFonts w:ascii="Times New Roman" w:hAnsi="Times New Roman"/>
          <w:i/>
          <w:noProof/>
          <w:sz w:val="24"/>
        </w:rPr>
        <w:t>du secteur public et des données obtenues au moyen de fonds publics, et étudiera[it] de manière plus approfondie la question des données détenues par le secteur privé qui sont d’intérêt public</w:t>
      </w:r>
      <w:r>
        <w:rPr>
          <w:rFonts w:ascii="Times New Roman" w:hAnsi="Times New Roman"/>
          <w:noProof/>
          <w:sz w:val="24"/>
        </w:rPr>
        <w:t>».</w:t>
      </w:r>
    </w:p>
    <w:p w:rsidR="009817F7" w:rsidRDefault="00C956E5">
      <w:pPr>
        <w:jc w:val="both"/>
        <w:rPr>
          <w:rFonts w:ascii="Times New Roman" w:hAnsi="Times New Roman" w:cs="Times New Roman"/>
          <w:noProof/>
          <w:sz w:val="24"/>
          <w:szCs w:val="24"/>
        </w:rPr>
      </w:pPr>
      <w:r>
        <w:rPr>
          <w:rFonts w:ascii="Times New Roman" w:hAnsi="Times New Roman"/>
          <w:noProof/>
          <w:sz w:val="24"/>
        </w:rPr>
        <w:t>Dans le cadre de cet engagement, l'évaluation</w:t>
      </w:r>
      <w:r>
        <w:rPr>
          <w:rStyle w:val="FootnoteReference"/>
          <w:rFonts w:ascii="Times New Roman" w:hAnsi="Times New Roman"/>
          <w:noProof/>
        </w:rPr>
        <w:footnoteReference w:id="2"/>
      </w:r>
      <w:r>
        <w:rPr>
          <w:rFonts w:ascii="Times New Roman" w:hAnsi="Times New Roman"/>
          <w:noProof/>
          <w:sz w:val="24"/>
        </w:rPr>
        <w:t xml:space="preserve"> et l’analyse d</w:t>
      </w:r>
      <w:r>
        <w:rPr>
          <w:rFonts w:ascii="Times New Roman" w:hAnsi="Times New Roman"/>
          <w:noProof/>
          <w:sz w:val="24"/>
        </w:rPr>
        <w:t>’impact sur les options pour l'avenir de la directive ISP</w:t>
      </w:r>
      <w:r>
        <w:rPr>
          <w:rStyle w:val="FootnoteReference"/>
          <w:rFonts w:ascii="Times New Roman" w:hAnsi="Times New Roman"/>
          <w:noProof/>
        </w:rPr>
        <w:footnoteReference w:id="3"/>
      </w:r>
      <w:r>
        <w:rPr>
          <w:rFonts w:ascii="Times New Roman" w:hAnsi="Times New Roman"/>
          <w:noProof/>
          <w:sz w:val="24"/>
        </w:rPr>
        <w:t xml:space="preserve"> ont été effectuées en parallèle. Les conclusions de la présente évaluation ont, le cas échéant, été prises en compte dans l’analyse d’impact.</w:t>
      </w:r>
    </w:p>
    <w:p w:rsidR="009817F7" w:rsidRDefault="00C956E5">
      <w:pPr>
        <w:jc w:val="both"/>
        <w:rPr>
          <w:rFonts w:ascii="Times New Roman" w:hAnsi="Times New Roman" w:cs="Times New Roman"/>
          <w:noProof/>
          <w:sz w:val="24"/>
          <w:szCs w:val="24"/>
        </w:rPr>
      </w:pPr>
      <w:r>
        <w:rPr>
          <w:rFonts w:ascii="Times New Roman" w:hAnsi="Times New Roman"/>
          <w:noProof/>
          <w:sz w:val="24"/>
        </w:rPr>
        <w:t xml:space="preserve">D'abondantes sources de données ont été utilisées pour </w:t>
      </w:r>
      <w:r>
        <w:rPr>
          <w:rFonts w:ascii="Times New Roman" w:hAnsi="Times New Roman"/>
          <w:noProof/>
          <w:sz w:val="24"/>
        </w:rPr>
        <w:t>réaliser cette évaluation, parmi lesquelles une étude menée par des experts externes à l'appui du réexamen de la directive ISP</w:t>
      </w:r>
      <w:r>
        <w:rPr>
          <w:rStyle w:val="FootnoteReference"/>
          <w:rFonts w:ascii="Times New Roman" w:hAnsi="Times New Roman"/>
          <w:noProof/>
        </w:rPr>
        <w:footnoteReference w:id="4"/>
      </w:r>
      <w:r>
        <w:rPr>
          <w:rFonts w:ascii="Times New Roman" w:hAnsi="Times New Roman"/>
          <w:noProof/>
          <w:sz w:val="24"/>
        </w:rPr>
        <w:t xml:space="preserve"> et les conclusions du rapport de 2017 sur la maturité des données ouvertes en Europe, à </w:t>
      </w:r>
      <w:r>
        <w:rPr>
          <w:rFonts w:ascii="Times New Roman" w:hAnsi="Times New Roman"/>
          <w:noProof/>
          <w:sz w:val="24"/>
        </w:rPr>
        <w:lastRenderedPageBreak/>
        <w:t>consulter sur le portail européen des do</w:t>
      </w:r>
      <w:r>
        <w:rPr>
          <w:rFonts w:ascii="Times New Roman" w:hAnsi="Times New Roman"/>
          <w:noProof/>
          <w:sz w:val="24"/>
        </w:rPr>
        <w:t>nnées</w:t>
      </w:r>
      <w:r>
        <w:rPr>
          <w:rStyle w:val="FootnoteReference"/>
          <w:rFonts w:ascii="Times New Roman" w:hAnsi="Times New Roman"/>
          <w:noProof/>
        </w:rPr>
        <w:footnoteReference w:id="5"/>
      </w:r>
      <w:r>
        <w:rPr>
          <w:rFonts w:ascii="Times New Roman" w:hAnsi="Times New Roman"/>
          <w:noProof/>
          <w:sz w:val="24"/>
        </w:rPr>
        <w:t>. Des informations ont aussi été recueillies auprès des États membres et de vastes consultations des parties concernées ont été organisées, dont une consultation publique en ligne, de nombreux ateliers et une audition publique.</w:t>
      </w:r>
    </w:p>
    <w:p w:rsidR="009817F7" w:rsidRDefault="00C956E5">
      <w:pPr>
        <w:jc w:val="both"/>
        <w:rPr>
          <w:rFonts w:ascii="Times New Roman" w:eastAsia="Times New Roman" w:hAnsi="Times New Roman" w:cs="Times New Roman"/>
          <w:noProof/>
          <w:sz w:val="24"/>
          <w:szCs w:val="24"/>
        </w:rPr>
      </w:pPr>
      <w:r>
        <w:rPr>
          <w:rFonts w:ascii="Times New Roman" w:hAnsi="Times New Roman"/>
          <w:noProof/>
          <w:sz w:val="24"/>
        </w:rPr>
        <w:t>Conformément aux ligne</w:t>
      </w:r>
      <w:r>
        <w:rPr>
          <w:rFonts w:ascii="Times New Roman" w:hAnsi="Times New Roman"/>
          <w:noProof/>
          <w:sz w:val="24"/>
        </w:rPr>
        <w:t>s directrices de la Commission pour une meilleure réglementation, la directive a fait l’objet d’une évaluation globale ainsi que d'un processus d’évaluation plus spécifique au regard des cinq critères suivants: efficacité, efficience, pertinence, cohérence</w:t>
      </w:r>
      <w:r>
        <w:rPr>
          <w:rFonts w:ascii="Times New Roman" w:hAnsi="Times New Roman"/>
          <w:noProof/>
          <w:sz w:val="24"/>
        </w:rPr>
        <w:t xml:space="preserve"> et valeur ajoutée européenne. L'évaluation a porté sur le fonctionnement global de la directive, une attention particulière étant consacrée aux modifications apportées en 2013.</w:t>
      </w:r>
    </w:p>
    <w:p w:rsidR="009817F7" w:rsidRDefault="00C956E5">
      <w:pPr>
        <w:jc w:val="both"/>
        <w:rPr>
          <w:rFonts w:ascii="Times New Roman" w:hAnsi="Times New Roman" w:cs="Times New Roman"/>
          <w:noProof/>
          <w:sz w:val="24"/>
          <w:szCs w:val="24"/>
        </w:rPr>
      </w:pPr>
      <w:r>
        <w:rPr>
          <w:rFonts w:ascii="Times New Roman" w:hAnsi="Times New Roman"/>
          <w:b/>
          <w:noProof/>
          <w:sz w:val="24"/>
        </w:rPr>
        <w:t>Efficacité -</w:t>
      </w:r>
      <w:r>
        <w:rPr>
          <w:rFonts w:ascii="Times New Roman" w:hAnsi="Times New Roman"/>
          <w:noProof/>
          <w:sz w:val="24"/>
        </w:rPr>
        <w:t xml:space="preserve"> Dans l'ensemble, la directive ISP a été efficace dans la réalisation de ses objectifs, à savoir i) garantir une concurrence plus équitable sur le marché unique numérique; ii) permettre la création de nouveaux emplois et services; et iii) dans une moindre </w:t>
      </w:r>
      <w:r>
        <w:rPr>
          <w:rFonts w:ascii="Times New Roman" w:hAnsi="Times New Roman"/>
          <w:noProof/>
          <w:sz w:val="24"/>
        </w:rPr>
        <w:t xml:space="preserve">mesure, renforcer l'utilisation transfrontalière efficace des ISP par les entreprises. Les modifications apportées en 2013 ont également porté leurs fruits, notamment sur le plan de la tarification et des formats de données. Pourtant, la directive n'a pas </w:t>
      </w:r>
      <w:r>
        <w:rPr>
          <w:rFonts w:ascii="Times New Roman" w:hAnsi="Times New Roman"/>
          <w:noProof/>
          <w:sz w:val="24"/>
        </w:rPr>
        <w:t>encore déployé tout son potentiel et quelques difficultés (parfois nouvelles) subsistent, telles que le verrouillage des ISP en raison de nouveaux types de partenariats entre des entités du secteur public et des entreprises privées.</w:t>
      </w:r>
    </w:p>
    <w:p w:rsidR="009817F7" w:rsidRDefault="00C956E5">
      <w:pPr>
        <w:jc w:val="both"/>
        <w:rPr>
          <w:rFonts w:ascii="Times New Roman" w:hAnsi="Times New Roman" w:cs="Times New Roman"/>
          <w:noProof/>
          <w:sz w:val="24"/>
          <w:szCs w:val="24"/>
        </w:rPr>
      </w:pPr>
      <w:r>
        <w:rPr>
          <w:rFonts w:ascii="Times New Roman" w:hAnsi="Times New Roman"/>
          <w:b/>
          <w:noProof/>
          <w:sz w:val="24"/>
        </w:rPr>
        <w:t xml:space="preserve">Efficience - </w:t>
      </w:r>
      <w:r>
        <w:rPr>
          <w:rFonts w:ascii="Times New Roman" w:hAnsi="Times New Roman"/>
          <w:noProof/>
          <w:sz w:val="24"/>
        </w:rPr>
        <w:t>Le bilan e</w:t>
      </w:r>
      <w:r>
        <w:rPr>
          <w:rFonts w:ascii="Times New Roman" w:hAnsi="Times New Roman"/>
          <w:noProof/>
          <w:sz w:val="24"/>
        </w:rPr>
        <w:t>st globalement positif entre les coûts et les avantages (quantitatifs et qualitatifs) de la directive ISP. Il est prématuré de tirer des conclusions sur l'efficience de l'extension aux institutions culturelles effectuée en 2013.</w:t>
      </w:r>
    </w:p>
    <w:p w:rsidR="009817F7" w:rsidRDefault="00C956E5">
      <w:pPr>
        <w:jc w:val="both"/>
        <w:rPr>
          <w:rFonts w:ascii="Times New Roman" w:hAnsi="Times New Roman" w:cs="Times New Roman"/>
          <w:noProof/>
          <w:sz w:val="24"/>
          <w:szCs w:val="24"/>
        </w:rPr>
      </w:pPr>
      <w:r>
        <w:rPr>
          <w:rFonts w:ascii="Times New Roman" w:hAnsi="Times New Roman"/>
          <w:b/>
          <w:noProof/>
          <w:sz w:val="24"/>
        </w:rPr>
        <w:t>Pertinence -</w:t>
      </w:r>
      <w:r>
        <w:rPr>
          <w:rFonts w:ascii="Times New Roman" w:hAnsi="Times New Roman"/>
          <w:noProof/>
          <w:sz w:val="24"/>
        </w:rPr>
        <w:t xml:space="preserve"> Si la directiv</w:t>
      </w:r>
      <w:r>
        <w:rPr>
          <w:rFonts w:ascii="Times New Roman" w:hAnsi="Times New Roman"/>
          <w:noProof/>
          <w:sz w:val="24"/>
        </w:rPr>
        <w:t>e ISP a conservé sa pertinence par rapport aux besoins des parties prenantes, cette situation pourrait évoluer sous l'effet de tendances émergentes, comme l'importance croissance des données dynamiques et les mesures prises par les États membres pour augme</w:t>
      </w:r>
      <w:r>
        <w:rPr>
          <w:rFonts w:ascii="Times New Roman" w:hAnsi="Times New Roman"/>
          <w:noProof/>
          <w:sz w:val="24"/>
        </w:rPr>
        <w:t>nter la disponibilité des données dans de nouveaux domaines qui ne relèvent pas encore de la directive (par exemple, les données détenues par des entreprises publiques dans le secteur des services d'utilité générale).</w:t>
      </w:r>
    </w:p>
    <w:p w:rsidR="009817F7" w:rsidRDefault="00C956E5">
      <w:pPr>
        <w:jc w:val="both"/>
        <w:rPr>
          <w:rFonts w:ascii="Times New Roman" w:hAnsi="Times New Roman" w:cs="Times New Roman"/>
          <w:noProof/>
          <w:sz w:val="24"/>
          <w:szCs w:val="24"/>
        </w:rPr>
      </w:pPr>
      <w:r>
        <w:rPr>
          <w:rFonts w:ascii="Times New Roman" w:hAnsi="Times New Roman"/>
          <w:b/>
          <w:noProof/>
          <w:sz w:val="24"/>
        </w:rPr>
        <w:t>Cohérence -</w:t>
      </w:r>
      <w:r>
        <w:rPr>
          <w:rFonts w:ascii="Times New Roman" w:hAnsi="Times New Roman"/>
          <w:noProof/>
          <w:sz w:val="24"/>
        </w:rPr>
        <w:t xml:space="preserve"> Dans l'ensemble, la direct</w:t>
      </w:r>
      <w:r>
        <w:rPr>
          <w:rFonts w:ascii="Times New Roman" w:hAnsi="Times New Roman"/>
          <w:noProof/>
          <w:sz w:val="24"/>
        </w:rPr>
        <w:t>ive ISP est cohérente avec les autres dispositions législatives applicables de l'Union. Il pourrait être utile, cependant, de procéder à une mise à jour technique afin de préciser notamment la relation avec la directive sur les bases de données et la direc</w:t>
      </w:r>
      <w:r>
        <w:rPr>
          <w:rFonts w:ascii="Times New Roman" w:hAnsi="Times New Roman"/>
          <w:noProof/>
          <w:sz w:val="24"/>
        </w:rPr>
        <w:t>tive INSPIRE.</w:t>
      </w:r>
    </w:p>
    <w:p w:rsidR="009817F7" w:rsidRDefault="00C956E5">
      <w:pPr>
        <w:jc w:val="both"/>
        <w:rPr>
          <w:rFonts w:ascii="Times New Roman" w:hAnsi="Times New Roman" w:cs="Times New Roman"/>
          <w:noProof/>
          <w:sz w:val="24"/>
          <w:szCs w:val="24"/>
        </w:rPr>
      </w:pPr>
      <w:r>
        <w:rPr>
          <w:rFonts w:ascii="Times New Roman" w:hAnsi="Times New Roman"/>
          <w:b/>
          <w:noProof/>
          <w:sz w:val="24"/>
        </w:rPr>
        <w:t>Valeur ajoutée européenne -</w:t>
      </w:r>
      <w:r>
        <w:rPr>
          <w:rFonts w:ascii="Times New Roman" w:hAnsi="Times New Roman"/>
          <w:noProof/>
          <w:sz w:val="24"/>
        </w:rPr>
        <w:t xml:space="preserve"> Dans l'ensemble, la valeur ajoutée européenne de l'instrument ne fait aucun doute, même si elle est plus nette pour certains aspects de la réutilisation des ISP (tarification) que pour d'autres (données culturelles</w:t>
      </w:r>
      <w:r>
        <w:rPr>
          <w:rFonts w:ascii="Times New Roman" w:hAnsi="Times New Roman"/>
          <w:noProof/>
          <w:sz w:val="24"/>
        </w:rPr>
        <w:t xml:space="preserve"> et formats).</w:t>
      </w:r>
    </w:p>
    <w:p w:rsidR="009817F7" w:rsidRDefault="00C956E5">
      <w:pPr>
        <w:jc w:val="both"/>
        <w:rPr>
          <w:rFonts w:ascii="Times New Roman" w:hAnsi="Times New Roman" w:cs="Times New Roman"/>
          <w:noProof/>
          <w:sz w:val="24"/>
          <w:szCs w:val="24"/>
        </w:rPr>
      </w:pPr>
      <w:r>
        <w:rPr>
          <w:rFonts w:ascii="Times New Roman" w:hAnsi="Times New Roman"/>
          <w:noProof/>
          <w:sz w:val="24"/>
        </w:rPr>
        <w:lastRenderedPageBreak/>
        <w:t xml:space="preserve">En conclusion, il ressort de l'évaluation globale de la directive ISP, y compris des modifications introduites en 2013, qu'elle demeure un instrument efficace, efficient et pertinent qui contribue utilement à la réalisation de ses principaux </w:t>
      </w:r>
      <w:r>
        <w:rPr>
          <w:rFonts w:ascii="Times New Roman" w:hAnsi="Times New Roman"/>
          <w:noProof/>
          <w:sz w:val="24"/>
        </w:rPr>
        <w:t>objectifs. Bien qu'elle prévoie un certain nombre d'obligations pour les entités du secteur public, la directive ne leur impose pas de charge disproportionnée. Quant aux réutilisateurs, ils profitent de la simplification considérable des procédures d'accès</w:t>
      </w:r>
      <w:r>
        <w:rPr>
          <w:rFonts w:ascii="Times New Roman" w:hAnsi="Times New Roman"/>
          <w:noProof/>
          <w:sz w:val="24"/>
        </w:rPr>
        <w:t xml:space="preserve"> aux ISP, ce qui leur fait gagner du temps et de l'argent.</w:t>
      </w:r>
    </w:p>
    <w:p w:rsidR="009817F7" w:rsidRDefault="00C956E5">
      <w:pPr>
        <w:jc w:val="both"/>
        <w:rPr>
          <w:rFonts w:ascii="Times New Roman" w:hAnsi="Times New Roman" w:cs="Times New Roman"/>
          <w:noProof/>
          <w:sz w:val="24"/>
          <w:szCs w:val="24"/>
        </w:rPr>
      </w:pPr>
      <w:r>
        <w:rPr>
          <w:rFonts w:ascii="Times New Roman" w:hAnsi="Times New Roman"/>
          <w:noProof/>
          <w:sz w:val="24"/>
        </w:rPr>
        <w:t>Toutefois, l'évaluation met également au jour un certain nombre de difficultés qui devraient être traitées si l’on veut tirer pleinement parti du potentiel des ISP pour l’économie et la société eur</w:t>
      </w:r>
      <w:r>
        <w:rPr>
          <w:rFonts w:ascii="Times New Roman" w:hAnsi="Times New Roman"/>
          <w:noProof/>
          <w:sz w:val="24"/>
        </w:rPr>
        <w:t>opéennes. Il s'agit notamment i) de faciliter la réutilisation des données dynamiques; ii) de libérer l'accès à des données publiques de forte valeur qui échappent actuellement au champ d'application de la directive (données scientifiques, données des entr</w:t>
      </w:r>
      <w:r>
        <w:rPr>
          <w:rFonts w:ascii="Times New Roman" w:hAnsi="Times New Roman"/>
          <w:noProof/>
          <w:sz w:val="24"/>
        </w:rPr>
        <w:t>eprises publiques du secteur des services d'intérêt public); iii) de résoudre le problème du verrouillage des ISP; iv) de limiter le recours aux dérogations permettant aux entités du secteur public de fixer des redevances supérieures aux coûts marginaux; e</w:t>
      </w:r>
      <w:r>
        <w:rPr>
          <w:rFonts w:ascii="Times New Roman" w:hAnsi="Times New Roman"/>
          <w:noProof/>
          <w:sz w:val="24"/>
        </w:rPr>
        <w:t>t v) de clarifier certains aspects de l'interaction entre la directive ISP et les directives concernant les bases de données et INSPIRE.</w:t>
      </w:r>
    </w:p>
    <w:sectPr w:rsidR="009817F7">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6EDC80" w15:done="0"/>
  <w15:commentEx w15:paraId="7F48BC78" w15:done="0"/>
  <w15:commentEx w15:paraId="5EB31D17" w15:done="0"/>
  <w15:commentEx w15:paraId="28C2D835" w15:done="0"/>
  <w15:commentEx w15:paraId="70CE75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7F7" w:rsidRDefault="00C956E5">
      <w:pPr>
        <w:spacing w:after="0" w:line="240" w:lineRule="auto"/>
      </w:pPr>
      <w:r>
        <w:separator/>
      </w:r>
    </w:p>
  </w:endnote>
  <w:endnote w:type="continuationSeparator" w:id="0">
    <w:p w:rsidR="009817F7" w:rsidRDefault="00C956E5">
      <w:pPr>
        <w:spacing w:after="0" w:line="240" w:lineRule="auto"/>
      </w:pPr>
      <w:r>
        <w:continuationSeparator/>
      </w:r>
    </w:p>
  </w:endnote>
  <w:endnote w:type="continuationNotice" w:id="1">
    <w:p w:rsidR="009817F7" w:rsidRDefault="00981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E5" w:rsidRPr="00C956E5" w:rsidRDefault="00C956E5" w:rsidP="00C956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E5" w:rsidRPr="00C956E5" w:rsidRDefault="00C956E5" w:rsidP="00C956E5">
    <w:pPr>
      <w:pStyle w:val="FooterCoverPage"/>
      <w:rPr>
        <w:rFonts w:ascii="Arial" w:hAnsi="Arial" w:cs="Arial"/>
        <w:b/>
        <w:sz w:val="48"/>
      </w:rPr>
    </w:pPr>
    <w:r w:rsidRPr="00C956E5">
      <w:rPr>
        <w:rFonts w:ascii="Arial" w:hAnsi="Arial" w:cs="Arial"/>
        <w:b/>
        <w:sz w:val="48"/>
      </w:rPr>
      <w:t>FR</w:t>
    </w:r>
    <w:r w:rsidRPr="00C956E5">
      <w:rPr>
        <w:rFonts w:ascii="Arial" w:hAnsi="Arial" w:cs="Arial"/>
        <w:b/>
        <w:sz w:val="48"/>
      </w:rPr>
      <w:tab/>
    </w:r>
    <w:r w:rsidRPr="00C956E5">
      <w:rPr>
        <w:rFonts w:ascii="Arial" w:hAnsi="Arial" w:cs="Arial"/>
        <w:b/>
        <w:sz w:val="48"/>
      </w:rPr>
      <w:tab/>
    </w:r>
    <w:r w:rsidRPr="00C956E5">
      <w:tab/>
    </w:r>
    <w:r w:rsidRPr="00C956E5">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E5" w:rsidRPr="00C956E5" w:rsidRDefault="00C956E5" w:rsidP="00C956E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418181"/>
      <w:docPartObj>
        <w:docPartGallery w:val="Page Numbers (Bottom of Page)"/>
        <w:docPartUnique/>
      </w:docPartObj>
    </w:sdtPr>
    <w:sdtEndPr>
      <w:rPr>
        <w:noProof/>
      </w:rPr>
    </w:sdtEndPr>
    <w:sdtContent>
      <w:p w:rsidR="009817F7" w:rsidRDefault="00C956E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817F7" w:rsidRDefault="009817F7">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7F7" w:rsidRDefault="00C956E5">
      <w:pPr>
        <w:spacing w:after="0" w:line="240" w:lineRule="auto"/>
      </w:pPr>
      <w:r>
        <w:separator/>
      </w:r>
    </w:p>
  </w:footnote>
  <w:footnote w:type="continuationSeparator" w:id="0">
    <w:p w:rsidR="009817F7" w:rsidRDefault="00C956E5">
      <w:pPr>
        <w:spacing w:after="0" w:line="240" w:lineRule="auto"/>
      </w:pPr>
      <w:r>
        <w:continuationSeparator/>
      </w:r>
    </w:p>
  </w:footnote>
  <w:footnote w:type="continuationNotice" w:id="1">
    <w:p w:rsidR="009817F7" w:rsidRDefault="009817F7">
      <w:pPr>
        <w:spacing w:after="0" w:line="240" w:lineRule="auto"/>
      </w:pPr>
    </w:p>
  </w:footnote>
  <w:footnote w:id="2">
    <w:p w:rsidR="009817F7" w:rsidRDefault="00C956E5">
      <w:pPr>
        <w:pStyle w:val="FootnoteText"/>
        <w:spacing w:after="0"/>
        <w:rPr>
          <w:lang w:val="en-GB"/>
        </w:rPr>
      </w:pPr>
      <w:r>
        <w:rPr>
          <w:rStyle w:val="FootnoteReference"/>
        </w:rPr>
        <w:footnoteRef/>
      </w:r>
      <w:r>
        <w:rPr>
          <w:lang w:val="en-GB"/>
        </w:rPr>
        <w:t xml:space="preserve"> </w:t>
      </w:r>
      <w:r>
        <w:rPr>
          <w:lang w:val="en-GB"/>
        </w:rPr>
        <w:tab/>
        <w:t>SWD(2018) 145.</w:t>
      </w:r>
    </w:p>
  </w:footnote>
  <w:footnote w:id="3">
    <w:p w:rsidR="009817F7" w:rsidRDefault="00C956E5">
      <w:pPr>
        <w:pStyle w:val="FootnoteText"/>
        <w:spacing w:after="0"/>
        <w:rPr>
          <w:lang w:val="en-GB"/>
        </w:rPr>
      </w:pPr>
      <w:r>
        <w:rPr>
          <w:rStyle w:val="FootnoteReference"/>
        </w:rPr>
        <w:footnoteRef/>
      </w:r>
      <w:r>
        <w:rPr>
          <w:lang w:val="en-GB"/>
        </w:rPr>
        <w:t xml:space="preserve"> </w:t>
      </w:r>
      <w:r>
        <w:rPr>
          <w:lang w:val="en-GB"/>
        </w:rPr>
        <w:tab/>
        <w:t>SWD(2018) 127.</w:t>
      </w:r>
    </w:p>
  </w:footnote>
  <w:footnote w:id="4">
    <w:p w:rsidR="009817F7" w:rsidRDefault="00C956E5">
      <w:pPr>
        <w:pStyle w:val="FootnoteText"/>
        <w:spacing w:after="0"/>
        <w:rPr>
          <w:lang w:val="en-GB"/>
        </w:rPr>
      </w:pPr>
      <w:r>
        <w:rPr>
          <w:rStyle w:val="FootnoteReference"/>
        </w:rPr>
        <w:footnoteRef/>
      </w:r>
      <w:r>
        <w:rPr>
          <w:lang w:val="en-GB"/>
        </w:rPr>
        <w:t xml:space="preserve"> </w:t>
      </w:r>
      <w:r>
        <w:rPr>
          <w:lang w:val="en-GB"/>
        </w:rPr>
        <w:tab/>
        <w:t>«Impact Assessment Support Study», Del</w:t>
      </w:r>
      <w:r>
        <w:rPr>
          <w:lang w:val="en-GB"/>
        </w:rPr>
        <w:t xml:space="preserve">oitte, SMART 2017/0061: </w:t>
      </w:r>
      <w:hyperlink r:id="rId1">
        <w:r>
          <w:rPr>
            <w:lang w:val="en-GB"/>
          </w:rPr>
          <w:t>https://ec.europa.eu/digital-single-market/news-redirect/623420</w:t>
        </w:r>
      </w:hyperlink>
      <w:r>
        <w:rPr>
          <w:lang w:val="en-GB"/>
        </w:rPr>
        <w:t xml:space="preserve">  </w:t>
      </w:r>
    </w:p>
  </w:footnote>
  <w:footnote w:id="5">
    <w:p w:rsidR="009817F7" w:rsidRDefault="00C956E5">
      <w:pPr>
        <w:pStyle w:val="FootnoteText"/>
        <w:spacing w:after="0"/>
        <w:rPr>
          <w:lang w:val="en-GB"/>
        </w:rPr>
      </w:pPr>
      <w:r>
        <w:rPr>
          <w:rStyle w:val="FootnoteReference"/>
        </w:rPr>
        <w:footnoteRef/>
      </w:r>
      <w:r>
        <w:rPr>
          <w:lang w:val="en-GB"/>
        </w:rPr>
        <w:t xml:space="preserve"> </w:t>
      </w:r>
      <w:r>
        <w:rPr>
          <w:lang w:val="en-GB"/>
        </w:rPr>
        <w:tab/>
      </w:r>
      <w:hyperlink r:id="rId2">
        <w:r>
          <w:rPr>
            <w:rStyle w:val="Hyperlink"/>
            <w:lang w:val="en-GB"/>
          </w:rPr>
          <w:t>https://www.europeandataportal.eu/sites/default/files/edp_landscaping_insight_report_n3_2017.pdf</w:t>
        </w:r>
      </w:hyperlink>
      <w:r>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E5" w:rsidRPr="00C956E5" w:rsidRDefault="00C956E5" w:rsidP="00C956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E5" w:rsidRPr="00C956E5" w:rsidRDefault="00C956E5" w:rsidP="00C956E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E5" w:rsidRPr="00C956E5" w:rsidRDefault="00C956E5" w:rsidP="00C956E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28F"/>
    <w:multiLevelType w:val="hybridMultilevel"/>
    <w:tmpl w:val="8014F616"/>
    <w:lvl w:ilvl="0" w:tplc="59742F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C76D3"/>
    <w:multiLevelType w:val="hybridMultilevel"/>
    <w:tmpl w:val="C008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6939"/>
    <w:multiLevelType w:val="hybridMultilevel"/>
    <w:tmpl w:val="0EE8197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nsid w:val="0A7842BC"/>
    <w:multiLevelType w:val="hybridMultilevel"/>
    <w:tmpl w:val="4A0884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nsid w:val="0B9A48D2"/>
    <w:multiLevelType w:val="hybridMultilevel"/>
    <w:tmpl w:val="E59C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C46A9D"/>
    <w:multiLevelType w:val="hybridMultilevel"/>
    <w:tmpl w:val="8EC24902"/>
    <w:lvl w:ilvl="0" w:tplc="872E674A">
      <w:start w:val="1"/>
      <w:numFmt w:val="bullet"/>
      <w:lvlText w:val=""/>
      <w:lvlJc w:val="left"/>
      <w:pPr>
        <w:ind w:left="720" w:hanging="360"/>
      </w:pPr>
      <w:rPr>
        <w:rFonts w:ascii="Symbol" w:hAnsi="Symbol" w:hint="default"/>
        <w:color w:val="4F81BD" w:themeColor="accent1"/>
      </w:rPr>
    </w:lvl>
    <w:lvl w:ilvl="1" w:tplc="872E674A">
      <w:start w:val="1"/>
      <w:numFmt w:val="bullet"/>
      <w:lvlText w:val=""/>
      <w:lvlJc w:val="left"/>
      <w:pPr>
        <w:ind w:left="1440" w:hanging="360"/>
      </w:pPr>
      <w:rPr>
        <w:rFonts w:ascii="Symbol" w:hAnsi="Symbol" w:hint="default"/>
        <w:color w:val="4F81BD"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A58AF"/>
    <w:multiLevelType w:val="hybridMultilevel"/>
    <w:tmpl w:val="FB34B27E"/>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11B43"/>
    <w:multiLevelType w:val="hybridMultilevel"/>
    <w:tmpl w:val="1C50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A24E7A"/>
    <w:multiLevelType w:val="hybridMultilevel"/>
    <w:tmpl w:val="B4386BF2"/>
    <w:lvl w:ilvl="0" w:tplc="C554B40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073007"/>
    <w:multiLevelType w:val="hybridMultilevel"/>
    <w:tmpl w:val="4D52BFF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186920A3"/>
    <w:multiLevelType w:val="hybridMultilevel"/>
    <w:tmpl w:val="8268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F94DC0"/>
    <w:multiLevelType w:val="hybridMultilevel"/>
    <w:tmpl w:val="CA2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903335"/>
    <w:multiLevelType w:val="hybridMultilevel"/>
    <w:tmpl w:val="9088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6D97D83"/>
    <w:multiLevelType w:val="hybridMultilevel"/>
    <w:tmpl w:val="A11E8F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88637A"/>
    <w:multiLevelType w:val="hybridMultilevel"/>
    <w:tmpl w:val="1D4E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F7580D"/>
    <w:multiLevelType w:val="multilevel"/>
    <w:tmpl w:val="42808AA2"/>
    <w:lvl w:ilvl="0">
      <w:start w:val="1"/>
      <w:numFmt w:val="bullet"/>
      <w:lvlText w:val=""/>
      <w:lvlJc w:val="left"/>
      <w:pPr>
        <w:ind w:left="567" w:hanging="283"/>
      </w:pPr>
      <w:rPr>
        <w:rFonts w:ascii="Symbol" w:hAnsi="Symbol" w:hint="default"/>
        <w:color w:val="auto"/>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17">
    <w:nsid w:val="2D415C0F"/>
    <w:multiLevelType w:val="hybridMultilevel"/>
    <w:tmpl w:val="CBA6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0E2769"/>
    <w:multiLevelType w:val="hybridMultilevel"/>
    <w:tmpl w:val="329C0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1276408"/>
    <w:multiLevelType w:val="hybridMultilevel"/>
    <w:tmpl w:val="AE64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3A4234"/>
    <w:multiLevelType w:val="hybridMultilevel"/>
    <w:tmpl w:val="F59AC966"/>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845C47"/>
    <w:multiLevelType w:val="hybridMultilevel"/>
    <w:tmpl w:val="9A7E50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nsid w:val="38804637"/>
    <w:multiLevelType w:val="hybridMultilevel"/>
    <w:tmpl w:val="D26E5C8E"/>
    <w:lvl w:ilvl="0" w:tplc="872E674A">
      <w:start w:val="1"/>
      <w:numFmt w:val="bullet"/>
      <w:lvlText w:val=""/>
      <w:lvlJc w:val="left"/>
      <w:pPr>
        <w:ind w:left="720" w:hanging="360"/>
      </w:pPr>
      <w:rPr>
        <w:rFonts w:ascii="Symbol" w:hAnsi="Symbol"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DC16BE"/>
    <w:multiLevelType w:val="hybridMultilevel"/>
    <w:tmpl w:val="3FB42B42"/>
    <w:lvl w:ilvl="0" w:tplc="5B0C562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9663B2E"/>
    <w:multiLevelType w:val="hybridMultilevel"/>
    <w:tmpl w:val="1DAA7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9F6409"/>
    <w:multiLevelType w:val="hybridMultilevel"/>
    <w:tmpl w:val="0B0E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3CF012E9"/>
    <w:multiLevelType w:val="multilevel"/>
    <w:tmpl w:val="73FE5190"/>
    <w:lvl w:ilvl="0">
      <w:start w:val="1"/>
      <w:numFmt w:val="bullet"/>
      <w:lvlText w:val=""/>
      <w:lvlJc w:val="left"/>
      <w:pPr>
        <w:ind w:left="567" w:hanging="283"/>
      </w:pPr>
      <w:rPr>
        <w:rFonts w:ascii="Symbol" w:hAnsi="Symbol" w:hint="default"/>
        <w:color w:val="4F81BD" w:themeColor="accent1"/>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29">
    <w:nsid w:val="3DAE0228"/>
    <w:multiLevelType w:val="hybridMultilevel"/>
    <w:tmpl w:val="D01E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E7554E9"/>
    <w:multiLevelType w:val="hybridMultilevel"/>
    <w:tmpl w:val="3DA42C76"/>
    <w:lvl w:ilvl="0" w:tplc="0F70A9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5A0E9C"/>
    <w:multiLevelType w:val="hybridMultilevel"/>
    <w:tmpl w:val="67A245E8"/>
    <w:lvl w:ilvl="0" w:tplc="08090001">
      <w:start w:val="1"/>
      <w:numFmt w:val="bullet"/>
      <w:lvlText w:val=""/>
      <w:lvlJc w:val="left"/>
      <w:pPr>
        <w:ind w:left="720" w:hanging="360"/>
      </w:pPr>
      <w:rPr>
        <w:rFonts w:ascii="Symbol" w:hAnsi="Symbol" w:hint="default"/>
        <w:color w:val="4F81BD" w:themeColor="accent1"/>
      </w:rPr>
    </w:lvl>
    <w:lvl w:ilvl="1" w:tplc="872E674A">
      <w:start w:val="1"/>
      <w:numFmt w:val="bullet"/>
      <w:lvlText w:val=""/>
      <w:lvlJc w:val="left"/>
      <w:pPr>
        <w:ind w:left="1440" w:hanging="360"/>
      </w:pPr>
      <w:rPr>
        <w:rFonts w:ascii="Symbol" w:hAnsi="Symbol" w:hint="default"/>
        <w:color w:val="4F81BD"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7F2528"/>
    <w:multiLevelType w:val="hybridMultilevel"/>
    <w:tmpl w:val="571055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95209B8"/>
    <w:multiLevelType w:val="hybridMultilevel"/>
    <w:tmpl w:val="4F5259F0"/>
    <w:lvl w:ilvl="0" w:tplc="B4281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F57BDB"/>
    <w:multiLevelType w:val="hybridMultilevel"/>
    <w:tmpl w:val="B12A1BDA"/>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072987"/>
    <w:multiLevelType w:val="multilevel"/>
    <w:tmpl w:val="C1487538"/>
    <w:lvl w:ilvl="0">
      <w:start w:val="1"/>
      <w:numFmt w:val="bullet"/>
      <w:lvlText w:val=""/>
      <w:lvlJc w:val="left"/>
      <w:pPr>
        <w:ind w:left="567" w:hanging="283"/>
      </w:pPr>
      <w:rPr>
        <w:rFonts w:ascii="Symbol" w:hAnsi="Symbol" w:hint="default"/>
        <w:color w:val="4F81BD" w:themeColor="accent1"/>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36">
    <w:nsid w:val="52C504CC"/>
    <w:multiLevelType w:val="hybridMultilevel"/>
    <w:tmpl w:val="6D92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010585"/>
    <w:multiLevelType w:val="hybridMultilevel"/>
    <w:tmpl w:val="015EB2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3134616"/>
    <w:multiLevelType w:val="hybridMultilevel"/>
    <w:tmpl w:val="AECAFA92"/>
    <w:lvl w:ilvl="0" w:tplc="872E674A">
      <w:start w:val="1"/>
      <w:numFmt w:val="bullet"/>
      <w:lvlText w:val=""/>
      <w:lvlJc w:val="left"/>
      <w:pPr>
        <w:ind w:left="36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B22AA9"/>
    <w:multiLevelType w:val="hybridMultilevel"/>
    <w:tmpl w:val="BA7A69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CD3C2548">
      <w:numFmt w:val="bullet"/>
      <w:lvlText w:val="•"/>
      <w:lvlJc w:val="left"/>
      <w:pPr>
        <w:ind w:left="2340" w:hanging="360"/>
      </w:pPr>
      <w:rPr>
        <w:rFonts w:ascii="Times New Roman" w:eastAsiaTheme="minorHAns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41A1FC6"/>
    <w:multiLevelType w:val="hybridMultilevel"/>
    <w:tmpl w:val="6508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AEF53E3"/>
    <w:multiLevelType w:val="hybridMultilevel"/>
    <w:tmpl w:val="EDB03378"/>
    <w:lvl w:ilvl="0" w:tplc="872E674A">
      <w:start w:val="1"/>
      <w:numFmt w:val="bullet"/>
      <w:lvlText w:val=""/>
      <w:lvlJc w:val="left"/>
      <w:pPr>
        <w:ind w:left="720" w:hanging="360"/>
      </w:pPr>
      <w:rPr>
        <w:rFonts w:ascii="Symbol" w:hAnsi="Symbol" w:hint="default"/>
        <w:color w:val="4F81BD" w:themeColor="accent1"/>
      </w:rPr>
    </w:lvl>
    <w:lvl w:ilvl="1" w:tplc="872E674A">
      <w:start w:val="1"/>
      <w:numFmt w:val="bullet"/>
      <w:lvlText w:val=""/>
      <w:lvlJc w:val="left"/>
      <w:pPr>
        <w:ind w:left="1440" w:hanging="360"/>
      </w:pPr>
      <w:rPr>
        <w:rFonts w:ascii="Symbol" w:hAnsi="Symbol" w:hint="default"/>
        <w:color w:val="4F81BD"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336092"/>
    <w:multiLevelType w:val="hybridMultilevel"/>
    <w:tmpl w:val="0BB4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73E09C2"/>
    <w:multiLevelType w:val="hybridMultilevel"/>
    <w:tmpl w:val="3550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8ED2554"/>
    <w:multiLevelType w:val="hybridMultilevel"/>
    <w:tmpl w:val="4688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162CEF"/>
    <w:multiLevelType w:val="multilevel"/>
    <w:tmpl w:val="ADFE72FE"/>
    <w:lvl w:ilvl="0">
      <w:start w:val="1"/>
      <w:numFmt w:val="bullet"/>
      <w:lvlText w:val=""/>
      <w:lvlJc w:val="left"/>
      <w:pPr>
        <w:ind w:left="567" w:hanging="283"/>
      </w:pPr>
      <w:rPr>
        <w:rFonts w:ascii="Symbol" w:hAnsi="Symbol" w:hint="default"/>
        <w:color w:val="4F81BD" w:themeColor="accent1"/>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47">
    <w:nsid w:val="6E2C5B8E"/>
    <w:multiLevelType w:val="hybridMultilevel"/>
    <w:tmpl w:val="51686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7A4B5B3F"/>
    <w:multiLevelType w:val="hybridMultilevel"/>
    <w:tmpl w:val="895034AE"/>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0A03A6"/>
    <w:multiLevelType w:val="hybridMultilevel"/>
    <w:tmpl w:val="516CF3E6"/>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6C15AA"/>
    <w:multiLevelType w:val="hybridMultilevel"/>
    <w:tmpl w:val="BFDE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C7D13A2"/>
    <w:multiLevelType w:val="hybridMultilevel"/>
    <w:tmpl w:val="DA18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CE64503"/>
    <w:multiLevelType w:val="hybridMultilevel"/>
    <w:tmpl w:val="70A0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3"/>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9"/>
  </w:num>
  <w:num w:numId="7">
    <w:abstractNumId w:val="4"/>
  </w:num>
  <w:num w:numId="8">
    <w:abstractNumId w:val="11"/>
  </w:num>
  <w:num w:numId="9">
    <w:abstractNumId w:val="3"/>
  </w:num>
  <w:num w:numId="10">
    <w:abstractNumId w:val="15"/>
  </w:num>
  <w:num w:numId="11">
    <w:abstractNumId w:val="8"/>
  </w:num>
  <w:num w:numId="12">
    <w:abstractNumId w:val="50"/>
  </w:num>
  <w:num w:numId="13">
    <w:abstractNumId w:val="38"/>
  </w:num>
  <w:num w:numId="14">
    <w:abstractNumId w:val="49"/>
  </w:num>
  <w:num w:numId="15">
    <w:abstractNumId w:val="20"/>
  </w:num>
  <w:num w:numId="16">
    <w:abstractNumId w:val="48"/>
  </w:num>
  <w:num w:numId="17">
    <w:abstractNumId w:val="34"/>
  </w:num>
  <w:num w:numId="18">
    <w:abstractNumId w:val="23"/>
  </w:num>
  <w:num w:numId="19">
    <w:abstractNumId w:val="5"/>
  </w:num>
  <w:num w:numId="20">
    <w:abstractNumId w:val="33"/>
  </w:num>
  <w:num w:numId="21">
    <w:abstractNumId w:val="30"/>
  </w:num>
  <w:num w:numId="22">
    <w:abstractNumId w:val="41"/>
  </w:num>
  <w:num w:numId="23">
    <w:abstractNumId w:val="0"/>
  </w:num>
  <w:num w:numId="24">
    <w:abstractNumId w:val="6"/>
  </w:num>
  <w:num w:numId="25">
    <w:abstractNumId w:val="28"/>
  </w:num>
  <w:num w:numId="26">
    <w:abstractNumId w:val="19"/>
  </w:num>
  <w:num w:numId="27">
    <w:abstractNumId w:val="52"/>
  </w:num>
  <w:num w:numId="28">
    <w:abstractNumId w:val="10"/>
  </w:num>
  <w:num w:numId="29">
    <w:abstractNumId w:val="1"/>
  </w:num>
  <w:num w:numId="30">
    <w:abstractNumId w:val="9"/>
  </w:num>
  <w:num w:numId="31">
    <w:abstractNumId w:val="44"/>
  </w:num>
  <w:num w:numId="32">
    <w:abstractNumId w:val="51"/>
  </w:num>
  <w:num w:numId="33">
    <w:abstractNumId w:val="46"/>
  </w:num>
  <w:num w:numId="34">
    <w:abstractNumId w:val="45"/>
  </w:num>
  <w:num w:numId="35">
    <w:abstractNumId w:val="40"/>
  </w:num>
  <w:num w:numId="36">
    <w:abstractNumId w:val="21"/>
  </w:num>
  <w:num w:numId="37">
    <w:abstractNumId w:val="31"/>
  </w:num>
  <w:num w:numId="38">
    <w:abstractNumId w:val="47"/>
  </w:num>
  <w:num w:numId="39">
    <w:abstractNumId w:val="18"/>
  </w:num>
  <w:num w:numId="40">
    <w:abstractNumId w:val="35"/>
  </w:num>
  <w:num w:numId="41">
    <w:abstractNumId w:val="26"/>
  </w:num>
  <w:num w:numId="42">
    <w:abstractNumId w:val="16"/>
  </w:num>
  <w:num w:numId="43">
    <w:abstractNumId w:val="24"/>
  </w:num>
  <w:num w:numId="44">
    <w:abstractNumId w:val="14"/>
  </w:num>
  <w:num w:numId="45">
    <w:abstractNumId w:val="17"/>
  </w:num>
  <w:num w:numId="46">
    <w:abstractNumId w:val="12"/>
  </w:num>
  <w:num w:numId="47">
    <w:abstractNumId w:val="7"/>
  </w:num>
  <w:num w:numId="48">
    <w:abstractNumId w:val="42"/>
  </w:num>
  <w:num w:numId="49">
    <w:abstractNumId w:val="29"/>
  </w:num>
  <w:num w:numId="50">
    <w:abstractNumId w:val="2"/>
  </w:num>
  <w:num w:numId="51">
    <w:abstractNumId w:val="32"/>
  </w:num>
  <w:num w:numId="52">
    <w:abstractNumId w:val="37"/>
  </w:num>
  <w:num w:numId="53">
    <w:abstractNumId w:val="25"/>
  </w:num>
  <w:num w:numId="54">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DENKAMP Johan (CNECT)">
    <w15:presenceInfo w15:providerId="None" w15:userId="BODENKAMP Johan (CN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A00032CF-16DD-49C9-B5A3-902A86D2D8D7"/>
    <w:docVar w:name="LW_COVERPAGE_TYPE" w:val="1"/>
    <w:docVar w:name="LW_CROSSREFERENCE" w:val="{COM(2018) 234 final}_x000d__x000a_{SWD(2018) 145 final}"/>
    <w:docVar w:name="LW_DocType" w:val="NORMAL"/>
    <w:docVar w:name="LW_EMISSION" w:val="25.4.2018"/>
    <w:docVar w:name="LW_EMISSION_ISODATE" w:val="2018-04-25"/>
    <w:docVar w:name="LW_EMISSION_LOCATION" w:val="BRX"/>
    <w:docVar w:name="LW_EMISSION_PREFIX" w:val="Bruxelles, le"/>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ÉSUMÉ DE L'ÉVALUATION"/>
    <w:docVar w:name="LW_TYPE.DOC.CP" w:val="DOCUMENT DE TRAVAIL DES SERVICES DE LA COMMISSION"/>
    <w:docVar w:name="LW_TYPEACTEPRINCIPAL.CP" w:val="proposition de directive du Parlement européen et du Conseil concernant la réutilisation des informations du secteur public (refonte)"/>
  </w:docVars>
  <w:rsids>
    <w:rsidRoot w:val="009817F7"/>
    <w:rsid w:val="009817F7"/>
    <w:rsid w:val="00C956E5"/>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Car,Fotnotstext1,9 p"/>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fr-FR"/>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Deloitte"/>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fr-F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 BVI fnr,FR"/>
    <w:link w:val="FootnotesymbolCharCharCharChar"/>
    <w:uiPriority w:val="99"/>
    <w:unhideWhenUsed/>
    <w:qFormat/>
    <w:rPr>
      <w:sz w:val="20"/>
      <w:vertAlign w:val="superscript"/>
    </w:rPr>
  </w:style>
  <w:style w:type="paragraph" w:styleId="ListParagraph">
    <w:name w:val="List Paragraph"/>
    <w:aliases w:val="List,List1,1st level - Bullet List Paragraph,List Paragraph1,Lettre d'introduction,Paragrafo elenco,Normal bullet 2,Medium Grid 1 - Accent 21,List Paragraph11,FooterText,Paragraphe de liste1,Bullet list,Bullet 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Char,List1 Char,1st level - Bullet List Paragraph Char,List Paragraph1 Char,Lettre d'introduction Char,Paragrafo elenco Char,Normal bullet 2 Char,Medium Grid 1 - Accent 21 Char,List Paragraph11 Char,FooterText Char"/>
    <w:basedOn w:val="DefaultParagraphFont"/>
    <w:link w:val="ListParagraph"/>
    <w:uiPriority w:val="34"/>
    <w:qFormat/>
    <w:rPr>
      <w:rFonts w:ascii="Times New Roman" w:eastAsia="Times New Roman" w:hAnsi="Times New Roman" w:cs="Times New Roman"/>
      <w:sz w:val="24"/>
      <w:szCs w:val="20"/>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Caption">
    <w:name w:val="caption"/>
    <w:aliases w:val="Caption PSP,Caption - Centre Graphic,Char Char Char,Caption1 Char Char Char Char Char Char Char Char,Caption1 Char Char Char Char Char Char Char Char Tegn Tegn Tegn Tegn Tegn,Caption1 Char Char Char Char Char Char Char Char Tegn Tegn Tegn,C"/>
    <w:basedOn w:val="Normal"/>
    <w:next w:val="Normal"/>
    <w:uiPriority w:val="99"/>
    <w:unhideWhenUsed/>
    <w:qFormat/>
    <w:pPr>
      <w:spacing w:before="120" w:line="240" w:lineRule="auto"/>
      <w:jc w:val="center"/>
    </w:pPr>
    <w:rPr>
      <w:rFonts w:ascii="Calibri" w:eastAsiaTheme="minorEastAsia" w:hAnsi="Calibri"/>
      <w:i/>
      <w:iCs/>
      <w:color w:val="4F81BD" w:themeColor="accent1"/>
      <w:sz w:val="20"/>
      <w:szCs w:val="18"/>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pPr>
      <w:spacing w:after="160" w:line="240" w:lineRule="exact"/>
    </w:pPr>
    <w:rPr>
      <w:sz w:val="20"/>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table" w:customStyle="1" w:styleId="GridTable4-Accent11">
    <w:name w:val="Grid Table 4 - Accent 11"/>
    <w:basedOn w:val="TableNormal"/>
    <w:uiPriority w:val="49"/>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yperlink1">
    <w:name w:val="Hyperlink1"/>
    <w:basedOn w:val="DefaultParagraphFont"/>
    <w:uiPriority w:val="99"/>
    <w:rPr>
      <w:color w:val="0097A9"/>
      <w:u w:val="single"/>
    </w:rPr>
  </w:style>
  <w:style w:type="table" w:customStyle="1" w:styleId="ListTable2-Accent11">
    <w:name w:val="List Table 2 - Accent 11"/>
    <w:basedOn w:val="TableNormal"/>
    <w:next w:val="TableNormal"/>
    <w:uiPriority w:val="47"/>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loitte51">
    <w:name w:val="Deloitte51"/>
    <w:basedOn w:val="TableNormal"/>
    <w:next w:val="TableGrid"/>
    <w:uiPriority w:val="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pBdr>
        <w:top w:val="nil"/>
        <w:left w:val="nil"/>
        <w:bottom w:val="nil"/>
        <w:right w:val="nil"/>
        <w:between w:val="nil"/>
      </w:pBdr>
      <w:spacing w:after="0"/>
    </w:pPr>
    <w:rPr>
      <w:rFonts w:ascii="Arial" w:eastAsia="Arial" w:hAnsi="Arial" w:cs="Arial"/>
      <w:color w:val="00000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vertAlign w:val="superscript"/>
    </w:rPr>
  </w:style>
  <w:style w:type="paragraph" w:customStyle="1" w:styleId="BodY">
    <w:name w:val="BodY"/>
    <w:basedOn w:val="Normal"/>
    <w:link w:val="BodYChar"/>
    <w:autoRedefine/>
    <w:qFormat/>
    <w:pPr>
      <w:tabs>
        <w:tab w:val="left" w:pos="993"/>
      </w:tabs>
      <w:spacing w:after="120" w:line="360" w:lineRule="auto"/>
      <w:jc w:val="both"/>
    </w:pPr>
    <w:rPr>
      <w:rFonts w:ascii="Times New Roman" w:eastAsia="Times New Roman" w:hAnsi="Times New Roman" w:cs="Times New Roman"/>
      <w:sz w:val="24"/>
      <w:szCs w:val="16"/>
    </w:rPr>
  </w:style>
  <w:style w:type="character" w:customStyle="1" w:styleId="BodYChar">
    <w:name w:val="BodY Char"/>
    <w:link w:val="BodY"/>
    <w:rPr>
      <w:rFonts w:ascii="Times New Roman" w:eastAsia="Times New Roman" w:hAnsi="Times New Roman" w:cs="Times New Roman"/>
      <w:sz w:val="24"/>
      <w:szCs w:val="16"/>
      <w:lang w:val="fr-FR" w:eastAsia="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Car,Fotnotstext1,9 p"/>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fr-FR"/>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Deloitte"/>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fr-F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 BVI fnr,FR"/>
    <w:link w:val="FootnotesymbolCharCharCharChar"/>
    <w:uiPriority w:val="99"/>
    <w:unhideWhenUsed/>
    <w:qFormat/>
    <w:rPr>
      <w:sz w:val="20"/>
      <w:vertAlign w:val="superscript"/>
    </w:rPr>
  </w:style>
  <w:style w:type="paragraph" w:styleId="ListParagraph">
    <w:name w:val="List Paragraph"/>
    <w:aliases w:val="List,List1,1st level - Bullet List Paragraph,List Paragraph1,Lettre d'introduction,Paragrafo elenco,Normal bullet 2,Medium Grid 1 - Accent 21,List Paragraph11,FooterText,Paragraphe de liste1,Bullet list,Bullet 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Char,List1 Char,1st level - Bullet List Paragraph Char,List Paragraph1 Char,Lettre d'introduction Char,Paragrafo elenco Char,Normal bullet 2 Char,Medium Grid 1 - Accent 21 Char,List Paragraph11 Char,FooterText Char"/>
    <w:basedOn w:val="DefaultParagraphFont"/>
    <w:link w:val="ListParagraph"/>
    <w:uiPriority w:val="34"/>
    <w:qFormat/>
    <w:rPr>
      <w:rFonts w:ascii="Times New Roman" w:eastAsia="Times New Roman" w:hAnsi="Times New Roman" w:cs="Times New Roman"/>
      <w:sz w:val="24"/>
      <w:szCs w:val="20"/>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Caption">
    <w:name w:val="caption"/>
    <w:aliases w:val="Caption PSP,Caption - Centre Graphic,Char Char Char,Caption1 Char Char Char Char Char Char Char Char,Caption1 Char Char Char Char Char Char Char Char Tegn Tegn Tegn Tegn Tegn,Caption1 Char Char Char Char Char Char Char Char Tegn Tegn Tegn,C"/>
    <w:basedOn w:val="Normal"/>
    <w:next w:val="Normal"/>
    <w:uiPriority w:val="99"/>
    <w:unhideWhenUsed/>
    <w:qFormat/>
    <w:pPr>
      <w:spacing w:before="120" w:line="240" w:lineRule="auto"/>
      <w:jc w:val="center"/>
    </w:pPr>
    <w:rPr>
      <w:rFonts w:ascii="Calibri" w:eastAsiaTheme="minorEastAsia" w:hAnsi="Calibri"/>
      <w:i/>
      <w:iCs/>
      <w:color w:val="4F81BD" w:themeColor="accent1"/>
      <w:sz w:val="20"/>
      <w:szCs w:val="18"/>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pPr>
      <w:spacing w:after="160" w:line="240" w:lineRule="exact"/>
    </w:pPr>
    <w:rPr>
      <w:sz w:val="20"/>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table" w:customStyle="1" w:styleId="GridTable4-Accent11">
    <w:name w:val="Grid Table 4 - Accent 11"/>
    <w:basedOn w:val="TableNormal"/>
    <w:uiPriority w:val="49"/>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yperlink1">
    <w:name w:val="Hyperlink1"/>
    <w:basedOn w:val="DefaultParagraphFont"/>
    <w:uiPriority w:val="99"/>
    <w:rPr>
      <w:color w:val="0097A9"/>
      <w:u w:val="single"/>
    </w:rPr>
  </w:style>
  <w:style w:type="table" w:customStyle="1" w:styleId="ListTable2-Accent11">
    <w:name w:val="List Table 2 - Accent 11"/>
    <w:basedOn w:val="TableNormal"/>
    <w:next w:val="TableNormal"/>
    <w:uiPriority w:val="47"/>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loitte51">
    <w:name w:val="Deloitte51"/>
    <w:basedOn w:val="TableNormal"/>
    <w:next w:val="TableGrid"/>
    <w:uiPriority w:val="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pBdr>
        <w:top w:val="nil"/>
        <w:left w:val="nil"/>
        <w:bottom w:val="nil"/>
        <w:right w:val="nil"/>
        <w:between w:val="nil"/>
      </w:pBdr>
      <w:spacing w:after="0"/>
    </w:pPr>
    <w:rPr>
      <w:rFonts w:ascii="Arial" w:eastAsia="Arial" w:hAnsi="Arial" w:cs="Arial"/>
      <w:color w:val="00000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vertAlign w:val="superscript"/>
    </w:rPr>
  </w:style>
  <w:style w:type="paragraph" w:customStyle="1" w:styleId="BodY">
    <w:name w:val="BodY"/>
    <w:basedOn w:val="Normal"/>
    <w:link w:val="BodYChar"/>
    <w:autoRedefine/>
    <w:qFormat/>
    <w:pPr>
      <w:tabs>
        <w:tab w:val="left" w:pos="993"/>
      </w:tabs>
      <w:spacing w:after="120" w:line="360" w:lineRule="auto"/>
      <w:jc w:val="both"/>
    </w:pPr>
    <w:rPr>
      <w:rFonts w:ascii="Times New Roman" w:eastAsia="Times New Roman" w:hAnsi="Times New Roman" w:cs="Times New Roman"/>
      <w:sz w:val="24"/>
      <w:szCs w:val="16"/>
    </w:rPr>
  </w:style>
  <w:style w:type="character" w:customStyle="1" w:styleId="BodYChar">
    <w:name w:val="BodY Char"/>
    <w:link w:val="BodY"/>
    <w:rPr>
      <w:rFonts w:ascii="Times New Roman" w:eastAsia="Times New Roman" w:hAnsi="Times New Roman" w:cs="Times New Roman"/>
      <w:sz w:val="24"/>
      <w:szCs w:val="16"/>
      <w:lang w:val="fr-FR" w:eastAsia="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94913">
      <w:bodyDiv w:val="1"/>
      <w:marLeft w:val="0"/>
      <w:marRight w:val="0"/>
      <w:marTop w:val="0"/>
      <w:marBottom w:val="0"/>
      <w:divBdr>
        <w:top w:val="none" w:sz="0" w:space="0" w:color="auto"/>
        <w:left w:val="none" w:sz="0" w:space="0" w:color="auto"/>
        <w:bottom w:val="none" w:sz="0" w:space="0" w:color="auto"/>
        <w:right w:val="none" w:sz="0" w:space="0" w:color="auto"/>
      </w:divBdr>
      <w:divsChild>
        <w:div w:id="1976622">
          <w:marLeft w:val="0"/>
          <w:marRight w:val="0"/>
          <w:marTop w:val="0"/>
          <w:marBottom w:val="0"/>
          <w:divBdr>
            <w:top w:val="none" w:sz="0" w:space="0" w:color="auto"/>
            <w:left w:val="none" w:sz="0" w:space="0" w:color="auto"/>
            <w:bottom w:val="none" w:sz="0" w:space="0" w:color="auto"/>
            <w:right w:val="none" w:sz="0" w:space="0" w:color="auto"/>
          </w:divBdr>
          <w:divsChild>
            <w:div w:id="387535651">
              <w:marLeft w:val="0"/>
              <w:marRight w:val="0"/>
              <w:marTop w:val="0"/>
              <w:marBottom w:val="0"/>
              <w:divBdr>
                <w:top w:val="none" w:sz="0" w:space="0" w:color="auto"/>
                <w:left w:val="none" w:sz="0" w:space="0" w:color="auto"/>
                <w:bottom w:val="none" w:sz="0" w:space="0" w:color="auto"/>
                <w:right w:val="none" w:sz="0" w:space="0" w:color="auto"/>
              </w:divBdr>
              <w:divsChild>
                <w:div w:id="926891340">
                  <w:marLeft w:val="0"/>
                  <w:marRight w:val="0"/>
                  <w:marTop w:val="0"/>
                  <w:marBottom w:val="0"/>
                  <w:divBdr>
                    <w:top w:val="none" w:sz="0" w:space="0" w:color="auto"/>
                    <w:left w:val="none" w:sz="0" w:space="0" w:color="auto"/>
                    <w:bottom w:val="none" w:sz="0" w:space="0" w:color="auto"/>
                    <w:right w:val="none" w:sz="0" w:space="0" w:color="auto"/>
                  </w:divBdr>
                  <w:divsChild>
                    <w:div w:id="901529099">
                      <w:marLeft w:val="1"/>
                      <w:marRight w:val="1"/>
                      <w:marTop w:val="0"/>
                      <w:marBottom w:val="0"/>
                      <w:divBdr>
                        <w:top w:val="none" w:sz="0" w:space="0" w:color="auto"/>
                        <w:left w:val="none" w:sz="0" w:space="0" w:color="auto"/>
                        <w:bottom w:val="none" w:sz="0" w:space="0" w:color="auto"/>
                        <w:right w:val="none" w:sz="0" w:space="0" w:color="auto"/>
                      </w:divBdr>
                      <w:divsChild>
                        <w:div w:id="1489441851">
                          <w:marLeft w:val="0"/>
                          <w:marRight w:val="0"/>
                          <w:marTop w:val="0"/>
                          <w:marBottom w:val="0"/>
                          <w:divBdr>
                            <w:top w:val="none" w:sz="0" w:space="0" w:color="auto"/>
                            <w:left w:val="none" w:sz="0" w:space="0" w:color="auto"/>
                            <w:bottom w:val="none" w:sz="0" w:space="0" w:color="auto"/>
                            <w:right w:val="none" w:sz="0" w:space="0" w:color="auto"/>
                          </w:divBdr>
                          <w:divsChild>
                            <w:div w:id="1035539760">
                              <w:marLeft w:val="0"/>
                              <w:marRight w:val="0"/>
                              <w:marTop w:val="0"/>
                              <w:marBottom w:val="360"/>
                              <w:divBdr>
                                <w:top w:val="none" w:sz="0" w:space="0" w:color="auto"/>
                                <w:left w:val="none" w:sz="0" w:space="0" w:color="auto"/>
                                <w:bottom w:val="none" w:sz="0" w:space="0" w:color="auto"/>
                                <w:right w:val="none" w:sz="0" w:space="0" w:color="auto"/>
                              </w:divBdr>
                              <w:divsChild>
                                <w:div w:id="1853565866">
                                  <w:marLeft w:val="0"/>
                                  <w:marRight w:val="0"/>
                                  <w:marTop w:val="0"/>
                                  <w:marBottom w:val="0"/>
                                  <w:divBdr>
                                    <w:top w:val="none" w:sz="0" w:space="0" w:color="auto"/>
                                    <w:left w:val="none" w:sz="0" w:space="0" w:color="auto"/>
                                    <w:bottom w:val="none" w:sz="0" w:space="0" w:color="auto"/>
                                    <w:right w:val="none" w:sz="0" w:space="0" w:color="auto"/>
                                  </w:divBdr>
                                  <w:divsChild>
                                    <w:div w:id="903490522">
                                      <w:marLeft w:val="0"/>
                                      <w:marRight w:val="0"/>
                                      <w:marTop w:val="0"/>
                                      <w:marBottom w:val="0"/>
                                      <w:divBdr>
                                        <w:top w:val="none" w:sz="0" w:space="0" w:color="auto"/>
                                        <w:left w:val="none" w:sz="0" w:space="0" w:color="auto"/>
                                        <w:bottom w:val="none" w:sz="0" w:space="0" w:color="auto"/>
                                        <w:right w:val="none" w:sz="0" w:space="0" w:color="auto"/>
                                      </w:divBdr>
                                      <w:divsChild>
                                        <w:div w:id="35933528">
                                          <w:marLeft w:val="0"/>
                                          <w:marRight w:val="0"/>
                                          <w:marTop w:val="0"/>
                                          <w:marBottom w:val="0"/>
                                          <w:divBdr>
                                            <w:top w:val="none" w:sz="0" w:space="0" w:color="auto"/>
                                            <w:left w:val="none" w:sz="0" w:space="0" w:color="auto"/>
                                            <w:bottom w:val="none" w:sz="0" w:space="0" w:color="auto"/>
                                            <w:right w:val="none" w:sz="0" w:space="0" w:color="auto"/>
                                          </w:divBdr>
                                          <w:divsChild>
                                            <w:div w:id="207953825">
                                              <w:marLeft w:val="0"/>
                                              <w:marRight w:val="0"/>
                                              <w:marTop w:val="0"/>
                                              <w:marBottom w:val="0"/>
                                              <w:divBdr>
                                                <w:top w:val="none" w:sz="0" w:space="0" w:color="auto"/>
                                                <w:left w:val="none" w:sz="0" w:space="0" w:color="auto"/>
                                                <w:bottom w:val="none" w:sz="0" w:space="0" w:color="auto"/>
                                                <w:right w:val="none" w:sz="0" w:space="0" w:color="auto"/>
                                              </w:divBdr>
                                              <w:divsChild>
                                                <w:div w:id="1185828166">
                                                  <w:marLeft w:val="0"/>
                                                  <w:marRight w:val="0"/>
                                                  <w:marTop w:val="0"/>
                                                  <w:marBottom w:val="0"/>
                                                  <w:divBdr>
                                                    <w:top w:val="none" w:sz="0" w:space="0" w:color="auto"/>
                                                    <w:left w:val="none" w:sz="0" w:space="0" w:color="auto"/>
                                                    <w:bottom w:val="none" w:sz="0" w:space="0" w:color="auto"/>
                                                    <w:right w:val="none" w:sz="0" w:space="0" w:color="auto"/>
                                                  </w:divBdr>
                                                  <w:divsChild>
                                                    <w:div w:id="1221210934">
                                                      <w:marLeft w:val="0"/>
                                                      <w:marRight w:val="0"/>
                                                      <w:marTop w:val="0"/>
                                                      <w:marBottom w:val="0"/>
                                                      <w:divBdr>
                                                        <w:top w:val="none" w:sz="0" w:space="0" w:color="auto"/>
                                                        <w:left w:val="none" w:sz="0" w:space="0" w:color="auto"/>
                                                        <w:bottom w:val="none" w:sz="0" w:space="0" w:color="auto"/>
                                                        <w:right w:val="none" w:sz="0" w:space="0" w:color="auto"/>
                                                      </w:divBdr>
                                                      <w:divsChild>
                                                        <w:div w:id="5414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011856">
      <w:bodyDiv w:val="1"/>
      <w:marLeft w:val="0"/>
      <w:marRight w:val="0"/>
      <w:marTop w:val="0"/>
      <w:marBottom w:val="0"/>
      <w:divBdr>
        <w:top w:val="none" w:sz="0" w:space="0" w:color="auto"/>
        <w:left w:val="none" w:sz="0" w:space="0" w:color="auto"/>
        <w:bottom w:val="none" w:sz="0" w:space="0" w:color="auto"/>
        <w:right w:val="none" w:sz="0" w:space="0" w:color="auto"/>
      </w:divBdr>
    </w:div>
    <w:div w:id="1870339606">
      <w:bodyDiv w:val="1"/>
      <w:marLeft w:val="0"/>
      <w:marRight w:val="0"/>
      <w:marTop w:val="0"/>
      <w:marBottom w:val="0"/>
      <w:divBdr>
        <w:top w:val="none" w:sz="0" w:space="0" w:color="auto"/>
        <w:left w:val="none" w:sz="0" w:space="0" w:color="auto"/>
        <w:bottom w:val="none" w:sz="0" w:space="0" w:color="auto"/>
        <w:right w:val="none" w:sz="0" w:space="0" w:color="auto"/>
      </w:divBdr>
    </w:div>
    <w:div w:id="2128501330">
      <w:bodyDiv w:val="1"/>
      <w:marLeft w:val="0"/>
      <w:marRight w:val="0"/>
      <w:marTop w:val="0"/>
      <w:marBottom w:val="0"/>
      <w:divBdr>
        <w:top w:val="none" w:sz="0" w:space="0" w:color="auto"/>
        <w:left w:val="none" w:sz="0" w:space="0" w:color="auto"/>
        <w:bottom w:val="none" w:sz="0" w:space="0" w:color="auto"/>
        <w:right w:val="none" w:sz="0" w:space="0" w:color="auto"/>
      </w:divBdr>
      <w:divsChild>
        <w:div w:id="1389958619">
          <w:marLeft w:val="0"/>
          <w:marRight w:val="0"/>
          <w:marTop w:val="0"/>
          <w:marBottom w:val="0"/>
          <w:divBdr>
            <w:top w:val="none" w:sz="0" w:space="0" w:color="auto"/>
            <w:left w:val="none" w:sz="0" w:space="0" w:color="auto"/>
            <w:bottom w:val="none" w:sz="0" w:space="0" w:color="auto"/>
            <w:right w:val="none" w:sz="0" w:space="0" w:color="auto"/>
          </w:divBdr>
          <w:divsChild>
            <w:div w:id="394008156">
              <w:marLeft w:val="0"/>
              <w:marRight w:val="0"/>
              <w:marTop w:val="0"/>
              <w:marBottom w:val="0"/>
              <w:divBdr>
                <w:top w:val="none" w:sz="0" w:space="0" w:color="auto"/>
                <w:left w:val="none" w:sz="0" w:space="0" w:color="auto"/>
                <w:bottom w:val="none" w:sz="0" w:space="0" w:color="auto"/>
                <w:right w:val="none" w:sz="0" w:space="0" w:color="auto"/>
              </w:divBdr>
              <w:divsChild>
                <w:div w:id="2097558405">
                  <w:marLeft w:val="0"/>
                  <w:marRight w:val="0"/>
                  <w:marTop w:val="0"/>
                  <w:marBottom w:val="0"/>
                  <w:divBdr>
                    <w:top w:val="none" w:sz="0" w:space="0" w:color="auto"/>
                    <w:left w:val="none" w:sz="0" w:space="0" w:color="auto"/>
                    <w:bottom w:val="none" w:sz="0" w:space="0" w:color="auto"/>
                    <w:right w:val="none" w:sz="0" w:space="0" w:color="auto"/>
                  </w:divBdr>
                  <w:divsChild>
                    <w:div w:id="2112163594">
                      <w:marLeft w:val="1"/>
                      <w:marRight w:val="1"/>
                      <w:marTop w:val="0"/>
                      <w:marBottom w:val="0"/>
                      <w:divBdr>
                        <w:top w:val="none" w:sz="0" w:space="0" w:color="auto"/>
                        <w:left w:val="none" w:sz="0" w:space="0" w:color="auto"/>
                        <w:bottom w:val="none" w:sz="0" w:space="0" w:color="auto"/>
                        <w:right w:val="none" w:sz="0" w:space="0" w:color="auto"/>
                      </w:divBdr>
                      <w:divsChild>
                        <w:div w:id="1836803075">
                          <w:marLeft w:val="0"/>
                          <w:marRight w:val="0"/>
                          <w:marTop w:val="0"/>
                          <w:marBottom w:val="0"/>
                          <w:divBdr>
                            <w:top w:val="none" w:sz="0" w:space="0" w:color="auto"/>
                            <w:left w:val="none" w:sz="0" w:space="0" w:color="auto"/>
                            <w:bottom w:val="none" w:sz="0" w:space="0" w:color="auto"/>
                            <w:right w:val="none" w:sz="0" w:space="0" w:color="auto"/>
                          </w:divBdr>
                          <w:divsChild>
                            <w:div w:id="464466393">
                              <w:marLeft w:val="0"/>
                              <w:marRight w:val="0"/>
                              <w:marTop w:val="0"/>
                              <w:marBottom w:val="360"/>
                              <w:divBdr>
                                <w:top w:val="none" w:sz="0" w:space="0" w:color="auto"/>
                                <w:left w:val="none" w:sz="0" w:space="0" w:color="auto"/>
                                <w:bottom w:val="none" w:sz="0" w:space="0" w:color="auto"/>
                                <w:right w:val="none" w:sz="0" w:space="0" w:color="auto"/>
                              </w:divBdr>
                              <w:divsChild>
                                <w:div w:id="1389953782">
                                  <w:marLeft w:val="0"/>
                                  <w:marRight w:val="0"/>
                                  <w:marTop w:val="0"/>
                                  <w:marBottom w:val="0"/>
                                  <w:divBdr>
                                    <w:top w:val="none" w:sz="0" w:space="0" w:color="auto"/>
                                    <w:left w:val="none" w:sz="0" w:space="0" w:color="auto"/>
                                    <w:bottom w:val="none" w:sz="0" w:space="0" w:color="auto"/>
                                    <w:right w:val="none" w:sz="0" w:space="0" w:color="auto"/>
                                  </w:divBdr>
                                  <w:divsChild>
                                    <w:div w:id="1127964767">
                                      <w:marLeft w:val="0"/>
                                      <w:marRight w:val="0"/>
                                      <w:marTop w:val="0"/>
                                      <w:marBottom w:val="0"/>
                                      <w:divBdr>
                                        <w:top w:val="none" w:sz="0" w:space="0" w:color="auto"/>
                                        <w:left w:val="none" w:sz="0" w:space="0" w:color="auto"/>
                                        <w:bottom w:val="none" w:sz="0" w:space="0" w:color="auto"/>
                                        <w:right w:val="none" w:sz="0" w:space="0" w:color="auto"/>
                                      </w:divBdr>
                                      <w:divsChild>
                                        <w:div w:id="936982517">
                                          <w:marLeft w:val="0"/>
                                          <w:marRight w:val="0"/>
                                          <w:marTop w:val="0"/>
                                          <w:marBottom w:val="0"/>
                                          <w:divBdr>
                                            <w:top w:val="none" w:sz="0" w:space="0" w:color="auto"/>
                                            <w:left w:val="none" w:sz="0" w:space="0" w:color="auto"/>
                                            <w:bottom w:val="none" w:sz="0" w:space="0" w:color="auto"/>
                                            <w:right w:val="none" w:sz="0" w:space="0" w:color="auto"/>
                                          </w:divBdr>
                                          <w:divsChild>
                                            <w:div w:id="1012218508">
                                              <w:marLeft w:val="0"/>
                                              <w:marRight w:val="0"/>
                                              <w:marTop w:val="0"/>
                                              <w:marBottom w:val="0"/>
                                              <w:divBdr>
                                                <w:top w:val="none" w:sz="0" w:space="0" w:color="auto"/>
                                                <w:left w:val="none" w:sz="0" w:space="0" w:color="auto"/>
                                                <w:bottom w:val="none" w:sz="0" w:space="0" w:color="auto"/>
                                                <w:right w:val="none" w:sz="0" w:space="0" w:color="auto"/>
                                              </w:divBdr>
                                              <w:divsChild>
                                                <w:div w:id="1746603901">
                                                  <w:marLeft w:val="0"/>
                                                  <w:marRight w:val="0"/>
                                                  <w:marTop w:val="0"/>
                                                  <w:marBottom w:val="0"/>
                                                  <w:divBdr>
                                                    <w:top w:val="none" w:sz="0" w:space="0" w:color="auto"/>
                                                    <w:left w:val="none" w:sz="0" w:space="0" w:color="auto"/>
                                                    <w:bottom w:val="none" w:sz="0" w:space="0" w:color="auto"/>
                                                    <w:right w:val="none" w:sz="0" w:space="0" w:color="auto"/>
                                                  </w:divBdr>
                                                  <w:divsChild>
                                                    <w:div w:id="336544485">
                                                      <w:marLeft w:val="0"/>
                                                      <w:marRight w:val="0"/>
                                                      <w:marTop w:val="0"/>
                                                      <w:marBottom w:val="0"/>
                                                      <w:divBdr>
                                                        <w:top w:val="none" w:sz="0" w:space="0" w:color="auto"/>
                                                        <w:left w:val="none" w:sz="0" w:space="0" w:color="auto"/>
                                                        <w:bottom w:val="none" w:sz="0" w:space="0" w:color="auto"/>
                                                        <w:right w:val="none" w:sz="0" w:space="0" w:color="auto"/>
                                                      </w:divBdr>
                                                      <w:divsChild>
                                                        <w:div w:id="12545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63"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 Id="rId64"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www.europeandataportal.eu/sites/default/files/edp_landscaping_insight_report_n3_2017.pdf" TargetMode="External"/><Relationship Id="rId1" Type="http://schemas.openxmlformats.org/officeDocument/2006/relationships/hyperlink" Target="https://ec.europa.eu/digital-single-market/news-redirect/623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UVNUSV5RWJH5-815657195-512</_dlc_DocId>
    <_dlc_DocIdUrl xmlns="866aabb8-7ec2-447a-a7ff-f911015037e7">
      <Url>https://myintracomm-collab.ec.europa.eu/dg/CONNECT/directorateG/UnitG1/_layouts/15/DocIdRedir.aspx?ID=UVNUSV5RWJH5-815657195-512</Url>
      <Description>UVNUSV5RWJH5-815657195-512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2B97-455F-4A15-8A50-A626B6251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B792A-65AF-46C7-ABC4-4AE197DEFA7E}">
  <ds:schemaRefs>
    <ds:schemaRef ds:uri="http://purl.org/dc/elements/1.1/"/>
    <ds:schemaRef ds:uri="http://schemas.microsoft.com/office/2006/documentManagement/types"/>
    <ds:schemaRef ds:uri="http://purl.org/dc/dcmitype/"/>
    <ds:schemaRef ds:uri="866aabb8-7ec2-447a-a7ff-f911015037e7"/>
    <ds:schemaRef ds:uri="http://schemas.microsoft.com/office/infopath/2007/PartnerControls"/>
    <ds:schemaRef ds:uri="http://www.w3.org/XML/1998/namespace"/>
    <ds:schemaRef ds:uri="http://purl.org/dc/terms/"/>
    <ds:schemaRef ds:uri="http://schemas.openxmlformats.org/package/2006/metadata/core-properties"/>
    <ds:schemaRef ds:uri="8a4779a7-a821-41bc-9264-6a7285c3b1da"/>
    <ds:schemaRef ds:uri="http://schemas.microsoft.com/office/2006/metadata/properties"/>
  </ds:schemaRefs>
</ds:datastoreItem>
</file>

<file path=customXml/itemProps3.xml><?xml version="1.0" encoding="utf-8"?>
<ds:datastoreItem xmlns:ds="http://schemas.openxmlformats.org/officeDocument/2006/customXml" ds:itemID="{D572F000-0BFD-435B-864D-2D5A04003E35}">
  <ds:schemaRefs>
    <ds:schemaRef ds:uri="http://schemas.microsoft.com/sharepoint/events"/>
  </ds:schemaRefs>
</ds:datastoreItem>
</file>

<file path=customXml/itemProps4.xml><?xml version="1.0" encoding="utf-8"?>
<ds:datastoreItem xmlns:ds="http://schemas.openxmlformats.org/officeDocument/2006/customXml" ds:itemID="{8C18A3F7-8628-4A5B-891D-24E4CD247D12}">
  <ds:schemaRefs>
    <ds:schemaRef ds:uri="http://schemas.microsoft.com/sharepoint/v3/contenttype/forms"/>
  </ds:schemaRefs>
</ds:datastoreItem>
</file>

<file path=customXml/itemProps5.xml><?xml version="1.0" encoding="utf-8"?>
<ds:datastoreItem xmlns:ds="http://schemas.openxmlformats.org/officeDocument/2006/customXml" ds:itemID="{DF14754A-C1F6-4C79-B0DD-AC3B4506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1029</Words>
  <Characters>5848</Characters>
  <Application>Microsoft Office Word</Application>
  <DocSecurity>0</DocSecurity>
  <Lines>85</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Evaluation Report 2013 PSI Directive</vt:lpstr>
      <vt:lpstr>Evaluation Report 2013 PSI Directive</vt:lpstr>
    </vt:vector>
  </TitlesOfParts>
  <Manager/>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 2013 PSI Directive</dc:title>
  <dc:creator/>
  <cp:lastModifiedBy>PAREDES ECHAURI Cristina (CAB-ALMUNIA)</cp:lastModifiedBy>
  <cp:revision>20</cp:revision>
  <cp:lastPrinted>2018-04-16T08:26:00Z</cp:lastPrinted>
  <dcterms:created xsi:type="dcterms:W3CDTF">2018-04-19T13:59:00Z</dcterms:created>
  <dcterms:modified xsi:type="dcterms:W3CDTF">2018-05-18T15:22:00Z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ontentTypeId">
    <vt:lpwstr>0x010100258AA79CEB83498886A3A086811232500033CE8E76DF1EC14FB803D6FF12E6DEFF</vt:lpwstr>
  </property>
  <property fmtid="{D5CDD505-2E9C-101B-9397-08002B2CF9AE}" pid="5" name="_dlc_DocIdItemGuid">
    <vt:lpwstr>7d411eb7-453a-45d7-a0a2-b850a1afd94c</vt:lpwstr>
  </property>
  <property fmtid="{D5CDD505-2E9C-101B-9397-08002B2CF9AE}" pid="6" name="Level of sensitivity">
    <vt:lpwstr>Standard treatment</vt:lpwstr>
  </property>
  <property fmtid="{D5CDD505-2E9C-101B-9397-08002B2CF9AE}" pid="7" name="DocStatus">
    <vt:lpwstr>Green</vt:lpwstr>
  </property>
</Properties>
</file>