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alt="C7EB7285-B5A5-49B3-8FF2-5F8E75C3B854" style="width:449.7pt;height:482.9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0"/>
          <w:cols w:space="720"/>
          <w:docGrid w:linePitch="360"/>
        </w:sectPr>
      </w:pPr>
    </w:p>
    <w:p>
      <w:pPr>
        <w:pStyle w:val="Yo1Textpara"/>
        <w:rPr>
          <w:rFonts w:ascii="Arial Narrow" w:hAnsi="Arial Narrow" w:cs="Arial"/>
          <w:bCs/>
          <w:caps/>
          <w:noProof/>
          <w:color w:val="DA1E48"/>
          <w:spacing w:val="10"/>
          <w:sz w:val="28"/>
          <w:szCs w:val="28"/>
          <w:lang w:eastAsia="en-US"/>
        </w:rPr>
      </w:pPr>
      <w:bookmarkStart w:id="1" w:name="_GoBack"/>
      <w:bookmarkEnd w:id="1"/>
      <w:r>
        <w:rPr>
          <w:rFonts w:ascii="Arial Narrow" w:hAnsi="Arial Narrow" w:cs="Arial"/>
          <w:bCs/>
          <w:caps/>
          <w:noProof/>
          <w:color w:val="DA1E48"/>
          <w:spacing w:val="10"/>
          <w:sz w:val="28"/>
          <w:szCs w:val="28"/>
          <w:lang w:eastAsia="en-US"/>
        </w:rPr>
        <w:lastRenderedPageBreak/>
        <w:t>Table of Contents</w:t>
      </w:r>
    </w:p>
    <w:p>
      <w:pPr>
        <w:pStyle w:val="TOC1"/>
        <w:spacing w:before="120"/>
        <w:rPr>
          <w:b/>
          <w:noProof/>
          <w:sz w:val="22"/>
          <w:szCs w:val="22"/>
        </w:rPr>
      </w:pPr>
      <w:r>
        <w:rPr>
          <w:b/>
          <w:noProof/>
          <w:sz w:val="22"/>
          <w:szCs w:val="22"/>
        </w:rPr>
        <w:t>Part 1/7</w:t>
      </w:r>
    </w:p>
    <w:p>
      <w:pPr>
        <w:pStyle w:val="TOC1"/>
        <w:rPr>
          <w:noProof/>
          <w:sz w:val="22"/>
          <w:szCs w:val="22"/>
        </w:rPr>
      </w:pPr>
      <w:r>
        <w:rPr>
          <w:noProof/>
          <w:sz w:val="22"/>
          <w:szCs w:val="22"/>
        </w:rPr>
        <w:t>Introduction</w:t>
      </w:r>
      <w:r>
        <w:rPr>
          <w:noProof/>
          <w:sz w:val="22"/>
          <w:szCs w:val="22"/>
        </w:rPr>
        <w:tab/>
        <w:t>3</w:t>
      </w:r>
    </w:p>
    <w:p>
      <w:pPr>
        <w:pStyle w:val="TOC1"/>
        <w:rPr>
          <w:noProof/>
          <w:sz w:val="22"/>
          <w:szCs w:val="22"/>
        </w:rPr>
      </w:pPr>
      <w:r>
        <w:rPr>
          <w:noProof/>
          <w:sz w:val="22"/>
          <w:szCs w:val="22"/>
        </w:rPr>
        <w:t>1. Demography</w:t>
      </w:r>
      <w:r>
        <w:rPr>
          <w:noProof/>
          <w:sz w:val="22"/>
          <w:szCs w:val="22"/>
        </w:rPr>
        <w:tab/>
        <w:t>8</w:t>
      </w:r>
    </w:p>
    <w:p>
      <w:pPr>
        <w:pStyle w:val="TOC1"/>
        <w:rPr>
          <w:noProof/>
          <w:sz w:val="22"/>
          <w:szCs w:val="22"/>
        </w:rPr>
      </w:pPr>
      <w:r>
        <w:rPr>
          <w:noProof/>
          <w:sz w:val="22"/>
          <w:szCs w:val="22"/>
        </w:rPr>
        <w:t>1.1. Introduction</w:t>
      </w:r>
      <w:r>
        <w:rPr>
          <w:noProof/>
          <w:sz w:val="22"/>
          <w:szCs w:val="22"/>
        </w:rPr>
        <w:tab/>
        <w:t>9</w:t>
      </w:r>
    </w:p>
    <w:p>
      <w:pPr>
        <w:pStyle w:val="TOC1"/>
        <w:rPr>
          <w:noProof/>
          <w:sz w:val="22"/>
          <w:szCs w:val="22"/>
        </w:rPr>
      </w:pPr>
      <w:r>
        <w:rPr>
          <w:noProof/>
          <w:sz w:val="22"/>
          <w:szCs w:val="22"/>
        </w:rPr>
        <w:t>1.2. European youth population: past and future trends</w:t>
      </w:r>
      <w:r>
        <w:rPr>
          <w:noProof/>
          <w:sz w:val="22"/>
          <w:szCs w:val="22"/>
        </w:rPr>
        <w:tab/>
        <w:t>9</w:t>
      </w:r>
    </w:p>
    <w:p>
      <w:pPr>
        <w:pStyle w:val="TOC1"/>
        <w:rPr>
          <w:b/>
          <w:noProof/>
          <w:sz w:val="22"/>
          <w:szCs w:val="22"/>
        </w:rPr>
      </w:pPr>
      <w:r>
        <w:rPr>
          <w:noProof/>
          <w:sz w:val="22"/>
          <w:szCs w:val="22"/>
        </w:rPr>
        <w:t>1.3 The impact of international and intra-EU migration</w:t>
      </w:r>
      <w:r>
        <w:rPr>
          <w:noProof/>
          <w:sz w:val="22"/>
          <w:szCs w:val="22"/>
        </w:rPr>
        <w:tab/>
        <w:t>12</w:t>
      </w:r>
    </w:p>
    <w:p>
      <w:pPr>
        <w:pStyle w:val="TOC1"/>
        <w:spacing w:before="120"/>
        <w:rPr>
          <w:b/>
          <w:noProof/>
          <w:sz w:val="22"/>
          <w:szCs w:val="22"/>
        </w:rPr>
      </w:pPr>
      <w:r>
        <w:rPr>
          <w:b/>
          <w:noProof/>
          <w:sz w:val="22"/>
          <w:szCs w:val="22"/>
        </w:rPr>
        <w:t>Part 2/7</w:t>
      </w:r>
    </w:p>
    <w:p>
      <w:pPr>
        <w:pStyle w:val="TOC1"/>
        <w:rPr>
          <w:noProof/>
          <w:sz w:val="22"/>
          <w:szCs w:val="22"/>
        </w:rPr>
      </w:pPr>
      <w:r>
        <w:rPr>
          <w:noProof/>
          <w:sz w:val="22"/>
          <w:szCs w:val="22"/>
        </w:rPr>
        <w:t>2. Education and Training</w:t>
      </w:r>
      <w:r>
        <w:rPr>
          <w:noProof/>
          <w:sz w:val="22"/>
          <w:szCs w:val="22"/>
        </w:rPr>
        <w:tab/>
        <w:t>16</w:t>
      </w:r>
    </w:p>
    <w:p>
      <w:pPr>
        <w:pStyle w:val="TOC1"/>
        <w:rPr>
          <w:noProof/>
          <w:sz w:val="22"/>
          <w:szCs w:val="22"/>
        </w:rPr>
      </w:pPr>
      <w:r>
        <w:rPr>
          <w:noProof/>
          <w:sz w:val="22"/>
          <w:szCs w:val="22"/>
        </w:rPr>
        <w:t>2.1. Introduction</w:t>
      </w:r>
      <w:r>
        <w:rPr>
          <w:noProof/>
          <w:sz w:val="22"/>
          <w:szCs w:val="22"/>
        </w:rPr>
        <w:tab/>
        <w:t>17</w:t>
      </w:r>
    </w:p>
    <w:p>
      <w:pPr>
        <w:pStyle w:val="TOC1"/>
        <w:rPr>
          <w:noProof/>
          <w:sz w:val="22"/>
          <w:szCs w:val="22"/>
        </w:rPr>
      </w:pPr>
      <w:r>
        <w:rPr>
          <w:noProof/>
          <w:sz w:val="22"/>
          <w:szCs w:val="22"/>
        </w:rPr>
        <w:t>2.2. Formal education</w:t>
      </w:r>
      <w:r>
        <w:rPr>
          <w:noProof/>
          <w:sz w:val="22"/>
          <w:szCs w:val="22"/>
        </w:rPr>
        <w:tab/>
        <w:t>17</w:t>
      </w:r>
    </w:p>
    <w:p>
      <w:pPr>
        <w:pStyle w:val="TOC1"/>
        <w:rPr>
          <w:noProof/>
          <w:sz w:val="22"/>
          <w:szCs w:val="22"/>
        </w:rPr>
      </w:pPr>
      <w:r>
        <w:rPr>
          <w:noProof/>
          <w:sz w:val="22"/>
          <w:szCs w:val="22"/>
        </w:rPr>
        <w:t>2.3. Non-formal learning and youth work</w:t>
      </w:r>
      <w:r>
        <w:rPr>
          <w:noProof/>
          <w:sz w:val="22"/>
          <w:szCs w:val="22"/>
        </w:rPr>
        <w:tab/>
        <w:t>26</w:t>
      </w:r>
    </w:p>
    <w:p>
      <w:pPr>
        <w:pStyle w:val="TOC1"/>
        <w:rPr>
          <w:b/>
          <w:noProof/>
          <w:sz w:val="22"/>
          <w:szCs w:val="22"/>
        </w:rPr>
      </w:pPr>
      <w:r>
        <w:rPr>
          <w:noProof/>
          <w:sz w:val="22"/>
          <w:szCs w:val="22"/>
        </w:rPr>
        <w:t>2.4. Learning mobility</w:t>
      </w:r>
      <w:r>
        <w:rPr>
          <w:noProof/>
          <w:sz w:val="22"/>
          <w:szCs w:val="22"/>
        </w:rPr>
        <w:tab/>
        <w:t>28</w:t>
      </w:r>
    </w:p>
    <w:p>
      <w:pPr>
        <w:pStyle w:val="TOC1"/>
        <w:spacing w:before="120"/>
        <w:rPr>
          <w:b/>
          <w:noProof/>
          <w:sz w:val="22"/>
          <w:szCs w:val="22"/>
        </w:rPr>
      </w:pPr>
      <w:r>
        <w:rPr>
          <w:b/>
          <w:noProof/>
          <w:sz w:val="22"/>
          <w:szCs w:val="22"/>
        </w:rPr>
        <w:t>Part 3/7</w:t>
      </w:r>
    </w:p>
    <w:p>
      <w:pPr>
        <w:pStyle w:val="TOC1"/>
        <w:rPr>
          <w:noProof/>
          <w:sz w:val="22"/>
          <w:szCs w:val="22"/>
        </w:rPr>
      </w:pPr>
      <w:r>
        <w:rPr>
          <w:noProof/>
          <w:sz w:val="22"/>
          <w:szCs w:val="22"/>
        </w:rPr>
        <w:t>3. Employment and Entrepreneurship</w:t>
      </w:r>
      <w:r>
        <w:rPr>
          <w:noProof/>
          <w:sz w:val="22"/>
          <w:szCs w:val="22"/>
        </w:rPr>
        <w:tab/>
        <w:t>31</w:t>
      </w:r>
    </w:p>
    <w:p>
      <w:pPr>
        <w:pStyle w:val="TOC1"/>
        <w:rPr>
          <w:noProof/>
          <w:sz w:val="22"/>
          <w:szCs w:val="22"/>
        </w:rPr>
      </w:pPr>
      <w:r>
        <w:rPr>
          <w:noProof/>
          <w:sz w:val="22"/>
          <w:szCs w:val="22"/>
        </w:rPr>
        <w:t>3.1. Introduction</w:t>
      </w:r>
      <w:r>
        <w:rPr>
          <w:noProof/>
          <w:sz w:val="22"/>
          <w:szCs w:val="22"/>
        </w:rPr>
        <w:tab/>
        <w:t>32</w:t>
      </w:r>
    </w:p>
    <w:p>
      <w:pPr>
        <w:pStyle w:val="TOC1"/>
        <w:rPr>
          <w:noProof/>
          <w:sz w:val="22"/>
          <w:szCs w:val="22"/>
        </w:rPr>
      </w:pPr>
      <w:r>
        <w:rPr>
          <w:noProof/>
          <w:sz w:val="22"/>
          <w:szCs w:val="22"/>
        </w:rPr>
        <w:t>3.2. Entering the world of work</w:t>
      </w:r>
      <w:r>
        <w:rPr>
          <w:noProof/>
          <w:sz w:val="22"/>
          <w:szCs w:val="22"/>
        </w:rPr>
        <w:tab/>
        <w:t>32</w:t>
      </w:r>
    </w:p>
    <w:p>
      <w:pPr>
        <w:pStyle w:val="TOC1"/>
        <w:rPr>
          <w:noProof/>
          <w:sz w:val="22"/>
          <w:szCs w:val="22"/>
        </w:rPr>
      </w:pPr>
      <w:r>
        <w:rPr>
          <w:noProof/>
          <w:sz w:val="22"/>
          <w:szCs w:val="22"/>
        </w:rPr>
        <w:t>3.3. Facing the labour market challenges: unemployment</w:t>
      </w:r>
      <w:r>
        <w:rPr>
          <w:noProof/>
          <w:sz w:val="22"/>
          <w:szCs w:val="22"/>
        </w:rPr>
        <w:tab/>
        <w:t>35</w:t>
      </w:r>
    </w:p>
    <w:p>
      <w:pPr>
        <w:pStyle w:val="TOC1"/>
        <w:rPr>
          <w:noProof/>
          <w:sz w:val="22"/>
          <w:szCs w:val="22"/>
        </w:rPr>
      </w:pPr>
      <w:r>
        <w:rPr>
          <w:noProof/>
          <w:sz w:val="22"/>
          <w:szCs w:val="22"/>
        </w:rPr>
        <w:t>3.4. Patterns of youth employment</w:t>
      </w:r>
      <w:r>
        <w:rPr>
          <w:noProof/>
          <w:sz w:val="22"/>
          <w:szCs w:val="22"/>
        </w:rPr>
        <w:tab/>
        <w:t>44</w:t>
      </w:r>
    </w:p>
    <w:p>
      <w:pPr>
        <w:pStyle w:val="TOC1"/>
        <w:spacing w:before="120"/>
        <w:rPr>
          <w:b/>
          <w:noProof/>
          <w:sz w:val="22"/>
          <w:szCs w:val="22"/>
        </w:rPr>
      </w:pPr>
      <w:r>
        <w:rPr>
          <w:b/>
          <w:noProof/>
          <w:sz w:val="22"/>
          <w:szCs w:val="22"/>
        </w:rPr>
        <w:t>Part 4/7</w:t>
      </w:r>
    </w:p>
    <w:p>
      <w:pPr>
        <w:pStyle w:val="TOC1"/>
        <w:spacing w:before="120"/>
        <w:rPr>
          <w:noProof/>
          <w:sz w:val="22"/>
          <w:szCs w:val="22"/>
        </w:rPr>
      </w:pPr>
      <w:r>
        <w:rPr>
          <w:noProof/>
          <w:sz w:val="22"/>
          <w:szCs w:val="22"/>
        </w:rPr>
        <w:t>4. Health and Well-being</w:t>
      </w:r>
      <w:r>
        <w:rPr>
          <w:noProof/>
          <w:sz w:val="22"/>
          <w:szCs w:val="22"/>
        </w:rPr>
        <w:tab/>
        <w:t>55</w:t>
      </w:r>
    </w:p>
    <w:p>
      <w:pPr>
        <w:pStyle w:val="TOC1"/>
        <w:spacing w:before="120"/>
        <w:rPr>
          <w:noProof/>
          <w:sz w:val="22"/>
          <w:szCs w:val="22"/>
        </w:rPr>
      </w:pPr>
      <w:r>
        <w:rPr>
          <w:noProof/>
          <w:sz w:val="22"/>
          <w:szCs w:val="22"/>
        </w:rPr>
        <w:t>4.1. Introduction</w:t>
      </w:r>
      <w:r>
        <w:rPr>
          <w:noProof/>
          <w:sz w:val="22"/>
          <w:szCs w:val="22"/>
        </w:rPr>
        <w:tab/>
        <w:t>56</w:t>
      </w:r>
    </w:p>
    <w:p>
      <w:pPr>
        <w:pStyle w:val="TOC1"/>
        <w:spacing w:before="120"/>
        <w:rPr>
          <w:noProof/>
          <w:sz w:val="22"/>
          <w:szCs w:val="22"/>
        </w:rPr>
      </w:pPr>
      <w:r>
        <w:rPr>
          <w:noProof/>
          <w:sz w:val="22"/>
          <w:szCs w:val="22"/>
        </w:rPr>
        <w:t>4.2. Health risks</w:t>
      </w:r>
      <w:r>
        <w:rPr>
          <w:noProof/>
          <w:sz w:val="22"/>
          <w:szCs w:val="22"/>
        </w:rPr>
        <w:tab/>
        <w:t>56</w:t>
      </w:r>
    </w:p>
    <w:p>
      <w:pPr>
        <w:pStyle w:val="TOC1"/>
        <w:spacing w:before="120"/>
        <w:rPr>
          <w:noProof/>
          <w:sz w:val="22"/>
          <w:szCs w:val="22"/>
        </w:rPr>
      </w:pPr>
      <w:r>
        <w:rPr>
          <w:noProof/>
          <w:sz w:val="22"/>
          <w:szCs w:val="22"/>
        </w:rPr>
        <w:t>4.3. Mental well-being</w:t>
      </w:r>
      <w:r>
        <w:rPr>
          <w:noProof/>
          <w:sz w:val="22"/>
          <w:szCs w:val="22"/>
        </w:rPr>
        <w:tab/>
        <w:t>69</w:t>
      </w:r>
    </w:p>
    <w:p>
      <w:pPr>
        <w:pStyle w:val="TOC1"/>
        <w:spacing w:before="120"/>
        <w:rPr>
          <w:b/>
          <w:noProof/>
          <w:sz w:val="22"/>
          <w:szCs w:val="22"/>
        </w:rPr>
      </w:pPr>
      <w:r>
        <w:rPr>
          <w:b/>
          <w:noProof/>
          <w:sz w:val="22"/>
          <w:szCs w:val="22"/>
        </w:rPr>
        <w:t>Part 5/7</w:t>
      </w:r>
    </w:p>
    <w:p>
      <w:pPr>
        <w:pStyle w:val="TOC1"/>
        <w:rPr>
          <w:noProof/>
          <w:sz w:val="22"/>
          <w:szCs w:val="22"/>
        </w:rPr>
      </w:pPr>
      <w:r>
        <w:rPr>
          <w:noProof/>
          <w:sz w:val="22"/>
          <w:szCs w:val="22"/>
        </w:rPr>
        <w:t>5. Participation</w:t>
      </w:r>
      <w:r>
        <w:rPr>
          <w:noProof/>
          <w:sz w:val="22"/>
          <w:szCs w:val="22"/>
        </w:rPr>
        <w:tab/>
        <w:t>75</w:t>
      </w:r>
    </w:p>
    <w:p>
      <w:pPr>
        <w:pStyle w:val="TOC1"/>
        <w:rPr>
          <w:noProof/>
          <w:sz w:val="22"/>
          <w:szCs w:val="22"/>
        </w:rPr>
      </w:pPr>
      <w:r>
        <w:rPr>
          <w:noProof/>
          <w:sz w:val="22"/>
          <w:szCs w:val="22"/>
        </w:rPr>
        <w:t>5.1. Introduction</w:t>
      </w:r>
      <w:r>
        <w:rPr>
          <w:noProof/>
          <w:sz w:val="22"/>
          <w:szCs w:val="22"/>
        </w:rPr>
        <w:tab/>
        <w:t>76</w:t>
      </w:r>
    </w:p>
    <w:p>
      <w:pPr>
        <w:pStyle w:val="TOC1"/>
        <w:rPr>
          <w:noProof/>
          <w:sz w:val="22"/>
          <w:szCs w:val="22"/>
        </w:rPr>
      </w:pPr>
      <w:r>
        <w:rPr>
          <w:noProof/>
          <w:sz w:val="22"/>
          <w:szCs w:val="22"/>
        </w:rPr>
        <w:t>5.2. Young people's interest in politics and their perception of EU citizenship</w:t>
      </w:r>
      <w:r>
        <w:rPr>
          <w:noProof/>
          <w:sz w:val="22"/>
          <w:szCs w:val="22"/>
        </w:rPr>
        <w:tab/>
        <w:t>76</w:t>
      </w:r>
    </w:p>
    <w:p>
      <w:pPr>
        <w:pStyle w:val="TOC1"/>
        <w:rPr>
          <w:noProof/>
          <w:sz w:val="22"/>
          <w:szCs w:val="22"/>
        </w:rPr>
      </w:pPr>
      <w:r>
        <w:rPr>
          <w:noProof/>
          <w:sz w:val="22"/>
          <w:szCs w:val="22"/>
        </w:rPr>
        <w:t>5.3. Young people's participation in representative democracy: voting and joining a political party</w:t>
      </w:r>
      <w:r>
        <w:rPr>
          <w:noProof/>
          <w:sz w:val="22"/>
          <w:szCs w:val="22"/>
        </w:rPr>
        <w:tab/>
        <w:t>80</w:t>
      </w:r>
    </w:p>
    <w:p>
      <w:pPr>
        <w:pStyle w:val="TOC1"/>
        <w:rPr>
          <w:noProof/>
          <w:sz w:val="22"/>
          <w:szCs w:val="22"/>
        </w:rPr>
      </w:pPr>
      <w:r>
        <w:rPr>
          <w:noProof/>
          <w:sz w:val="22"/>
          <w:szCs w:val="22"/>
        </w:rPr>
        <w:t>5.4. Other ways young people participate</w:t>
      </w:r>
      <w:r>
        <w:rPr>
          <w:noProof/>
          <w:sz w:val="22"/>
          <w:szCs w:val="22"/>
        </w:rPr>
        <w:tab/>
        <w:t>83</w:t>
      </w:r>
    </w:p>
    <w:p>
      <w:pPr>
        <w:pStyle w:val="TOC1"/>
        <w:rPr>
          <w:noProof/>
          <w:sz w:val="22"/>
          <w:szCs w:val="22"/>
        </w:rPr>
      </w:pPr>
      <w:r>
        <w:rPr>
          <w:noProof/>
          <w:sz w:val="22"/>
          <w:szCs w:val="22"/>
        </w:rPr>
        <w:t>6. Voluntary Activities</w:t>
      </w:r>
      <w:r>
        <w:rPr>
          <w:noProof/>
          <w:sz w:val="22"/>
          <w:szCs w:val="22"/>
        </w:rPr>
        <w:tab/>
        <w:t>88</w:t>
      </w:r>
    </w:p>
    <w:p>
      <w:pPr>
        <w:pStyle w:val="TOC1"/>
        <w:rPr>
          <w:noProof/>
          <w:sz w:val="22"/>
          <w:szCs w:val="22"/>
        </w:rPr>
      </w:pPr>
      <w:r>
        <w:rPr>
          <w:noProof/>
          <w:sz w:val="22"/>
          <w:szCs w:val="22"/>
        </w:rPr>
        <w:t>6.1. Introduction</w:t>
      </w:r>
      <w:r>
        <w:rPr>
          <w:noProof/>
          <w:sz w:val="22"/>
          <w:szCs w:val="22"/>
        </w:rPr>
        <w:tab/>
        <w:t>89</w:t>
      </w:r>
    </w:p>
    <w:p>
      <w:pPr>
        <w:pStyle w:val="TOC1"/>
        <w:rPr>
          <w:noProof/>
          <w:sz w:val="22"/>
          <w:szCs w:val="22"/>
        </w:rPr>
      </w:pPr>
      <w:r>
        <w:rPr>
          <w:noProof/>
          <w:sz w:val="22"/>
          <w:szCs w:val="22"/>
        </w:rPr>
        <w:t>6.2. Youth participation in voluntary activities</w:t>
      </w:r>
      <w:r>
        <w:rPr>
          <w:noProof/>
          <w:sz w:val="22"/>
          <w:szCs w:val="22"/>
        </w:rPr>
        <w:tab/>
        <w:t>89</w:t>
      </w:r>
    </w:p>
    <w:p>
      <w:pPr>
        <w:pStyle w:val="TOC1"/>
        <w:rPr>
          <w:noProof/>
          <w:sz w:val="22"/>
          <w:szCs w:val="22"/>
        </w:rPr>
      </w:pPr>
      <w:r>
        <w:rPr>
          <w:noProof/>
          <w:sz w:val="22"/>
          <w:szCs w:val="22"/>
        </w:rPr>
        <w:t>6.3. Recognition of voluntary activities</w:t>
      </w:r>
      <w:r>
        <w:rPr>
          <w:noProof/>
          <w:sz w:val="22"/>
          <w:szCs w:val="22"/>
        </w:rPr>
        <w:tab/>
        <w:t>94</w:t>
      </w:r>
    </w:p>
    <w:p>
      <w:pPr>
        <w:pStyle w:val="TOC1"/>
        <w:spacing w:before="120"/>
        <w:rPr>
          <w:b/>
          <w:noProof/>
          <w:sz w:val="22"/>
          <w:szCs w:val="22"/>
        </w:rPr>
      </w:pPr>
    </w:p>
    <w:p>
      <w:pPr>
        <w:pStyle w:val="TOC1"/>
        <w:spacing w:before="120"/>
        <w:rPr>
          <w:b/>
          <w:noProof/>
          <w:sz w:val="22"/>
          <w:szCs w:val="22"/>
        </w:rPr>
      </w:pPr>
    </w:p>
    <w:p>
      <w:pPr>
        <w:pStyle w:val="TOC1"/>
        <w:spacing w:before="120"/>
        <w:rPr>
          <w:b/>
          <w:noProof/>
          <w:sz w:val="22"/>
          <w:szCs w:val="22"/>
        </w:rPr>
      </w:pPr>
    </w:p>
    <w:p>
      <w:pPr>
        <w:pStyle w:val="TOC1"/>
        <w:spacing w:before="120"/>
        <w:rPr>
          <w:b/>
          <w:noProof/>
          <w:sz w:val="22"/>
          <w:szCs w:val="22"/>
        </w:rPr>
      </w:pPr>
      <w:r>
        <w:rPr>
          <w:b/>
          <w:noProof/>
          <w:sz w:val="22"/>
          <w:szCs w:val="22"/>
        </w:rPr>
        <w:lastRenderedPageBreak/>
        <w:t>Part 6/7</w:t>
      </w:r>
    </w:p>
    <w:p>
      <w:pPr>
        <w:pStyle w:val="TOC1"/>
        <w:rPr>
          <w:noProof/>
          <w:sz w:val="22"/>
          <w:szCs w:val="22"/>
        </w:rPr>
      </w:pPr>
      <w:r>
        <w:rPr>
          <w:noProof/>
          <w:sz w:val="22"/>
          <w:szCs w:val="22"/>
        </w:rPr>
        <w:t>7. Social Inclusion</w:t>
      </w:r>
      <w:r>
        <w:rPr>
          <w:noProof/>
          <w:sz w:val="22"/>
          <w:szCs w:val="22"/>
        </w:rPr>
        <w:tab/>
        <w:t>96</w:t>
      </w:r>
    </w:p>
    <w:p>
      <w:pPr>
        <w:pStyle w:val="TOC1"/>
        <w:rPr>
          <w:noProof/>
          <w:sz w:val="22"/>
          <w:szCs w:val="22"/>
        </w:rPr>
      </w:pPr>
      <w:r>
        <w:rPr>
          <w:noProof/>
          <w:sz w:val="22"/>
          <w:szCs w:val="22"/>
        </w:rPr>
        <w:t>7.1. Introduction</w:t>
      </w:r>
      <w:r>
        <w:rPr>
          <w:noProof/>
          <w:sz w:val="22"/>
          <w:szCs w:val="22"/>
        </w:rPr>
        <w:tab/>
        <w:t>97</w:t>
      </w:r>
    </w:p>
    <w:p>
      <w:pPr>
        <w:pStyle w:val="TOC1"/>
        <w:rPr>
          <w:noProof/>
          <w:sz w:val="22"/>
          <w:szCs w:val="22"/>
        </w:rPr>
      </w:pPr>
      <w:r>
        <w:rPr>
          <w:noProof/>
          <w:sz w:val="22"/>
          <w:szCs w:val="22"/>
        </w:rPr>
        <w:t>7.2. Moving towards independence: young people leaving the parental home</w:t>
      </w:r>
      <w:r>
        <w:rPr>
          <w:noProof/>
          <w:sz w:val="22"/>
          <w:szCs w:val="22"/>
        </w:rPr>
        <w:tab/>
        <w:t>97</w:t>
      </w:r>
    </w:p>
    <w:p>
      <w:pPr>
        <w:pStyle w:val="TOC1"/>
        <w:rPr>
          <w:noProof/>
          <w:sz w:val="22"/>
          <w:szCs w:val="22"/>
        </w:rPr>
      </w:pPr>
      <w:r>
        <w:rPr>
          <w:noProof/>
          <w:sz w:val="22"/>
          <w:szCs w:val="22"/>
        </w:rPr>
        <w:t>7.3. Levels of poverty and social exclusion</w:t>
      </w:r>
      <w:r>
        <w:rPr>
          <w:noProof/>
          <w:sz w:val="22"/>
          <w:szCs w:val="22"/>
        </w:rPr>
        <w:tab/>
        <w:t>99</w:t>
      </w:r>
    </w:p>
    <w:p>
      <w:pPr>
        <w:pStyle w:val="TOC1"/>
        <w:rPr>
          <w:noProof/>
          <w:sz w:val="22"/>
          <w:szCs w:val="22"/>
        </w:rPr>
      </w:pPr>
      <w:r>
        <w:rPr>
          <w:noProof/>
          <w:sz w:val="22"/>
          <w:szCs w:val="22"/>
        </w:rPr>
        <w:t>7.4. Living conditions</w:t>
      </w:r>
      <w:r>
        <w:rPr>
          <w:noProof/>
          <w:sz w:val="22"/>
          <w:szCs w:val="22"/>
        </w:rPr>
        <w:tab/>
        <w:t>108</w:t>
      </w:r>
    </w:p>
    <w:p>
      <w:pPr>
        <w:pStyle w:val="TOC1"/>
        <w:rPr>
          <w:b/>
          <w:noProof/>
          <w:sz w:val="22"/>
          <w:szCs w:val="22"/>
        </w:rPr>
      </w:pPr>
      <w:r>
        <w:rPr>
          <w:noProof/>
          <w:sz w:val="22"/>
          <w:szCs w:val="22"/>
        </w:rPr>
        <w:t>7.5. Groups at risk of social exclusion</w:t>
      </w:r>
      <w:r>
        <w:rPr>
          <w:noProof/>
          <w:sz w:val="22"/>
          <w:szCs w:val="22"/>
        </w:rPr>
        <w:tab/>
        <w:t>113</w:t>
      </w:r>
    </w:p>
    <w:p>
      <w:pPr>
        <w:pStyle w:val="TOC1"/>
        <w:spacing w:before="120"/>
        <w:rPr>
          <w:b/>
          <w:noProof/>
          <w:sz w:val="22"/>
          <w:szCs w:val="22"/>
        </w:rPr>
      </w:pPr>
      <w:r>
        <w:rPr>
          <w:b/>
          <w:noProof/>
          <w:sz w:val="22"/>
          <w:szCs w:val="22"/>
        </w:rPr>
        <w:t>Part 7/7</w:t>
      </w:r>
    </w:p>
    <w:p>
      <w:pPr>
        <w:pStyle w:val="TOC1"/>
        <w:rPr>
          <w:noProof/>
          <w:sz w:val="22"/>
          <w:szCs w:val="22"/>
        </w:rPr>
      </w:pPr>
      <w:r>
        <w:rPr>
          <w:noProof/>
          <w:sz w:val="22"/>
          <w:szCs w:val="22"/>
        </w:rPr>
        <w:t>8. Youth and the World</w:t>
      </w:r>
      <w:r>
        <w:rPr>
          <w:noProof/>
          <w:sz w:val="22"/>
          <w:szCs w:val="22"/>
        </w:rPr>
        <w:tab/>
        <w:t>120</w:t>
      </w:r>
    </w:p>
    <w:p>
      <w:pPr>
        <w:pStyle w:val="TOC1"/>
        <w:rPr>
          <w:noProof/>
          <w:sz w:val="22"/>
          <w:szCs w:val="22"/>
        </w:rPr>
      </w:pPr>
      <w:r>
        <w:rPr>
          <w:noProof/>
          <w:sz w:val="22"/>
          <w:szCs w:val="22"/>
        </w:rPr>
        <w:t>8.1. Introduction</w:t>
      </w:r>
      <w:r>
        <w:rPr>
          <w:noProof/>
          <w:sz w:val="22"/>
          <w:szCs w:val="22"/>
        </w:rPr>
        <w:tab/>
        <w:t>121</w:t>
      </w:r>
    </w:p>
    <w:p>
      <w:pPr>
        <w:pStyle w:val="TOC1"/>
        <w:rPr>
          <w:noProof/>
          <w:sz w:val="22"/>
          <w:szCs w:val="22"/>
        </w:rPr>
      </w:pPr>
      <w:r>
        <w:rPr>
          <w:noProof/>
          <w:sz w:val="22"/>
          <w:szCs w:val="22"/>
        </w:rPr>
        <w:t>8.2. Young people's engagement with global issues</w:t>
      </w:r>
      <w:r>
        <w:rPr>
          <w:noProof/>
          <w:sz w:val="22"/>
          <w:szCs w:val="22"/>
        </w:rPr>
        <w:tab/>
        <w:t>121</w:t>
      </w:r>
    </w:p>
    <w:p>
      <w:pPr>
        <w:pStyle w:val="TOC1"/>
        <w:rPr>
          <w:noProof/>
          <w:sz w:val="22"/>
          <w:szCs w:val="22"/>
        </w:rPr>
      </w:pPr>
      <w:r>
        <w:rPr>
          <w:noProof/>
          <w:sz w:val="22"/>
          <w:szCs w:val="22"/>
        </w:rPr>
        <w:t>8.3. Cooperation between young people from different continents</w:t>
      </w:r>
      <w:r>
        <w:rPr>
          <w:noProof/>
          <w:sz w:val="22"/>
          <w:szCs w:val="22"/>
        </w:rPr>
        <w:tab/>
        <w:t>125</w:t>
      </w:r>
    </w:p>
    <w:p>
      <w:pPr>
        <w:pStyle w:val="TOC1"/>
        <w:rPr>
          <w:noProof/>
          <w:sz w:val="22"/>
          <w:szCs w:val="22"/>
        </w:rPr>
      </w:pPr>
      <w:r>
        <w:rPr>
          <w:noProof/>
          <w:sz w:val="22"/>
          <w:szCs w:val="22"/>
        </w:rPr>
        <w:t>9. Culture, Creativity and ICT</w:t>
      </w:r>
      <w:r>
        <w:rPr>
          <w:noProof/>
          <w:sz w:val="22"/>
          <w:szCs w:val="22"/>
        </w:rPr>
        <w:tab/>
        <w:t>128</w:t>
      </w:r>
    </w:p>
    <w:p>
      <w:pPr>
        <w:pStyle w:val="TOC1"/>
        <w:rPr>
          <w:noProof/>
          <w:sz w:val="22"/>
          <w:szCs w:val="22"/>
        </w:rPr>
      </w:pPr>
      <w:r>
        <w:rPr>
          <w:noProof/>
          <w:sz w:val="22"/>
          <w:szCs w:val="22"/>
        </w:rPr>
        <w:t>9.1. Introduction</w:t>
      </w:r>
      <w:r>
        <w:rPr>
          <w:noProof/>
          <w:sz w:val="22"/>
          <w:szCs w:val="22"/>
        </w:rPr>
        <w:tab/>
        <w:t>129</w:t>
      </w:r>
    </w:p>
    <w:p>
      <w:pPr>
        <w:pStyle w:val="TOC1"/>
        <w:rPr>
          <w:noProof/>
          <w:sz w:val="22"/>
          <w:szCs w:val="22"/>
        </w:rPr>
      </w:pPr>
      <w:r>
        <w:rPr>
          <w:noProof/>
          <w:sz w:val="22"/>
          <w:szCs w:val="22"/>
        </w:rPr>
        <w:t>9.2. Cultural participation</w:t>
      </w:r>
      <w:r>
        <w:rPr>
          <w:noProof/>
          <w:sz w:val="22"/>
          <w:szCs w:val="22"/>
        </w:rPr>
        <w:tab/>
        <w:t>129</w:t>
      </w:r>
    </w:p>
    <w:p>
      <w:pPr>
        <w:pStyle w:val="TOC1"/>
        <w:rPr>
          <w:noProof/>
          <w:sz w:val="22"/>
          <w:szCs w:val="22"/>
        </w:rPr>
      </w:pPr>
      <w:r>
        <w:rPr>
          <w:noProof/>
          <w:sz w:val="22"/>
          <w:szCs w:val="22"/>
        </w:rPr>
        <w:t>9.3. Young people and their use of ICT</w:t>
      </w:r>
      <w:r>
        <w:rPr>
          <w:noProof/>
          <w:sz w:val="22"/>
          <w:szCs w:val="22"/>
        </w:rPr>
        <w:tab/>
        <w:t>135</w:t>
      </w:r>
    </w:p>
    <w:p>
      <w:pPr>
        <w:pStyle w:val="TOC1"/>
        <w:rPr>
          <w:noProof/>
          <w:sz w:val="22"/>
          <w:szCs w:val="22"/>
        </w:rPr>
      </w:pPr>
      <w:r>
        <w:rPr>
          <w:noProof/>
          <w:sz w:val="22"/>
          <w:szCs w:val="22"/>
        </w:rPr>
        <w:t>References</w:t>
      </w:r>
      <w:r>
        <w:rPr>
          <w:noProof/>
          <w:sz w:val="22"/>
          <w:szCs w:val="22"/>
        </w:rPr>
        <w:tab/>
        <w:t>141</w:t>
      </w:r>
    </w:p>
    <w:p>
      <w:pPr>
        <w:rPr>
          <w:noProof/>
        </w:rPr>
      </w:pPr>
    </w:p>
    <w:p>
      <w:pPr>
        <w:rPr>
          <w:noProof/>
        </w:rPr>
      </w:pPr>
    </w:p>
    <w:p>
      <w:pPr>
        <w:rPr>
          <w:noProof/>
        </w:rPr>
        <w:sectPr>
          <w:headerReference w:type="even" r:id="rId16"/>
          <w:headerReference w:type="default" r:id="rId17"/>
          <w:footerReference w:type="even" r:id="rId18"/>
          <w:footerReference w:type="default" r:id="rId19"/>
          <w:headerReference w:type="first" r:id="rId20"/>
          <w:footerReference w:type="first" r:id="rId21"/>
          <w:pgSz w:w="11906" w:h="16838" w:code="9"/>
          <w:pgMar w:top="1985" w:right="1134" w:bottom="851" w:left="851" w:header="709" w:footer="397" w:gutter="0"/>
          <w:pgNumType w:start="1"/>
          <w:cols w:space="720"/>
          <w:docGrid w:linePitch="360"/>
        </w:sectPr>
      </w:pPr>
    </w:p>
    <w:p>
      <w:pPr>
        <w:pStyle w:val="Yo0H1"/>
        <w:rPr>
          <w:noProof/>
        </w:rPr>
      </w:pPr>
      <w:bookmarkStart w:id="2" w:name="_Toc511656304"/>
      <w:bookmarkStart w:id="3" w:name="_Toc508377315"/>
      <w:r>
        <w:rPr>
          <w:noProof/>
        </w:rPr>
        <w:t>Introduction</w:t>
      </w:r>
      <w:bookmarkEnd w:id="2"/>
    </w:p>
    <w:p>
      <w:pPr>
        <w:pStyle w:val="Yo1Textpara"/>
        <w:rPr>
          <w:noProof/>
          <w:lang w:val="x-none"/>
        </w:rPr>
      </w:pPr>
      <w:r>
        <w:rPr>
          <w:noProof/>
        </w:rPr>
        <w:t>The renewed framework for European cooperation in the youth field (</w:t>
      </w:r>
      <w:r>
        <w:rPr>
          <w:noProof/>
          <w:vertAlign w:val="superscript"/>
        </w:rPr>
        <w:footnoteReference w:id="1"/>
      </w:r>
      <w:r>
        <w:rPr>
          <w:noProof/>
        </w:rPr>
        <w:t>), also known as the EU Youth Strategy, covers the period from 2010 to 2018. It is divided into three-year work cycles. At the end of each cycle, a European Union (EU) Youth Report should be drawn up by the Commission. The Council has specified that the report 'shall consist of two parts: a joint Council-Commission report (political part), and supporting documents (statistical and analytical part). The EU Youth Report will evaluate progress made towards the overall objectives of the framework, as well as progress regarding the priorities defined for the most recent work cycle and identify good practices'.</w:t>
      </w:r>
    </w:p>
    <w:p>
      <w:pPr>
        <w:pStyle w:val="Yo1Textpara"/>
        <w:rPr>
          <w:noProof/>
        </w:rPr>
      </w:pPr>
      <w:r>
        <w:rPr>
          <w:noProof/>
        </w:rPr>
        <w:t xml:space="preserve">This </w:t>
      </w:r>
      <w:r>
        <w:rPr>
          <w:b/>
          <w:noProof/>
        </w:rPr>
        <w:t>statistical part of the report</w:t>
      </w:r>
      <w:r>
        <w:rPr>
          <w:noProof/>
        </w:rPr>
        <w:t xml:space="preserve"> presents data and information on the current situation of young people in Europe. Following an introductory chapter on demography, which presents the main trends in the youth population over recent years, separate chapters are dedicated to the eight 'fields of action' identified in the Council Resolution on the EU Youth Strategy (2010-2018): Education and Training, Employment and Entrepreneurship, Health and Well-being, Participation, Voluntary Activities, Social Inclusion, Youth and the World, and Culture, Creativity and ICT. </w:t>
      </w:r>
    </w:p>
    <w:p>
      <w:pPr>
        <w:pStyle w:val="Yo1Textpara"/>
        <w:rPr>
          <w:noProof/>
        </w:rPr>
      </w:pPr>
      <w:r>
        <w:rPr>
          <w:noProof/>
        </w:rPr>
        <w:t>This part of the report builds on the dashboard of EU youth indicators (</w:t>
      </w:r>
      <w:r>
        <w:rPr>
          <w:rStyle w:val="FootnoteReference"/>
          <w:noProof/>
        </w:rPr>
        <w:footnoteReference w:id="2"/>
      </w:r>
      <w:r>
        <w:rPr>
          <w:noProof/>
        </w:rPr>
        <w:t>), a selection of 41 indicators which measure the most crucial aspects of young people's lives in Europe. Wherever one of these indicators is used, it is highlighted on the relevant figure. The dashboard of EU youth indicators is presented as an annex to this report.</w:t>
      </w:r>
    </w:p>
    <w:p>
      <w:pPr>
        <w:pStyle w:val="Yo1Textpara"/>
        <w:rPr>
          <w:noProof/>
        </w:rPr>
      </w:pPr>
      <w:r>
        <w:rPr>
          <w:noProof/>
        </w:rPr>
        <w:t xml:space="preserve">The period when a person is considered to be 'young' differs across Europe according to national context, the socio-economic development of society and time. Common to all countries is that the period of youth </w:t>
      </w:r>
      <w:r>
        <w:rPr>
          <w:noProof/>
        </w:rPr>
        <w:sym w:font="Symbol" w:char="F02D"/>
      </w:r>
      <w:r>
        <w:rPr>
          <w:noProof/>
        </w:rPr>
        <w:t xml:space="preserve"> the transition from being a child to being an adult </w:t>
      </w:r>
      <w:r>
        <w:rPr>
          <w:noProof/>
        </w:rPr>
        <w:sym w:font="Symbol" w:char="F02D"/>
      </w:r>
      <w:r>
        <w:rPr>
          <w:noProof/>
        </w:rPr>
        <w:t xml:space="preserve"> is marked by important life changes: from being in education to having a full-time job, from living in the parental home to setting up one's own household, and from being financially dependent to managing one's own money. </w:t>
      </w:r>
    </w:p>
    <w:p>
      <w:pPr>
        <w:pStyle w:val="Yo1Textpara"/>
        <w:rPr>
          <w:noProof/>
        </w:rPr>
      </w:pPr>
      <w:r>
        <w:rPr>
          <w:noProof/>
        </w:rPr>
        <w:t>Relying on Eurostat data, Eurobarometer surveys and other available sources, the population targeted in this part of the report is primarily young people between 15 and 29 years of age. Where possible, the analysis distinguishes between subgroups aged 15 to 19, 20 to 24, and 25 to 29. In other cases, a more limited age range is used, either because of the specifications of survey data, or because the issue in question affects a particular age group (e.g. early school leaving). In addition, children (under 16 years of age) are also included when analysing indicators on poverty or social exclusion. In order to highlight specific issues affecting the youth population, for some indicators comparisons with the total population or the prime working age group (people aged 25-54) are also made.</w:t>
      </w:r>
    </w:p>
    <w:p>
      <w:pPr>
        <w:pStyle w:val="Yo1Textpara"/>
        <w:rPr>
          <w:noProof/>
        </w:rPr>
      </w:pPr>
      <w:r>
        <w:rPr>
          <w:noProof/>
        </w:rPr>
        <w:t>In line with the analytical part of the EU Youth Report (</w:t>
      </w:r>
      <w:r>
        <w:rPr>
          <w:rStyle w:val="FootnoteReference"/>
          <w:noProof/>
        </w:rPr>
        <w:footnoteReference w:id="3"/>
      </w:r>
      <w:r>
        <w:rPr>
          <w:noProof/>
        </w:rPr>
        <w:t xml:space="preserve">) illustrating the state of play of EU and national initiatives and actions, the information and analysis of this statistical section covers the EU Member States and, where the available data allows, the EU candidate countries (Albania, Montenegro, the former Yugoslav Republic of Macedonia, Serbia, and Turkey) as well as the EEA countries (Iceland, Liechtenstein, Norway). </w:t>
      </w:r>
    </w:p>
    <w:p>
      <w:pPr>
        <w:pStyle w:val="Yo1Textpara"/>
        <w:rPr>
          <w:noProof/>
        </w:rPr>
      </w:pPr>
      <w:r>
        <w:rPr>
          <w:noProof/>
        </w:rPr>
        <w:t xml:space="preserve">This part of the report focuses on the most recent data available and, where possible, illustrates the trends which have emerged since the establishment of the EU Youth Strategy in 2010. </w:t>
      </w:r>
    </w:p>
    <w:p>
      <w:pPr>
        <w:pStyle w:val="Yo1Textpara"/>
        <w:rPr>
          <w:noProof/>
        </w:rPr>
      </w:pPr>
    </w:p>
    <w:p>
      <w:pPr>
        <w:pStyle w:val="Yo1Textpara"/>
        <w:rPr>
          <w:rFonts w:ascii="Arial Narrow" w:hAnsi="Arial Narrow" w:cs="Arial"/>
          <w:bCs/>
          <w:caps/>
          <w:noProof/>
          <w:color w:val="DA1E48"/>
          <w:spacing w:val="10"/>
          <w:sz w:val="28"/>
          <w:szCs w:val="28"/>
          <w:lang w:eastAsia="en-US"/>
        </w:rPr>
      </w:pPr>
      <w:r>
        <w:rPr>
          <w:rFonts w:ascii="Arial Narrow" w:hAnsi="Arial Narrow" w:cs="Arial"/>
          <w:bCs/>
          <w:caps/>
          <w:noProof/>
          <w:color w:val="DA1E48"/>
          <w:spacing w:val="10"/>
          <w:sz w:val="28"/>
          <w:szCs w:val="28"/>
          <w:lang w:eastAsia="en-US"/>
        </w:rPr>
        <w:t>European youth: main trends</w:t>
      </w:r>
    </w:p>
    <w:p>
      <w:pPr>
        <w:pStyle w:val="Yo1Textpara"/>
        <w:rPr>
          <w:rFonts w:ascii="Arial Narrow" w:hAnsi="Arial Narrow" w:cs="Arial"/>
          <w:bCs/>
          <w:noProof/>
          <w:color w:val="DA1E48"/>
          <w:spacing w:val="10"/>
          <w:sz w:val="28"/>
          <w:szCs w:val="28"/>
          <w:lang w:eastAsia="en-US"/>
        </w:rPr>
      </w:pPr>
      <w:r>
        <w:rPr>
          <w:rFonts w:ascii="Arial Narrow" w:hAnsi="Arial Narrow" w:cs="Arial"/>
          <w:bCs/>
          <w:noProof/>
          <w:color w:val="DA1E48"/>
          <w:spacing w:val="10"/>
          <w:sz w:val="28"/>
          <w:szCs w:val="28"/>
          <w:lang w:eastAsia="en-US"/>
        </w:rPr>
        <w:t xml:space="preserve">Young Europeans’ lives are improving </w:t>
      </w:r>
    </w:p>
    <w:p>
      <w:pPr>
        <w:pStyle w:val="Yo1Textpara"/>
        <w:tabs>
          <w:tab w:val="clear" w:pos="4253"/>
        </w:tabs>
        <w:rPr>
          <w:noProof/>
        </w:rPr>
      </w:pPr>
      <w:r>
        <w:rPr>
          <w:b/>
          <w:noProof/>
        </w:rPr>
        <w:t>Young people are educated to an increasingly higher level</w:t>
      </w:r>
      <w:r>
        <w:rPr>
          <w:noProof/>
        </w:rPr>
        <w:t xml:space="preserve">. Over the past decade, the majority of indicators have registered positive trends with respect to education and training, as described in Chapter 2. The proportion of young Europeans who have attained at least upper secondary level qualifications has risen, as has the proportion with tertiary degrees; in parallel, a general decline in the proportion of early school leavers has also occurred. </w:t>
      </w:r>
    </w:p>
    <w:p>
      <w:pPr>
        <w:pStyle w:val="Yo1Textpara"/>
        <w:tabs>
          <w:tab w:val="clear" w:pos="4253"/>
          <w:tab w:val="left" w:pos="284"/>
        </w:tabs>
        <w:rPr>
          <w:noProof/>
        </w:rPr>
      </w:pPr>
      <w:r>
        <w:rPr>
          <w:b/>
          <w:noProof/>
        </w:rPr>
        <w:t>More young people are finding employment</w:t>
      </w:r>
      <w:r>
        <w:rPr>
          <w:noProof/>
        </w:rPr>
        <w:t xml:space="preserve">. Improved educational attainment not only supports young people's personal development, but it also benefits them in other areas of their lives. In particular, as illustrated in Chapter 3, the positive relationship between higher levels of education and employment is well established in most European countries. In the EU as a whole, the unemployment rate is much lower for young people graduating from tertiary education than for those with the lowest levels of education. Following the rise in youth unemployment provoked by the economic recession in the early years of the decade, the rates have been falling since 2013 in the majority of European countries. Around 1.3 million fewer jobless young people live in the EU today compared to 2013. Long-term youth unemployment has also declined. </w:t>
      </w:r>
    </w:p>
    <w:tbl>
      <w:tblPr>
        <w:tblpPr w:leftFromText="180" w:rightFromText="180" w:vertAnchor="text" w:horzAnchor="margin" w:tblpXSpec="right" w:tblpY="151"/>
        <w:tblOverlap w:val="never"/>
        <w:tblW w:w="0" w:type="auto"/>
        <w:shd w:val="clear" w:color="auto" w:fill="FFA3A4"/>
        <w:tblLook w:val="04A0" w:firstRow="1" w:lastRow="0" w:firstColumn="1" w:lastColumn="0" w:noHBand="0" w:noVBand="1"/>
      </w:tblPr>
      <w:tblGrid>
        <w:gridCol w:w="2977"/>
      </w:tblGrid>
      <w:tr>
        <w:tc>
          <w:tcPr>
            <w:tcW w:w="2977" w:type="dxa"/>
            <w:shd w:val="clear" w:color="auto" w:fill="FFA3A4"/>
            <w:hideMark/>
          </w:tcPr>
          <w:p>
            <w:pPr>
              <w:pStyle w:val="Yo12Encart"/>
              <w:framePr w:hSpace="0" w:wrap="auto" w:vAnchor="margin" w:hAnchor="text" w:xAlign="left" w:yAlign="inline"/>
              <w:suppressOverlap w:val="0"/>
              <w:rPr>
                <w:noProof/>
                <w:sz w:val="22"/>
                <w:szCs w:val="22"/>
              </w:rPr>
            </w:pPr>
            <w:r>
              <w:rPr>
                <w:noProof/>
                <w:sz w:val="22"/>
                <w:szCs w:val="22"/>
              </w:rPr>
              <w:t xml:space="preserve">Significant improvements have been made in many aspects of young people’s lives in recent years, marking a turning point in many European countries </w:t>
            </w:r>
          </w:p>
        </w:tc>
      </w:tr>
    </w:tbl>
    <w:p>
      <w:pPr>
        <w:pStyle w:val="Yo1Textpara"/>
        <w:tabs>
          <w:tab w:val="clear" w:pos="4253"/>
          <w:tab w:val="left" w:pos="284"/>
        </w:tabs>
        <w:rPr>
          <w:b/>
          <w:noProof/>
        </w:rPr>
      </w:pPr>
      <w:r>
        <w:rPr>
          <w:b/>
          <w:noProof/>
        </w:rPr>
        <w:t>There has been some improvement in the social inclusion of young Europeans</w:t>
      </w:r>
      <w:r>
        <w:rPr>
          <w:noProof/>
        </w:rPr>
        <w:t>. Labour market improvements have had a positive impact on the living conditions of many young people. Entering the job market often coincides with becoming independent and assuming new responsibilities in terms of sustaining the significant costs of living independently. Having better opportunities for finding gainful employment strengthens young people’s ability to secure better social and living conditions. Improvements in the labour market have also meant that the proportion of NEETs (young people not in employment, education or training) has declined steadily in recent years, falling below the levels registered in 2010. Indeed, in 2016, for the first time since the start of the economic crisis, the proportion of unemployed NEETs was lower than that of inactive young people within this group. The proportion of young Europeans suffering from severe material deprivation has also decreased since 2012 and is now at a lower level than in 2010.</w:t>
      </w:r>
    </w:p>
    <w:p>
      <w:pPr>
        <w:pStyle w:val="Yo1Textpara"/>
        <w:tabs>
          <w:tab w:val="clear" w:pos="4253"/>
          <w:tab w:val="left" w:pos="284"/>
        </w:tabs>
        <w:rPr>
          <w:noProof/>
        </w:rPr>
      </w:pPr>
      <w:r>
        <w:rPr>
          <w:b/>
          <w:noProof/>
        </w:rPr>
        <w:t>Young people appear less prone to risky health behaviours</w:t>
      </w:r>
      <w:r>
        <w:rPr>
          <w:noProof/>
        </w:rPr>
        <w:t>. The difficulties young people face in their transition to adulthood and independence also reflect on their general welfare. In particular, as discussed in Chapter 4, vulnerable groups of young people such as those experiencing unemployment, poverty or social exclusion may be particularly prone to more serious problems in their physical and mental health. In this sense, better economic and living conditions positively influence the general well-being and health of individuals. Indeed, the proportion of young Europeans reported to be smoking daily has been steadily decreasing in the majority of countries. In addition, fewer episodes of alcohol abuse and intoxication have been reported amongst 16 year-olds.</w:t>
      </w:r>
    </w:p>
    <w:p>
      <w:pPr>
        <w:pStyle w:val="Yo1Textpara"/>
        <w:tabs>
          <w:tab w:val="clear" w:pos="4253"/>
          <w:tab w:val="left" w:pos="284"/>
        </w:tabs>
        <w:rPr>
          <w:noProof/>
        </w:rPr>
      </w:pPr>
      <w:r>
        <w:rPr>
          <w:b/>
          <w:noProof/>
        </w:rPr>
        <w:t>Young Europeans are demonstrating an increasing interest in politics and are taking advantage of the new methods of participation offered by modern technology</w:t>
      </w:r>
      <w:r>
        <w:rPr>
          <w:noProof/>
        </w:rPr>
        <w:t>.</w:t>
      </w:r>
      <w:r>
        <w:rPr>
          <w:b/>
          <w:noProof/>
        </w:rPr>
        <w:t xml:space="preserve"> </w:t>
      </w:r>
      <w:r>
        <w:rPr>
          <w:noProof/>
        </w:rPr>
        <w:t>Improved opportunities in education and employment, as well as progress in social inclusion, not only contribute to the younger generation’s well-being, but can also revive their interest in political and civic issues and inspire them to re-engage with society. Chapter 5 documents the surge in the level of interest in politics expressed by young Europeans over the past decade, which has also led to a reduction in the traditional gap vis-à-vis older age groups. In addition, data show that young people feel more European than the general population, and self-identification as European citizens has grown more amongst the young than amongst older individuals. This renewed attention to political issues is also supported by the growing availability of internet applications, such as social media, blogs and online networks, which offer additional opportunities for communicating and exchanging information. Indeed, as discussed in Chapter 9, the daily use of the internet is increasing rapidly amongst young people.</w:t>
      </w:r>
    </w:p>
    <w:p>
      <w:pPr>
        <w:pStyle w:val="Yo1Textpara"/>
        <w:tabs>
          <w:tab w:val="clear" w:pos="4253"/>
          <w:tab w:val="left" w:pos="284"/>
        </w:tabs>
        <w:rPr>
          <w:noProof/>
        </w:rPr>
      </w:pPr>
      <w:r>
        <w:rPr>
          <w:b/>
          <w:noProof/>
        </w:rPr>
        <w:t>Participation in voluntary activities shows an exceptional expansion</w:t>
      </w:r>
      <w:r>
        <w:rPr>
          <w:noProof/>
        </w:rPr>
        <w:t>. This renewed engagement in society has also translated into a sharp increase in the proportion of young Europeans participating in voluntary organisations (as explained in Chapter 6). The figure has increased significantly since 2011. The increase in the proportion of young volunteers contributing to projects in foreign countries is even larger: since 2011, the figure has increase threefold, indicating young Europeans’ strong solidarity with citizens across borders.</w:t>
      </w:r>
    </w:p>
    <w:p>
      <w:pPr>
        <w:pStyle w:val="Yo1Textpara"/>
        <w:rPr>
          <w:rFonts w:ascii="Arial Narrow" w:hAnsi="Arial Narrow" w:cs="Arial"/>
          <w:bCs/>
          <w:noProof/>
          <w:color w:val="DA1E48"/>
          <w:spacing w:val="10"/>
          <w:sz w:val="28"/>
          <w:szCs w:val="28"/>
          <w:lang w:eastAsia="en-US"/>
        </w:rPr>
      </w:pPr>
      <w:r>
        <w:rPr>
          <w:rFonts w:ascii="Arial Narrow" w:hAnsi="Arial Narrow" w:cs="Arial"/>
          <w:bCs/>
          <w:noProof/>
          <w:color w:val="DA1E48"/>
          <w:spacing w:val="10"/>
          <w:sz w:val="28"/>
          <w:szCs w:val="28"/>
          <w:lang w:eastAsia="en-US"/>
        </w:rPr>
        <w:t>However, some challenges persist…</w:t>
      </w:r>
    </w:p>
    <w:p>
      <w:pPr>
        <w:pStyle w:val="Yo1Textpara"/>
        <w:tabs>
          <w:tab w:val="clear" w:pos="4253"/>
          <w:tab w:val="left" w:pos="284"/>
        </w:tabs>
        <w:rPr>
          <w:noProof/>
        </w:rPr>
      </w:pPr>
      <w:r>
        <w:rPr>
          <w:b/>
          <w:noProof/>
        </w:rPr>
        <w:t xml:space="preserve">Some groups of young people encounter difficulties in educational achievement. </w:t>
      </w:r>
      <w:r>
        <w:rPr>
          <w:noProof/>
        </w:rPr>
        <w:t>The rate of underachievement in literacy, numeracy and science is not improving. Since 2009, the proportion of students aged 15 with low levels of proficiency in those key competences has either stagnated – as in the case of reading and mathematics – or increased – as in science.</w:t>
      </w:r>
    </w:p>
    <w:tbl>
      <w:tblPr>
        <w:tblpPr w:leftFromText="180" w:rightFromText="180" w:vertAnchor="text" w:horzAnchor="margin" w:tblpXSpec="right" w:tblpY="152"/>
        <w:tblOverlap w:val="never"/>
        <w:tblW w:w="0" w:type="auto"/>
        <w:shd w:val="clear" w:color="auto" w:fill="FFA3A4"/>
        <w:tblLook w:val="04A0" w:firstRow="1" w:lastRow="0" w:firstColumn="1" w:lastColumn="0" w:noHBand="0" w:noVBand="1"/>
      </w:tblPr>
      <w:tblGrid>
        <w:gridCol w:w="2977"/>
      </w:tblGrid>
      <w:tr>
        <w:tc>
          <w:tcPr>
            <w:tcW w:w="2977" w:type="dxa"/>
            <w:shd w:val="clear" w:color="auto" w:fill="FFA3A4"/>
            <w:hideMark/>
          </w:tcPr>
          <w:p>
            <w:pPr>
              <w:pStyle w:val="Yo12Encart"/>
              <w:framePr w:hSpace="0" w:wrap="auto" w:vAnchor="margin" w:hAnchor="text" w:xAlign="left" w:yAlign="inline"/>
              <w:suppressOverlap w:val="0"/>
              <w:rPr>
                <w:noProof/>
                <w:sz w:val="22"/>
                <w:szCs w:val="22"/>
              </w:rPr>
            </w:pPr>
            <w:r>
              <w:rPr>
                <w:noProof/>
                <w:sz w:val="22"/>
                <w:szCs w:val="22"/>
              </w:rPr>
              <w:t>Many young Europeans still face challenges in terms of their educational attainment, their health and their living conditions. Young people  are also increasingly refraining from taking part in the electoral process</w:t>
            </w:r>
          </w:p>
        </w:tc>
      </w:tr>
    </w:tbl>
    <w:p>
      <w:pPr>
        <w:pStyle w:val="Yo1Textpara"/>
        <w:tabs>
          <w:tab w:val="clear" w:pos="4253"/>
          <w:tab w:val="left" w:pos="284"/>
        </w:tabs>
        <w:rPr>
          <w:noProof/>
        </w:rPr>
      </w:pPr>
      <w:r>
        <w:rPr>
          <w:b/>
          <w:noProof/>
        </w:rPr>
        <w:t>Poverty and social exclusion still affect large sections of the youth population</w:t>
      </w:r>
      <w:r>
        <w:rPr>
          <w:noProof/>
        </w:rPr>
        <w:t xml:space="preserve">. Despite a slight decline since 2014, the rate of children and young persons at risk of poverty or social exclusion is still considerable and higher than that recorded at the beginning of the decade. Concomitantly, the proportion of young people living in households with very low work intensity is still increasing, which poses serious risks to their economic and social welfare. What is more, in line with the trend in the general population, a growing proportion of young Europeans experience poverty while in employment. For this significant share of the youth population, the risk of suffering social exclusion and deprivation is very high. </w:t>
      </w:r>
    </w:p>
    <w:p>
      <w:pPr>
        <w:pStyle w:val="Yo1Textpara"/>
        <w:tabs>
          <w:tab w:val="clear" w:pos="4253"/>
          <w:tab w:val="left" w:pos="284"/>
        </w:tabs>
        <w:rPr>
          <w:noProof/>
        </w:rPr>
      </w:pPr>
      <w:r>
        <w:rPr>
          <w:b/>
          <w:noProof/>
        </w:rPr>
        <w:t>Obesity and insufficient physical activity pose health risks for an increasing number of young people</w:t>
      </w:r>
      <w:r>
        <w:rPr>
          <w:noProof/>
        </w:rPr>
        <w:t>. Over recent years, the proportion of obese young people has increased in almost all countries with available data. Obesity is partly linked to unhealthy eating habits, as well as to a lack of physical activity. Indeed, since 2011, the rate of participation of young Europeans in sports clubs has fallen.</w:t>
      </w:r>
    </w:p>
    <w:p>
      <w:pPr>
        <w:pStyle w:val="Yo1Textpara"/>
        <w:tabs>
          <w:tab w:val="clear" w:pos="4253"/>
          <w:tab w:val="left" w:pos="284"/>
        </w:tabs>
        <w:rPr>
          <w:noProof/>
        </w:rPr>
      </w:pPr>
      <w:r>
        <w:rPr>
          <w:b/>
          <w:noProof/>
        </w:rPr>
        <w:t>Electoral turnout amongst young Europeans continues to decline</w:t>
      </w:r>
      <w:r>
        <w:rPr>
          <w:noProof/>
        </w:rPr>
        <w:t>. The most traditional form of political participation – voting – continues to lose its appeal amongst young Europeans, especially in EU elections. While other ways of expressing interest in political and civic issues (e.g. online methods) become more widespread, growing numbers of young citizens refrain from casting their ballot at elections. As discussed in Chapter 5, research suggests that rather than a lack of interest in democratic participation, the main reason for this disengagement seems to be that young people are not attracted by the choices on offer at elections.</w:t>
      </w:r>
    </w:p>
    <w:p>
      <w:pPr>
        <w:pStyle w:val="Yo1Textpara"/>
        <w:rPr>
          <w:rFonts w:ascii="Arial Narrow" w:hAnsi="Arial Narrow" w:cs="Arial"/>
          <w:bCs/>
          <w:noProof/>
          <w:color w:val="DA1E48"/>
          <w:spacing w:val="10"/>
          <w:sz w:val="28"/>
          <w:szCs w:val="28"/>
          <w:lang w:eastAsia="en-US"/>
        </w:rPr>
      </w:pPr>
      <w:r>
        <w:rPr>
          <w:rFonts w:ascii="Arial Narrow" w:hAnsi="Arial Narrow" w:cs="Arial"/>
          <w:bCs/>
          <w:noProof/>
          <w:color w:val="DA1E48"/>
          <w:spacing w:val="10"/>
          <w:sz w:val="28"/>
          <w:szCs w:val="28"/>
          <w:lang w:eastAsia="en-US"/>
        </w:rPr>
        <w:t>… and some groups of young Europeans suffer from inequalities</w:t>
      </w:r>
    </w:p>
    <w:tbl>
      <w:tblPr>
        <w:tblpPr w:leftFromText="180" w:rightFromText="180" w:vertAnchor="text" w:horzAnchor="margin" w:tblpXSpec="right" w:tblpY="2799"/>
        <w:tblOverlap w:val="never"/>
        <w:tblW w:w="0" w:type="auto"/>
        <w:shd w:val="clear" w:color="auto" w:fill="FFA3A4"/>
        <w:tblLook w:val="04A0" w:firstRow="1" w:lastRow="0" w:firstColumn="1" w:lastColumn="0" w:noHBand="0" w:noVBand="1"/>
      </w:tblPr>
      <w:tblGrid>
        <w:gridCol w:w="3153"/>
      </w:tblGrid>
      <w:tr>
        <w:tc>
          <w:tcPr>
            <w:tcW w:w="3153" w:type="dxa"/>
            <w:shd w:val="clear" w:color="auto" w:fill="FFA3A4"/>
            <w:hideMark/>
          </w:tcPr>
          <w:p>
            <w:pPr>
              <w:pStyle w:val="Yo12Encart"/>
              <w:framePr w:hSpace="0" w:wrap="auto" w:vAnchor="margin" w:hAnchor="text" w:xAlign="left" w:yAlign="inline"/>
              <w:suppressOverlap w:val="0"/>
              <w:rPr>
                <w:noProof/>
                <w:sz w:val="22"/>
                <w:szCs w:val="22"/>
              </w:rPr>
            </w:pPr>
            <w:r>
              <w:rPr>
                <w:noProof/>
                <w:sz w:val="22"/>
                <w:szCs w:val="22"/>
              </w:rPr>
              <w:t>Young women suffer more from social exclusion and political disengagement than young men, who, in turn, are more susceptible to educational underachievement and health risks.</w:t>
            </w:r>
          </w:p>
        </w:tc>
      </w:tr>
    </w:tbl>
    <w:p>
      <w:pPr>
        <w:pStyle w:val="Yo1Textpara"/>
        <w:tabs>
          <w:tab w:val="clear" w:pos="4253"/>
          <w:tab w:val="left" w:pos="284"/>
        </w:tabs>
        <w:rPr>
          <w:noProof/>
        </w:rPr>
      </w:pPr>
      <w:r>
        <w:rPr>
          <w:b/>
          <w:noProof/>
        </w:rPr>
        <w:t>Young women and men both face disadvantages but in different areas</w:t>
      </w:r>
      <w:r>
        <w:rPr>
          <w:noProof/>
        </w:rPr>
        <w:t>. Data presented across the statistical section of this report point to the existence of inequalities between genders. Despite achieving higher levels of education, women's participation in the labour market is – in some respects – less prominent than that of young men. This is often related to the fact that they leave the labour force due to family and caring responsibilities. For example, part-time work is more common amongst women than men, and fewer women become self-employed. The potential economic fragility resulting from a less conspicuous involvement in the labour market can amplify the danger of social deprivation. Indeed, the risk of poverty or social exclusion affects young women to a larger extent than men. Larger proportions of young women also report facing barriers to accessing medical examinations, although this might be also linked to their stronger tendency to seek medical care. Social and economic marginalisation is known to have negative effects on the levels of political and civic participation. As a matter of fact, women vote and take part in organisations and political parties to a lesser extent than men.</w:t>
      </w:r>
    </w:p>
    <w:p>
      <w:pPr>
        <w:pStyle w:val="Yo1Textpara"/>
        <w:tabs>
          <w:tab w:val="clear" w:pos="4253"/>
          <w:tab w:val="left" w:pos="284"/>
        </w:tabs>
        <w:rPr>
          <w:noProof/>
        </w:rPr>
      </w:pPr>
      <w:r>
        <w:rPr>
          <w:noProof/>
        </w:rPr>
        <w:t>On the other hand, young men are disadvantaged in terms of educational attainment compared to women. They generally complete upper secondary and tertiary education at lower rates than women and are more at risk of leaving education early. Lower levels of participation in education contribute to the higher numbers of unemployed among young men than women. Men also suffer particular challenges in terms of health: not only are they more prone to risk behaviours and substance abuse (e.g. smoking, alcohol and cannabis), but they are also more likely than women to succeed in their attempts to commit suicide.</w:t>
      </w:r>
    </w:p>
    <w:p>
      <w:pPr>
        <w:pStyle w:val="Yo1Textpara"/>
        <w:rPr>
          <w:noProof/>
        </w:rPr>
      </w:pPr>
      <w:r>
        <w:rPr>
          <w:b/>
          <w:noProof/>
        </w:rPr>
        <w:t>Young Europeans from eastern and southern Europe face comparatively bigger challenges in terms of education, employment and inclusion</w:t>
      </w:r>
      <w:r>
        <w:rPr>
          <w:noProof/>
        </w:rPr>
        <w:t>. The trends in these three areas show that inequalities are manifest across different regions of Europe. For the main indicators on education, young people from countries in the eastern and southern regions of Europe consistently have worse outcomes than the European average. Lower proportions of students from these regions attain tertiary degrees, higher proportions leave school early, and greater percentages of students have low proficiency in reading, mathematics and science.</w:t>
      </w:r>
    </w:p>
    <w:tbl>
      <w:tblPr>
        <w:tblpPr w:leftFromText="180" w:rightFromText="180" w:vertAnchor="text" w:horzAnchor="margin" w:tblpXSpec="right" w:tblpY="192"/>
        <w:tblOverlap w:val="never"/>
        <w:tblW w:w="0" w:type="auto"/>
        <w:shd w:val="clear" w:color="auto" w:fill="FFA3A4"/>
        <w:tblLook w:val="04A0" w:firstRow="1" w:lastRow="0" w:firstColumn="1" w:lastColumn="0" w:noHBand="0" w:noVBand="1"/>
      </w:tblPr>
      <w:tblGrid>
        <w:gridCol w:w="3153"/>
      </w:tblGrid>
      <w:tr>
        <w:tc>
          <w:tcPr>
            <w:tcW w:w="3153" w:type="dxa"/>
            <w:shd w:val="clear" w:color="auto" w:fill="FFA3A4"/>
            <w:hideMark/>
          </w:tcPr>
          <w:p>
            <w:pPr>
              <w:pStyle w:val="Yo12Encart"/>
              <w:framePr w:hSpace="0" w:wrap="auto" w:vAnchor="margin" w:hAnchor="text" w:xAlign="left" w:yAlign="inline"/>
              <w:suppressOverlap w:val="0"/>
              <w:rPr>
                <w:noProof/>
                <w:sz w:val="22"/>
                <w:szCs w:val="22"/>
              </w:rPr>
            </w:pPr>
            <w:r>
              <w:rPr>
                <w:noProof/>
                <w:sz w:val="22"/>
                <w:szCs w:val="22"/>
              </w:rPr>
              <w:t xml:space="preserve">Young people from southern and eastern Europe encounter multiple threats to their educational, economic and social development. </w:t>
            </w:r>
          </w:p>
        </w:tc>
      </w:tr>
    </w:tbl>
    <w:p>
      <w:pPr>
        <w:pStyle w:val="Yo1Textpara"/>
        <w:tabs>
          <w:tab w:val="clear" w:pos="4253"/>
          <w:tab w:val="left" w:pos="284"/>
        </w:tabs>
        <w:rPr>
          <w:noProof/>
        </w:rPr>
      </w:pPr>
      <w:r>
        <w:rPr>
          <w:noProof/>
        </w:rPr>
        <w:t xml:space="preserve">Apart from educational attainment, there are considerable differences between European countries in young people's use of digital technologies. The rate at which young Europeans from countries in the south and east of Europe master digital skills is lower than the EU average. As these competences are increasingly important to succeed in the labour market as well as for making the most of the opportunities for civic and cultural participation offered by the internet and its applications, such a deficit poses a particularly serious risk of economic and social exclusion. </w:t>
      </w:r>
    </w:p>
    <w:p>
      <w:pPr>
        <w:pStyle w:val="Yo1Textpara"/>
        <w:tabs>
          <w:tab w:val="clear" w:pos="4253"/>
          <w:tab w:val="left" w:pos="284"/>
        </w:tabs>
        <w:rPr>
          <w:noProof/>
        </w:rPr>
      </w:pPr>
      <w:r>
        <w:rPr>
          <w:noProof/>
        </w:rPr>
        <w:t>Indeed, higher than average general and long-term rates of youth unemployment are detected in the very same regions of Europe. In the southern European countries that were severely affected by the European debt crisis, youth unemployment rates are still considerably higher than before the recession. Moreover, in these countries educational attainment seems unable to ease the path to employment: the unemployment rates of people aged 20-29 remain high among those with low-level as well as high-level qualifications.</w:t>
      </w:r>
    </w:p>
    <w:p>
      <w:pPr>
        <w:pStyle w:val="Yo1Textpara"/>
        <w:tabs>
          <w:tab w:val="clear" w:pos="4253"/>
          <w:tab w:val="left" w:pos="284"/>
        </w:tabs>
        <w:rPr>
          <w:noProof/>
        </w:rPr>
      </w:pPr>
      <w:r>
        <w:rPr>
          <w:noProof/>
        </w:rPr>
        <w:t>All these disadvantages are reflected in the social and living conditions experienced by youth groups in southern and eastern parts of Europe. Not only are they confronted with a higher risk of poverty or social exclusion, but in some countries their situation is deteriorating. While a general recovery in the economic and social prospects of young people has occurred in recent years in most areas of Europe, some Member States – particularly in the south – are still suffering the aftermath of the economic recession.</w:t>
      </w:r>
    </w:p>
    <w:p>
      <w:pPr>
        <w:pStyle w:val="Yo1Textpara"/>
        <w:tabs>
          <w:tab w:val="clear" w:pos="4253"/>
          <w:tab w:val="left" w:pos="284"/>
        </w:tabs>
        <w:rPr>
          <w:noProof/>
        </w:rPr>
      </w:pPr>
    </w:p>
    <w:bookmarkEnd w:id="3"/>
    <w:p>
      <w:pPr>
        <w:pStyle w:val="Yo1Textpara"/>
        <w:rPr>
          <w:noProof/>
        </w:rPr>
      </w:pPr>
    </w:p>
    <w:p>
      <w:pPr>
        <w:pStyle w:val="Yo1Textpara"/>
        <w:rPr>
          <w:noProof/>
        </w:rPr>
        <w:sectPr>
          <w:headerReference w:type="even" r:id="rId22"/>
          <w:headerReference w:type="default" r:id="rId23"/>
          <w:footerReference w:type="even" r:id="rId24"/>
          <w:footerReference w:type="default" r:id="rId25"/>
          <w:headerReference w:type="first" r:id="rId26"/>
          <w:footerReference w:type="first" r:id="rId27"/>
          <w:pgSz w:w="11906" w:h="16838" w:code="9"/>
          <w:pgMar w:top="1985" w:right="1134" w:bottom="851" w:left="851" w:header="709" w:footer="397" w:gutter="0"/>
          <w:cols w:space="720"/>
          <w:docGrid w:linePitch="360"/>
        </w:sectPr>
      </w:pPr>
    </w:p>
    <w:p>
      <w:pPr>
        <w:pStyle w:val="Yo5TextNotes"/>
        <w:rPr>
          <w:noProof/>
          <w:lang w:val="en-GB"/>
        </w:rPr>
      </w:pPr>
    </w:p>
    <w:p>
      <w:pPr>
        <w:pStyle w:val="Yo0H1"/>
        <w:jc w:val="left"/>
        <w:rPr>
          <w:noProof/>
          <w:lang w:val="en-GB"/>
        </w:rPr>
      </w:pPr>
      <w:bookmarkStart w:id="4" w:name="_Toc508377316"/>
      <w:bookmarkStart w:id="5" w:name="_Toc511656305"/>
      <w:r>
        <w:rPr>
          <w:noProof/>
          <w:lang w:val="en-GB"/>
        </w:rPr>
        <w:t>1. Demography</w:t>
      </w:r>
      <w:bookmarkEnd w:id="4"/>
      <w:bookmarkEnd w:id="5"/>
    </w:p>
    <w:p>
      <w:pPr>
        <w:pStyle w:val="Yo5TextNotes"/>
        <w:rPr>
          <w:noProof/>
          <w:lang w:val="en-GB"/>
        </w:rPr>
      </w:pPr>
    </w:p>
    <w:tbl>
      <w:tblPr>
        <w:tblpPr w:leftFromText="180" w:rightFromText="180" w:vertAnchor="text" w:horzAnchor="margin" w:tblpX="108" w:tblpY="100"/>
        <w:tblW w:w="4877" w:type="pct"/>
        <w:shd w:val="clear" w:color="auto" w:fill="FBD4B4"/>
        <w:tblLayout w:type="fixed"/>
        <w:tblCellMar>
          <w:top w:w="113" w:type="dxa"/>
          <w:bottom w:w="113" w:type="dxa"/>
        </w:tblCellMar>
        <w:tblLook w:val="04A0" w:firstRow="1" w:lastRow="0" w:firstColumn="1" w:lastColumn="0" w:noHBand="0" w:noVBand="1"/>
      </w:tblPr>
      <w:tblGrid>
        <w:gridCol w:w="8045"/>
        <w:gridCol w:w="1843"/>
      </w:tblGrid>
      <w:tr>
        <w:tc>
          <w:tcPr>
            <w:tcW w:w="4068" w:type="pct"/>
            <w:shd w:val="clear" w:color="auto" w:fill="FBD4B4"/>
            <w:vAlign w:val="center"/>
          </w:tcPr>
          <w:p>
            <w:pPr>
              <w:pStyle w:val="Yo5TextEUYouth"/>
              <w:framePr w:hSpace="0" w:wrap="auto" w:vAnchor="margin" w:hAnchor="text" w:xAlign="left" w:yAlign="inline"/>
              <w:rPr>
                <w:noProof/>
                <w:lang w:val="en-GB"/>
              </w:rPr>
            </w:pPr>
            <w:r>
              <w:rPr>
                <w:noProof/>
                <w:lang w:val="en-GB"/>
              </w:rPr>
              <w:t>EU youth indicators</w:t>
            </w:r>
          </w:p>
        </w:tc>
        <w:tc>
          <w:tcPr>
            <w:tcW w:w="932" w:type="pct"/>
            <w:shd w:val="clear" w:color="auto" w:fill="FBD4B4"/>
            <w:vAlign w:val="center"/>
          </w:tcPr>
          <w:p>
            <w:pPr>
              <w:pStyle w:val="p90H2"/>
              <w:spacing w:before="0" w:after="0"/>
              <w:ind w:left="0" w:firstLine="0"/>
              <w:rPr>
                <w:noProof/>
                <w:sz w:val="20"/>
              </w:rPr>
            </w:pPr>
          </w:p>
        </w:tc>
      </w:tr>
      <w:tr>
        <w:trPr>
          <w:trHeight w:val="400"/>
        </w:trPr>
        <w:tc>
          <w:tcPr>
            <w:tcW w:w="4068" w:type="pct"/>
            <w:shd w:val="clear" w:color="auto" w:fill="FBD4B4"/>
            <w:vAlign w:val="center"/>
          </w:tcPr>
          <w:p>
            <w:pPr>
              <w:pStyle w:val="Yo5TextEUYouthTOC"/>
              <w:framePr w:hSpace="0" w:wrap="auto" w:vAnchor="margin" w:hAnchor="text" w:xAlign="left" w:yAlign="inline"/>
            </w:pPr>
            <w:r>
              <w:t>Total number of children (0-14) on 1 January</w:t>
            </w:r>
          </w:p>
        </w:tc>
        <w:tc>
          <w:tcPr>
            <w:tcW w:w="932" w:type="pct"/>
            <w:shd w:val="clear" w:color="auto" w:fill="FBD4B4"/>
            <w:vAlign w:val="center"/>
          </w:tcPr>
          <w:p>
            <w:pPr>
              <w:pStyle w:val="Yo5TextEUYouthTOC"/>
              <w:framePr w:hSpace="0" w:wrap="auto" w:vAnchor="margin" w:hAnchor="text" w:xAlign="left" w:yAlign="inline"/>
            </w:pPr>
            <w:r>
              <w:t>Figure 1-A</w:t>
            </w:r>
          </w:p>
        </w:tc>
      </w:tr>
      <w:tr>
        <w:trPr>
          <w:trHeight w:val="400"/>
        </w:trPr>
        <w:tc>
          <w:tcPr>
            <w:tcW w:w="4068" w:type="pct"/>
            <w:shd w:val="clear" w:color="auto" w:fill="FBD4B4"/>
            <w:vAlign w:val="center"/>
          </w:tcPr>
          <w:p>
            <w:pPr>
              <w:pStyle w:val="Yo5TextEUYouthTOC"/>
              <w:framePr w:hSpace="0" w:wrap="auto" w:vAnchor="margin" w:hAnchor="text" w:xAlign="left" w:yAlign="inline"/>
            </w:pPr>
            <w:r>
              <w:t>Total number of young people (15-29) on 1 January</w:t>
            </w:r>
          </w:p>
        </w:tc>
        <w:tc>
          <w:tcPr>
            <w:tcW w:w="932" w:type="pct"/>
            <w:shd w:val="clear" w:color="auto" w:fill="FBD4B4"/>
            <w:vAlign w:val="center"/>
          </w:tcPr>
          <w:p>
            <w:pPr>
              <w:pStyle w:val="Yo5TextEUYouthTOC"/>
              <w:framePr w:hSpace="0" w:wrap="auto" w:vAnchor="margin" w:hAnchor="text" w:xAlign="left" w:yAlign="inline"/>
            </w:pPr>
            <w:r>
              <w:t>Figure 1-B</w:t>
            </w:r>
          </w:p>
        </w:tc>
      </w:tr>
      <w:tr>
        <w:trPr>
          <w:trHeight w:val="400"/>
        </w:trPr>
        <w:tc>
          <w:tcPr>
            <w:tcW w:w="4068" w:type="pct"/>
            <w:shd w:val="clear" w:color="auto" w:fill="FBD4B4"/>
            <w:vAlign w:val="center"/>
          </w:tcPr>
          <w:p>
            <w:pPr>
              <w:pStyle w:val="Yo5TextEUYouthTOC"/>
              <w:framePr w:hSpace="0" w:wrap="auto" w:vAnchor="margin" w:hAnchor="text" w:xAlign="left" w:yAlign="inline"/>
            </w:pPr>
            <w:r>
              <w:t>Proportion of young people (15-19, 20-24, 25-29) in the total population on 1 January</w:t>
            </w:r>
          </w:p>
        </w:tc>
        <w:tc>
          <w:tcPr>
            <w:tcW w:w="932" w:type="pct"/>
            <w:shd w:val="clear" w:color="auto" w:fill="FBD4B4"/>
            <w:vAlign w:val="center"/>
          </w:tcPr>
          <w:p>
            <w:pPr>
              <w:pStyle w:val="Yo5TextEUYouthTOC"/>
              <w:framePr w:hSpace="0" w:wrap="auto" w:vAnchor="margin" w:hAnchor="text" w:xAlign="left" w:yAlign="inline"/>
            </w:pPr>
            <w:r>
              <w:t>Figures 1-C and 1-D</w:t>
            </w:r>
          </w:p>
        </w:tc>
      </w:tr>
    </w:tbl>
    <w:p>
      <w:pPr>
        <w:pStyle w:val="Yo5TextNotes"/>
        <w:rPr>
          <w:noProof/>
          <w:lang w:val="en-GB"/>
        </w:rPr>
      </w:pPr>
    </w:p>
    <w:p>
      <w:pPr>
        <w:pStyle w:val="Yo0H2"/>
        <w:rPr>
          <w:noProof/>
          <w:lang w:val="en-GB"/>
        </w:rPr>
      </w:pPr>
      <w:r>
        <w:rPr>
          <w:noProof/>
        </w:rPr>
        <w:br w:type="page"/>
      </w:r>
      <w:bookmarkStart w:id="6" w:name="_Toc511656306"/>
      <w:r>
        <w:rPr>
          <w:noProof/>
          <w:lang w:val="en-GB"/>
        </w:rPr>
        <w:t>1.1. Introduction</w:t>
      </w:r>
      <w:bookmarkEnd w:id="6"/>
    </w:p>
    <w:p>
      <w:pPr>
        <w:pStyle w:val="Yo1Textpara"/>
        <w:rPr>
          <w:noProof/>
        </w:rPr>
      </w:pPr>
      <w:r>
        <w:rPr>
          <w:noProof/>
        </w:rPr>
        <w:t>There is no universally accepted definition of 'youth' in terms of the ages it covers. Cultural and socio-economic factors influence perceptions and determine when a person enters this period of life and how long it lasts. This is reflected in the fact that European countries’ national policies on youth matters vary in the age range they take into account (</w:t>
      </w:r>
      <w:r>
        <w:rPr>
          <w:rStyle w:val="FootnoteReference"/>
          <w:noProof/>
        </w:rPr>
        <w:footnoteReference w:id="4"/>
      </w:r>
      <w:r>
        <w:rPr>
          <w:noProof/>
        </w:rPr>
        <w:t xml:space="preserve">). </w:t>
      </w:r>
    </w:p>
    <w:p>
      <w:pPr>
        <w:pStyle w:val="Yo1Textpara"/>
        <w:rPr>
          <w:noProof/>
        </w:rPr>
      </w:pPr>
      <w:r>
        <w:rPr>
          <w:noProof/>
        </w:rPr>
        <w:t>At EU level, official indicators in the field of youth set the age group as between 15 and 29 years of age (</w:t>
      </w:r>
      <w:r>
        <w:rPr>
          <w:rStyle w:val="FootnoteReference"/>
          <w:noProof/>
        </w:rPr>
        <w:footnoteReference w:id="5"/>
      </w:r>
      <w:r>
        <w:rPr>
          <w:noProof/>
        </w:rPr>
        <w:t xml:space="preserve">). This introductory chapter, therefore, sets the scene for the report as a whole by illustrating the key demographic data and trends for this age group. </w:t>
      </w:r>
    </w:p>
    <w:p>
      <w:pPr>
        <w:pStyle w:val="Yo1Textpara"/>
        <w:rPr>
          <w:noProof/>
        </w:rPr>
      </w:pPr>
      <w:r>
        <w:rPr>
          <w:noProof/>
        </w:rPr>
        <w:t>The first section offers an overview of the size and geographical distribution of young people across countries, followed by an illustration of their proportion in the total population. The trend in the number and proportion of young people over recent years is then described, accompanied by a discussion of the projected changes for the years ahead. In the second section, the impact of international migration and patterns of youth mobility across the continent are presented.</w:t>
      </w:r>
    </w:p>
    <w:p>
      <w:pPr>
        <w:pStyle w:val="Yo0H2"/>
        <w:rPr>
          <w:noProof/>
          <w:lang w:val="en-GB"/>
        </w:rPr>
      </w:pPr>
      <w:bookmarkStart w:id="7" w:name="_Toc511656307"/>
      <w:r>
        <w:rPr>
          <w:noProof/>
          <w:lang w:val="en-GB"/>
        </w:rPr>
        <w:t>1.2. European youth population: past and future trends</w:t>
      </w:r>
      <w:bookmarkEnd w:id="7"/>
    </w:p>
    <w:p>
      <w:pPr>
        <w:pStyle w:val="Yo1Textpara"/>
        <w:rPr>
          <w:noProof/>
        </w:rPr>
      </w:pPr>
      <w:r>
        <w:rPr>
          <w:noProof/>
        </w:rPr>
        <w:t xml:space="preserve">On 1 January 2016, the European Union counted almost 80 million </w:t>
      </w:r>
      <w:r>
        <w:rPr>
          <w:b/>
          <w:noProof/>
        </w:rPr>
        <w:t>children</w:t>
      </w:r>
      <w:r>
        <w:rPr>
          <w:noProof/>
        </w:rPr>
        <w:t xml:space="preserve"> and over 88 million </w:t>
      </w:r>
      <w:r>
        <w:rPr>
          <w:b/>
          <w:noProof/>
        </w:rPr>
        <w:t>young people</w:t>
      </w:r>
      <w:r>
        <w:rPr>
          <w:noProof/>
        </w:rPr>
        <w:t xml:space="preserve"> (Figures 1-A and 1-B). </w:t>
      </w:r>
    </w:p>
    <w:p>
      <w:pPr>
        <w:pStyle w:val="Yo5TitleFigure"/>
      </w:pPr>
      <w:r>
        <w:rPr>
          <w:b/>
        </w:rPr>
        <w:t xml:space="preserve">Figure 1-A: </w:t>
      </w:r>
      <w:r>
        <w:t>Number of children (aged 0-14) on 1 January, by country, 2016</w:t>
      </w:r>
    </w:p>
    <w:tbl>
      <w:tblPr>
        <w:tblpPr w:leftFromText="181" w:rightFromText="181" w:vertAnchor="text" w:tblpX="-424" w:tblpY="1"/>
        <w:tblOverlap w:val="neve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9899"/>
      </w:tblGrid>
      <w:tr>
        <w:trPr>
          <w:cantSplit/>
          <w:trHeight w:val="4810"/>
        </w:trPr>
        <w:tc>
          <w:tcPr>
            <w:tcW w:w="266" w:type="pct"/>
            <w:shd w:val="clear" w:color="auto" w:fill="FB5F5F"/>
            <w:textDirection w:val="btLr"/>
            <w:vAlign w:val="center"/>
          </w:tcPr>
          <w:p>
            <w:pPr>
              <w:pStyle w:val="Yo13YouthIndicator"/>
              <w:jc w:val="center"/>
              <w:rPr>
                <w:noProof/>
                <w:sz w:val="20"/>
                <w:lang w:eastAsia="fr-BE"/>
              </w:rPr>
            </w:pPr>
            <w:r>
              <w:rPr>
                <w:noProof/>
                <w:sz w:val="20"/>
              </w:rPr>
              <w:t>EU youth indicator</w:t>
            </w:r>
          </w:p>
        </w:tc>
        <w:tc>
          <w:tcPr>
            <w:tcW w:w="4734" w:type="pct"/>
            <w:shd w:val="clear" w:color="auto" w:fill="auto"/>
          </w:tcPr>
          <w:tbl>
            <w:tblPr>
              <w:tblW w:w="0" w:type="auto"/>
              <w:tblLook w:val="04A0" w:firstRow="1" w:lastRow="0" w:firstColumn="1" w:lastColumn="0" w:noHBand="0" w:noVBand="1"/>
            </w:tblPr>
            <w:tblGrid>
              <w:gridCol w:w="6816"/>
              <w:gridCol w:w="516"/>
              <w:gridCol w:w="2351"/>
            </w:tblGrid>
            <w:tr>
              <w:trPr>
                <w:trHeight w:val="1142"/>
              </w:trPr>
              <w:tc>
                <w:tcPr>
                  <w:tcW w:w="0" w:type="auto"/>
                  <w:vMerge w:val="restart"/>
                  <w:shd w:val="clear" w:color="auto" w:fill="auto"/>
                </w:tcPr>
                <w:p>
                  <w:pPr>
                    <w:pStyle w:val="Yo5TextNotesbeforeafter"/>
                    <w:framePr w:hSpace="181" w:wrap="around" w:vAnchor="text" w:hAnchor="text" w:x="-424" w:y="1"/>
                    <w:suppressOverlap/>
                    <w:rPr>
                      <w:noProof/>
                      <w:lang w:val="en-GB"/>
                    </w:rPr>
                  </w:pPr>
                  <w:r>
                    <w:rPr>
                      <w:noProof/>
                      <w:snapToGrid/>
                      <w:szCs w:val="22"/>
                      <w:lang w:val="en-US"/>
                    </w:rPr>
                    <mc:AlternateContent>
                      <mc:Choice Requires="wps">
                        <w:drawing>
                          <wp:anchor distT="0" distB="0" distL="114300" distR="114300" simplePos="0" relativeHeight="251658240" behindDoc="0" locked="0" layoutInCell="1" allowOverlap="1">
                            <wp:simplePos x="0" y="0"/>
                            <wp:positionH relativeFrom="column">
                              <wp:posOffset>3169920</wp:posOffset>
                            </wp:positionH>
                            <wp:positionV relativeFrom="paragraph">
                              <wp:posOffset>734060</wp:posOffset>
                            </wp:positionV>
                            <wp:extent cx="891540" cy="925195"/>
                            <wp:effectExtent l="13970" t="5715" r="8890" b="1206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925195"/>
                                    </a:xfrm>
                                    <a:prstGeom prst="rect">
                                      <a:avLst/>
                                    </a:prstGeom>
                                    <a:solidFill>
                                      <a:srgbClr val="1F497D"/>
                                    </a:solidFill>
                                    <a:ln w="9525">
                                      <a:solidFill>
                                        <a:srgbClr val="000000"/>
                                      </a:solidFill>
                                      <a:miter lim="800000"/>
                                      <a:headEnd/>
                                      <a:tailEnd/>
                                    </a:ln>
                                  </wps:spPr>
                                  <wps:txbx>
                                    <w:txbxContent>
                                      <w:p>
                                        <w:pPr>
                                          <w:spacing w:after="0" w:line="240" w:lineRule="auto"/>
                                          <w:jc w:val="center"/>
                                          <w:rPr>
                                            <w:b/>
                                            <w:color w:val="FFFFFF"/>
                                            <w:sz w:val="24"/>
                                          </w:rPr>
                                        </w:pPr>
                                        <w:r>
                                          <w:rPr>
                                            <w:b/>
                                            <w:color w:val="FFFFFF"/>
                                            <w:sz w:val="24"/>
                                          </w:rPr>
                                          <w:t>EU-28</w:t>
                                        </w:r>
                                      </w:p>
                                      <w:p>
                                        <w:pPr>
                                          <w:spacing w:after="0" w:line="240" w:lineRule="auto"/>
                                          <w:jc w:val="center"/>
                                          <w:rPr>
                                            <w:b/>
                                            <w:color w:val="FFFFFF"/>
                                            <w:sz w:val="24"/>
                                          </w:rPr>
                                        </w:pPr>
                                        <w:r>
                                          <w:rPr>
                                            <w:b/>
                                            <w:color w:val="FFFFFF"/>
                                            <w:sz w:val="24"/>
                                          </w:rPr>
                                          <w:t>79 500 703</w:t>
                                        </w:r>
                                      </w:p>
                                      <w:p>
                                        <w:pPr>
                                          <w:spacing w:after="0" w:line="240" w:lineRule="auto"/>
                                          <w:jc w:val="center"/>
                                        </w:pPr>
                                        <w:r>
                                          <w:rPr>
                                            <w:noProof/>
                                            <w:lang w:val="en-US"/>
                                          </w:rPr>
                                          <w:drawing>
                                            <wp:inline distT="0" distB="0" distL="0" distR="0">
                                              <wp:extent cx="695325" cy="447675"/>
                                              <wp:effectExtent l="0" t="0" r="9525" b="0"/>
                                              <wp:docPr id="27" name="Picture 27" descr="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ildren"/>
                                                      <pic:cNvPicPr>
                                                        <a:picLocks noChangeAspect="1" noChangeArrowheads="1"/>
                                                      </pic:cNvPicPr>
                                                    </pic:nvPicPr>
                                                    <pic:blipFill>
                                                      <a:blip r:embed="rId28">
                                                        <a:lum bright="70000" contrast="-70000"/>
                                                        <a:extLst>
                                                          <a:ext uri="{28A0092B-C50C-407E-A947-70E740481C1C}">
                                                            <a14:useLocalDpi xmlns:a14="http://schemas.microsoft.com/office/drawing/2010/main" val="0"/>
                                                          </a:ext>
                                                        </a:extLst>
                                                      </a:blip>
                                                      <a:srcRect t="21574" b="13503"/>
                                                      <a:stretch>
                                                        <a:fillRect/>
                                                      </a:stretch>
                                                    </pic:blipFill>
                                                    <pic:spPr bwMode="auto">
                                                      <a:xfrm>
                                                        <a:off x="0" y="0"/>
                                                        <a:ext cx="695325" cy="447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49.6pt;margin-top:57.8pt;width:70.2pt;height:72.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A/KAIAAE4EAAAOAAAAZHJzL2Uyb0RvYy54bWysVMGO0zAQvSPxD5bvNE3U7G6jpqulpQhp&#10;WZB2+QDHcRILx2PZbpPy9YydtlQLXBA5WLZn/ObNm5ms7sdekYOwToIuaTqbUyI0h1rqtqTfXnbv&#10;7ihxnumaKdCipEfh6P367ZvVYAqRQQeqFpYgiHbFYEraeW+KJHG8Ez1zMzBCo7EB2zOPR9smtWUD&#10;ovcqyebzm2QAWxsLXDiHt9vJSNcRv2kE91+axglPVEmRm4+rjWsV1mS9YkVrmekkP9Fg/8CiZ1Jj&#10;0AvUlnlG9lb+BtVLbsFB42cc+gSaRnIRc8Bs0vmrbJ47ZkTMBcVx5iKT+3+w/Onw1RJZlzS7oUSz&#10;Hmv0IkZP3sNI8iDPYFyBXs8G/fyI11jmmKozj8C/O6Jh0zHdigdrYegEq5FeGl4mV08nHBdAquEz&#10;1BiG7T1EoLGxfdAO1SCIjmU6XkoTqHC8vFum+QItHE3LLE+XkVvCivNjY53/KKAnYVNSi5WP4Ozw&#10;6Hwgw4qzS4jlQMl6J5WKB9tWG2XJgWGXpLvF8nYb+b9yU5oMGD3P8in/v0LM4/cniF56bHcle8zo&#10;4sSKoNoHXcdm9EyqaY+UlT7JGJSbNPRjNZ7KUkF9REEtTG2NY4ibDuwPSgZs6ZJqnDlK1CeNJVmm&#10;iyCgj4dFfpvhwV5bqmsL0xyBSuopmbYbP03N3ljZdhjn3AQPWMadjBKHek+cTqyxaaPypwELU3F9&#10;jl6/fgPrnwAAAP//AwBQSwMEFAAGAAgAAAAhAMPsrgHhAAAACwEAAA8AAABkcnMvZG93bnJldi54&#10;bWxMj8tOwzAQRfdI/IM1SOyokxQiEuJU5bUCITV0UXZuPCQRfkS206Z8PcMKdjO6V2fOVKvZaHZA&#10;HwZnBaSLBBja1qnBdgK2789Xt8BClFZJ7SwKOGGAVX1+VslSuaPd4KGJHSOIDaUU0Mc4lpyHtkcj&#10;w8KNaCn7dN7ISKvvuPLySHCjeZYkOTdysHShlyM+9Nh+NZMRkO3wm7++nRL/eL9+kU/Th242oxCX&#10;F/P6DljEOf6V4Vef1KEmp72brApMC7guioyqFKQ3OTBq5MuChj3h83QJvK74/x/qHwAAAP//AwBQ&#10;SwECLQAUAAYACAAAACEAtoM4kv4AAADhAQAAEwAAAAAAAAAAAAAAAAAAAAAAW0NvbnRlbnRfVHlw&#10;ZXNdLnhtbFBLAQItABQABgAIAAAAIQA4/SH/1gAAAJQBAAALAAAAAAAAAAAAAAAAAC8BAABfcmVs&#10;cy8ucmVsc1BLAQItABQABgAIAAAAIQCqqBA/KAIAAE4EAAAOAAAAAAAAAAAAAAAAAC4CAABkcnMv&#10;ZTJvRG9jLnhtbFBLAQItABQABgAIAAAAIQDD7K4B4QAAAAsBAAAPAAAAAAAAAAAAAAAAAIIEAABk&#10;cnMvZG93bnJldi54bWxQSwUGAAAAAAQABADzAAAAkAUAAAAA&#10;" fillcolor="#1f497d">
                            <v:textbox style="mso-fit-shape-to-text:t">
                              <w:txbxContent>
                                <w:p>
                                  <w:pPr>
                                    <w:spacing w:after="0" w:line="240" w:lineRule="auto"/>
                                    <w:jc w:val="center"/>
                                    <w:rPr>
                                      <w:b/>
                                      <w:color w:val="FFFFFF"/>
                                      <w:sz w:val="24"/>
                                    </w:rPr>
                                  </w:pPr>
                                  <w:r>
                                    <w:rPr>
                                      <w:b/>
                                      <w:color w:val="FFFFFF"/>
                                      <w:sz w:val="24"/>
                                    </w:rPr>
                                    <w:t>EU-28</w:t>
                                  </w:r>
                                </w:p>
                                <w:p>
                                  <w:pPr>
                                    <w:spacing w:after="0" w:line="240" w:lineRule="auto"/>
                                    <w:jc w:val="center"/>
                                    <w:rPr>
                                      <w:b/>
                                      <w:color w:val="FFFFFF"/>
                                      <w:sz w:val="24"/>
                                    </w:rPr>
                                  </w:pPr>
                                  <w:r>
                                    <w:rPr>
                                      <w:b/>
                                      <w:color w:val="FFFFFF"/>
                                      <w:sz w:val="24"/>
                                    </w:rPr>
                                    <w:t>79 500 703</w:t>
                                  </w:r>
                                </w:p>
                                <w:p>
                                  <w:pPr>
                                    <w:spacing w:after="0" w:line="240" w:lineRule="auto"/>
                                    <w:jc w:val="center"/>
                                  </w:pPr>
                                  <w:r>
                                    <w:rPr>
                                      <w:noProof/>
                                      <w:lang w:val="en-US"/>
                                    </w:rPr>
                                    <w:drawing>
                                      <wp:inline distT="0" distB="0" distL="0" distR="0">
                                        <wp:extent cx="695325" cy="447675"/>
                                        <wp:effectExtent l="0" t="0" r="9525" b="0"/>
                                        <wp:docPr id="27" name="Picture 27" descr="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ildren"/>
                                                <pic:cNvPicPr>
                                                  <a:picLocks noChangeAspect="1" noChangeArrowheads="1"/>
                                                </pic:cNvPicPr>
                                              </pic:nvPicPr>
                                              <pic:blipFill>
                                                <a:blip r:embed="rId28">
                                                  <a:lum bright="70000" contrast="-70000"/>
                                                  <a:extLst>
                                                    <a:ext uri="{28A0092B-C50C-407E-A947-70E740481C1C}">
                                                      <a14:useLocalDpi xmlns:a14="http://schemas.microsoft.com/office/drawing/2010/main" val="0"/>
                                                    </a:ext>
                                                  </a:extLst>
                                                </a:blip>
                                                <a:srcRect t="21574" b="13503"/>
                                                <a:stretch>
                                                  <a:fillRect/>
                                                </a:stretch>
                                              </pic:blipFill>
                                              <pic:spPr bwMode="auto">
                                                <a:xfrm>
                                                  <a:off x="0" y="0"/>
                                                  <a:ext cx="695325" cy="447675"/>
                                                </a:xfrm>
                                                <a:prstGeom prst="rect">
                                                  <a:avLst/>
                                                </a:prstGeom>
                                                <a:noFill/>
                                                <a:ln>
                                                  <a:noFill/>
                                                </a:ln>
                                              </pic:spPr>
                                            </pic:pic>
                                          </a:graphicData>
                                        </a:graphic>
                                      </wp:inline>
                                    </w:drawing>
                                  </w:r>
                                </w:p>
                              </w:txbxContent>
                            </v:textbox>
                          </v:shape>
                        </w:pict>
                      </mc:Fallback>
                    </mc:AlternateContent>
                  </w:r>
                  <w:r>
                    <w:rPr>
                      <w:noProof/>
                      <w:snapToGrid/>
                      <w:szCs w:val="22"/>
                      <w:lang w:val="en-US"/>
                    </w:rPr>
                    <w:drawing>
                      <wp:inline distT="0" distB="0" distL="0" distR="0">
                        <wp:extent cx="4191000" cy="3133725"/>
                        <wp:effectExtent l="0" t="0" r="0" b="9525"/>
                        <wp:docPr id="2" name="Picture 2" descr="\\s-eacea-fs03-p\EACEA.A7\Youth\04_Reports\a_EU_Youth_Reports\2018\03_graph\1_A_childre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cea-fs03-p\EACEA.A7\Youth\04_Reports\a_EU_Youth_Reports\2018\03_graph\1_A_children_MAP.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4191000" cy="3133725"/>
                                </a:xfrm>
                                <a:prstGeom prst="rect">
                                  <a:avLst/>
                                </a:prstGeom>
                                <a:noFill/>
                                <a:ln>
                                  <a:noFill/>
                                </a:ln>
                              </pic:spPr>
                            </pic:pic>
                          </a:graphicData>
                        </a:graphic>
                      </wp:inline>
                    </w:drawing>
                  </w:r>
                </w:p>
              </w:tc>
              <w:tc>
                <w:tcPr>
                  <w:tcW w:w="0" w:type="auto"/>
                </w:tcPr>
                <w:p>
                  <w:pPr>
                    <w:pStyle w:val="Yo5TextNotesbeforeafter"/>
                    <w:framePr w:hSpace="181" w:wrap="around" w:vAnchor="text" w:hAnchor="text" w:x="-424" w:y="1"/>
                    <w:suppressOverlap/>
                    <w:rPr>
                      <w:noProof/>
                      <w:snapToGrid/>
                      <w:szCs w:val="22"/>
                      <w:lang w:val="en-GB" w:eastAsia="en-GB"/>
                    </w:rPr>
                  </w:pPr>
                </w:p>
              </w:tc>
              <w:tc>
                <w:tcPr>
                  <w:tcW w:w="0" w:type="auto"/>
                </w:tcPr>
                <w:p>
                  <w:pPr>
                    <w:pStyle w:val="Yo5TextNotesbeforeafter"/>
                    <w:framePr w:hSpace="181" w:wrap="around" w:vAnchor="text" w:hAnchor="text" w:x="-424" w:y="1"/>
                    <w:suppressOverlap/>
                    <w:rPr>
                      <w:noProof/>
                      <w:snapToGrid/>
                      <w:szCs w:val="22"/>
                      <w:lang w:val="en-GB" w:eastAsia="en-GB"/>
                    </w:rPr>
                  </w:pPr>
                </w:p>
              </w:tc>
            </w:tr>
            <w:tr>
              <w:trPr>
                <w:trHeight w:val="386"/>
              </w:trPr>
              <w:tc>
                <w:tcPr>
                  <w:tcW w:w="0" w:type="auto"/>
                  <w:vMerge/>
                  <w:shd w:val="clear" w:color="auto" w:fill="auto"/>
                </w:tcPr>
                <w:p>
                  <w:pPr>
                    <w:pStyle w:val="Yo5TextNotesbeforeafter"/>
                    <w:framePr w:hSpace="181" w:wrap="around" w:vAnchor="text" w:hAnchor="text" w:x="-424" w:y="1"/>
                    <w:suppressOverlap/>
                    <w:rPr>
                      <w:noProof/>
                      <w:snapToGrid/>
                      <w:szCs w:val="22"/>
                      <w:lang w:val="en-GB" w:eastAsia="en-GB"/>
                    </w:rPr>
                  </w:pPr>
                </w:p>
              </w:tc>
              <w:tc>
                <w:tcPr>
                  <w:tcW w:w="0" w:type="auto"/>
                </w:tcPr>
                <w:p>
                  <w:pPr>
                    <w:pStyle w:val="Yo5TextNotesbeforeafter"/>
                    <w:framePr w:hSpace="181" w:wrap="around" w:vAnchor="text" w:hAnchor="text" w:x="-424" w:y="1"/>
                    <w:suppressOverlap/>
                    <w:rPr>
                      <w:noProof/>
                      <w:snapToGrid/>
                      <w:szCs w:val="22"/>
                      <w:lang w:val="en-GB" w:eastAsia="en-GB"/>
                    </w:rPr>
                  </w:pPr>
                  <w:r>
                    <w:rPr>
                      <w:noProof/>
                      <w:snapToGrid/>
                      <w:lang w:val="en-US"/>
                    </w:rPr>
                    <w:drawing>
                      <wp:inline distT="0" distB="0" distL="0" distR="0">
                        <wp:extent cx="142875" cy="142875"/>
                        <wp:effectExtent l="19050" t="19050" r="28575" b="28575"/>
                        <wp:docPr id="3" name="Picture 3" descr="G:\TOOLS\Templates_Graphs\Maps\Excel\PNG\C2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OOLS\Templates_Graphs\Maps\Excel\PNG\C2L.pn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0" w:type="auto"/>
                </w:tcPr>
                <w:p>
                  <w:pPr>
                    <w:pStyle w:val="Yo5TextNotesbeforeafter"/>
                    <w:framePr w:hSpace="181" w:wrap="around" w:vAnchor="text" w:hAnchor="text" w:x="-424" w:y="1"/>
                    <w:suppressOverlap/>
                    <w:jc w:val="left"/>
                    <w:rPr>
                      <w:noProof/>
                      <w:snapToGrid/>
                      <w:szCs w:val="22"/>
                      <w:lang w:val="en-GB" w:eastAsia="en-GB"/>
                    </w:rPr>
                  </w:pPr>
                  <w:r>
                    <w:rPr>
                      <w:noProof/>
                      <w:lang w:val="en-GB"/>
                    </w:rPr>
                    <w:t>Below 100 000</w:t>
                  </w:r>
                </w:p>
              </w:tc>
            </w:tr>
            <w:tr>
              <w:trPr>
                <w:trHeight w:val="496"/>
              </w:trPr>
              <w:tc>
                <w:tcPr>
                  <w:tcW w:w="0" w:type="auto"/>
                  <w:vMerge/>
                  <w:shd w:val="clear" w:color="auto" w:fill="auto"/>
                </w:tcPr>
                <w:p>
                  <w:pPr>
                    <w:pStyle w:val="Yo5TextNotesbeforeafter"/>
                    <w:framePr w:hSpace="181" w:wrap="around" w:vAnchor="text" w:hAnchor="text" w:x="-424" w:y="1"/>
                    <w:suppressOverlap/>
                    <w:rPr>
                      <w:noProof/>
                      <w:snapToGrid/>
                      <w:szCs w:val="22"/>
                      <w:lang w:val="en-GB" w:eastAsia="en-GB"/>
                    </w:rPr>
                  </w:pPr>
                </w:p>
              </w:tc>
              <w:tc>
                <w:tcPr>
                  <w:tcW w:w="0" w:type="auto"/>
                </w:tcPr>
                <w:p>
                  <w:pPr>
                    <w:pStyle w:val="Yo5TextNotesbeforeafter"/>
                    <w:framePr w:hSpace="181" w:wrap="around" w:vAnchor="text" w:hAnchor="text" w:x="-424" w:y="1"/>
                    <w:suppressOverlap/>
                    <w:rPr>
                      <w:noProof/>
                      <w:snapToGrid/>
                      <w:szCs w:val="22"/>
                      <w:lang w:val="en-GB" w:eastAsia="en-GB"/>
                    </w:rPr>
                  </w:pPr>
                  <w:r>
                    <w:rPr>
                      <w:noProof/>
                      <w:snapToGrid/>
                      <w:lang w:val="en-US"/>
                    </w:rPr>
                    <w:drawing>
                      <wp:inline distT="0" distB="0" distL="0" distR="0">
                        <wp:extent cx="142875" cy="142875"/>
                        <wp:effectExtent l="19050" t="19050" r="28575" b="28575"/>
                        <wp:docPr id="4" name="Picture 4" descr="G:\TOOLS\Templates_Graphs\Maps\Excel\PNG\C2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OOLS\Templates_Graphs\Maps\Excel\PNG\C2M.pn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0" w:type="auto"/>
                </w:tcPr>
                <w:p>
                  <w:pPr>
                    <w:pStyle w:val="Yo5TextNotesbeforeafter"/>
                    <w:framePr w:hSpace="181" w:wrap="around" w:vAnchor="text" w:hAnchor="text" w:x="-424" w:y="1"/>
                    <w:suppressOverlap/>
                    <w:jc w:val="left"/>
                    <w:rPr>
                      <w:noProof/>
                      <w:snapToGrid/>
                      <w:szCs w:val="22"/>
                      <w:lang w:val="en-GB" w:eastAsia="en-GB"/>
                    </w:rPr>
                  </w:pPr>
                  <w:r>
                    <w:rPr>
                      <w:noProof/>
                      <w:lang w:val="en-GB"/>
                    </w:rPr>
                    <w:t>Between 100 000 and 1 million</w:t>
                  </w:r>
                </w:p>
              </w:tc>
            </w:tr>
            <w:tr>
              <w:trPr>
                <w:trHeight w:val="465"/>
              </w:trPr>
              <w:tc>
                <w:tcPr>
                  <w:tcW w:w="0" w:type="auto"/>
                  <w:vMerge/>
                  <w:shd w:val="clear" w:color="auto" w:fill="auto"/>
                </w:tcPr>
                <w:p>
                  <w:pPr>
                    <w:pStyle w:val="Yo5TextNotesbeforeafter"/>
                    <w:framePr w:hSpace="181" w:wrap="around" w:vAnchor="text" w:hAnchor="text" w:x="-424" w:y="1"/>
                    <w:suppressOverlap/>
                    <w:rPr>
                      <w:noProof/>
                      <w:snapToGrid/>
                      <w:szCs w:val="22"/>
                      <w:lang w:val="en-GB" w:eastAsia="en-GB"/>
                    </w:rPr>
                  </w:pPr>
                </w:p>
              </w:tc>
              <w:tc>
                <w:tcPr>
                  <w:tcW w:w="0" w:type="auto"/>
                </w:tcPr>
                <w:p>
                  <w:pPr>
                    <w:pStyle w:val="Yo5TextNotesbeforeafter"/>
                    <w:framePr w:hSpace="181" w:wrap="around" w:vAnchor="text" w:hAnchor="text" w:x="-424" w:y="1"/>
                    <w:suppressOverlap/>
                    <w:rPr>
                      <w:noProof/>
                      <w:snapToGrid/>
                      <w:szCs w:val="22"/>
                      <w:lang w:val="en-GB" w:eastAsia="en-GB"/>
                    </w:rPr>
                  </w:pPr>
                  <w:r>
                    <w:rPr>
                      <w:noProof/>
                      <w:snapToGrid/>
                      <w:lang w:val="en-US"/>
                    </w:rPr>
                    <w:drawing>
                      <wp:inline distT="0" distB="0" distL="0" distR="0">
                        <wp:extent cx="142875" cy="142875"/>
                        <wp:effectExtent l="19050" t="19050" r="28575" b="28575"/>
                        <wp:docPr id="5" name="Picture 5" descr="G:\TOOLS\Templates_Graphs\Maps\Excel\PNG\C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OLS\Templates_Graphs\Maps\Excel\PNG\C2D.pn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0" w:type="auto"/>
                </w:tcPr>
                <w:p>
                  <w:pPr>
                    <w:pStyle w:val="Yo5TextNotesbeforeafter"/>
                    <w:framePr w:hSpace="181" w:wrap="around" w:vAnchor="text" w:hAnchor="text" w:x="-424" w:y="1"/>
                    <w:suppressOverlap/>
                    <w:jc w:val="left"/>
                    <w:rPr>
                      <w:noProof/>
                      <w:snapToGrid/>
                      <w:szCs w:val="22"/>
                      <w:lang w:val="en-GB" w:eastAsia="en-GB"/>
                    </w:rPr>
                  </w:pPr>
                  <w:r>
                    <w:rPr>
                      <w:noProof/>
                      <w:lang w:val="en-GB"/>
                    </w:rPr>
                    <w:t>Between 1 and 7 million</w:t>
                  </w:r>
                </w:p>
              </w:tc>
            </w:tr>
            <w:tr>
              <w:trPr>
                <w:trHeight w:val="432"/>
              </w:trPr>
              <w:tc>
                <w:tcPr>
                  <w:tcW w:w="0" w:type="auto"/>
                  <w:vMerge/>
                  <w:shd w:val="clear" w:color="auto" w:fill="auto"/>
                </w:tcPr>
                <w:p>
                  <w:pPr>
                    <w:pStyle w:val="Yo5TextNotesbeforeafter"/>
                    <w:framePr w:hSpace="181" w:wrap="around" w:vAnchor="text" w:hAnchor="text" w:x="-424" w:y="1"/>
                    <w:suppressOverlap/>
                    <w:rPr>
                      <w:noProof/>
                      <w:snapToGrid/>
                      <w:szCs w:val="22"/>
                      <w:lang w:val="en-GB" w:eastAsia="en-GB"/>
                    </w:rPr>
                  </w:pPr>
                </w:p>
              </w:tc>
              <w:tc>
                <w:tcPr>
                  <w:tcW w:w="0" w:type="auto"/>
                </w:tcPr>
                <w:p>
                  <w:pPr>
                    <w:pStyle w:val="Yo5TextNotesbeforeafter"/>
                    <w:framePr w:hSpace="181" w:wrap="around" w:vAnchor="text" w:hAnchor="text" w:x="-424" w:y="1"/>
                    <w:suppressOverlap/>
                    <w:rPr>
                      <w:noProof/>
                      <w:snapToGrid/>
                      <w:szCs w:val="22"/>
                      <w:lang w:val="en-GB" w:eastAsia="en-GB"/>
                    </w:rPr>
                  </w:pPr>
                  <w:r>
                    <w:rPr>
                      <w:noProof/>
                      <w:snapToGrid/>
                      <w:lang w:val="en-US"/>
                    </w:rPr>
                    <w:drawing>
                      <wp:inline distT="0" distB="0" distL="0" distR="0">
                        <wp:extent cx="142875" cy="142875"/>
                        <wp:effectExtent l="19050" t="19050" r="28575" b="28575"/>
                        <wp:docPr id="6" name="Picture 6" descr="\\s-eacea-fs03-p\EACEA.A7\TOOLS\Templates_Graphs\Maps\Excel\PNG\dotWhiteBkgDarkBlue_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acea-fs03-p\EACEA.A7\TOOLS\Templates_Graphs\Maps\Excel\PNG\dotWhiteBkgDarkBlue_KEY.pn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0" w:type="auto"/>
                </w:tcPr>
                <w:p>
                  <w:pPr>
                    <w:pStyle w:val="Yo5TextNotesbeforeafter"/>
                    <w:framePr w:hSpace="181" w:wrap="around" w:vAnchor="text" w:hAnchor="text" w:x="-424" w:y="1"/>
                    <w:suppressOverlap/>
                    <w:jc w:val="left"/>
                    <w:rPr>
                      <w:noProof/>
                      <w:snapToGrid/>
                      <w:szCs w:val="22"/>
                      <w:lang w:val="en-GB" w:eastAsia="en-GB"/>
                    </w:rPr>
                  </w:pPr>
                  <w:r>
                    <w:rPr>
                      <w:noProof/>
                      <w:lang w:val="en-GB"/>
                    </w:rPr>
                    <w:t>Between 7 and 15 million</w:t>
                  </w:r>
                </w:p>
              </w:tc>
            </w:tr>
            <w:tr>
              <w:trPr>
                <w:trHeight w:val="386"/>
              </w:trPr>
              <w:tc>
                <w:tcPr>
                  <w:tcW w:w="0" w:type="auto"/>
                  <w:vMerge/>
                  <w:shd w:val="clear" w:color="auto" w:fill="auto"/>
                </w:tcPr>
                <w:p>
                  <w:pPr>
                    <w:pStyle w:val="Yo5TextNotesbeforeafter"/>
                    <w:framePr w:hSpace="181" w:wrap="around" w:vAnchor="text" w:hAnchor="text" w:x="-424" w:y="1"/>
                    <w:suppressOverlap/>
                    <w:rPr>
                      <w:noProof/>
                      <w:snapToGrid/>
                      <w:szCs w:val="22"/>
                      <w:lang w:val="en-GB" w:eastAsia="en-GB"/>
                    </w:rPr>
                  </w:pPr>
                </w:p>
              </w:tc>
              <w:tc>
                <w:tcPr>
                  <w:tcW w:w="0" w:type="auto"/>
                </w:tcPr>
                <w:p>
                  <w:pPr>
                    <w:pStyle w:val="Yo5TextNotesbeforeafter"/>
                    <w:framePr w:hSpace="181" w:wrap="around" w:vAnchor="text" w:hAnchor="text" w:x="-424" w:y="1"/>
                    <w:suppressOverlap/>
                    <w:rPr>
                      <w:noProof/>
                      <w:snapToGrid/>
                      <w:szCs w:val="22"/>
                      <w:lang w:val="en-GB" w:eastAsia="en-GB"/>
                    </w:rPr>
                  </w:pPr>
                  <w:r>
                    <w:rPr>
                      <w:noProof/>
                      <w:snapToGrid/>
                      <w:lang w:val="en-US"/>
                    </w:rPr>
                    <w:drawing>
                      <wp:inline distT="0" distB="0" distL="0" distR="0">
                        <wp:extent cx="142875" cy="142875"/>
                        <wp:effectExtent l="19050" t="19050" r="28575" b="285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0" w:type="auto"/>
                </w:tcPr>
                <w:p>
                  <w:pPr>
                    <w:pStyle w:val="Yo5TextNotesbeforeafter"/>
                    <w:framePr w:hSpace="181" w:wrap="around" w:vAnchor="text" w:hAnchor="text" w:x="-424" w:y="1"/>
                    <w:suppressOverlap/>
                    <w:jc w:val="left"/>
                    <w:rPr>
                      <w:noProof/>
                      <w:snapToGrid/>
                      <w:szCs w:val="22"/>
                      <w:lang w:val="en-GB" w:eastAsia="en-GB"/>
                    </w:rPr>
                  </w:pPr>
                  <w:r>
                    <w:rPr>
                      <w:noProof/>
                      <w:lang w:val="en-GB"/>
                    </w:rPr>
                    <w:t>Over 15 million</w:t>
                  </w:r>
                </w:p>
              </w:tc>
            </w:tr>
            <w:tr>
              <w:trPr>
                <w:trHeight w:val="961"/>
              </w:trPr>
              <w:tc>
                <w:tcPr>
                  <w:tcW w:w="0" w:type="auto"/>
                  <w:vMerge/>
                  <w:shd w:val="clear" w:color="auto" w:fill="auto"/>
                </w:tcPr>
                <w:p>
                  <w:pPr>
                    <w:pStyle w:val="Yo5TextNotesbeforeafter"/>
                    <w:framePr w:hSpace="181" w:wrap="around" w:vAnchor="text" w:hAnchor="text" w:x="-424" w:y="1"/>
                    <w:suppressOverlap/>
                    <w:rPr>
                      <w:noProof/>
                      <w:snapToGrid/>
                      <w:szCs w:val="22"/>
                      <w:lang w:val="en-GB" w:eastAsia="en-GB"/>
                    </w:rPr>
                  </w:pPr>
                </w:p>
              </w:tc>
              <w:tc>
                <w:tcPr>
                  <w:tcW w:w="0" w:type="auto"/>
                </w:tcPr>
                <w:p>
                  <w:pPr>
                    <w:pStyle w:val="Yo5TextNotesbeforeafter"/>
                    <w:framePr w:hSpace="181" w:wrap="around" w:vAnchor="text" w:hAnchor="text" w:x="-424" w:y="1"/>
                    <w:suppressOverlap/>
                    <w:rPr>
                      <w:noProof/>
                      <w:snapToGrid/>
                      <w:lang w:val="en-GB" w:eastAsia="en-GB"/>
                    </w:rPr>
                  </w:pPr>
                </w:p>
              </w:tc>
              <w:tc>
                <w:tcPr>
                  <w:tcW w:w="0" w:type="auto"/>
                </w:tcPr>
                <w:p>
                  <w:pPr>
                    <w:pStyle w:val="Yo5TextNotesbeforeafter"/>
                    <w:framePr w:hSpace="181" w:wrap="around" w:vAnchor="text" w:hAnchor="text" w:x="-424" w:y="1"/>
                    <w:suppressOverlap/>
                    <w:rPr>
                      <w:noProof/>
                      <w:lang w:val="en-GB"/>
                    </w:rPr>
                  </w:pPr>
                </w:p>
              </w:tc>
            </w:tr>
          </w:tbl>
          <w:p>
            <w:pPr>
              <w:pStyle w:val="Yo5TextNotesbeforeafter"/>
              <w:rPr>
                <w:noProof/>
                <w:lang w:val="en-GB"/>
              </w:rPr>
            </w:pPr>
          </w:p>
        </w:tc>
      </w:tr>
    </w:tbl>
    <w:p>
      <w:pPr>
        <w:pStyle w:val="Yo5TextNotesbeforeafter"/>
        <w:rPr>
          <w:noProof/>
          <w:lang w:val="en-GB"/>
        </w:rPr>
      </w:pPr>
      <w:r>
        <w:rPr>
          <w:i/>
          <w:noProof/>
          <w:lang w:val="en-GB" w:eastAsia="en-GB"/>
        </w:rPr>
        <w:t>Source</w:t>
      </w:r>
      <w:r>
        <w:rPr>
          <w:noProof/>
          <w:lang w:val="en-GB" w:eastAsia="en-GB"/>
        </w:rPr>
        <w:t>: Own calculation based on Eurostat [yth_demo_010].</w:t>
      </w:r>
    </w:p>
    <w:p>
      <w:pPr>
        <w:pStyle w:val="Yo1Textpara"/>
        <w:rPr>
          <w:noProof/>
        </w:rPr>
      </w:pPr>
      <w:r>
        <w:rPr>
          <w:noProof/>
        </w:rPr>
        <w:t>For both age groups, the areas with the highest populations of young people were western and central Europe, while eastern and northern European countries reported lower figures. This clearly relates to the geographical distribution of the general population across countries. Outside the EU, Turkey was clearly the European country with the highest numbers of children and young people.</w:t>
      </w:r>
    </w:p>
    <w:p>
      <w:pPr>
        <w:pStyle w:val="Yo5TitleFigure"/>
      </w:pPr>
      <w:r>
        <w:rPr>
          <w:b/>
        </w:rPr>
        <w:t xml:space="preserve">Figure 1-B: </w:t>
      </w:r>
      <w:r>
        <w:t>Number of young people (aged 15-29) on 1 January, by country, 2016</w:t>
      </w:r>
    </w:p>
    <w:tbl>
      <w:tblPr>
        <w:tblpPr w:leftFromText="181" w:rightFromText="181" w:vertAnchor="text" w:tblpX="-424" w:tblpY="1"/>
        <w:tblOverlap w:val="neve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9905"/>
      </w:tblGrid>
      <w:tr>
        <w:trPr>
          <w:cantSplit/>
          <w:trHeight w:val="5231"/>
        </w:trPr>
        <w:tc>
          <w:tcPr>
            <w:tcW w:w="263" w:type="pct"/>
            <w:shd w:val="clear" w:color="auto" w:fill="FB5F5F"/>
            <w:textDirection w:val="btLr"/>
            <w:vAlign w:val="center"/>
          </w:tcPr>
          <w:p>
            <w:pPr>
              <w:pStyle w:val="Yo13YouthIndicator"/>
              <w:jc w:val="center"/>
              <w:rPr>
                <w:noProof/>
                <w:sz w:val="20"/>
                <w:lang w:eastAsia="fr-BE"/>
              </w:rPr>
            </w:pPr>
            <w:r>
              <w:rPr>
                <w:noProof/>
                <w:sz w:val="20"/>
              </w:rPr>
              <w:t>EU youth indicator</w:t>
            </w:r>
          </w:p>
        </w:tc>
        <w:tc>
          <w:tcPr>
            <w:tcW w:w="4737" w:type="pct"/>
            <w:shd w:val="clear" w:color="auto" w:fill="auto"/>
          </w:tcPr>
          <w:tbl>
            <w:tblPr>
              <w:tblW w:w="0" w:type="auto"/>
              <w:tblLook w:val="04A0" w:firstRow="1" w:lastRow="0" w:firstColumn="1" w:lastColumn="0" w:noHBand="0" w:noVBand="1"/>
            </w:tblPr>
            <w:tblGrid>
              <w:gridCol w:w="7206"/>
              <w:gridCol w:w="516"/>
              <w:gridCol w:w="1967"/>
            </w:tblGrid>
            <w:tr>
              <w:trPr>
                <w:trHeight w:val="1134"/>
              </w:trPr>
              <w:tc>
                <w:tcPr>
                  <w:tcW w:w="0" w:type="auto"/>
                  <w:vMerge w:val="restart"/>
                  <w:shd w:val="clear" w:color="auto" w:fill="auto"/>
                </w:tcPr>
                <w:p>
                  <w:pPr>
                    <w:pStyle w:val="Yo5TextNotesbeforeafter"/>
                    <w:framePr w:hSpace="181" w:wrap="around" w:vAnchor="text" w:hAnchor="text" w:x="-424" w:y="1"/>
                    <w:suppressOverlap/>
                    <w:rPr>
                      <w:noProof/>
                      <w:lang w:val="en-GB"/>
                    </w:rPr>
                  </w:pPr>
                  <w:r>
                    <w:rPr>
                      <w:noProof/>
                      <w:snapToGrid/>
                      <w:lang w:val="en-US"/>
                    </w:rPr>
                    <mc:AlternateContent>
                      <mc:Choice Requires="wps">
                        <w:drawing>
                          <wp:anchor distT="0" distB="0" distL="114300" distR="114300" simplePos="0" relativeHeight="251657216" behindDoc="0" locked="0" layoutInCell="1" allowOverlap="1">
                            <wp:simplePos x="0" y="0"/>
                            <wp:positionH relativeFrom="column">
                              <wp:posOffset>3174365</wp:posOffset>
                            </wp:positionH>
                            <wp:positionV relativeFrom="paragraph">
                              <wp:posOffset>507365</wp:posOffset>
                            </wp:positionV>
                            <wp:extent cx="879475" cy="1005840"/>
                            <wp:effectExtent l="5080" t="13970" r="10795" b="889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1005840"/>
                                    </a:xfrm>
                                    <a:prstGeom prst="rect">
                                      <a:avLst/>
                                    </a:prstGeom>
                                    <a:solidFill>
                                      <a:srgbClr val="1F497D"/>
                                    </a:solidFill>
                                    <a:ln w="9525">
                                      <a:solidFill>
                                        <a:srgbClr val="000000"/>
                                      </a:solidFill>
                                      <a:miter lim="800000"/>
                                      <a:headEnd/>
                                      <a:tailEnd/>
                                    </a:ln>
                                  </wps:spPr>
                                  <wps:txbx>
                                    <w:txbxContent>
                                      <w:p>
                                        <w:pPr>
                                          <w:spacing w:after="0" w:line="240" w:lineRule="auto"/>
                                          <w:jc w:val="center"/>
                                          <w:rPr>
                                            <w:b/>
                                            <w:color w:val="FFFFFF"/>
                                            <w:sz w:val="24"/>
                                          </w:rPr>
                                        </w:pPr>
                                        <w:r>
                                          <w:rPr>
                                            <w:b/>
                                            <w:color w:val="FFFFFF"/>
                                            <w:sz w:val="24"/>
                                          </w:rPr>
                                          <w:t>EU-28</w:t>
                                        </w:r>
                                      </w:p>
                                      <w:p>
                                        <w:pPr>
                                          <w:spacing w:after="0" w:line="240" w:lineRule="auto"/>
                                          <w:jc w:val="center"/>
                                          <w:rPr>
                                            <w:b/>
                                            <w:color w:val="FFFFFF"/>
                                            <w:sz w:val="24"/>
                                          </w:rPr>
                                        </w:pPr>
                                        <w:r>
                                          <w:rPr>
                                            <w:b/>
                                            <w:color w:val="FFFFFF"/>
                                            <w:sz w:val="24"/>
                                          </w:rPr>
                                          <w:t>88 654 431</w:t>
                                        </w:r>
                                      </w:p>
                                      <w:p>
                                        <w:pPr>
                                          <w:spacing w:after="0" w:line="240" w:lineRule="auto"/>
                                          <w:jc w:val="center"/>
                                        </w:pPr>
                                        <w:r>
                                          <w:rPr>
                                            <w:noProof/>
                                            <w:lang w:val="en-US"/>
                                          </w:rPr>
                                          <w:drawing>
                                            <wp:inline distT="0" distB="0" distL="0" distR="0">
                                              <wp:extent cx="533400" cy="533400"/>
                                              <wp:effectExtent l="0" t="0" r="0" b="0"/>
                                              <wp:docPr id="28" name="Picture 28" descr="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ople"/>
                                                      <pic:cNvPicPr>
                                                        <a:picLocks noChangeAspect="1" noChangeArrowheads="1"/>
                                                      </pic:cNvPicPr>
                                                    </pic:nvPicPr>
                                                    <pic:blipFill>
                                                      <a:blip r:embed="rId40">
                                                        <a:lum bright="70000" contrast="-7000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49.95pt;margin-top:39.95pt;width:69.25pt;height:79.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HrLAIAAFUEAAAOAAAAZHJzL2Uyb0RvYy54bWysVNuO0zAQfUfiHyy/0yRVStuo6WppKUJa&#10;LtIuH+A4TmLhm2y3Sfl6xk5aIuAJkQfL4xkfz5wzk93DIAW6MOu4ViXOFilGTFFdc9WW+NvL6c0G&#10;I+eJqonQipX4yhx+2L9+tetNwZa606JmFgGIckVvStx5b4okcbRjkriFNkyBs9FWEg+mbZPakh7Q&#10;pUiWafo26bWtjdWUOQenx9GJ9xG/aRj1X5rGMY9EiSE3H1cb1yqsyX5HitYS03E6pUH+IQtJuIJH&#10;71BH4gk6W/4HlOTUaqcbv6BaJrppOGWxBqgmS3+r5rkjhsVagBxn7jS5/wdLP1++WsRr0A4jRSRI&#10;9MIGj97pAeWBnd64AoKeDYT5AY5DZKjUmSdNvzuk9KEjqmWP1uq+Y6SG7LJwM5ldHXFcAKn6T7qG&#10;Z8jZ6wg0NFYGQCADATqodL0rE1KhcLhZb/P1CiMKrixNV5s8SpeQ4nbbWOc/MC1R2JTYgvIRnVye&#10;nA/ZkOIWErPXgtcnLkQ0bFsdhEUXAl2SnfLt+hgLgCLnYUKhvsTb1XI1EjD3uTlEGr+/QUjuod0F&#10;l1DSPYgUgbb3qo7N6AkX4x5SFmriMVA3kuiHapgEm+SpdH0FYq0euxumETadtj8w6qGzS6xg9DAS&#10;HxVIs81y4A75aOSr9RIMO/dUcw9RFIBK7DEatwc/Ds/ZWN528M6tGR5BzhOPTAfdx5ym5KF3owDT&#10;nIXhmNsx6tffYP8TAAD//wMAUEsDBBQABgAIAAAAIQA5ZNa/4QAAAAoBAAAPAAAAZHJzL2Rvd25y&#10;ZXYueG1sTI/LTsMwEEX3SPyDNUjsqENTlSTEqcprBUJqYNHu3HhIIuxxZDttytfjrmA1Gs3VmXPL&#10;1WQ0O6DzvSUBt7MEGFJjVU+tgM+Pl5sMmA+SlNSWUMAJPayqy4tSFsoeaYOHOrQsQsgXUkAXwlBw&#10;7psOjfQzOyDF25d1Roa4upYrJ48RbjSfJ8mSG9lT/NDJAR87bL7r0QiYb/GHv72fEvf0sH6Vz+NO&#10;15tBiOuraX0PLOAU/sJw1o/qUEWnvR1JeaYFLPI8j1EBd+cZA8s0WwDbR3qapcCrkv+vUP0CAAD/&#10;/wMAUEsBAi0AFAAGAAgAAAAhALaDOJL+AAAA4QEAABMAAAAAAAAAAAAAAAAAAAAAAFtDb250ZW50&#10;X1R5cGVzXS54bWxQSwECLQAUAAYACAAAACEAOP0h/9YAAACUAQAACwAAAAAAAAAAAAAAAAAvAQAA&#10;X3JlbHMvLnJlbHNQSwECLQAUAAYACAAAACEAqgox6ywCAABVBAAADgAAAAAAAAAAAAAAAAAuAgAA&#10;ZHJzL2Uyb0RvYy54bWxQSwECLQAUAAYACAAAACEAOWTWv+EAAAAKAQAADwAAAAAAAAAAAAAAAACG&#10;BAAAZHJzL2Rvd25yZXYueG1sUEsFBgAAAAAEAAQA8wAAAJQFAAAAAA==&#10;" fillcolor="#1f497d">
                            <v:textbox style="mso-fit-shape-to-text:t">
                              <w:txbxContent>
                                <w:p>
                                  <w:pPr>
                                    <w:spacing w:after="0" w:line="240" w:lineRule="auto"/>
                                    <w:jc w:val="center"/>
                                    <w:rPr>
                                      <w:b/>
                                      <w:color w:val="FFFFFF"/>
                                      <w:sz w:val="24"/>
                                    </w:rPr>
                                  </w:pPr>
                                  <w:r>
                                    <w:rPr>
                                      <w:b/>
                                      <w:color w:val="FFFFFF"/>
                                      <w:sz w:val="24"/>
                                    </w:rPr>
                                    <w:t>EU-28</w:t>
                                  </w:r>
                                </w:p>
                                <w:p>
                                  <w:pPr>
                                    <w:spacing w:after="0" w:line="240" w:lineRule="auto"/>
                                    <w:jc w:val="center"/>
                                    <w:rPr>
                                      <w:b/>
                                      <w:color w:val="FFFFFF"/>
                                      <w:sz w:val="24"/>
                                    </w:rPr>
                                  </w:pPr>
                                  <w:r>
                                    <w:rPr>
                                      <w:b/>
                                      <w:color w:val="FFFFFF"/>
                                      <w:sz w:val="24"/>
                                    </w:rPr>
                                    <w:t>88 654 431</w:t>
                                  </w:r>
                                </w:p>
                                <w:p>
                                  <w:pPr>
                                    <w:spacing w:after="0" w:line="240" w:lineRule="auto"/>
                                    <w:jc w:val="center"/>
                                  </w:pPr>
                                  <w:r>
                                    <w:rPr>
                                      <w:noProof/>
                                      <w:lang w:val="en-US"/>
                                    </w:rPr>
                                    <w:drawing>
                                      <wp:inline distT="0" distB="0" distL="0" distR="0">
                                        <wp:extent cx="533400" cy="533400"/>
                                        <wp:effectExtent l="0" t="0" r="0" b="0"/>
                                        <wp:docPr id="28" name="Picture 28" descr="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ople"/>
                                                <pic:cNvPicPr>
                                                  <a:picLocks noChangeAspect="1" noChangeArrowheads="1"/>
                                                </pic:cNvPicPr>
                                              </pic:nvPicPr>
                                              <pic:blipFill>
                                                <a:blip r:embed="rId40">
                                                  <a:lum bright="70000" contrast="-7000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v:textbox>
                          </v:shape>
                        </w:pict>
                      </mc:Fallback>
                    </mc:AlternateContent>
                  </w:r>
                  <w:r>
                    <w:rPr>
                      <w:noProof/>
                      <w:snapToGrid/>
                      <w:lang w:val="en-US"/>
                    </w:rPr>
                    <w:drawing>
                      <wp:inline distT="0" distB="0" distL="0" distR="0">
                        <wp:extent cx="4438650" cy="3295650"/>
                        <wp:effectExtent l="0" t="0" r="0" b="0"/>
                        <wp:docPr id="8" name="Picture 8" descr="\\s-eacea-fs03-p\EACEA.A7\Youth\04_Reports\a_EU_Youth_Reports\2018\03_graph\1_B_youth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cea-fs03-p\EACEA.A7\Youth\04_Reports\a_EU_Youth_Reports\2018\03_graph\1_B_youth_MAP.jp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4438650" cy="3295650"/>
                                </a:xfrm>
                                <a:prstGeom prst="rect">
                                  <a:avLst/>
                                </a:prstGeom>
                                <a:noFill/>
                                <a:ln>
                                  <a:noFill/>
                                </a:ln>
                              </pic:spPr>
                            </pic:pic>
                          </a:graphicData>
                        </a:graphic>
                      </wp:inline>
                    </w:drawing>
                  </w:r>
                </w:p>
              </w:tc>
              <w:tc>
                <w:tcPr>
                  <w:tcW w:w="0" w:type="auto"/>
                </w:tcPr>
                <w:p>
                  <w:pPr>
                    <w:pStyle w:val="Yo5TextNotesbeforeafter"/>
                    <w:framePr w:hSpace="181" w:wrap="around" w:vAnchor="text" w:hAnchor="text" w:x="-424" w:y="1"/>
                    <w:suppressOverlap/>
                    <w:rPr>
                      <w:noProof/>
                      <w:lang w:val="en-GB"/>
                    </w:rPr>
                  </w:pPr>
                </w:p>
              </w:tc>
              <w:tc>
                <w:tcPr>
                  <w:tcW w:w="0" w:type="auto"/>
                </w:tcPr>
                <w:p>
                  <w:pPr>
                    <w:pStyle w:val="Yo5TextNotesbeforeafter"/>
                    <w:framePr w:hSpace="181" w:wrap="around" w:vAnchor="text" w:hAnchor="text" w:x="-424" w:y="1"/>
                    <w:suppressOverlap/>
                    <w:rPr>
                      <w:noProof/>
                      <w:lang w:val="en-GB"/>
                    </w:rPr>
                  </w:pPr>
                </w:p>
              </w:tc>
            </w:tr>
            <w:tr>
              <w:trPr>
                <w:trHeight w:val="413"/>
              </w:trPr>
              <w:tc>
                <w:tcPr>
                  <w:tcW w:w="0" w:type="auto"/>
                  <w:vMerge/>
                  <w:shd w:val="clear" w:color="auto" w:fill="auto"/>
                </w:tcPr>
                <w:p>
                  <w:pPr>
                    <w:pStyle w:val="Yo5TextNotesbeforeafter"/>
                    <w:framePr w:hSpace="181" w:wrap="around" w:vAnchor="text" w:hAnchor="text" w:x="-424" w:y="1"/>
                    <w:suppressOverlap/>
                    <w:rPr>
                      <w:noProof/>
                      <w:lang w:val="en-GB"/>
                    </w:rPr>
                  </w:pPr>
                </w:p>
              </w:tc>
              <w:tc>
                <w:tcPr>
                  <w:tcW w:w="0" w:type="auto"/>
                </w:tcPr>
                <w:p>
                  <w:pPr>
                    <w:pStyle w:val="Yo5TextNotesbeforeafter"/>
                    <w:framePr w:hSpace="181" w:wrap="around" w:vAnchor="text" w:hAnchor="text" w:x="-424" w:y="1"/>
                    <w:suppressOverlap/>
                    <w:rPr>
                      <w:noProof/>
                      <w:snapToGrid/>
                      <w:szCs w:val="22"/>
                      <w:lang w:val="en-GB" w:eastAsia="en-GB"/>
                    </w:rPr>
                  </w:pPr>
                  <w:r>
                    <w:rPr>
                      <w:noProof/>
                      <w:snapToGrid/>
                      <w:lang w:val="en-US"/>
                    </w:rPr>
                    <w:drawing>
                      <wp:inline distT="0" distB="0" distL="0" distR="0">
                        <wp:extent cx="142875" cy="142875"/>
                        <wp:effectExtent l="19050" t="19050" r="28575" b="28575"/>
                        <wp:docPr id="9" name="Picture 9" descr="G:\TOOLS\Templates_Graphs\Maps\Excel\PNG\C2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OOLS\Templates_Graphs\Maps\Excel\PNG\C2L.pn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0" w:type="auto"/>
                </w:tcPr>
                <w:p>
                  <w:pPr>
                    <w:pStyle w:val="Yo5TextNotesbeforeafter"/>
                    <w:framePr w:hSpace="181" w:wrap="around" w:vAnchor="text" w:hAnchor="text" w:x="-424" w:y="1"/>
                    <w:suppressOverlap/>
                    <w:jc w:val="left"/>
                    <w:rPr>
                      <w:noProof/>
                      <w:lang w:val="en-GB"/>
                    </w:rPr>
                  </w:pPr>
                  <w:r>
                    <w:rPr>
                      <w:noProof/>
                      <w:lang w:val="en-GB"/>
                    </w:rPr>
                    <w:t>Below 100 000</w:t>
                  </w:r>
                </w:p>
              </w:tc>
            </w:tr>
            <w:tr>
              <w:trPr>
                <w:trHeight w:val="432"/>
              </w:trPr>
              <w:tc>
                <w:tcPr>
                  <w:tcW w:w="0" w:type="auto"/>
                  <w:vMerge/>
                  <w:shd w:val="clear" w:color="auto" w:fill="auto"/>
                </w:tcPr>
                <w:p>
                  <w:pPr>
                    <w:pStyle w:val="Yo5TextNotesbeforeafter"/>
                    <w:framePr w:hSpace="181" w:wrap="around" w:vAnchor="text" w:hAnchor="text" w:x="-424" w:y="1"/>
                    <w:suppressOverlap/>
                    <w:rPr>
                      <w:noProof/>
                      <w:lang w:val="en-GB"/>
                    </w:rPr>
                  </w:pPr>
                </w:p>
              </w:tc>
              <w:tc>
                <w:tcPr>
                  <w:tcW w:w="0" w:type="auto"/>
                </w:tcPr>
                <w:p>
                  <w:pPr>
                    <w:pStyle w:val="Yo5TextNotesbeforeafter"/>
                    <w:framePr w:hSpace="181" w:wrap="around" w:vAnchor="text" w:hAnchor="text" w:x="-424" w:y="1"/>
                    <w:suppressOverlap/>
                    <w:rPr>
                      <w:noProof/>
                      <w:snapToGrid/>
                      <w:szCs w:val="22"/>
                      <w:lang w:val="en-GB" w:eastAsia="en-GB"/>
                    </w:rPr>
                  </w:pPr>
                  <w:r>
                    <w:rPr>
                      <w:noProof/>
                      <w:snapToGrid/>
                      <w:lang w:val="en-US"/>
                    </w:rPr>
                    <w:drawing>
                      <wp:inline distT="0" distB="0" distL="0" distR="0">
                        <wp:extent cx="142875" cy="142875"/>
                        <wp:effectExtent l="19050" t="19050" r="28575" b="28575"/>
                        <wp:docPr id="10" name="Picture 10" descr="G:\TOOLS\Templates_Graphs\Maps\Excel\PNG\C2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TOOLS\Templates_Graphs\Maps\Excel\PNG\C2M.pn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0" w:type="auto"/>
                </w:tcPr>
                <w:p>
                  <w:pPr>
                    <w:pStyle w:val="Yo5TextNotesbeforeafter"/>
                    <w:framePr w:hSpace="181" w:wrap="around" w:vAnchor="text" w:hAnchor="text" w:x="-424" w:y="1"/>
                    <w:suppressOverlap/>
                    <w:jc w:val="left"/>
                    <w:rPr>
                      <w:noProof/>
                      <w:lang w:val="en-GB"/>
                    </w:rPr>
                  </w:pPr>
                  <w:r>
                    <w:rPr>
                      <w:noProof/>
                      <w:lang w:val="en-GB"/>
                    </w:rPr>
                    <w:t>Between 100 000 and 1 million</w:t>
                  </w:r>
                </w:p>
              </w:tc>
            </w:tr>
            <w:tr>
              <w:trPr>
                <w:trHeight w:val="396"/>
              </w:trPr>
              <w:tc>
                <w:tcPr>
                  <w:tcW w:w="0" w:type="auto"/>
                  <w:vMerge/>
                  <w:shd w:val="clear" w:color="auto" w:fill="auto"/>
                </w:tcPr>
                <w:p>
                  <w:pPr>
                    <w:pStyle w:val="Yo5TextNotesbeforeafter"/>
                    <w:framePr w:hSpace="181" w:wrap="around" w:vAnchor="text" w:hAnchor="text" w:x="-424" w:y="1"/>
                    <w:suppressOverlap/>
                    <w:rPr>
                      <w:noProof/>
                      <w:lang w:val="en-GB"/>
                    </w:rPr>
                  </w:pPr>
                </w:p>
              </w:tc>
              <w:tc>
                <w:tcPr>
                  <w:tcW w:w="0" w:type="auto"/>
                </w:tcPr>
                <w:p>
                  <w:pPr>
                    <w:pStyle w:val="Yo5TextNotesbeforeafter"/>
                    <w:framePr w:hSpace="181" w:wrap="around" w:vAnchor="text" w:hAnchor="text" w:x="-424" w:y="1"/>
                    <w:suppressOverlap/>
                    <w:rPr>
                      <w:noProof/>
                      <w:snapToGrid/>
                      <w:szCs w:val="22"/>
                      <w:lang w:val="en-GB" w:eastAsia="en-GB"/>
                    </w:rPr>
                  </w:pPr>
                  <w:r>
                    <w:rPr>
                      <w:noProof/>
                      <w:snapToGrid/>
                      <w:lang w:val="en-US"/>
                    </w:rPr>
                    <w:drawing>
                      <wp:inline distT="0" distB="0" distL="0" distR="0">
                        <wp:extent cx="142875" cy="142875"/>
                        <wp:effectExtent l="19050" t="19050" r="28575" b="28575"/>
                        <wp:docPr id="11" name="Picture 11" descr="G:\TOOLS\Templates_Graphs\Maps\Excel\PNG\C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TOOLS\Templates_Graphs\Maps\Excel\PNG\C2D.pn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0" w:type="auto"/>
                </w:tcPr>
                <w:p>
                  <w:pPr>
                    <w:pStyle w:val="Yo5TextNotesbeforeafter"/>
                    <w:framePr w:hSpace="181" w:wrap="around" w:vAnchor="text" w:hAnchor="text" w:x="-424" w:y="1"/>
                    <w:suppressOverlap/>
                    <w:jc w:val="left"/>
                    <w:rPr>
                      <w:noProof/>
                      <w:lang w:val="en-GB"/>
                    </w:rPr>
                  </w:pPr>
                  <w:r>
                    <w:rPr>
                      <w:noProof/>
                      <w:lang w:val="en-GB"/>
                    </w:rPr>
                    <w:t>Between 1 and 7 million</w:t>
                  </w:r>
                </w:p>
              </w:tc>
            </w:tr>
            <w:tr>
              <w:trPr>
                <w:trHeight w:val="502"/>
              </w:trPr>
              <w:tc>
                <w:tcPr>
                  <w:tcW w:w="0" w:type="auto"/>
                  <w:vMerge/>
                  <w:shd w:val="clear" w:color="auto" w:fill="auto"/>
                </w:tcPr>
                <w:p>
                  <w:pPr>
                    <w:pStyle w:val="Yo5TextNotesbeforeafter"/>
                    <w:framePr w:hSpace="181" w:wrap="around" w:vAnchor="text" w:hAnchor="text" w:x="-424" w:y="1"/>
                    <w:suppressOverlap/>
                    <w:rPr>
                      <w:noProof/>
                      <w:lang w:val="en-GB"/>
                    </w:rPr>
                  </w:pPr>
                </w:p>
              </w:tc>
              <w:tc>
                <w:tcPr>
                  <w:tcW w:w="0" w:type="auto"/>
                </w:tcPr>
                <w:p>
                  <w:pPr>
                    <w:pStyle w:val="Yo5TextNotesbeforeafter"/>
                    <w:framePr w:hSpace="181" w:wrap="around" w:vAnchor="text" w:hAnchor="text" w:x="-424" w:y="1"/>
                    <w:suppressOverlap/>
                    <w:rPr>
                      <w:noProof/>
                      <w:snapToGrid/>
                      <w:szCs w:val="22"/>
                      <w:lang w:val="en-GB" w:eastAsia="en-GB"/>
                    </w:rPr>
                  </w:pPr>
                  <w:r>
                    <w:rPr>
                      <w:noProof/>
                      <w:snapToGrid/>
                      <w:lang w:val="en-US"/>
                    </w:rPr>
                    <w:drawing>
                      <wp:inline distT="0" distB="0" distL="0" distR="0">
                        <wp:extent cx="142875" cy="142875"/>
                        <wp:effectExtent l="19050" t="19050" r="28575" b="28575"/>
                        <wp:docPr id="12" name="Picture 12" descr="\\s-eacea-fs03-p\EACEA.A7\TOOLS\Templates_Graphs\Maps\Excel\PNG\dotWhiteBkgDarkBlue_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acea-fs03-p\EACEA.A7\TOOLS\Templates_Graphs\Maps\Excel\PNG\dotWhiteBkgDarkBlue_KEY.png"/>
                                <pic:cNvPicPr>
                                  <a:picLocks noChangeAspect="1" noChangeArrowheads="1"/>
                                </pic:cNvPicPr>
                              </pic:nvPicPr>
                              <pic:blipFill>
                                <a:blip r:embed="rId43" r:link="rId3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0" w:type="auto"/>
                </w:tcPr>
                <w:p>
                  <w:pPr>
                    <w:pStyle w:val="Yo5TextNotesbeforeafter"/>
                    <w:framePr w:hSpace="181" w:wrap="around" w:vAnchor="text" w:hAnchor="text" w:x="-424" w:y="1"/>
                    <w:suppressOverlap/>
                    <w:jc w:val="left"/>
                    <w:rPr>
                      <w:noProof/>
                      <w:lang w:val="en-GB"/>
                    </w:rPr>
                  </w:pPr>
                  <w:r>
                    <w:rPr>
                      <w:noProof/>
                      <w:lang w:val="en-GB"/>
                    </w:rPr>
                    <w:t>Between 7 and 15 million</w:t>
                  </w:r>
                </w:p>
              </w:tc>
            </w:tr>
            <w:tr>
              <w:trPr>
                <w:trHeight w:val="424"/>
              </w:trPr>
              <w:tc>
                <w:tcPr>
                  <w:tcW w:w="0" w:type="auto"/>
                  <w:vMerge/>
                  <w:shd w:val="clear" w:color="auto" w:fill="auto"/>
                </w:tcPr>
                <w:p>
                  <w:pPr>
                    <w:pStyle w:val="Yo5TextNotesbeforeafter"/>
                    <w:framePr w:hSpace="181" w:wrap="around" w:vAnchor="text" w:hAnchor="text" w:x="-424" w:y="1"/>
                    <w:suppressOverlap/>
                    <w:rPr>
                      <w:noProof/>
                      <w:lang w:val="en-GB"/>
                    </w:rPr>
                  </w:pPr>
                </w:p>
              </w:tc>
              <w:tc>
                <w:tcPr>
                  <w:tcW w:w="0" w:type="auto"/>
                </w:tcPr>
                <w:p>
                  <w:pPr>
                    <w:pStyle w:val="Yo5TextNotesbeforeafter"/>
                    <w:framePr w:hSpace="181" w:wrap="around" w:vAnchor="text" w:hAnchor="text" w:x="-424" w:y="1"/>
                    <w:suppressOverlap/>
                    <w:rPr>
                      <w:noProof/>
                      <w:snapToGrid/>
                      <w:szCs w:val="22"/>
                      <w:lang w:val="en-GB" w:eastAsia="en-GB"/>
                    </w:rPr>
                  </w:pPr>
                  <w:r>
                    <w:rPr>
                      <w:noProof/>
                      <w:snapToGrid/>
                      <w:lang w:val="en-US"/>
                    </w:rPr>
                    <w:drawing>
                      <wp:inline distT="0" distB="0" distL="0" distR="0">
                        <wp:extent cx="142875" cy="142875"/>
                        <wp:effectExtent l="19050" t="19050" r="28575" b="2857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0" w:type="auto"/>
                </w:tcPr>
                <w:p>
                  <w:pPr>
                    <w:pStyle w:val="Yo5TextNotesbeforeafter"/>
                    <w:framePr w:hSpace="181" w:wrap="around" w:vAnchor="text" w:hAnchor="text" w:x="-424" w:y="1"/>
                    <w:suppressOverlap/>
                    <w:jc w:val="left"/>
                    <w:rPr>
                      <w:noProof/>
                      <w:lang w:val="en-GB"/>
                    </w:rPr>
                  </w:pPr>
                  <w:r>
                    <w:rPr>
                      <w:noProof/>
                      <w:lang w:val="en-GB"/>
                    </w:rPr>
                    <w:t>Over 15 million</w:t>
                  </w:r>
                </w:p>
              </w:tc>
            </w:tr>
            <w:tr>
              <w:trPr>
                <w:trHeight w:val="1582"/>
              </w:trPr>
              <w:tc>
                <w:tcPr>
                  <w:tcW w:w="0" w:type="auto"/>
                  <w:vMerge/>
                  <w:shd w:val="clear" w:color="auto" w:fill="auto"/>
                </w:tcPr>
                <w:p>
                  <w:pPr>
                    <w:pStyle w:val="Yo5TextNotesbeforeafter"/>
                    <w:framePr w:hSpace="181" w:wrap="around" w:vAnchor="text" w:hAnchor="text" w:x="-424" w:y="1"/>
                    <w:suppressOverlap/>
                    <w:rPr>
                      <w:noProof/>
                      <w:lang w:val="en-GB"/>
                    </w:rPr>
                  </w:pPr>
                </w:p>
              </w:tc>
              <w:tc>
                <w:tcPr>
                  <w:tcW w:w="0" w:type="auto"/>
                </w:tcPr>
                <w:p>
                  <w:pPr>
                    <w:pStyle w:val="Yo5TextNotesbeforeafter"/>
                    <w:framePr w:hSpace="181" w:wrap="around" w:vAnchor="text" w:hAnchor="text" w:x="-424" w:y="1"/>
                    <w:suppressOverlap/>
                    <w:rPr>
                      <w:noProof/>
                      <w:lang w:val="en-GB"/>
                    </w:rPr>
                  </w:pPr>
                </w:p>
              </w:tc>
              <w:tc>
                <w:tcPr>
                  <w:tcW w:w="0" w:type="auto"/>
                </w:tcPr>
                <w:p>
                  <w:pPr>
                    <w:pStyle w:val="Yo5TextNotesbeforeafter"/>
                    <w:framePr w:hSpace="181" w:wrap="around" w:vAnchor="text" w:hAnchor="text" w:x="-424" w:y="1"/>
                    <w:suppressOverlap/>
                    <w:jc w:val="left"/>
                    <w:rPr>
                      <w:noProof/>
                      <w:lang w:val="en-GB"/>
                    </w:rPr>
                  </w:pPr>
                </w:p>
              </w:tc>
            </w:tr>
          </w:tbl>
          <w:p>
            <w:pPr>
              <w:pStyle w:val="Yo5TextNotesbeforeafter"/>
              <w:rPr>
                <w:noProof/>
                <w:lang w:val="en-GB"/>
              </w:rPr>
            </w:pPr>
          </w:p>
        </w:tc>
      </w:tr>
    </w:tbl>
    <w:p>
      <w:pPr>
        <w:pStyle w:val="Yo5TextNotesbeforeafter"/>
        <w:rPr>
          <w:noProof/>
          <w:lang w:val="en-GB"/>
        </w:rPr>
      </w:pPr>
      <w:r>
        <w:rPr>
          <w:i/>
          <w:noProof/>
          <w:lang w:val="en-GB" w:eastAsia="en-GB"/>
        </w:rPr>
        <w:t>Source</w:t>
      </w:r>
      <w:r>
        <w:rPr>
          <w:noProof/>
          <w:lang w:val="en-GB" w:eastAsia="en-GB"/>
        </w:rPr>
        <w:t>: Own calculation based on Eurostat [yth_demo_010].</w:t>
      </w:r>
    </w:p>
    <w:p>
      <w:pPr>
        <w:pStyle w:val="Yo1Textpara"/>
        <w:rPr>
          <w:noProof/>
        </w:rPr>
      </w:pPr>
      <w:r>
        <w:rPr>
          <w:noProof/>
        </w:rPr>
        <w:t>Young people represent around 17 % of the total population of the European Union (Figure 1-C). This proportion varies across countries: while it is comparatively smaller in Greece, Spain, Italy, and Slovenia (below 16 %), it reaches the highest level in Cyprus, where 23.6 % of the population is under 30 years of age. Iceland, Albania, the former Yugoslav Republic of Macedonia and Turkey report the highest figures outside the EU.</w:t>
      </w:r>
    </w:p>
    <w:p>
      <w:pPr>
        <w:pStyle w:val="Yo5TitleFigure"/>
      </w:pPr>
      <w:r>
        <w:rPr>
          <w:b/>
        </w:rPr>
        <w:t>Figure 1-C:</w:t>
      </w:r>
      <w:r>
        <w:t xml:space="preserve"> Share of young people (aged 15-29) in the total population on 1 January, by age group and by country, 2016</w:t>
      </w:r>
    </w:p>
    <w:tbl>
      <w:tblPr>
        <w:tblpPr w:leftFromText="181" w:rightFromText="181" w:vertAnchor="text" w:tblpX="-316" w:tblpY="1"/>
        <w:tblOverlap w:val="neve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9964"/>
      </w:tblGrid>
      <w:tr>
        <w:trPr>
          <w:trHeight w:val="520"/>
        </w:trPr>
        <w:tc>
          <w:tcPr>
            <w:tcW w:w="384" w:type="dxa"/>
            <w:vMerge w:val="restart"/>
            <w:shd w:val="clear" w:color="auto" w:fill="FB5F5F"/>
            <w:textDirection w:val="btLr"/>
            <w:vAlign w:val="center"/>
          </w:tcPr>
          <w:p>
            <w:pPr>
              <w:pStyle w:val="Yo13YouthIndicator"/>
              <w:jc w:val="center"/>
              <w:rPr>
                <w:noProof/>
                <w:lang w:eastAsia="fr-BE"/>
              </w:rPr>
            </w:pPr>
            <w:r>
              <w:rPr>
                <w:noProof/>
              </w:rPr>
              <w:t>EU youth indicator</w:t>
            </w:r>
          </w:p>
        </w:tc>
        <w:tc>
          <w:tcPr>
            <w:tcW w:w="9964" w:type="dxa"/>
            <w:tcBorders>
              <w:bottom w:val="nil"/>
            </w:tcBorders>
            <w:shd w:val="clear" w:color="auto" w:fill="auto"/>
          </w:tcPr>
          <w:p>
            <w:pPr>
              <w:pStyle w:val="Yo5TextNotesbefore"/>
              <w:tabs>
                <w:tab w:val="clear" w:pos="1985"/>
                <w:tab w:val="clear" w:pos="5103"/>
                <w:tab w:val="right" w:pos="9539"/>
              </w:tabs>
              <w:ind w:left="183"/>
              <w:rPr>
                <w:noProof/>
                <w:sz w:val="16"/>
                <w:lang w:val="en-GB" w:eastAsia="en-GB"/>
              </w:rPr>
            </w:pPr>
            <w:r>
              <w:rPr>
                <w:noProof/>
                <w:sz w:val="16"/>
                <w:lang w:val="en-GB" w:eastAsia="en-GB"/>
              </w:rPr>
              <w:t>%</w:t>
            </w:r>
            <w:r>
              <w:rPr>
                <w:noProof/>
                <w:sz w:val="16"/>
                <w:lang w:val="en-GB" w:eastAsia="en-GB"/>
              </w:rPr>
              <w:tab/>
              <w:t>%</w:t>
            </w:r>
          </w:p>
          <w:p>
            <w:pPr>
              <w:pStyle w:val="Yo5TextNotesafter"/>
              <w:rPr>
                <w:noProof/>
                <w:sz w:val="16"/>
                <w:lang w:val="en-GB"/>
              </w:rPr>
            </w:pPr>
            <w:r>
              <w:rPr>
                <w:noProof/>
                <w:sz w:val="16"/>
                <w:lang w:val="en-GB" w:eastAsia="en-GB"/>
              </w:rPr>
              <w:fldChar w:fldCharType="begin"/>
            </w:r>
            <w:r>
              <w:rPr>
                <w:noProof/>
                <w:sz w:val="16"/>
                <w:lang w:val="en-GB" w:eastAsia="en-GB"/>
              </w:rPr>
              <w:instrText xml:space="preserve"> INCLUDEPICTURE  "U:\\B3\\Data from Old C1\\EU YOUTH REPORT\\EU Youth Report 2018\\Revised version between cabinets - 25.04\\03_graph\\1_C_youth_share.jpg" \* MERGEFORMATINET </w:instrText>
            </w:r>
            <w:r>
              <w:rPr>
                <w:noProof/>
                <w:sz w:val="16"/>
                <w:lang w:val="en-GB" w:eastAsia="en-GB"/>
              </w:rPr>
              <w:fldChar w:fldCharType="separate"/>
            </w:r>
            <w:r>
              <w:rPr>
                <w:noProof/>
                <w:sz w:val="16"/>
                <w:lang w:val="en-GB" w:eastAsia="en-GB"/>
              </w:rPr>
              <w:fldChar w:fldCharType="begin"/>
            </w:r>
            <w:r>
              <w:rPr>
                <w:noProof/>
                <w:sz w:val="16"/>
                <w:lang w:val="en-GB" w:eastAsia="en-GB"/>
              </w:rPr>
              <w:instrText xml:space="preserve"> INCLUDEPICTURE  "C:\\Users\\paredcr\\AppData\\Local\\Temp\\03_graph\\1_C_youth_share.jpg" \* MERGEFORMATINET </w:instrText>
            </w:r>
            <w:r>
              <w:rPr>
                <w:noProof/>
                <w:sz w:val="16"/>
                <w:lang w:val="en-GB" w:eastAsia="en-GB"/>
              </w:rPr>
              <w:fldChar w:fldCharType="separate"/>
            </w:r>
            <w:r>
              <w:rPr>
                <w:noProof/>
                <w:sz w:val="16"/>
                <w:lang w:val="en-GB" w:eastAsia="en-GB"/>
              </w:rPr>
              <w:fldChar w:fldCharType="begin"/>
            </w:r>
            <w:r>
              <w:rPr>
                <w:noProof/>
                <w:sz w:val="16"/>
                <w:lang w:val="en-GB" w:eastAsia="en-GB"/>
              </w:rPr>
              <w:instrText xml:space="preserve"> INCLUDEPICTURE  "C:\\Users\\paredcr\\AppData\\Local\\Temp\\03_graph\\1_C_youth_share.jpg" \* MERGEFORMATINET </w:instrText>
            </w:r>
            <w:r>
              <w:rPr>
                <w:noProof/>
                <w:sz w:val="16"/>
                <w:lang w:val="en-GB" w:eastAsia="en-GB"/>
              </w:rPr>
              <w:fldChar w:fldCharType="separate"/>
            </w:r>
            <w:r>
              <w:rPr>
                <w:noProof/>
                <w:sz w:val="16"/>
                <w:lang w:val="en-GB" w:eastAsia="en-GB"/>
              </w:rPr>
              <w:fldChar w:fldCharType="begin"/>
            </w:r>
            <w:r>
              <w:rPr>
                <w:noProof/>
                <w:sz w:val="16"/>
                <w:lang w:val="en-GB" w:eastAsia="en-GB"/>
              </w:rPr>
              <w:instrText xml:space="preserve"> INCLUDEPICTURE  "C:\\Users\\paredcr\\AppData\\Local\\Temp\\03_graph\\1_C_youth_share.jpg" \* MERGEFORMATINET </w:instrText>
            </w:r>
            <w:r>
              <w:rPr>
                <w:noProof/>
                <w:sz w:val="16"/>
                <w:lang w:val="en-GB" w:eastAsia="en-GB"/>
              </w:rPr>
              <w:fldChar w:fldCharType="separate"/>
            </w:r>
            <w:r>
              <w:rPr>
                <w:noProof/>
                <w:sz w:val="16"/>
                <w:lang w:val="en-GB" w:eastAsia="en-GB"/>
              </w:rPr>
              <w:fldChar w:fldCharType="begin"/>
            </w:r>
            <w:r>
              <w:rPr>
                <w:noProof/>
                <w:sz w:val="16"/>
                <w:lang w:val="en-GB" w:eastAsia="en-GB"/>
              </w:rPr>
              <w:instrText xml:space="preserve"> INCLUDEPICTURE  "C:\\Users\\paredcr\\AppData\\Local\\Temp\\03_graph\\1_C_youth_share.jpg" \* MERGEFORMATINET </w:instrText>
            </w:r>
            <w:r>
              <w:rPr>
                <w:noProof/>
                <w:sz w:val="16"/>
                <w:lang w:val="en-GB" w:eastAsia="en-GB"/>
              </w:rPr>
              <w:fldChar w:fldCharType="separate"/>
            </w:r>
            <w:r>
              <w:rPr>
                <w:noProof/>
                <w:sz w:val="16"/>
                <w:lang w:val="en-GB" w:eastAsia="en-GB"/>
              </w:rPr>
              <w:pict>
                <v:shape id="_x0000_i1026" type="#_x0000_t75" style="width:486.5pt;height:122.4pt">
                  <v:imagedata r:id="rId44" r:href="rId45"/>
                </v:shape>
              </w:pict>
            </w:r>
            <w:r>
              <w:rPr>
                <w:noProof/>
                <w:sz w:val="16"/>
                <w:lang w:val="en-GB" w:eastAsia="en-GB"/>
              </w:rPr>
              <w:fldChar w:fldCharType="end"/>
            </w:r>
            <w:r>
              <w:rPr>
                <w:noProof/>
                <w:sz w:val="16"/>
                <w:lang w:val="en-GB" w:eastAsia="en-GB"/>
              </w:rPr>
              <w:fldChar w:fldCharType="end"/>
            </w:r>
            <w:r>
              <w:rPr>
                <w:noProof/>
                <w:sz w:val="16"/>
                <w:lang w:val="en-GB" w:eastAsia="en-GB"/>
              </w:rPr>
              <w:fldChar w:fldCharType="end"/>
            </w:r>
            <w:r>
              <w:rPr>
                <w:noProof/>
                <w:sz w:val="16"/>
                <w:lang w:val="en-GB" w:eastAsia="en-GB"/>
              </w:rPr>
              <w:fldChar w:fldCharType="end"/>
            </w:r>
            <w:r>
              <w:rPr>
                <w:noProof/>
                <w:sz w:val="16"/>
                <w:lang w:val="en-GB" w:eastAsia="en-GB"/>
              </w:rPr>
              <w:fldChar w:fldCharType="end"/>
            </w:r>
          </w:p>
        </w:tc>
      </w:tr>
      <w:tr>
        <w:trPr>
          <w:trHeight w:val="390"/>
        </w:trPr>
        <w:tc>
          <w:tcPr>
            <w:tcW w:w="384" w:type="dxa"/>
            <w:vMerge/>
            <w:shd w:val="clear" w:color="auto" w:fill="FB5F5F"/>
            <w:textDirection w:val="btLr"/>
            <w:vAlign w:val="bottom"/>
          </w:tcPr>
          <w:p>
            <w:pPr>
              <w:spacing w:after="0" w:line="240" w:lineRule="auto"/>
              <w:ind w:left="113" w:right="113"/>
              <w:rPr>
                <w:b/>
                <w:noProof/>
                <w:color w:val="FFFFFF"/>
                <w:sz w:val="16"/>
              </w:rPr>
            </w:pPr>
          </w:p>
        </w:tc>
        <w:tc>
          <w:tcPr>
            <w:tcW w:w="9964" w:type="dxa"/>
            <w:tcBorders>
              <w:top w:val="nil"/>
            </w:tcBorders>
            <w:shd w:val="clear" w:color="auto" w:fill="auto"/>
          </w:tcPr>
          <w:tbl>
            <w:tblPr>
              <w:tblW w:w="0" w:type="auto"/>
              <w:jc w:val="center"/>
              <w:tblLayout w:type="fixed"/>
              <w:tblLook w:val="04A0" w:firstRow="1" w:lastRow="0" w:firstColumn="1" w:lastColumn="0" w:noHBand="0" w:noVBand="1"/>
            </w:tblPr>
            <w:tblGrid>
              <w:gridCol w:w="641"/>
              <w:gridCol w:w="641"/>
              <w:gridCol w:w="642"/>
              <w:gridCol w:w="641"/>
              <w:gridCol w:w="641"/>
              <w:gridCol w:w="642"/>
            </w:tblGrid>
            <w:tr>
              <w:trPr>
                <w:jc w:val="center"/>
              </w:trPr>
              <w:tc>
                <w:tcPr>
                  <w:tcW w:w="641" w:type="dxa"/>
                  <w:shd w:val="clear" w:color="auto" w:fill="auto"/>
                  <w:vAlign w:val="center"/>
                </w:tcPr>
                <w:p>
                  <w:pPr>
                    <w:pStyle w:val="Yo5TextNotes"/>
                    <w:framePr w:hSpace="181" w:wrap="around" w:vAnchor="text" w:hAnchor="text" w:x="-316" w:y="1"/>
                    <w:suppressOverlap/>
                    <w:rPr>
                      <w:noProof/>
                      <w:sz w:val="16"/>
                      <w:lang w:val="en-GB"/>
                    </w:rPr>
                  </w:pPr>
                  <w:r>
                    <w:rPr>
                      <w:noProof/>
                      <w:snapToGrid/>
                      <w:lang w:val="en-US"/>
                    </w:rPr>
                    <w:drawing>
                      <wp:inline distT="0" distB="0" distL="0" distR="0">
                        <wp:extent cx="142875" cy="142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41" w:type="dxa"/>
                  <w:shd w:val="clear" w:color="auto" w:fill="auto"/>
                  <w:vAlign w:val="center"/>
                </w:tcPr>
                <w:p>
                  <w:pPr>
                    <w:pStyle w:val="p91Textpara"/>
                    <w:framePr w:hSpace="181" w:wrap="around" w:vAnchor="text" w:hAnchor="text" w:x="-316" w:y="1"/>
                    <w:spacing w:before="60" w:after="60" w:line="240" w:lineRule="auto"/>
                    <w:suppressOverlap/>
                    <w:jc w:val="left"/>
                    <w:rPr>
                      <w:noProof/>
                      <w:color w:val="auto"/>
                      <w:sz w:val="16"/>
                      <w:szCs w:val="16"/>
                    </w:rPr>
                  </w:pPr>
                  <w:r>
                    <w:rPr>
                      <w:noProof/>
                      <w:color w:val="auto"/>
                      <w:sz w:val="16"/>
                      <w:szCs w:val="16"/>
                    </w:rPr>
                    <w:t>15-19</w:t>
                  </w:r>
                </w:p>
              </w:tc>
              <w:tc>
                <w:tcPr>
                  <w:tcW w:w="642" w:type="dxa"/>
                  <w:shd w:val="clear" w:color="auto" w:fill="auto"/>
                  <w:vAlign w:val="center"/>
                </w:tcPr>
                <w:p>
                  <w:pPr>
                    <w:pStyle w:val="Yo5TextNotes"/>
                    <w:framePr w:hSpace="181" w:wrap="around" w:vAnchor="text" w:hAnchor="text" w:x="-316" w:y="1"/>
                    <w:suppressOverlap/>
                    <w:rPr>
                      <w:noProof/>
                      <w:lang w:val="en-GB"/>
                    </w:rPr>
                  </w:pPr>
                  <w:r>
                    <w:rPr>
                      <w:noProof/>
                      <w:snapToGrid/>
                      <w:lang w:val="en-US"/>
                    </w:rPr>
                    <w:drawing>
                      <wp:inline distT="0" distB="0" distL="0" distR="0">
                        <wp:extent cx="142875" cy="142875"/>
                        <wp:effectExtent l="0" t="0" r="9525" b="952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41" w:type="dxa"/>
                  <w:vAlign w:val="center"/>
                </w:tcPr>
                <w:p>
                  <w:pPr>
                    <w:pStyle w:val="p91Textpara"/>
                    <w:framePr w:hSpace="181" w:wrap="around" w:vAnchor="text" w:hAnchor="text" w:x="-316" w:y="1"/>
                    <w:spacing w:before="60" w:after="60" w:line="240" w:lineRule="auto"/>
                    <w:suppressOverlap/>
                    <w:jc w:val="left"/>
                    <w:rPr>
                      <w:noProof/>
                      <w:color w:val="auto"/>
                      <w:sz w:val="16"/>
                      <w:szCs w:val="16"/>
                    </w:rPr>
                  </w:pPr>
                  <w:r>
                    <w:rPr>
                      <w:noProof/>
                      <w:color w:val="auto"/>
                      <w:sz w:val="16"/>
                      <w:szCs w:val="16"/>
                    </w:rPr>
                    <w:t xml:space="preserve">20-24 </w:t>
                  </w:r>
                </w:p>
              </w:tc>
              <w:tc>
                <w:tcPr>
                  <w:tcW w:w="641" w:type="dxa"/>
                  <w:vAlign w:val="center"/>
                </w:tcPr>
                <w:p>
                  <w:pPr>
                    <w:pStyle w:val="Yo5TextNotes"/>
                    <w:framePr w:hSpace="181" w:wrap="around" w:vAnchor="text" w:hAnchor="text" w:x="-316" w:y="1"/>
                    <w:suppressOverlap/>
                    <w:jc w:val="left"/>
                    <w:rPr>
                      <w:noProof/>
                      <w:lang w:val="en-GB"/>
                    </w:rPr>
                  </w:pPr>
                  <w:r>
                    <w:rPr>
                      <w:noProof/>
                      <w:snapToGrid/>
                      <w:lang w:val="en-US"/>
                    </w:rPr>
                    <w:drawing>
                      <wp:inline distT="0" distB="0" distL="0" distR="0">
                        <wp:extent cx="142875" cy="142875"/>
                        <wp:effectExtent l="0" t="0" r="9525" b="952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42" w:type="dxa"/>
                  <w:shd w:val="clear" w:color="auto" w:fill="auto"/>
                  <w:vAlign w:val="center"/>
                </w:tcPr>
                <w:p>
                  <w:pPr>
                    <w:pStyle w:val="p91Textpara"/>
                    <w:framePr w:hSpace="181" w:wrap="around" w:vAnchor="text" w:hAnchor="text" w:x="-316" w:y="1"/>
                    <w:spacing w:before="60" w:after="60" w:line="240" w:lineRule="auto"/>
                    <w:suppressOverlap/>
                    <w:jc w:val="left"/>
                    <w:rPr>
                      <w:noProof/>
                      <w:color w:val="auto"/>
                      <w:sz w:val="16"/>
                      <w:szCs w:val="16"/>
                    </w:rPr>
                  </w:pPr>
                  <w:r>
                    <w:rPr>
                      <w:noProof/>
                      <w:color w:val="auto"/>
                      <w:sz w:val="16"/>
                      <w:szCs w:val="16"/>
                    </w:rPr>
                    <w:t>25-29</w:t>
                  </w:r>
                </w:p>
              </w:tc>
            </w:tr>
          </w:tbl>
          <w:p>
            <w:pPr>
              <w:pStyle w:val="Yo5TextNotes"/>
              <w:tabs>
                <w:tab w:val="clear" w:pos="1985"/>
                <w:tab w:val="right" w:pos="8722"/>
              </w:tabs>
              <w:rPr>
                <w:noProof/>
                <w:lang w:val="en-GB" w:eastAsia="en-GB"/>
              </w:rPr>
            </w:pPr>
          </w:p>
        </w:tc>
      </w:tr>
    </w:tbl>
    <w:p>
      <w:pPr>
        <w:pStyle w:val="Yo5TextNotesbeforeafter"/>
        <w:rPr>
          <w:noProof/>
          <w:szCs w:val="22"/>
          <w:lang w:val="en-GB" w:eastAsia="en-GB"/>
        </w:rPr>
      </w:pPr>
      <w:r>
        <w:rPr>
          <w:i/>
          <w:noProof/>
          <w:lang w:val="en-GB" w:eastAsia="en-GB"/>
        </w:rPr>
        <w:t>Notes</w:t>
      </w:r>
      <w:r>
        <w:rPr>
          <w:noProof/>
          <w:lang w:val="en-GB" w:eastAsia="en-GB"/>
        </w:rPr>
        <w:t>: The population corresponds to the number of persons having their usual residence in the country on 1st January. When 'usual residence' cannot be established, the countries can report of the legal or registered residence.</w:t>
      </w:r>
    </w:p>
    <w:p>
      <w:pPr>
        <w:pStyle w:val="Yo5TextNotesbeforeafter"/>
        <w:rPr>
          <w:noProof/>
          <w:lang w:val="en-GB"/>
        </w:rPr>
      </w:pPr>
      <w:r>
        <w:rPr>
          <w:i/>
          <w:noProof/>
          <w:lang w:val="en-GB" w:eastAsia="en-GB"/>
        </w:rPr>
        <w:t>Source</w:t>
      </w:r>
      <w:r>
        <w:rPr>
          <w:noProof/>
          <w:lang w:val="en-GB" w:eastAsia="en-GB"/>
        </w:rPr>
        <w:t>: Eurostat [demo_pjanind].</w:t>
      </w:r>
    </w:p>
    <w:tbl>
      <w:tblPr>
        <w:tblpPr w:leftFromText="180" w:rightFromText="180" w:vertAnchor="text" w:horzAnchor="margin" w:tblpXSpec="right" w:tblpY="151"/>
        <w:tblOverlap w:val="never"/>
        <w:tblW w:w="0" w:type="auto"/>
        <w:shd w:val="clear" w:color="auto" w:fill="FFA3A4"/>
        <w:tblLook w:val="04A0" w:firstRow="1" w:lastRow="0" w:firstColumn="1" w:lastColumn="0" w:noHBand="0" w:noVBand="1"/>
      </w:tblPr>
      <w:tblGrid>
        <w:gridCol w:w="2977"/>
      </w:tblGrid>
      <w:tr>
        <w:tc>
          <w:tcPr>
            <w:tcW w:w="2977" w:type="dxa"/>
            <w:shd w:val="clear" w:color="auto" w:fill="FFA3A4"/>
            <w:hideMark/>
          </w:tcPr>
          <w:p>
            <w:pPr>
              <w:pStyle w:val="Yo12Encart"/>
              <w:framePr w:hSpace="0" w:wrap="auto" w:vAnchor="margin" w:hAnchor="text" w:xAlign="left" w:yAlign="inline"/>
              <w:suppressOverlap w:val="0"/>
              <w:rPr>
                <w:noProof/>
                <w:sz w:val="22"/>
                <w:szCs w:val="22"/>
              </w:rPr>
            </w:pPr>
            <w:r>
              <w:rPr>
                <w:noProof/>
                <w:sz w:val="22"/>
                <w:szCs w:val="22"/>
              </w:rPr>
              <w:t>The proportion of young people in the European Union continues to decrease and the decline is expected to carry on in the future.</w:t>
            </w:r>
          </w:p>
        </w:tc>
      </w:tr>
    </w:tbl>
    <w:p>
      <w:pPr>
        <w:pStyle w:val="Yo1Textpara"/>
        <w:spacing w:after="240"/>
        <w:rPr>
          <w:noProof/>
        </w:rPr>
      </w:pPr>
      <w:r>
        <w:rPr>
          <w:noProof/>
        </w:rPr>
        <w:t>The proportion of young people in the total population has declined progressively</w:t>
      </w:r>
      <w:r>
        <w:rPr>
          <w:b/>
          <w:noProof/>
        </w:rPr>
        <w:t xml:space="preserve"> </w:t>
      </w:r>
      <w:r>
        <w:rPr>
          <w:noProof/>
        </w:rPr>
        <w:t>over recent decades, from around 24 % in 1985 to 19 % in 2010 (</w:t>
      </w:r>
      <w:r>
        <w:rPr>
          <w:rStyle w:val="FootnoteReference"/>
          <w:noProof/>
        </w:rPr>
        <w:footnoteReference w:id="6"/>
      </w:r>
      <w:r>
        <w:rPr>
          <w:noProof/>
        </w:rPr>
        <w:t>). Fewer births have led to a fall in the youth population and – combined with increased life expectancy – to a parallel increase in the proportion of older age groups in the total population (</w:t>
      </w:r>
      <w:r>
        <w:rPr>
          <w:rStyle w:val="FootnoteReference"/>
          <w:noProof/>
        </w:rPr>
        <w:footnoteReference w:id="7"/>
      </w:r>
      <w:r>
        <w:rPr>
          <w:noProof/>
        </w:rPr>
        <w:t>). In line with such long term trends, the proportion of young people continued to drop between 2010 and 2016 (Figure 1-D). On average, the size of the youth population decreased by 1.2 percentage points over those six years, equivalent to roughly 1 million people. This decline affected countries to a different extent.</w:t>
      </w:r>
    </w:p>
    <w:p>
      <w:pPr>
        <w:rPr>
          <w:rFonts w:ascii="Verdana" w:eastAsia="Cambria" w:hAnsi="Verdana" w:cs="Calibri"/>
          <w:bCs/>
          <w:noProof/>
          <w:color w:val="7F7F7F"/>
          <w:w w:val="80"/>
        </w:rPr>
      </w:pPr>
      <w:r>
        <w:rPr>
          <w:rFonts w:ascii="Verdana" w:eastAsia="Cambria" w:hAnsi="Verdana" w:cs="Calibri"/>
          <w:b/>
          <w:bCs/>
          <w:noProof/>
          <w:color w:val="7F7F7F"/>
          <w:w w:val="80"/>
        </w:rPr>
        <w:t>Figure 1-D:</w:t>
      </w:r>
      <w:r>
        <w:rPr>
          <w:rFonts w:ascii="Verdana" w:eastAsia="Cambria" w:hAnsi="Verdana" w:cs="Calibri"/>
          <w:bCs/>
          <w:noProof/>
          <w:color w:val="7F7F7F"/>
          <w:w w:val="80"/>
        </w:rPr>
        <w:t xml:space="preserve"> Share of young people (aged 15-29) in the total population, by country, 2010 and 2016</w:t>
      </w:r>
    </w:p>
    <w:tbl>
      <w:tblPr>
        <w:tblpPr w:leftFromText="181" w:rightFromText="181" w:vertAnchor="text" w:tblpX="-316" w:tblpY="1"/>
        <w:tblOverlap w:val="neve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9964"/>
      </w:tblGrid>
      <w:tr>
        <w:trPr>
          <w:trHeight w:val="520"/>
        </w:trPr>
        <w:tc>
          <w:tcPr>
            <w:tcW w:w="384" w:type="dxa"/>
            <w:vMerge w:val="restart"/>
            <w:shd w:val="clear" w:color="auto" w:fill="FB5F5F"/>
            <w:textDirection w:val="btLr"/>
            <w:vAlign w:val="center"/>
          </w:tcPr>
          <w:p>
            <w:pPr>
              <w:pStyle w:val="Yo13YouthIndicator"/>
              <w:jc w:val="center"/>
              <w:rPr>
                <w:noProof/>
                <w:lang w:eastAsia="fr-BE"/>
              </w:rPr>
            </w:pPr>
            <w:r>
              <w:rPr>
                <w:noProof/>
              </w:rPr>
              <w:t>EU youth indicator</w:t>
            </w:r>
          </w:p>
        </w:tc>
        <w:tc>
          <w:tcPr>
            <w:tcW w:w="9964" w:type="dxa"/>
            <w:tcBorders>
              <w:bottom w:val="nil"/>
            </w:tcBorders>
            <w:shd w:val="clear" w:color="auto" w:fill="auto"/>
          </w:tcPr>
          <w:p>
            <w:pPr>
              <w:pStyle w:val="Yo5TextNotesbefore"/>
              <w:tabs>
                <w:tab w:val="clear" w:pos="1985"/>
                <w:tab w:val="clear" w:pos="5103"/>
                <w:tab w:val="right" w:pos="9539"/>
              </w:tabs>
              <w:ind w:left="183"/>
              <w:rPr>
                <w:noProof/>
                <w:sz w:val="16"/>
                <w:lang w:val="en-GB" w:eastAsia="en-GB"/>
              </w:rPr>
            </w:pPr>
            <w:r>
              <w:rPr>
                <w:noProof/>
                <w:sz w:val="16"/>
                <w:lang w:val="en-GB" w:eastAsia="en-GB"/>
              </w:rPr>
              <w:t>%</w:t>
            </w:r>
            <w:r>
              <w:rPr>
                <w:noProof/>
                <w:sz w:val="16"/>
                <w:lang w:val="en-GB" w:eastAsia="en-GB"/>
              </w:rPr>
              <w:tab/>
              <w:t>%</w:t>
            </w:r>
          </w:p>
          <w:p>
            <w:pPr>
              <w:pStyle w:val="Yo5TextNotesafter"/>
              <w:rPr>
                <w:noProof/>
                <w:sz w:val="16"/>
                <w:lang w:val="en-GB"/>
              </w:rPr>
            </w:pPr>
            <w:r>
              <w:rPr>
                <w:noProof/>
                <w:snapToGrid/>
              </w:rPr>
              <w:drawing>
                <wp:inline distT="0" distB="0" distL="0" distR="0">
                  <wp:extent cx="6181725" cy="2133600"/>
                  <wp:effectExtent l="0" t="0" r="9525" b="0"/>
                  <wp:docPr id="18" name="Picture 18" descr="\\s-eacea-fs03-p\EACEA.A7\Youth\04_Reports\a_EU_Youth_Reports\2018\03_graph\1_D_youth_share_tr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cea-fs03-p\EACEA.A7\Youth\04_Reports\a_EU_Youth_Reports\2018\03_graph\1_D_youth_share_trend.jpg"/>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6181725" cy="2133600"/>
                          </a:xfrm>
                          <a:prstGeom prst="rect">
                            <a:avLst/>
                          </a:prstGeom>
                          <a:noFill/>
                          <a:ln>
                            <a:noFill/>
                          </a:ln>
                        </pic:spPr>
                      </pic:pic>
                    </a:graphicData>
                  </a:graphic>
                </wp:inline>
              </w:drawing>
            </w:r>
          </w:p>
        </w:tc>
      </w:tr>
      <w:tr>
        <w:trPr>
          <w:trHeight w:val="260"/>
        </w:trPr>
        <w:tc>
          <w:tcPr>
            <w:tcW w:w="384" w:type="dxa"/>
            <w:vMerge/>
            <w:shd w:val="clear" w:color="auto" w:fill="FB5F5F"/>
            <w:textDirection w:val="btLr"/>
            <w:vAlign w:val="bottom"/>
          </w:tcPr>
          <w:p>
            <w:pPr>
              <w:spacing w:after="0" w:line="240" w:lineRule="auto"/>
              <w:ind w:left="113" w:right="113"/>
              <w:rPr>
                <w:b/>
                <w:noProof/>
                <w:color w:val="FFFFFF"/>
                <w:sz w:val="16"/>
              </w:rPr>
            </w:pPr>
          </w:p>
        </w:tc>
        <w:tc>
          <w:tcPr>
            <w:tcW w:w="9964" w:type="dxa"/>
            <w:tcBorders>
              <w:top w:val="nil"/>
            </w:tcBorders>
            <w:shd w:val="clear" w:color="auto" w:fill="auto"/>
          </w:tcPr>
          <w:p>
            <w:pPr>
              <w:pStyle w:val="Yo5TextNotes"/>
              <w:tabs>
                <w:tab w:val="clear" w:pos="1985"/>
                <w:tab w:val="right" w:pos="8722"/>
              </w:tabs>
              <w:rPr>
                <w:noProof/>
                <w:lang w:val="en-GB" w:eastAsia="en-GB"/>
              </w:rPr>
            </w:pPr>
            <w:r>
              <w:rPr>
                <w:i/>
                <w:noProof/>
                <w:lang w:val="en-GB" w:eastAsia="en-GB"/>
              </w:rPr>
              <w:t>Source</w:t>
            </w:r>
            <w:r>
              <w:rPr>
                <w:noProof/>
                <w:lang w:val="en-GB" w:eastAsia="en-GB"/>
              </w:rPr>
              <w:t>: Eurostat [demo_pjanind].</w:t>
            </w:r>
          </w:p>
        </w:tc>
      </w:tr>
    </w:tbl>
    <w:p>
      <w:pPr>
        <w:pStyle w:val="Yo5TextNotesbeforeafter"/>
        <w:spacing w:after="0"/>
        <w:rPr>
          <w:noProof/>
          <w:lang w:val="en-GB"/>
        </w:rPr>
      </w:pPr>
    </w:p>
    <w:p>
      <w:pPr>
        <w:pStyle w:val="Yo1Textpara"/>
        <w:rPr>
          <w:noProof/>
        </w:rPr>
      </w:pPr>
      <w:r>
        <w:rPr>
          <w:noProof/>
        </w:rPr>
        <w:t xml:space="preserve">Central, eastern and southern European countries have seen comparatively larger drops in their youth populations than northern ones. However, Ireland is the country recording the highest fall in percentage points since 2010 (-4.8 p.p.). On the other hand, a few countries (Denmark, Luxembourg, Netherlands and Norway) have witnessed slight increases in the proportion of young people in their population. </w:t>
      </w:r>
    </w:p>
    <w:p>
      <w:pPr>
        <w:pStyle w:val="Yo1Textpara"/>
        <w:rPr>
          <w:noProof/>
        </w:rPr>
      </w:pPr>
      <w:r>
        <w:rPr>
          <w:noProof/>
        </w:rPr>
        <w:t>There are several reasons behind the decline in the youth population in the vast majority of European countries. While fertility rates rose modestly during the first decade of the century, they remained below the replacement level (</w:t>
      </w:r>
      <w:r>
        <w:rPr>
          <w:rStyle w:val="FootnoteReference"/>
          <w:noProof/>
        </w:rPr>
        <w:footnoteReference w:id="8"/>
      </w:r>
      <w:r>
        <w:rPr>
          <w:noProof/>
        </w:rPr>
        <w:t>). Since 2008, they have recorded a further decline which will affect the youth population in the future. This is partly due to the effects of the economic crisis which impacted on the level of unemployment and family income, especially in those countries most severely hit by the economic downturn (</w:t>
      </w:r>
      <w:r>
        <w:rPr>
          <w:rStyle w:val="FootnoteReference"/>
          <w:noProof/>
        </w:rPr>
        <w:footnoteReference w:id="9"/>
      </w:r>
      <w:r>
        <w:rPr>
          <w:noProof/>
        </w:rPr>
        <w:t>). In these countries, the economic crisis has also meant high rates of youth emigration (discussed in the last section of the chapter), further aggravating the demographic imbalance. In addition, a general tendency for women to give birth to fewer children and at a later age in life is observed, which further reduces the proportion of children being born (</w:t>
      </w:r>
      <w:r>
        <w:rPr>
          <w:rStyle w:val="FootnoteReference"/>
          <w:noProof/>
        </w:rPr>
        <w:footnoteReference w:id="10"/>
      </w:r>
      <w:r>
        <w:rPr>
          <w:noProof/>
        </w:rPr>
        <w:t>). These trends are expected to continue in the coming decades, leading to further reductions in the size of the EU youth population (Figure 1-E).</w:t>
      </w:r>
    </w:p>
    <w:p>
      <w:pPr>
        <w:pStyle w:val="Yo1Textpara"/>
        <w:rPr>
          <w:noProof/>
        </w:rPr>
      </w:pPr>
    </w:p>
    <w:tbl>
      <w:tblPr>
        <w:tblpPr w:leftFromText="180" w:rightFromText="180" w:vertAnchor="text" w:horzAnchor="margin" w:tblpY="44"/>
        <w:tblOverlap w:val="never"/>
        <w:tblW w:w="0" w:type="auto"/>
        <w:tblLook w:val="04A0" w:firstRow="1" w:lastRow="0" w:firstColumn="1" w:lastColumn="0" w:noHBand="0" w:noVBand="1"/>
      </w:tblPr>
      <w:tblGrid>
        <w:gridCol w:w="4926"/>
      </w:tblGrid>
      <w:tr>
        <w:tc>
          <w:tcPr>
            <w:tcW w:w="4911" w:type="dxa"/>
            <w:shd w:val="clear" w:color="auto" w:fill="auto"/>
          </w:tcPr>
          <w:p>
            <w:pPr>
              <w:pStyle w:val="Yo5TitleFigure"/>
              <w:spacing w:before="0"/>
              <w:jc w:val="both"/>
            </w:pPr>
            <w:r>
              <w:rPr>
                <w:b/>
              </w:rPr>
              <w:t>Figure 1-E:</w:t>
            </w:r>
            <w:r>
              <w:t xml:space="preserve"> Projected proportion of the youth population (aged 15-29), EU-28 average, 2018-2050 </w:t>
            </w:r>
          </w:p>
        </w:tc>
      </w:tr>
      <w:tr>
        <w:tc>
          <w:tcPr>
            <w:tcW w:w="4911" w:type="dxa"/>
            <w:shd w:val="clear" w:color="auto" w:fill="auto"/>
          </w:tcPr>
          <w:p>
            <w:pPr>
              <w:pStyle w:val="Yo5TextNotes"/>
              <w:tabs>
                <w:tab w:val="clear" w:pos="1985"/>
                <w:tab w:val="right" w:pos="4253"/>
              </w:tabs>
              <w:ind w:left="284"/>
              <w:rPr>
                <w:noProof/>
                <w:lang w:val="en-GB"/>
              </w:rPr>
            </w:pPr>
            <w:r>
              <w:rPr>
                <w:noProof/>
                <w:lang w:val="en-GB"/>
              </w:rPr>
              <w:t>%</w:t>
            </w:r>
            <w:r>
              <w:rPr>
                <w:noProof/>
                <w:lang w:val="en-GB"/>
              </w:rPr>
              <w:tab/>
              <w:t>%</w:t>
            </w:r>
          </w:p>
        </w:tc>
      </w:tr>
      <w:tr>
        <w:tc>
          <w:tcPr>
            <w:tcW w:w="4911" w:type="dxa"/>
            <w:shd w:val="clear" w:color="auto" w:fill="auto"/>
          </w:tcPr>
          <w:p>
            <w:pPr>
              <w:pStyle w:val="Yo5TextNotes"/>
              <w:rPr>
                <w:noProof/>
                <w:lang w:val="en-GB"/>
              </w:rPr>
            </w:pPr>
            <w:r>
              <w:rPr>
                <w:noProof/>
                <w:snapToGrid/>
                <w:lang w:val="en-US"/>
              </w:rPr>
              <w:drawing>
                <wp:inline distT="0" distB="0" distL="0" distR="0">
                  <wp:extent cx="2981325" cy="1857375"/>
                  <wp:effectExtent l="0" t="0" r="9525" b="9525"/>
                  <wp:docPr id="19" name="Picture 19" descr="\\s-eacea-fs03-p\EACEA.A7\Youth\04_Reports\a_EU_Youth_Reports\2018\03_graph\1_E_proj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acea-fs03-p\EACEA.A7\Youth\04_Reports\a_EU_Youth_Reports\2018\03_graph\1_E_projection.jp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981325" cy="1857375"/>
                          </a:xfrm>
                          <a:prstGeom prst="rect">
                            <a:avLst/>
                          </a:prstGeom>
                          <a:noFill/>
                          <a:ln>
                            <a:noFill/>
                          </a:ln>
                        </pic:spPr>
                      </pic:pic>
                    </a:graphicData>
                  </a:graphic>
                </wp:inline>
              </w:drawing>
            </w:r>
          </w:p>
        </w:tc>
      </w:tr>
      <w:tr>
        <w:tc>
          <w:tcPr>
            <w:tcW w:w="4911" w:type="dxa"/>
            <w:shd w:val="clear" w:color="auto" w:fill="auto"/>
          </w:tcPr>
          <w:p>
            <w:pPr>
              <w:pStyle w:val="Yo5TextNotesbeforeafter"/>
              <w:rPr>
                <w:noProof/>
                <w:lang w:val="en-GB"/>
              </w:rPr>
            </w:pPr>
            <w:r>
              <w:rPr>
                <w:i/>
                <w:noProof/>
                <w:lang w:val="en-GB" w:eastAsia="en-GB"/>
              </w:rPr>
              <w:t>Source</w:t>
            </w:r>
            <w:r>
              <w:rPr>
                <w:noProof/>
                <w:lang w:val="en-GB" w:eastAsia="en-GB"/>
              </w:rPr>
              <w:t>: Eurostat [proj_15npms].</w:t>
            </w:r>
          </w:p>
        </w:tc>
      </w:tr>
    </w:tbl>
    <w:p>
      <w:pPr>
        <w:pStyle w:val="Yo1Textpara"/>
        <w:spacing w:before="0"/>
        <w:rPr>
          <w:noProof/>
        </w:rPr>
      </w:pPr>
      <w:r>
        <w:rPr>
          <w:noProof/>
        </w:rPr>
        <w:t>According to these projections, while the total EU population is expected to grow through 2050 reaching approximately 525 million in that year, the proportion of young people will decrease from about 17 % in 2018 to below 16 % in 2050, equivalent to a reduction of over 7 million individuals. The progressive decline in the proportion of young people, in a context of gradual growth in the total popu</w:t>
      </w:r>
      <w:r>
        <w:rPr>
          <w:noProof/>
        </w:rPr>
        <w:softHyphen/>
        <w:t>lation and of ever-increasing life expectancy rates, indicates that the EU population is pro</w:t>
      </w:r>
      <w:r>
        <w:rPr>
          <w:noProof/>
        </w:rPr>
        <w:softHyphen/>
        <w:t>gres</w:t>
      </w:r>
      <w:r>
        <w:rPr>
          <w:noProof/>
        </w:rPr>
        <w:softHyphen/>
        <w:t>sively ageing. This is expected to substantially boost the old-age dependency ratio, a measure of the extent to which the working-age segment of the population has to support older age groups through, for example, sustaining public healthcare and pension schemes (</w:t>
      </w:r>
      <w:r>
        <w:rPr>
          <w:rStyle w:val="FootnoteReference"/>
          <w:noProof/>
        </w:rPr>
        <w:footnoteReference w:id="11"/>
      </w:r>
      <w:r>
        <w:rPr>
          <w:noProof/>
        </w:rPr>
        <w:t>). As a result, younger generations will likely face an increased burden in supporting the remainder of the population as they move into work (</w:t>
      </w:r>
      <w:r>
        <w:rPr>
          <w:rStyle w:val="FootnoteReference"/>
          <w:noProof/>
        </w:rPr>
        <w:footnoteReference w:id="12"/>
      </w:r>
      <w:r>
        <w:rPr>
          <w:noProof/>
        </w:rPr>
        <w:t>).</w:t>
      </w:r>
    </w:p>
    <w:p>
      <w:pPr>
        <w:pStyle w:val="Yo0H2"/>
        <w:rPr>
          <w:noProof/>
          <w:lang w:val="en-GB"/>
        </w:rPr>
      </w:pPr>
      <w:bookmarkStart w:id="8" w:name="_Toc511656308"/>
      <w:r>
        <w:rPr>
          <w:noProof/>
          <w:lang w:val="en-GB"/>
        </w:rPr>
        <w:t>1.3 The impact of international and intra-EU migration</w:t>
      </w:r>
      <w:bookmarkEnd w:id="8"/>
      <w:r>
        <w:rPr>
          <w:noProof/>
          <w:lang w:val="en-GB"/>
        </w:rPr>
        <w:t xml:space="preserve"> </w:t>
      </w:r>
    </w:p>
    <w:tbl>
      <w:tblPr>
        <w:tblpPr w:leftFromText="180" w:rightFromText="180" w:vertAnchor="text" w:horzAnchor="margin" w:tblpXSpec="right" w:tblpY="600"/>
        <w:tblOverlap w:val="never"/>
        <w:tblW w:w="0" w:type="auto"/>
        <w:shd w:val="clear" w:color="auto" w:fill="B8CCE4"/>
        <w:tblLook w:val="04A0" w:firstRow="1" w:lastRow="0" w:firstColumn="1" w:lastColumn="0" w:noHBand="0" w:noVBand="1"/>
      </w:tblPr>
      <w:tblGrid>
        <w:gridCol w:w="2596"/>
      </w:tblGrid>
      <w:tr>
        <w:trPr>
          <w:trHeight w:val="1206"/>
        </w:trPr>
        <w:tc>
          <w:tcPr>
            <w:tcW w:w="2596" w:type="dxa"/>
            <w:shd w:val="clear" w:color="auto" w:fill="FFA3A4"/>
            <w:hideMark/>
          </w:tcPr>
          <w:p>
            <w:pPr>
              <w:pStyle w:val="Yo12Encart"/>
              <w:framePr w:hSpace="0" w:wrap="auto" w:vAnchor="margin" w:hAnchor="text" w:xAlign="left" w:yAlign="inline"/>
              <w:suppressOverlap w:val="0"/>
              <w:rPr>
                <w:noProof/>
                <w:sz w:val="22"/>
                <w:szCs w:val="22"/>
              </w:rPr>
            </w:pPr>
            <w:r>
              <w:rPr>
                <w:noProof/>
                <w:sz w:val="22"/>
                <w:szCs w:val="22"/>
              </w:rPr>
              <w:t>Immigration from outside the EU has partially offset the decrease in the EU youth population.</w:t>
            </w:r>
          </w:p>
        </w:tc>
      </w:tr>
    </w:tbl>
    <w:p>
      <w:pPr>
        <w:pStyle w:val="Yo1Textpara"/>
        <w:rPr>
          <w:noProof/>
        </w:rPr>
      </w:pPr>
      <w:r>
        <w:rPr>
          <w:noProof/>
        </w:rPr>
        <w:t>The steady decrease in the youth population living in the EU over the last decades has been alleviated by the growth of immigration from outside of the EU (</w:t>
      </w:r>
      <w:r>
        <w:rPr>
          <w:rStyle w:val="FootnoteReference"/>
          <w:noProof/>
        </w:rPr>
        <w:footnoteReference w:id="13"/>
      </w:r>
      <w:r>
        <w:rPr>
          <w:noProof/>
        </w:rPr>
        <w:t>). The influx of immigrants has compensated for the overall natural change in the general population and reversed an otherwise declining trend in the total population (</w:t>
      </w:r>
      <w:r>
        <w:rPr>
          <w:rStyle w:val="FootnoteReference"/>
          <w:noProof/>
        </w:rPr>
        <w:footnoteReference w:id="14"/>
      </w:r>
      <w:r>
        <w:rPr>
          <w:noProof/>
        </w:rPr>
        <w:t xml:space="preserve">). This phenomenon has been evident since 2011, although a blip occurred in 2014 (Figure 1-F). </w:t>
      </w:r>
    </w:p>
    <w:p>
      <w:pPr>
        <w:pStyle w:val="Yo1Textpara"/>
        <w:rPr>
          <w:rFonts w:ascii="Verdana" w:eastAsia="Cambria" w:hAnsi="Verdana" w:cs="Calibri"/>
          <w:bCs/>
          <w:noProof/>
          <w:color w:val="7F7F7F"/>
          <w:w w:val="80"/>
          <w:szCs w:val="22"/>
          <w:lang w:eastAsia="en-US"/>
        </w:rPr>
      </w:pPr>
      <w:r>
        <w:rPr>
          <w:rFonts w:ascii="Verdana" w:eastAsia="Cambria" w:hAnsi="Verdana" w:cs="Calibri"/>
          <w:b/>
          <w:bCs/>
          <w:noProof/>
          <w:color w:val="7F7F7F"/>
          <w:w w:val="80"/>
          <w:szCs w:val="22"/>
          <w:lang w:eastAsia="en-US"/>
        </w:rPr>
        <w:br w:type="page"/>
        <w:t>Figure 1-F:</w:t>
      </w:r>
      <w:r>
        <w:rPr>
          <w:rFonts w:ascii="Verdana" w:eastAsia="Cambria" w:hAnsi="Verdana" w:cs="Calibri"/>
          <w:bCs/>
          <w:noProof/>
          <w:color w:val="7F7F7F"/>
          <w:w w:val="80"/>
          <w:szCs w:val="22"/>
          <w:lang w:eastAsia="en-US"/>
        </w:rPr>
        <w:t xml:space="preserve"> Crude rates of population change, EU-28 average, 2010-2015 </w:t>
      </w:r>
    </w:p>
    <w:tbl>
      <w:tblPr>
        <w:tblW w:w="9889" w:type="dxa"/>
        <w:tblLayout w:type="fixed"/>
        <w:tblLook w:val="04A0" w:firstRow="1" w:lastRow="0" w:firstColumn="1" w:lastColumn="0" w:noHBand="0" w:noVBand="1"/>
      </w:tblPr>
      <w:tblGrid>
        <w:gridCol w:w="4644"/>
        <w:gridCol w:w="851"/>
        <w:gridCol w:w="4394"/>
      </w:tblGrid>
      <w:tr>
        <w:trPr>
          <w:trHeight w:val="348"/>
        </w:trPr>
        <w:tc>
          <w:tcPr>
            <w:tcW w:w="4644" w:type="dxa"/>
            <w:vMerge w:val="restart"/>
            <w:shd w:val="clear" w:color="auto" w:fill="auto"/>
          </w:tcPr>
          <w:p>
            <w:pPr>
              <w:pStyle w:val="Yo5TextNotes"/>
              <w:tabs>
                <w:tab w:val="clear" w:pos="1985"/>
                <w:tab w:val="right" w:pos="4253"/>
              </w:tabs>
              <w:ind w:left="284"/>
              <w:rPr>
                <w:noProof/>
                <w:lang w:val="en-GB"/>
              </w:rPr>
            </w:pPr>
            <w:r>
              <w:rPr>
                <w:noProof/>
                <w:lang w:val="en-GB"/>
              </w:rPr>
              <w:t>%</w:t>
            </w:r>
            <w:r>
              <w:rPr>
                <w:noProof/>
                <w:lang w:val="en-GB"/>
              </w:rPr>
              <w:tab/>
              <w:t>%</w:t>
            </w:r>
          </w:p>
          <w:p>
            <w:pPr>
              <w:pStyle w:val="Yo5TextNotes"/>
              <w:tabs>
                <w:tab w:val="right" w:pos="4253"/>
              </w:tabs>
              <w:jc w:val="center"/>
              <w:rPr>
                <w:noProof/>
                <w:lang w:val="en-GB"/>
              </w:rPr>
            </w:pPr>
            <w:r>
              <w:rPr>
                <w:noProof/>
                <w:snapToGrid/>
                <w:lang w:val="en-US"/>
              </w:rPr>
              <w:drawing>
                <wp:inline distT="0" distB="0" distL="0" distR="0">
                  <wp:extent cx="2990850" cy="1866900"/>
                  <wp:effectExtent l="0" t="0" r="0" b="0"/>
                  <wp:docPr id="20" name="Picture 20" descr="\\s-eacea-fs03-p\EACEA.A7\Youth\04_Reports\a_EU_Youth_Reports\2018\03_graph\1_F_crude_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cea-fs03-p\EACEA.A7\Youth\04_Reports\a_EU_Youth_Reports\2018\03_graph\1_F_crude_rates.jpg"/>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2990850" cy="1866900"/>
                          </a:xfrm>
                          <a:prstGeom prst="rect">
                            <a:avLst/>
                          </a:prstGeom>
                          <a:noFill/>
                          <a:ln>
                            <a:noFill/>
                          </a:ln>
                        </pic:spPr>
                      </pic:pic>
                    </a:graphicData>
                  </a:graphic>
                </wp:inline>
              </w:drawing>
            </w:r>
          </w:p>
        </w:tc>
        <w:tc>
          <w:tcPr>
            <w:tcW w:w="5245" w:type="dxa"/>
            <w:gridSpan w:val="2"/>
          </w:tcPr>
          <w:p>
            <w:pPr>
              <w:pStyle w:val="Yo5TextNotes"/>
              <w:tabs>
                <w:tab w:val="clear" w:pos="1985"/>
                <w:tab w:val="right" w:pos="4253"/>
              </w:tabs>
              <w:rPr>
                <w:noProof/>
                <w:lang w:val="en-GB"/>
              </w:rPr>
            </w:pPr>
          </w:p>
        </w:tc>
      </w:tr>
      <w:tr>
        <w:trPr>
          <w:trHeight w:val="136"/>
        </w:trPr>
        <w:tc>
          <w:tcPr>
            <w:tcW w:w="4644" w:type="dxa"/>
            <w:vMerge/>
            <w:shd w:val="clear" w:color="auto" w:fill="auto"/>
          </w:tcPr>
          <w:p>
            <w:pPr>
              <w:pStyle w:val="Yo5TextNotes"/>
              <w:tabs>
                <w:tab w:val="right" w:pos="4253"/>
              </w:tabs>
              <w:jc w:val="center"/>
              <w:rPr>
                <w:noProof/>
                <w:lang w:val="en-GB"/>
              </w:rPr>
            </w:pPr>
          </w:p>
        </w:tc>
        <w:tc>
          <w:tcPr>
            <w:tcW w:w="5245" w:type="dxa"/>
            <w:gridSpan w:val="2"/>
          </w:tcPr>
          <w:p>
            <w:pPr>
              <w:pStyle w:val="Yo5TextNotes"/>
              <w:tabs>
                <w:tab w:val="clear" w:pos="1985"/>
                <w:tab w:val="right" w:pos="4253"/>
              </w:tabs>
              <w:rPr>
                <w:noProof/>
                <w:lang w:val="en-GB"/>
              </w:rPr>
            </w:pPr>
          </w:p>
        </w:tc>
      </w:tr>
      <w:tr>
        <w:trPr>
          <w:trHeight w:val="297"/>
        </w:trPr>
        <w:tc>
          <w:tcPr>
            <w:tcW w:w="4644" w:type="dxa"/>
            <w:vMerge/>
            <w:shd w:val="clear" w:color="auto" w:fill="auto"/>
          </w:tcPr>
          <w:p>
            <w:pPr>
              <w:pStyle w:val="Yo5TextNotes"/>
              <w:tabs>
                <w:tab w:val="clear" w:pos="1985"/>
                <w:tab w:val="right" w:pos="4253"/>
              </w:tabs>
              <w:jc w:val="center"/>
              <w:rPr>
                <w:noProof/>
                <w:lang w:val="en-GB"/>
              </w:rPr>
            </w:pPr>
          </w:p>
        </w:tc>
        <w:tc>
          <w:tcPr>
            <w:tcW w:w="851" w:type="dxa"/>
          </w:tcPr>
          <w:p>
            <w:pPr>
              <w:pStyle w:val="Yo5TextNotesbeforeafter"/>
              <w:rPr>
                <w:noProof/>
                <w:lang w:val="en-GB"/>
              </w:rPr>
            </w:pPr>
            <w:r>
              <w:rPr>
                <w:noProof/>
                <w:color w:val="C1053D"/>
                <w:sz w:val="28"/>
                <w:szCs w:val="28"/>
                <w:lang w:val="en-GB"/>
              </w:rPr>
              <w:sym w:font="Wingdings 2" w:char="F0BF"/>
            </w:r>
          </w:p>
        </w:tc>
        <w:tc>
          <w:tcPr>
            <w:tcW w:w="4394" w:type="dxa"/>
          </w:tcPr>
          <w:p>
            <w:pPr>
              <w:pStyle w:val="Yo5TextNotesbeforeafter"/>
              <w:rPr>
                <w:noProof/>
                <w:lang w:val="en-GB"/>
              </w:rPr>
            </w:pPr>
            <w:r>
              <w:rPr>
                <w:rFonts w:ascii="Arial Narrow" w:hAnsi="Arial Narrow"/>
                <w:noProof/>
                <w:sz w:val="16"/>
                <w:lang w:val="en-GB"/>
              </w:rPr>
              <w:t>Crude rate of total population change</w:t>
            </w:r>
          </w:p>
        </w:tc>
      </w:tr>
      <w:tr>
        <w:trPr>
          <w:trHeight w:val="296"/>
        </w:trPr>
        <w:tc>
          <w:tcPr>
            <w:tcW w:w="4644" w:type="dxa"/>
            <w:vMerge/>
            <w:shd w:val="clear" w:color="auto" w:fill="auto"/>
          </w:tcPr>
          <w:p>
            <w:pPr>
              <w:pStyle w:val="Yo5TextNotes"/>
              <w:tabs>
                <w:tab w:val="clear" w:pos="1985"/>
                <w:tab w:val="right" w:pos="4253"/>
              </w:tabs>
              <w:jc w:val="center"/>
              <w:rPr>
                <w:noProof/>
                <w:lang w:val="en-GB"/>
              </w:rPr>
            </w:pPr>
          </w:p>
        </w:tc>
        <w:tc>
          <w:tcPr>
            <w:tcW w:w="851" w:type="dxa"/>
          </w:tcPr>
          <w:p>
            <w:pPr>
              <w:pStyle w:val="Yo5TextNotesbeforeafter"/>
              <w:rPr>
                <w:noProof/>
                <w:lang w:val="en-GB"/>
              </w:rPr>
            </w:pPr>
            <w:r>
              <w:rPr>
                <w:rFonts w:ascii="Arial" w:hAnsi="Arial"/>
                <w:noProof/>
                <w:snapToGrid/>
                <w:sz w:val="16"/>
                <w:lang w:val="en-US"/>
              </w:rPr>
              <w:drawing>
                <wp:inline distT="0" distB="0" distL="0" distR="0">
                  <wp:extent cx="114300" cy="1143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4394" w:type="dxa"/>
          </w:tcPr>
          <w:p>
            <w:pPr>
              <w:pStyle w:val="Yo5TextNotesbeforeafter"/>
              <w:rPr>
                <w:noProof/>
                <w:lang w:val="en-GB"/>
              </w:rPr>
            </w:pPr>
            <w:r>
              <w:rPr>
                <w:rFonts w:ascii="Arial Narrow" w:hAnsi="Arial Narrow"/>
                <w:noProof/>
                <w:sz w:val="16"/>
                <w:lang w:val="en-GB"/>
              </w:rPr>
              <w:t>Crude rate of net migration plus statistical adjustment</w:t>
            </w:r>
          </w:p>
        </w:tc>
      </w:tr>
      <w:tr>
        <w:trPr>
          <w:trHeight w:val="296"/>
        </w:trPr>
        <w:tc>
          <w:tcPr>
            <w:tcW w:w="4644" w:type="dxa"/>
            <w:vMerge/>
            <w:shd w:val="clear" w:color="auto" w:fill="auto"/>
          </w:tcPr>
          <w:p>
            <w:pPr>
              <w:pStyle w:val="Yo5TextNotes"/>
              <w:tabs>
                <w:tab w:val="clear" w:pos="1985"/>
                <w:tab w:val="right" w:pos="4253"/>
              </w:tabs>
              <w:jc w:val="center"/>
              <w:rPr>
                <w:noProof/>
                <w:lang w:val="en-GB"/>
              </w:rPr>
            </w:pPr>
          </w:p>
        </w:tc>
        <w:tc>
          <w:tcPr>
            <w:tcW w:w="851" w:type="dxa"/>
          </w:tcPr>
          <w:p>
            <w:pPr>
              <w:pStyle w:val="Yo5TextNotesbeforeafter"/>
              <w:rPr>
                <w:noProof/>
                <w:lang w:val="en-GB"/>
              </w:rPr>
            </w:pPr>
            <w:r>
              <w:rPr>
                <w:noProof/>
                <w:color w:val="5F0312"/>
                <w:sz w:val="24"/>
                <w:szCs w:val="32"/>
                <w:lang w:val="en-GB"/>
              </w:rPr>
              <w:sym w:font="Wingdings 2" w:char="F098"/>
            </w:r>
          </w:p>
        </w:tc>
        <w:tc>
          <w:tcPr>
            <w:tcW w:w="4394" w:type="dxa"/>
          </w:tcPr>
          <w:p>
            <w:pPr>
              <w:pStyle w:val="Yo5TextNotesbeforeafter"/>
              <w:rPr>
                <w:noProof/>
                <w:lang w:val="en-GB"/>
              </w:rPr>
            </w:pPr>
            <w:r>
              <w:rPr>
                <w:rFonts w:ascii="Arial Narrow" w:hAnsi="Arial Narrow"/>
                <w:noProof/>
                <w:sz w:val="16"/>
                <w:lang w:val="en-GB"/>
              </w:rPr>
              <w:t>Crude rate of natural change in population</w:t>
            </w:r>
          </w:p>
        </w:tc>
      </w:tr>
      <w:tr>
        <w:trPr>
          <w:trHeight w:val="568"/>
        </w:trPr>
        <w:tc>
          <w:tcPr>
            <w:tcW w:w="4644" w:type="dxa"/>
            <w:vMerge/>
            <w:shd w:val="clear" w:color="auto" w:fill="auto"/>
            <w:vAlign w:val="center"/>
          </w:tcPr>
          <w:p>
            <w:pPr>
              <w:pStyle w:val="Yo5TextNotes"/>
              <w:tabs>
                <w:tab w:val="clear" w:pos="1985"/>
                <w:tab w:val="right" w:pos="4253"/>
              </w:tabs>
              <w:jc w:val="left"/>
              <w:rPr>
                <w:noProof/>
                <w:lang w:val="en-GB"/>
              </w:rPr>
            </w:pPr>
          </w:p>
        </w:tc>
        <w:tc>
          <w:tcPr>
            <w:tcW w:w="5245" w:type="dxa"/>
            <w:gridSpan w:val="2"/>
            <w:vAlign w:val="bottom"/>
          </w:tcPr>
          <w:p>
            <w:pPr>
              <w:pStyle w:val="Yo5TextNotesbeforeafter"/>
              <w:spacing w:before="0"/>
              <w:jc w:val="left"/>
              <w:rPr>
                <w:i/>
                <w:noProof/>
                <w:lang w:val="en-GB" w:eastAsia="en-GB"/>
              </w:rPr>
            </w:pPr>
            <w:r>
              <w:rPr>
                <w:i/>
                <w:noProof/>
                <w:lang w:val="en-GB" w:eastAsia="en-GB"/>
              </w:rPr>
              <w:t>Notes</w:t>
            </w:r>
            <w:r>
              <w:rPr>
                <w:noProof/>
                <w:lang w:val="en-GB" w:eastAsia="en-GB"/>
              </w:rPr>
              <w:t>: A crude rate is calculated as the ratio of the number of events to the average population of the respective area in a given year.</w:t>
            </w:r>
            <w:r>
              <w:rPr>
                <w:noProof/>
                <w:lang w:val="en-GB"/>
              </w:rPr>
              <w:t xml:space="preserve"> </w:t>
            </w:r>
            <w:r>
              <w:rPr>
                <w:noProof/>
                <w:lang w:val="en-GB" w:eastAsia="en-GB"/>
              </w:rPr>
              <w:t>The natural change in population corresponds to the difference between the number of live births and the number of deaths during the year.</w:t>
            </w:r>
            <w:r>
              <w:rPr>
                <w:noProof/>
                <w:lang w:val="en-GB"/>
              </w:rPr>
              <w:t xml:space="preserve"> </w:t>
            </w:r>
            <w:r>
              <w:rPr>
                <w:noProof/>
                <w:lang w:val="en-GB" w:eastAsia="en-GB"/>
              </w:rPr>
              <w:t>Net migration plus statistical adjustment is calculated as the difference between total population change and natural change.</w:t>
            </w:r>
            <w:r>
              <w:rPr>
                <w:i/>
                <w:noProof/>
                <w:lang w:val="en-GB" w:eastAsia="en-GB"/>
              </w:rPr>
              <w:t xml:space="preserve"> </w:t>
            </w:r>
          </w:p>
          <w:p>
            <w:pPr>
              <w:pStyle w:val="Yo5TextNotesbeforeafter"/>
              <w:spacing w:before="0"/>
              <w:jc w:val="left"/>
              <w:rPr>
                <w:i/>
                <w:noProof/>
                <w:lang w:val="en-GB" w:eastAsia="en-GB"/>
              </w:rPr>
            </w:pPr>
            <w:r>
              <w:rPr>
                <w:i/>
                <w:noProof/>
                <w:lang w:eastAsia="en-GB"/>
              </w:rPr>
              <w:t xml:space="preserve">Source: </w:t>
            </w:r>
            <w:r>
              <w:rPr>
                <w:noProof/>
                <w:lang w:eastAsia="en-GB"/>
              </w:rPr>
              <w:t>Eurostat [demo_gind].</w:t>
            </w:r>
          </w:p>
        </w:tc>
      </w:tr>
    </w:tbl>
    <w:p>
      <w:pPr>
        <w:pStyle w:val="Yo1Textpara"/>
        <w:rPr>
          <w:noProof/>
        </w:rPr>
      </w:pPr>
      <w:r>
        <w:rPr>
          <w:noProof/>
        </w:rPr>
        <w:t xml:space="preserve">Data illustrated on the chart show how the crude rate of total population change rose owing to the growth in the crude rate of net migration plus adjustment, especially since 2012. </w:t>
      </w:r>
    </w:p>
    <w:tbl>
      <w:tblPr>
        <w:tblpPr w:leftFromText="181" w:rightFromText="113" w:vertAnchor="text" w:horzAnchor="margin" w:tblpY="194"/>
        <w:tblOverlap w:val="never"/>
        <w:tblW w:w="2221" w:type="pct"/>
        <w:tblLayout w:type="fixed"/>
        <w:tblLook w:val="04A0" w:firstRow="1" w:lastRow="0" w:firstColumn="1" w:lastColumn="0" w:noHBand="0" w:noVBand="1"/>
      </w:tblPr>
      <w:tblGrid>
        <w:gridCol w:w="4503"/>
      </w:tblGrid>
      <w:tr>
        <w:trPr>
          <w:trHeight w:val="712"/>
        </w:trPr>
        <w:tc>
          <w:tcPr>
            <w:tcW w:w="5000" w:type="pct"/>
            <w:shd w:val="clear" w:color="auto" w:fill="auto"/>
          </w:tcPr>
          <w:p>
            <w:pPr>
              <w:pStyle w:val="Yo1Textpara"/>
              <w:rPr>
                <w:noProof/>
              </w:rPr>
            </w:pPr>
            <w:r>
              <w:rPr>
                <w:rFonts w:ascii="Verdana" w:eastAsia="Cambria" w:hAnsi="Verdana" w:cs="Calibri"/>
                <w:b/>
                <w:bCs/>
                <w:noProof/>
                <w:color w:val="7F7F7F"/>
                <w:w w:val="80"/>
                <w:szCs w:val="22"/>
                <w:lang w:eastAsia="en-US"/>
              </w:rPr>
              <w:t>Figure 1-G:</w:t>
            </w:r>
            <w:r>
              <w:rPr>
                <w:rFonts w:ascii="Verdana" w:eastAsia="Cambria" w:hAnsi="Verdana" w:cs="Calibri"/>
                <w:bCs/>
                <w:noProof/>
                <w:color w:val="7F7F7F"/>
                <w:w w:val="80"/>
                <w:szCs w:val="22"/>
                <w:lang w:eastAsia="en-US"/>
              </w:rPr>
              <w:t xml:space="preserve"> Proportion and number of young people (aged 15-29) born in a country outside the EU, by EU Member State, 2016</w:t>
            </w:r>
          </w:p>
        </w:tc>
      </w:tr>
      <w:tr>
        <w:tc>
          <w:tcPr>
            <w:tcW w:w="5000" w:type="pct"/>
            <w:shd w:val="clear" w:color="auto" w:fill="auto"/>
          </w:tcPr>
          <w:p>
            <w:pPr>
              <w:pStyle w:val="Yo1Textpara"/>
              <w:spacing w:before="0"/>
              <w:jc w:val="center"/>
              <w:rPr>
                <w:noProof/>
              </w:rPr>
            </w:pPr>
            <w:r>
              <w:rPr>
                <w:noProof/>
              </w:rPr>
              <w:fldChar w:fldCharType="begin"/>
            </w:r>
            <w:r>
              <w:rPr>
                <w:noProof/>
              </w:rPr>
              <w:instrText xml:space="preserve"> INCLUDEPICTURE  "U:\\B3\\Data from Old C1\\EU YOUTH REPORT\\EU Youth Report 2018\\Revised version between cabinets - 25.04\\03_graph\\1_G_non_EU.jpg" \* MERGEFORMATINET </w:instrText>
            </w:r>
            <w:r>
              <w:rPr>
                <w:noProof/>
              </w:rPr>
              <w:fldChar w:fldCharType="separate"/>
            </w:r>
            <w:r>
              <w:rPr>
                <w:noProof/>
              </w:rPr>
              <w:fldChar w:fldCharType="begin"/>
            </w:r>
            <w:r>
              <w:rPr>
                <w:noProof/>
              </w:rPr>
              <w:instrText xml:space="preserve"> INCLUDEPICTURE  "C:\\Users\\paredcr\\AppData\\Local\\Temp\\03_graph\\1_G_non_EU.jpg" \* MERGEFORMATINET </w:instrText>
            </w:r>
            <w:r>
              <w:rPr>
                <w:noProof/>
              </w:rPr>
              <w:fldChar w:fldCharType="separate"/>
            </w:r>
            <w:r>
              <w:rPr>
                <w:noProof/>
              </w:rPr>
              <w:fldChar w:fldCharType="begin"/>
            </w:r>
            <w:r>
              <w:rPr>
                <w:noProof/>
              </w:rPr>
              <w:instrText xml:space="preserve"> INCLUDEPICTURE  "C:\\Users\\paredcr\\AppData\\Local\\Temp\\03_graph\\1_G_non_EU.jpg" \* MERGEFORMATINET </w:instrText>
            </w:r>
            <w:r>
              <w:rPr>
                <w:noProof/>
              </w:rPr>
              <w:fldChar w:fldCharType="separate"/>
            </w:r>
            <w:r>
              <w:rPr>
                <w:noProof/>
              </w:rPr>
              <w:fldChar w:fldCharType="begin"/>
            </w:r>
            <w:r>
              <w:rPr>
                <w:noProof/>
              </w:rPr>
              <w:instrText xml:space="preserve"> INCLUDEPICTURE  "C:\\Users\\paredcr\\AppData\\Local\\Temp\\03_graph\\1_G_non_EU.jpg" \* MERGEFORMATINET </w:instrText>
            </w:r>
            <w:r>
              <w:rPr>
                <w:noProof/>
              </w:rPr>
              <w:fldChar w:fldCharType="separate"/>
            </w:r>
            <w:r>
              <w:rPr>
                <w:noProof/>
              </w:rPr>
              <w:fldChar w:fldCharType="begin"/>
            </w:r>
            <w:r>
              <w:rPr>
                <w:noProof/>
              </w:rPr>
              <w:instrText xml:space="preserve"> INCLUDEPICTURE  "C:\\Users\\paredcr\\AppData\\Local\\Temp\\03_graph\\1_G_non_EU.jpg" \* MERGEFORMATINET </w:instrText>
            </w:r>
            <w:r>
              <w:rPr>
                <w:noProof/>
              </w:rPr>
              <w:fldChar w:fldCharType="separate"/>
            </w:r>
            <w:r>
              <w:rPr>
                <w:noProof/>
              </w:rPr>
              <w:pict>
                <v:shape id="_x0000_i1027" type="#_x0000_t75" style="width:186.7pt;height:266.3pt">
                  <v:imagedata r:id="rId56" r:href="rId57" cropbottom="13522f" cropleft="27578f" cropright="2326f"/>
                </v:shape>
              </w:pict>
            </w:r>
            <w:r>
              <w:rPr>
                <w:noProof/>
              </w:rPr>
              <w:fldChar w:fldCharType="end"/>
            </w:r>
            <w:r>
              <w:rPr>
                <w:noProof/>
              </w:rPr>
              <w:fldChar w:fldCharType="end"/>
            </w:r>
            <w:r>
              <w:rPr>
                <w:noProof/>
              </w:rPr>
              <w:fldChar w:fldCharType="end"/>
            </w:r>
            <w:r>
              <w:rPr>
                <w:noProof/>
              </w:rPr>
              <w:fldChar w:fldCharType="end"/>
            </w:r>
            <w:r>
              <w:rPr>
                <w:noProof/>
              </w:rPr>
              <w:fldChar w:fldCharType="end"/>
            </w:r>
          </w:p>
        </w:tc>
      </w:tr>
      <w:tr>
        <w:trPr>
          <w:trHeight w:val="288"/>
        </w:trPr>
        <w:tc>
          <w:tcPr>
            <w:tcW w:w="5000" w:type="pct"/>
            <w:shd w:val="clear" w:color="auto" w:fill="auto"/>
          </w:tcPr>
          <w:p>
            <w:pPr>
              <w:pStyle w:val="Yo5TextNotesbeforeafter"/>
              <w:rPr>
                <w:noProof/>
                <w:lang w:val="en-GB"/>
              </w:rPr>
            </w:pPr>
            <w:r>
              <w:rPr>
                <w:i/>
                <w:noProof/>
                <w:lang w:val="en-GB" w:eastAsia="en-GB"/>
              </w:rPr>
              <w:t>Notes</w:t>
            </w:r>
            <w:r>
              <w:rPr>
                <w:noProof/>
                <w:lang w:val="en-GB" w:eastAsia="en-GB"/>
              </w:rPr>
              <w:t>:</w:t>
            </w:r>
            <w:r>
              <w:rPr>
                <w:noProof/>
                <w:lang w:val="en-GB"/>
              </w:rPr>
              <w:t xml:space="preserve"> Ireland: break in series in 2016; France and Poland: provisional data; Germany: derogation to participation in data collection applies. </w:t>
            </w:r>
          </w:p>
          <w:p>
            <w:pPr>
              <w:pStyle w:val="Yo5TextNotesbeforeafter"/>
              <w:rPr>
                <w:noProof/>
                <w:lang w:val="en-GB"/>
              </w:rPr>
            </w:pPr>
            <w:r>
              <w:rPr>
                <w:noProof/>
                <w:lang w:val="en-GB"/>
              </w:rPr>
              <w:t xml:space="preserve">As data pertain to young people born outside of the European Union, EFTA countries (IS, LI and NO) and EU candidates (AL, FY, ME, RS and TR) are not included. </w:t>
            </w:r>
          </w:p>
          <w:p>
            <w:pPr>
              <w:pStyle w:val="Yo5TextNotesbeforeafter"/>
              <w:rPr>
                <w:i/>
                <w:noProof/>
                <w:lang w:val="en-GB" w:eastAsia="en-GB"/>
              </w:rPr>
            </w:pPr>
            <w:r>
              <w:rPr>
                <w:i/>
                <w:noProof/>
                <w:lang w:val="en-GB" w:eastAsia="en-GB"/>
              </w:rPr>
              <w:t>Source</w:t>
            </w:r>
            <w:r>
              <w:rPr>
                <w:noProof/>
                <w:lang w:val="en-GB" w:eastAsia="en-GB"/>
              </w:rPr>
              <w:t>: Eurostat [migr_pop3ctb].</w:t>
            </w:r>
          </w:p>
        </w:tc>
      </w:tr>
    </w:tbl>
    <w:p>
      <w:pPr>
        <w:pStyle w:val="Yo1Textpara"/>
        <w:rPr>
          <w:noProof/>
        </w:rPr>
      </w:pPr>
      <w:r>
        <w:rPr>
          <w:noProof/>
        </w:rPr>
        <w:t>In addition, immigrants into EU Member States are, on average, much younger than the total population already resident in their country of destination: on 1 January 2016, the median age of the total population of the EU-28 was 42.6 years while the median age of immigrants to EU-28 was 27.5 years (</w:t>
      </w:r>
      <w:r>
        <w:rPr>
          <w:rStyle w:val="FootnoteReference"/>
          <w:noProof/>
        </w:rPr>
        <w:footnoteReference w:id="15"/>
      </w:r>
      <w:r>
        <w:rPr>
          <w:noProof/>
        </w:rPr>
        <w:t>). Although the contribution of immigration from non-EU countries has not been enough to reverse the general decline in the youth population living in the EU – as illustrated in the first part of the chapter – it has nonetheless made it less sharp. Immigration has impacted on countries' youth populations at varying degrees as illustrated by the proportion of young people born outside the EU and living in EU Member States (Figure 1-G).</w:t>
      </w:r>
    </w:p>
    <w:p>
      <w:pPr>
        <w:pStyle w:val="Yo1Textpara"/>
        <w:rPr>
          <w:noProof/>
        </w:rPr>
      </w:pPr>
      <w:r>
        <w:rPr>
          <w:noProof/>
        </w:rPr>
        <w:t>The highest numbers of young people born outside the EU are found in Spain, France, Italy and the United Kingdom. This is in line with statistics identifying these countries (together with Germany, for which data are not available) as among those hosting the largest numbers of international migrants from across the world (</w:t>
      </w:r>
      <w:r>
        <w:rPr>
          <w:rStyle w:val="FootnoteReference"/>
          <w:noProof/>
        </w:rPr>
        <w:footnoteReference w:id="16"/>
      </w:r>
      <w:r>
        <w:rPr>
          <w:noProof/>
        </w:rPr>
        <w:t>). Relative to the size of the resident youth population, Belgium, Spain, Cyprus, Luxembourg, Austria and Sweden present the highest figures, reporting percentages equal to or higher than10 %.</w:t>
      </w:r>
    </w:p>
    <w:p>
      <w:pPr>
        <w:pStyle w:val="Yo1Textpara"/>
        <w:rPr>
          <w:noProof/>
        </w:rPr>
      </w:pPr>
      <w:r>
        <w:rPr>
          <w:noProof/>
        </w:rPr>
        <w:br w:type="page"/>
        <w:t>International migration also increases the diversity of the youth population in Europe. In the EU in 2014, second-generation young immigrants (young people between 15 and 29 years of age born in an EU Member State with at least one parent from a country outside the EU) were about 2.5 million (</w:t>
      </w:r>
      <w:r>
        <w:rPr>
          <w:rStyle w:val="FootnoteReference"/>
          <w:noProof/>
        </w:rPr>
        <w:footnoteReference w:id="17"/>
      </w:r>
      <w:r>
        <w:rPr>
          <w:noProof/>
        </w:rPr>
        <w:t xml:space="preserve">). </w:t>
      </w:r>
    </w:p>
    <w:tbl>
      <w:tblPr>
        <w:tblpPr w:leftFromText="181" w:rightFromText="181" w:vertAnchor="page" w:horzAnchor="margin" w:tblpY="2836"/>
        <w:tblOverlap w:val="never"/>
        <w:tblW w:w="0" w:type="auto"/>
        <w:tblLayout w:type="fixed"/>
        <w:tblLook w:val="04A0" w:firstRow="1" w:lastRow="0" w:firstColumn="1" w:lastColumn="0" w:noHBand="0" w:noVBand="1"/>
      </w:tblPr>
      <w:tblGrid>
        <w:gridCol w:w="3085"/>
        <w:gridCol w:w="3402"/>
      </w:tblGrid>
      <w:tr>
        <w:trPr>
          <w:trHeight w:val="323"/>
        </w:trPr>
        <w:tc>
          <w:tcPr>
            <w:tcW w:w="6487" w:type="dxa"/>
            <w:gridSpan w:val="2"/>
            <w:shd w:val="clear" w:color="auto" w:fill="auto"/>
            <w:vAlign w:val="center"/>
          </w:tcPr>
          <w:p>
            <w:pPr>
              <w:pStyle w:val="Yo5TitleFigure"/>
              <w:jc w:val="both"/>
              <w:rPr>
                <w:rFonts w:ascii="Calibri" w:hAnsi="Calibri"/>
                <w:b/>
                <w:sz w:val="20"/>
              </w:rPr>
            </w:pPr>
            <w:r>
              <w:rPr>
                <w:b/>
              </w:rPr>
              <w:t xml:space="preserve">Figure 1-H: </w:t>
            </w:r>
            <w:r>
              <w:t>Proportion of young people (aged 15-29) moving in/ from a European country, by country, 2015</w:t>
            </w:r>
          </w:p>
        </w:tc>
      </w:tr>
      <w:tr>
        <w:trPr>
          <w:trHeight w:val="323"/>
        </w:trPr>
        <w:tc>
          <w:tcPr>
            <w:tcW w:w="3085" w:type="dxa"/>
            <w:shd w:val="clear" w:color="auto" w:fill="auto"/>
            <w:vAlign w:val="center"/>
          </w:tcPr>
          <w:p>
            <w:pPr>
              <w:spacing w:after="0" w:line="240" w:lineRule="auto"/>
              <w:ind w:right="424"/>
              <w:jc w:val="center"/>
              <w:rPr>
                <w:b/>
                <w:noProof/>
                <w:sz w:val="20"/>
              </w:rPr>
            </w:pPr>
            <w:r>
              <w:rPr>
                <w:b/>
                <w:noProof/>
                <w:sz w:val="20"/>
              </w:rPr>
              <w:t>Incoming</w:t>
            </w:r>
          </w:p>
        </w:tc>
        <w:tc>
          <w:tcPr>
            <w:tcW w:w="3402" w:type="dxa"/>
            <w:shd w:val="clear" w:color="auto" w:fill="auto"/>
            <w:vAlign w:val="center"/>
          </w:tcPr>
          <w:p>
            <w:pPr>
              <w:pStyle w:val="Yo5TextNotesbeforeafter"/>
              <w:jc w:val="center"/>
              <w:rPr>
                <w:rFonts w:ascii="Calibri" w:hAnsi="Calibri"/>
                <w:i/>
                <w:noProof/>
                <w:sz w:val="20"/>
                <w:lang w:val="en-GB" w:eastAsia="en-GB"/>
              </w:rPr>
            </w:pPr>
            <w:r>
              <w:rPr>
                <w:rFonts w:ascii="Calibri" w:hAnsi="Calibri"/>
                <w:b/>
                <w:noProof/>
                <w:sz w:val="20"/>
                <w:lang w:val="en-GB"/>
              </w:rPr>
              <w:t>Outgoing</w:t>
            </w:r>
          </w:p>
        </w:tc>
      </w:tr>
      <w:tr>
        <w:tc>
          <w:tcPr>
            <w:tcW w:w="6487" w:type="dxa"/>
            <w:gridSpan w:val="2"/>
            <w:shd w:val="clear" w:color="auto" w:fill="auto"/>
          </w:tcPr>
          <w:tbl>
            <w:tblPr>
              <w:tblW w:w="0" w:type="auto"/>
              <w:tblLayout w:type="fixed"/>
              <w:tblLook w:val="04A0" w:firstRow="1" w:lastRow="0" w:firstColumn="1" w:lastColumn="0" w:noHBand="0" w:noVBand="1"/>
            </w:tblPr>
            <w:tblGrid>
              <w:gridCol w:w="6256"/>
            </w:tblGrid>
            <w:tr>
              <w:tc>
                <w:tcPr>
                  <w:tcW w:w="6256" w:type="dxa"/>
                  <w:shd w:val="clear" w:color="auto" w:fill="auto"/>
                </w:tcPr>
                <w:p>
                  <w:pPr>
                    <w:framePr w:hSpace="181" w:wrap="around" w:vAnchor="page" w:hAnchor="margin" w:y="2836"/>
                    <w:spacing w:after="0"/>
                    <w:ind w:right="424"/>
                    <w:suppressOverlap/>
                    <w:jc w:val="both"/>
                    <w:rPr>
                      <w:b/>
                      <w:noProof/>
                    </w:rPr>
                  </w:pPr>
                  <w:r>
                    <w:rPr>
                      <w:b/>
                      <w:noProof/>
                      <w:lang w:val="en-US"/>
                    </w:rPr>
                    <w:drawing>
                      <wp:inline distT="0" distB="0" distL="0" distR="0">
                        <wp:extent cx="3829050" cy="4991100"/>
                        <wp:effectExtent l="0" t="0" r="0" b="0"/>
                        <wp:docPr id="23" name="Picture 23" descr="\\s-eacea-fs03-p\EACEA.A7\Youth\04_Reports\a_EU_Youth_Reports\2018\03_graph\1_H_EU_mo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acea-fs03-p\EACEA.A7\Youth\04_Reports\a_EU_Youth_Reports\2018\03_graph\1_H_EU_mobility.jpg"/>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3829050" cy="4991100"/>
                                </a:xfrm>
                                <a:prstGeom prst="rect">
                                  <a:avLst/>
                                </a:prstGeom>
                                <a:noFill/>
                                <a:ln>
                                  <a:noFill/>
                                </a:ln>
                              </pic:spPr>
                            </pic:pic>
                          </a:graphicData>
                        </a:graphic>
                      </wp:inline>
                    </w:drawing>
                  </w:r>
                </w:p>
              </w:tc>
            </w:tr>
            <w:tr>
              <w:tc>
                <w:tcPr>
                  <w:tcW w:w="6256" w:type="dxa"/>
                  <w:shd w:val="clear" w:color="auto" w:fill="auto"/>
                </w:tcPr>
                <w:p>
                  <w:pPr>
                    <w:pStyle w:val="Yo5TextNotesbeforeafter"/>
                    <w:framePr w:hSpace="181" w:wrap="around" w:vAnchor="page" w:hAnchor="margin" w:y="2836"/>
                    <w:suppressOverlap/>
                    <w:rPr>
                      <w:i/>
                      <w:noProof/>
                      <w:lang w:val="en-GB" w:eastAsia="en-GB"/>
                    </w:rPr>
                  </w:pPr>
                  <w:r>
                    <w:rPr>
                      <w:i/>
                      <w:noProof/>
                      <w:lang w:val="en-GB" w:eastAsia="en-GB"/>
                    </w:rPr>
                    <w:t>Source</w:t>
                  </w:r>
                  <w:r>
                    <w:rPr>
                      <w:noProof/>
                      <w:lang w:val="en-GB" w:eastAsia="en-GB"/>
                    </w:rPr>
                    <w:t>: Eurostat [yth_demo_070] and [yth_demo_080].</w:t>
                  </w:r>
                </w:p>
                <w:p>
                  <w:pPr>
                    <w:pStyle w:val="Yo5TextNotesbeforeafter"/>
                    <w:framePr w:hSpace="181" w:wrap="around" w:vAnchor="page" w:hAnchor="margin" w:y="2836"/>
                    <w:suppressOverlap/>
                    <w:rPr>
                      <w:noProof/>
                      <w:lang w:val="en-GB" w:eastAsia="en-GB"/>
                    </w:rPr>
                  </w:pPr>
                  <w:r>
                    <w:rPr>
                      <w:i/>
                      <w:noProof/>
                      <w:lang w:val="en-GB" w:eastAsia="en-GB"/>
                    </w:rPr>
                    <w:t>Notes</w:t>
                  </w:r>
                  <w:r>
                    <w:rPr>
                      <w:noProof/>
                      <w:lang w:val="en-GB" w:eastAsia="en-GB"/>
                    </w:rPr>
                    <w:t>: According to the definitions provided by Eurostat, 'Immigration' denotes the action by which a person establishes his or her usual residence in the territory of a Member State for a period that is, or is expected to be, of at least 12 months, having previously been usually resident in another Member State or a third country. ‘Emigration’ denotes the action by which a person, having previously been usually resident in the territory of a Member State, ceases to have his or her usual residence in that Member State for a period that is, or is expected to be, of at least 12 months.</w:t>
                  </w:r>
                </w:p>
                <w:p>
                  <w:pPr>
                    <w:framePr w:hSpace="181" w:wrap="around" w:vAnchor="page" w:hAnchor="margin" w:y="2836"/>
                    <w:spacing w:after="0"/>
                    <w:suppressOverlap/>
                    <w:jc w:val="both"/>
                    <w:rPr>
                      <w:b/>
                      <w:noProof/>
                    </w:rPr>
                  </w:pPr>
                  <w:r>
                    <w:rPr>
                      <w:rFonts w:ascii="Verdana" w:eastAsia="Times New Roman" w:hAnsi="Verdana" w:cs="Arial"/>
                      <w:noProof/>
                      <w:snapToGrid w:val="0"/>
                      <w:sz w:val="14"/>
                      <w:szCs w:val="16"/>
                      <w:lang w:eastAsia="en-GB"/>
                    </w:rPr>
                    <w:t>Percentages refer to the proportion of the population reaching the age of 15 and not surpassing the age of 29 during the reference year.</w:t>
                  </w:r>
                </w:p>
              </w:tc>
            </w:tr>
          </w:tbl>
          <w:p>
            <w:pPr>
              <w:spacing w:after="0"/>
              <w:ind w:right="424"/>
              <w:jc w:val="both"/>
              <w:rPr>
                <w:b/>
                <w:noProof/>
              </w:rPr>
            </w:pPr>
          </w:p>
        </w:tc>
      </w:tr>
      <w:tr>
        <w:tc>
          <w:tcPr>
            <w:tcW w:w="6487" w:type="dxa"/>
            <w:gridSpan w:val="2"/>
            <w:shd w:val="clear" w:color="auto" w:fill="auto"/>
          </w:tcPr>
          <w:p>
            <w:pPr>
              <w:pStyle w:val="Yo5TextNotesbeforeafter"/>
              <w:rPr>
                <w:noProof/>
                <w:szCs w:val="22"/>
                <w:lang w:val="en-GB" w:eastAsia="en-GB"/>
              </w:rPr>
            </w:pPr>
          </w:p>
        </w:tc>
      </w:tr>
    </w:tbl>
    <w:p>
      <w:pPr>
        <w:pStyle w:val="Yo1Textpara"/>
        <w:rPr>
          <w:noProof/>
        </w:rPr>
      </w:pPr>
      <w:r>
        <w:rPr>
          <w:noProof/>
        </w:rPr>
        <w:t>In addition to international flows, intra-EU migration is an important dimension of youth demography. Thanks to the increasing opportunities for EU citizens to travel and set up residence across EU Member States, young Europeans have become increasingly mobile and likely to work or study in another European country (</w:t>
      </w:r>
      <w:r>
        <w:rPr>
          <w:rStyle w:val="FootnoteReference"/>
          <w:noProof/>
        </w:rPr>
        <w:footnoteReference w:id="18"/>
      </w:r>
      <w:r>
        <w:rPr>
          <w:noProof/>
        </w:rPr>
        <w:t xml:space="preserve">). Crossing geographical and cultural borders and gaining life and work experience in a different context is a great opportunity for a young person to acquire personal skills, learn new languages and appreciate the diversity of European culture. Comparing data by country on incoming and outgoing mobility allows for the identification of the 'net providers' and 'net receivers' of the young people moving across Europe; it also enables the mapping of the main trajectories of intra-EU youth mobility (Figure 1-H). </w:t>
      </w:r>
      <w:r>
        <w:rPr>
          <w:noProof/>
        </w:rPr>
        <w:tab/>
      </w:r>
    </w:p>
    <w:p>
      <w:pPr>
        <w:pStyle w:val="Yo1Textpara"/>
        <w:rPr>
          <w:noProof/>
        </w:rPr>
      </w:pPr>
      <w:r>
        <w:rPr>
          <w:noProof/>
        </w:rPr>
        <w:t>According to data from 2015, one third of young people from Latvia, Lithuania and Hungary were resident in another country; Bulgaria and Estonia follow closely behind with 25 % and 20 % respectively. In contrast, Belgium, Denmark, Luxembourg, and – outside the EU – Iceland and Norway appear as destinations attracting significant proportions of young Europeans. Other countries (such as Germany, Netherlands and Sweden) show more balanced figures of outgoing and incoming migrants, partly due to the higher proportions of students of this age arriving for study purposes (as illustrated in Chapter 2, Section 2.4).</w:t>
      </w:r>
    </w:p>
    <w:p>
      <w:pPr>
        <w:pStyle w:val="Yo1Textpara"/>
        <w:rPr>
          <w:noProof/>
        </w:rPr>
      </w:pPr>
      <w:r>
        <w:rPr>
          <w:noProof/>
        </w:rPr>
        <w:t xml:space="preserve">The lack of EU level data for many countries since 2010 hampers the scope of analysis, which is therefore limited to the countries for which data are available. Increases in the proportion of young people </w:t>
      </w:r>
    </w:p>
    <w:tbl>
      <w:tblPr>
        <w:tblpPr w:leftFromText="180" w:rightFromText="180" w:vertAnchor="text" w:horzAnchor="margin" w:tblpXSpec="right" w:tblpY="96"/>
        <w:tblOverlap w:val="never"/>
        <w:tblW w:w="0" w:type="auto"/>
        <w:shd w:val="clear" w:color="auto" w:fill="B8CCE4"/>
        <w:tblLook w:val="04A0" w:firstRow="1" w:lastRow="0" w:firstColumn="1" w:lastColumn="0" w:noHBand="0" w:noVBand="1"/>
      </w:tblPr>
      <w:tblGrid>
        <w:gridCol w:w="3235"/>
      </w:tblGrid>
      <w:tr>
        <w:trPr>
          <w:trHeight w:val="1469"/>
        </w:trPr>
        <w:tc>
          <w:tcPr>
            <w:tcW w:w="3235" w:type="dxa"/>
            <w:shd w:val="clear" w:color="auto" w:fill="FFA3A4"/>
            <w:hideMark/>
          </w:tcPr>
          <w:p>
            <w:pPr>
              <w:pStyle w:val="Yo12Encart"/>
              <w:framePr w:hSpace="0" w:wrap="auto" w:vAnchor="margin" w:hAnchor="text" w:xAlign="left" w:yAlign="inline"/>
              <w:suppressOverlap w:val="0"/>
              <w:rPr>
                <w:noProof/>
                <w:sz w:val="22"/>
                <w:szCs w:val="22"/>
              </w:rPr>
            </w:pPr>
            <w:r>
              <w:rPr>
                <w:noProof/>
                <w:sz w:val="22"/>
                <w:szCs w:val="22"/>
              </w:rPr>
              <w:t>Significant flows of young Europeans have moved from eastern and southern countries towards north-western ones over the last decade.</w:t>
            </w:r>
          </w:p>
        </w:tc>
      </w:tr>
    </w:tbl>
    <w:p>
      <w:pPr>
        <w:pStyle w:val="Yo1Textpara"/>
        <w:rPr>
          <w:noProof/>
        </w:rPr>
      </w:pPr>
      <w:r>
        <w:rPr>
          <w:noProof/>
        </w:rPr>
        <w:t>emigrating to another country since 2010 have been observed in Italy and Hungary, and, outside the EU, in Iceland and Liechtenstein (</w:t>
      </w:r>
      <w:r>
        <w:rPr>
          <w:rStyle w:val="FootnoteReference"/>
          <w:noProof/>
        </w:rPr>
        <w:footnoteReference w:id="19"/>
      </w:r>
      <w:r>
        <w:rPr>
          <w:noProof/>
        </w:rPr>
        <w:t>). On the other hand, Estonia and Finland have registered slight reductions in the number of young people moving abroad over the past five years (</w:t>
      </w:r>
      <w:r>
        <w:rPr>
          <w:rStyle w:val="FootnoteReference"/>
          <w:noProof/>
        </w:rPr>
        <w:footnoteReference w:id="20"/>
      </w:r>
      <w:r>
        <w:rPr>
          <w:noProof/>
        </w:rPr>
        <w:t xml:space="preserve">). </w:t>
      </w:r>
    </w:p>
    <w:p>
      <w:pPr>
        <w:pStyle w:val="Yo1Textpara"/>
        <w:rPr>
          <w:noProof/>
        </w:rPr>
      </w:pPr>
      <w:r>
        <w:rPr>
          <w:noProof/>
        </w:rPr>
        <w:t>Research on the topic provides further insight on these trends by documenting increased flows of youth emigration from eastern European countries (especially Bulgaria, Poland and the Baltic Republics) towards western ones (in particular, the United Kingdom and Germany), also as a consequence of the economic crisis which began in 2008 and the rising levels of youth unemployment (as discussed in Chapter 3) (</w:t>
      </w:r>
      <w:r>
        <w:rPr>
          <w:rStyle w:val="FootnoteReference"/>
          <w:noProof/>
        </w:rPr>
        <w:footnoteReference w:id="21"/>
      </w:r>
      <w:r>
        <w:rPr>
          <w:noProof/>
        </w:rPr>
        <w:t>). In addition to an east-to-west trend, a south-to-north drift has also taken place, and for similar reasons: significant proportions of young people have moved in recent years from southern European countries (in particular Greece, Spain and Italy) to northern ones (again mainly Germany and the United Kingdom) in search of education opportunities (discussed in Section 2.4 of the chapter on Education and Training), improved career prospects and better economic conditions (</w:t>
      </w:r>
      <w:r>
        <w:rPr>
          <w:rStyle w:val="FootnoteReference"/>
          <w:noProof/>
        </w:rPr>
        <w:footnoteReference w:id="22"/>
      </w:r>
      <w:r>
        <w:rPr>
          <w:noProof/>
        </w:rPr>
        <w:t>).</w:t>
      </w:r>
    </w:p>
    <w:p>
      <w:pPr>
        <w:pStyle w:val="Yo1Textpara"/>
        <w:rPr>
          <w:noProof/>
        </w:rPr>
      </w:pPr>
    </w:p>
    <w:p>
      <w:pPr>
        <w:pStyle w:val="Yo1Textpara"/>
        <w:spacing w:before="0"/>
        <w:rPr>
          <w:rFonts w:ascii="Arial Narrow" w:hAnsi="Arial Narrow" w:cs="Arial"/>
          <w:bCs/>
          <w:caps/>
          <w:noProof/>
          <w:color w:val="DA1E48"/>
          <w:spacing w:val="10"/>
          <w:sz w:val="28"/>
          <w:szCs w:val="28"/>
          <w:lang w:eastAsia="en-US"/>
        </w:rPr>
      </w:pPr>
      <w:r>
        <w:rPr>
          <w:rFonts w:ascii="Arial Narrow" w:hAnsi="Arial Narrow" w:cs="Arial"/>
          <w:bCs/>
          <w:caps/>
          <w:noProof/>
          <w:color w:val="DA1E48"/>
          <w:spacing w:val="10"/>
          <w:sz w:val="28"/>
          <w:szCs w:val="28"/>
          <w:lang w:eastAsia="en-US"/>
        </w:rPr>
        <w:t>Conclusion</w:t>
      </w:r>
    </w:p>
    <w:p>
      <w:pPr>
        <w:pStyle w:val="Yo1Textpara"/>
        <w:rPr>
          <w:noProof/>
        </w:rPr>
      </w:pPr>
      <w:r>
        <w:rPr>
          <w:noProof/>
        </w:rPr>
        <w:t>The proportion of young people in the European Union continues to decrease and the decline is expected to carry on in the future. Eastern and southern European countries have seen comparatively larger drops in their youth populations than the average in the EU. In addition to the general decrease in fertility rates affecting the European population as a whole, in these countries, the economic crisis has also meant high rates of youth emigration, further aggravating the demographic imbalance.</w:t>
      </w:r>
    </w:p>
    <w:p>
      <w:pPr>
        <w:pStyle w:val="Yo1Textpara"/>
        <w:rPr>
          <w:noProof/>
        </w:rPr>
      </w:pPr>
      <w:r>
        <w:rPr>
          <w:noProof/>
        </w:rPr>
        <w:t>The steady decrease in the youth population living in the EU over the last decades has been alleviated by the growth of immigration from outside of the EU. The influx of immigrants has compensated for the overall natural change in the general population and reversed an otherwise declining trend in the total population. In addition to international flows, intra-EU migration has also increased, young Europeans have become increasingly mobile and likely to work or study in another European country.</w:t>
      </w:r>
    </w:p>
    <w:sectPr>
      <w:headerReference w:type="even" r:id="rId60"/>
      <w:headerReference w:type="default" r:id="rId61"/>
      <w:footerReference w:type="even" r:id="rId62"/>
      <w:footerReference w:type="default" r:id="rId63"/>
      <w:headerReference w:type="first" r:id="rId64"/>
      <w:footerReference w:type="first" r:id="rId65"/>
      <w:pgSz w:w="11906" w:h="16838" w:code="9"/>
      <w:pgMar w:top="1985" w:right="1134" w:bottom="851" w:left="851"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yriad Pro SemiExt">
    <w:altName w:val="Arial"/>
    <w:panose1 w:val="00000000000000000000"/>
    <w:charset w:val="00"/>
    <w:family w:val="swiss"/>
    <w:notTrueType/>
    <w:pitch w:val="variable"/>
    <w:sig w:usb0="00000001" w:usb1="00000000" w:usb2="00000000" w:usb3="00000000" w:csb0="0000009F" w:csb1="00000000"/>
  </w:font>
  <w:font w:name="Myriad Pro Light">
    <w:altName w:val="Arial"/>
    <w:panose1 w:val="00000000000000000000"/>
    <w:charset w:val="00"/>
    <w:family w:val="swiss"/>
    <w:notTrueType/>
    <w:pitch w:val="variable"/>
    <w:sig w:usb0="00000001"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yriadPro-Bold">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charset w:val="00"/>
    <w:family w:val="roman"/>
    <w:pitch w:val="default"/>
  </w:font>
  <w:font w:name="Myriad Pro">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lang w:val="en-GB"/>
      </w:rPr>
    </w:pPr>
    <w:r>
      <w:fldChar w:fldCharType="begin"/>
    </w:r>
    <w:r>
      <w:instrText xml:space="preserve"> PAGE   \* MERGEFORMAT </w:instrText>
    </w:r>
    <w:r>
      <w:fldChar w:fldCharType="separate"/>
    </w:r>
    <w:r>
      <w:rPr>
        <w:noProof/>
      </w:rPr>
      <w:t>8</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15</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fldChar w:fldCharType="begin"/>
    </w:r>
    <w:r>
      <w:instrText xml:space="preserve"> PAGE   \* MERGEFORMAT </w:instrText>
    </w:r>
    <w:r>
      <w:fldChar w:fldCharType="separate"/>
    </w:r>
    <w:r>
      <w:rPr>
        <w:noProof/>
      </w:rPr>
      <w:t>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fldChar w:fldCharType="begin"/>
    </w:r>
    <w:r>
      <w:instrText xml:space="preserve"> PAGE   \* MERGEFORMAT </w:instrText>
    </w:r>
    <w:r>
      <w:fldChar w:fldCharType="separate"/>
    </w:r>
    <w:r>
      <w:rPr>
        <w:noProof/>
      </w:rPr>
      <w:t>2</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7</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tabs>
          <w:tab w:val="left" w:pos="426"/>
        </w:tabs>
        <w:ind w:left="426" w:hanging="426"/>
        <w:rPr>
          <w:sz w:val="18"/>
          <w:szCs w:val="18"/>
          <w:lang w:val="en-GB"/>
        </w:rPr>
      </w:pPr>
      <w:r>
        <w:rPr>
          <w:lang w:val="en-GB"/>
        </w:rPr>
        <w:t>(</w:t>
      </w:r>
      <w:r>
        <w:rPr>
          <w:rStyle w:val="FootnoteReference"/>
        </w:rPr>
        <w:footnoteRef/>
      </w:r>
      <w:r>
        <w:rPr>
          <w:lang w:val="en-GB"/>
        </w:rPr>
        <w:t>)</w:t>
      </w:r>
      <w:r>
        <w:t xml:space="preserve"> </w:t>
      </w:r>
      <w:r>
        <w:rPr>
          <w:lang w:val="en-GB"/>
        </w:rPr>
        <w:tab/>
      </w:r>
      <w:r>
        <w:rPr>
          <w:sz w:val="18"/>
          <w:szCs w:val="18"/>
          <w:lang w:val="en-GB"/>
        </w:rPr>
        <w:t>Council resolution of 27 November 2009 on a renewed framework for European cooperation in the youth field (2010-2018), OJ C 311, 19.12.2009, p. 1-11.</w:t>
      </w:r>
    </w:p>
  </w:footnote>
  <w:footnote w:id="2">
    <w:p>
      <w:pPr>
        <w:pStyle w:val="FootnoteText"/>
        <w:tabs>
          <w:tab w:val="left" w:pos="426"/>
        </w:tabs>
        <w:ind w:left="567" w:hanging="567"/>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t>Commission Staff Working Document on</w:t>
      </w:r>
      <w:r>
        <w:rPr>
          <w:bCs/>
          <w:sz w:val="18"/>
          <w:szCs w:val="18"/>
          <w:lang w:eastAsia="en-GB"/>
        </w:rPr>
        <w:t xml:space="preserve"> EU indicators in the field of youth</w:t>
      </w:r>
      <w:r>
        <w:rPr>
          <w:bCs/>
          <w:sz w:val="18"/>
          <w:szCs w:val="18"/>
          <w:lang w:val="en-GB" w:eastAsia="en-GB"/>
        </w:rPr>
        <w:t xml:space="preserve">, </w:t>
      </w:r>
      <w:r>
        <w:rPr>
          <w:sz w:val="18"/>
          <w:szCs w:val="18"/>
          <w:lang w:eastAsia="en-GB"/>
        </w:rPr>
        <w:t>SEC(2011) 401 final</w:t>
      </w:r>
      <w:r>
        <w:rPr>
          <w:sz w:val="18"/>
          <w:szCs w:val="18"/>
          <w:lang w:val="en-GB" w:eastAsia="en-GB"/>
        </w:rPr>
        <w:t>.</w:t>
      </w:r>
    </w:p>
  </w:footnote>
  <w:footnote w:id="3">
    <w:p>
      <w:pPr>
        <w:pStyle w:val="FootnoteText"/>
        <w:ind w:left="426" w:hanging="426"/>
        <w:rPr>
          <w:lang w:val="en-GB"/>
        </w:rPr>
      </w:pPr>
      <w:r>
        <w:rPr>
          <w:lang w:val="en-GB"/>
        </w:rPr>
        <w:t>(</w:t>
      </w:r>
      <w:r>
        <w:rPr>
          <w:rStyle w:val="FootnoteReference"/>
        </w:rPr>
        <w:footnoteRef/>
      </w:r>
      <w:r>
        <w:rPr>
          <w:lang w:val="en-GB"/>
        </w:rPr>
        <w:t>)</w:t>
      </w:r>
      <w:r>
        <w:t xml:space="preserve"> </w:t>
      </w:r>
      <w:r>
        <w:rPr>
          <w:lang w:val="en-GB"/>
        </w:rPr>
        <w:tab/>
      </w:r>
      <w:r>
        <w:rPr>
          <w:sz w:val="18"/>
          <w:szCs w:val="18"/>
          <w:lang w:val="en-GB"/>
        </w:rPr>
        <w:t>All EU Member States, EU candidate countries and EEA EFTA States were invited to submit national reports.</w:t>
      </w:r>
    </w:p>
  </w:footnote>
  <w:footnote w:id="4">
    <w:p>
      <w:pPr>
        <w:pStyle w:val="FootnoteText"/>
        <w:ind w:left="426" w:hanging="426"/>
        <w:rPr>
          <w:sz w:val="18"/>
          <w:lang w:val="en-GB"/>
        </w:rPr>
      </w:pPr>
      <w:r>
        <w:rPr>
          <w:sz w:val="18"/>
          <w:lang w:val="en-GB"/>
        </w:rPr>
        <w:t>(</w:t>
      </w:r>
      <w:r>
        <w:rPr>
          <w:rStyle w:val="FootnoteReference"/>
          <w:sz w:val="18"/>
        </w:rPr>
        <w:footnoteRef/>
      </w:r>
      <w:r>
        <w:rPr>
          <w:sz w:val="18"/>
          <w:lang w:val="en-GB"/>
        </w:rPr>
        <w:t>)</w:t>
      </w:r>
      <w:r>
        <w:rPr>
          <w:sz w:val="18"/>
          <w:lang w:val="en-GB"/>
        </w:rPr>
        <w:tab/>
        <w:t xml:space="preserve">Official definitions of 'youth' in European countries can be found on the online pages of the Youth Wiki at </w:t>
      </w:r>
      <w:r>
        <w:rPr>
          <w:sz w:val="18"/>
          <w:lang w:val="en-GB"/>
        </w:rPr>
        <w:tab/>
      </w:r>
      <w:r>
        <w:rPr>
          <w:sz w:val="18"/>
          <w:lang w:val="en-GB"/>
        </w:rPr>
        <w:br/>
      </w:r>
      <w:hyperlink r:id="rId1" w:history="1">
        <w:r>
          <w:rPr>
            <w:rStyle w:val="Hyperlink"/>
            <w:sz w:val="18"/>
            <w:lang w:val="en-GB"/>
          </w:rPr>
          <w:t>https://eacea.ec.europa.eu/national-policies/en/content/youthwiki/youthwiki</w:t>
        </w:r>
      </w:hyperlink>
      <w:r>
        <w:rPr>
          <w:sz w:val="18"/>
          <w:lang w:val="en-GB"/>
        </w:rPr>
        <w:t xml:space="preserve"> </w:t>
      </w:r>
    </w:p>
  </w:footnote>
  <w:footnote w:id="5">
    <w:p>
      <w:pPr>
        <w:pStyle w:val="FootnoteText"/>
        <w:ind w:left="426" w:hanging="426"/>
        <w:rPr>
          <w:sz w:val="18"/>
          <w:lang w:val="en-GB"/>
        </w:rPr>
      </w:pPr>
      <w:r>
        <w:rPr>
          <w:sz w:val="18"/>
          <w:lang w:val="en-GB"/>
        </w:rPr>
        <w:t>(</w:t>
      </w:r>
      <w:r>
        <w:rPr>
          <w:rStyle w:val="FootnoteReference"/>
          <w:sz w:val="18"/>
        </w:rPr>
        <w:footnoteRef/>
      </w:r>
      <w:r>
        <w:rPr>
          <w:sz w:val="18"/>
          <w:lang w:val="en-GB"/>
        </w:rPr>
        <w:t>)</w:t>
      </w:r>
      <w:r>
        <w:rPr>
          <w:sz w:val="18"/>
          <w:lang w:val="en-GB"/>
        </w:rPr>
        <w:tab/>
        <w:t>Commission Staff Working Document on</w:t>
      </w:r>
      <w:r>
        <w:rPr>
          <w:bCs/>
          <w:sz w:val="18"/>
          <w:lang w:val="en-GB"/>
        </w:rPr>
        <w:t xml:space="preserve"> EU indicators in the field of youth, </w:t>
      </w:r>
      <w:r>
        <w:rPr>
          <w:sz w:val="18"/>
          <w:lang w:val="en-GB"/>
        </w:rPr>
        <w:t>SEC(2011) 401 final.</w:t>
      </w:r>
    </w:p>
  </w:footnote>
  <w:footnote w:id="6">
    <w:p>
      <w:pPr>
        <w:pStyle w:val="FootnoteText"/>
        <w:ind w:left="426" w:hanging="426"/>
        <w:rPr>
          <w:sz w:val="18"/>
          <w:lang w:val="en-GB"/>
        </w:rPr>
      </w:pPr>
      <w:r>
        <w:rPr>
          <w:sz w:val="18"/>
          <w:lang w:val="en-GB"/>
        </w:rPr>
        <w:t>(</w:t>
      </w:r>
      <w:r>
        <w:rPr>
          <w:rStyle w:val="FootnoteReference"/>
          <w:sz w:val="18"/>
        </w:rPr>
        <w:footnoteRef/>
      </w:r>
      <w:r>
        <w:rPr>
          <w:sz w:val="18"/>
          <w:lang w:val="en-GB"/>
        </w:rPr>
        <w:t>)</w:t>
      </w:r>
      <w:r>
        <w:rPr>
          <w:sz w:val="18"/>
          <w:lang w:val="en-GB"/>
        </w:rPr>
        <w:tab/>
        <w:t>Time series of the proportion of younger age groups in the total population are available at the Eurostat online database [data code: demo_pjanind].</w:t>
      </w:r>
    </w:p>
  </w:footnote>
  <w:footnote w:id="7">
    <w:p>
      <w:pPr>
        <w:pStyle w:val="FootnoteText"/>
        <w:ind w:left="426" w:hanging="426"/>
        <w:rPr>
          <w:sz w:val="18"/>
          <w:lang w:val="en-GB"/>
        </w:rPr>
      </w:pPr>
      <w:r>
        <w:rPr>
          <w:sz w:val="18"/>
          <w:lang w:val="en-GB"/>
        </w:rPr>
        <w:t>(</w:t>
      </w:r>
      <w:r>
        <w:rPr>
          <w:rStyle w:val="FootnoteReference"/>
          <w:sz w:val="18"/>
        </w:rPr>
        <w:footnoteRef/>
      </w:r>
      <w:r>
        <w:rPr>
          <w:sz w:val="18"/>
          <w:lang w:val="en-GB"/>
        </w:rPr>
        <w:t>)</w:t>
      </w:r>
      <w:r>
        <w:rPr>
          <w:sz w:val="18"/>
          <w:lang w:val="en-GB"/>
        </w:rPr>
        <w:tab/>
        <w:t>Time series of total fertility rate are available at the Eurostat online database [data code: demo_find].</w:t>
      </w:r>
    </w:p>
  </w:footnote>
  <w:footnote w:id="8">
    <w:p>
      <w:pPr>
        <w:pStyle w:val="FootnoteText"/>
        <w:tabs>
          <w:tab w:val="left" w:pos="426"/>
        </w:tabs>
        <w:ind w:left="426" w:hanging="426"/>
        <w:rPr>
          <w:sz w:val="18"/>
          <w:lang w:val="en-GB"/>
        </w:rPr>
      </w:pPr>
      <w:r>
        <w:rPr>
          <w:sz w:val="18"/>
          <w:lang w:val="en-GB"/>
        </w:rPr>
        <w:t>(</w:t>
      </w:r>
      <w:r>
        <w:rPr>
          <w:rStyle w:val="FootnoteReference"/>
          <w:sz w:val="18"/>
        </w:rPr>
        <w:footnoteRef/>
      </w:r>
      <w:r>
        <w:rPr>
          <w:sz w:val="18"/>
          <w:lang w:val="en-GB"/>
        </w:rPr>
        <w:t>)</w:t>
      </w:r>
      <w:r>
        <w:rPr>
          <w:sz w:val="16"/>
          <w:lang w:val="en-GB"/>
        </w:rPr>
        <w:t xml:space="preserve"> </w:t>
      </w:r>
      <w:r>
        <w:rPr>
          <w:sz w:val="16"/>
          <w:lang w:val="en-GB"/>
        </w:rPr>
        <w:tab/>
      </w:r>
      <w:r>
        <w:rPr>
          <w:sz w:val="18"/>
        </w:rPr>
        <w:t>Eurostat, 2015</w:t>
      </w:r>
      <w:r>
        <w:rPr>
          <w:sz w:val="18"/>
          <w:lang w:val="en-GB"/>
        </w:rPr>
        <w:t>.</w:t>
      </w:r>
    </w:p>
  </w:footnote>
  <w:footnote w:id="9">
    <w:p>
      <w:pPr>
        <w:pStyle w:val="FootnoteText"/>
        <w:tabs>
          <w:tab w:val="left" w:pos="426"/>
        </w:tabs>
        <w:ind w:left="426" w:hanging="426"/>
        <w:rPr>
          <w:sz w:val="18"/>
        </w:rPr>
      </w:pPr>
      <w:r>
        <w:rPr>
          <w:sz w:val="18"/>
          <w:lang w:val="en-GB"/>
        </w:rPr>
        <w:t>(</w:t>
      </w:r>
      <w:r>
        <w:rPr>
          <w:rStyle w:val="FootnoteReference"/>
          <w:sz w:val="18"/>
        </w:rPr>
        <w:footnoteRef/>
      </w:r>
      <w:r>
        <w:rPr>
          <w:sz w:val="18"/>
          <w:lang w:val="en-GB"/>
        </w:rPr>
        <w:t xml:space="preserve">) </w:t>
      </w:r>
      <w:r>
        <w:rPr>
          <w:sz w:val="18"/>
          <w:lang w:val="en-GB"/>
        </w:rPr>
        <w:tab/>
      </w:r>
      <w:r>
        <w:rPr>
          <w:sz w:val="18"/>
        </w:rPr>
        <w:t>Ibid.</w:t>
      </w:r>
    </w:p>
  </w:footnote>
  <w:footnote w:id="10">
    <w:p>
      <w:pPr>
        <w:pStyle w:val="FootnoteText"/>
        <w:tabs>
          <w:tab w:val="left" w:pos="426"/>
        </w:tabs>
        <w:ind w:left="426" w:hanging="426"/>
        <w:rPr>
          <w:sz w:val="18"/>
          <w:lang w:val="en-GB"/>
        </w:rPr>
      </w:pPr>
      <w:r>
        <w:rPr>
          <w:sz w:val="18"/>
          <w:lang w:val="en-GB"/>
        </w:rPr>
        <w:t>(</w:t>
      </w:r>
      <w:r>
        <w:rPr>
          <w:rStyle w:val="FootnoteReference"/>
          <w:sz w:val="18"/>
        </w:rPr>
        <w:footnoteRef/>
      </w:r>
      <w:r>
        <w:rPr>
          <w:sz w:val="18"/>
          <w:lang w:val="en-GB"/>
        </w:rPr>
        <w:t xml:space="preserve">) </w:t>
      </w:r>
      <w:r>
        <w:rPr>
          <w:sz w:val="18"/>
          <w:lang w:val="en-GB"/>
        </w:rPr>
        <w:tab/>
      </w:r>
      <w:r>
        <w:rPr>
          <w:sz w:val="18"/>
        </w:rPr>
        <w:t>Ibid</w:t>
      </w:r>
      <w:r>
        <w:rPr>
          <w:sz w:val="18"/>
          <w:lang w:val="en-GB"/>
        </w:rPr>
        <w:t xml:space="preserve">. and </w:t>
      </w:r>
      <w:r>
        <w:rPr>
          <w:bCs/>
          <w:sz w:val="18"/>
          <w:lang w:val="en-GB"/>
        </w:rPr>
        <w:t>Amin and Behrman, 2013.</w:t>
      </w:r>
    </w:p>
  </w:footnote>
  <w:footnote w:id="11">
    <w:p>
      <w:pPr>
        <w:pStyle w:val="FootnoteText"/>
        <w:ind w:left="426" w:hanging="426"/>
        <w:rPr>
          <w:sz w:val="18"/>
          <w:lang w:val="en-GB"/>
        </w:rPr>
      </w:pPr>
      <w:r>
        <w:rPr>
          <w:sz w:val="18"/>
          <w:lang w:val="en-GB"/>
        </w:rPr>
        <w:t>(</w:t>
      </w:r>
      <w:r>
        <w:rPr>
          <w:rStyle w:val="FootnoteReference"/>
          <w:sz w:val="18"/>
        </w:rPr>
        <w:footnoteRef/>
      </w:r>
      <w:r>
        <w:rPr>
          <w:sz w:val="18"/>
          <w:lang w:val="en-GB"/>
        </w:rPr>
        <w:t>)</w:t>
      </w:r>
      <w:r>
        <w:rPr>
          <w:sz w:val="18"/>
          <w:lang w:val="en-GB"/>
        </w:rPr>
        <w:tab/>
        <w:t>Eurostat's projections expect the average old-age-dependency ratio in the European Union to increase from 30.5 % in 2018 to 50.3 % in 2050 (online data code: proj_15ndbims).</w:t>
      </w:r>
    </w:p>
  </w:footnote>
  <w:footnote w:id="12">
    <w:p>
      <w:pPr>
        <w:pStyle w:val="FootnoteText"/>
        <w:ind w:left="426" w:hanging="426"/>
        <w:rPr>
          <w:sz w:val="18"/>
          <w:lang w:val="en-GB"/>
        </w:rPr>
      </w:pPr>
      <w:r>
        <w:rPr>
          <w:sz w:val="18"/>
          <w:lang w:val="en-GB"/>
        </w:rPr>
        <w:t>(</w:t>
      </w:r>
      <w:r>
        <w:rPr>
          <w:rStyle w:val="FootnoteReference"/>
          <w:sz w:val="18"/>
        </w:rPr>
        <w:footnoteRef/>
      </w:r>
      <w:r>
        <w:rPr>
          <w:sz w:val="18"/>
          <w:lang w:val="en-GB"/>
        </w:rPr>
        <w:t>)</w:t>
      </w:r>
      <w:r>
        <w:rPr>
          <w:sz w:val="18"/>
          <w:lang w:val="en-GB"/>
        </w:rPr>
        <w:tab/>
        <w:t xml:space="preserve">For a discussion of the social and economic consequences of low fertility and demographic decline, see </w:t>
      </w:r>
      <w:r>
        <w:rPr>
          <w:sz w:val="18"/>
        </w:rPr>
        <w:t>Bloom et al., 2008</w:t>
      </w:r>
      <w:r>
        <w:rPr>
          <w:sz w:val="18"/>
          <w:lang w:val="en-GB"/>
        </w:rPr>
        <w:t>, and Hansen and Gordon, 2014.</w:t>
      </w:r>
    </w:p>
  </w:footnote>
  <w:footnote w:id="13">
    <w:p>
      <w:pPr>
        <w:pStyle w:val="FootnoteText"/>
        <w:tabs>
          <w:tab w:val="left" w:pos="426"/>
        </w:tabs>
        <w:ind w:left="426" w:hanging="426"/>
        <w:rPr>
          <w:sz w:val="18"/>
          <w:lang w:val="en-GB"/>
        </w:rPr>
      </w:pPr>
      <w:r>
        <w:rPr>
          <w:sz w:val="18"/>
          <w:lang w:val="en-GB"/>
        </w:rPr>
        <w:t>(</w:t>
      </w:r>
      <w:r>
        <w:rPr>
          <w:rStyle w:val="FootnoteReference"/>
          <w:sz w:val="18"/>
        </w:rPr>
        <w:footnoteRef/>
      </w:r>
      <w:r>
        <w:rPr>
          <w:sz w:val="18"/>
          <w:lang w:val="en-GB"/>
        </w:rPr>
        <w:t>)</w:t>
      </w:r>
      <w:r>
        <w:rPr>
          <w:sz w:val="18"/>
          <w:lang w:val="en-GB"/>
        </w:rPr>
        <w:tab/>
        <w:t xml:space="preserve">Wilson </w:t>
      </w:r>
      <w:r>
        <w:rPr>
          <w:sz w:val="18"/>
        </w:rPr>
        <w:t>et al., 20</w:t>
      </w:r>
      <w:r>
        <w:rPr>
          <w:sz w:val="18"/>
          <w:lang w:val="en-GB"/>
        </w:rPr>
        <w:t>13</w:t>
      </w:r>
      <w:r>
        <w:rPr>
          <w:sz w:val="18"/>
        </w:rPr>
        <w:t xml:space="preserve">; </w:t>
      </w:r>
      <w:r>
        <w:rPr>
          <w:sz w:val="18"/>
          <w:lang w:val="en-GB"/>
        </w:rPr>
        <w:t>Lanzieri,</w:t>
      </w:r>
      <w:r>
        <w:rPr>
          <w:sz w:val="18"/>
        </w:rPr>
        <w:t xml:space="preserve"> 2013</w:t>
      </w:r>
      <w:r>
        <w:rPr>
          <w:sz w:val="18"/>
          <w:lang w:val="en-GB"/>
        </w:rPr>
        <w:t>.</w:t>
      </w:r>
    </w:p>
  </w:footnote>
  <w:footnote w:id="14">
    <w:p>
      <w:pPr>
        <w:pStyle w:val="FootnoteText"/>
        <w:ind w:left="426" w:hanging="426"/>
        <w:rPr>
          <w:sz w:val="16"/>
          <w:szCs w:val="18"/>
          <w:lang w:val="en-GB"/>
        </w:rPr>
      </w:pPr>
      <w:r>
        <w:rPr>
          <w:sz w:val="18"/>
          <w:lang w:val="en-GB"/>
        </w:rPr>
        <w:t>(</w:t>
      </w:r>
      <w:r>
        <w:rPr>
          <w:rStyle w:val="FootnoteReference"/>
          <w:sz w:val="18"/>
        </w:rPr>
        <w:footnoteRef/>
      </w:r>
      <w:r>
        <w:rPr>
          <w:sz w:val="18"/>
          <w:lang w:val="en-GB"/>
        </w:rPr>
        <w:t>)</w:t>
      </w:r>
      <w:r>
        <w:rPr>
          <w:sz w:val="18"/>
          <w:lang w:val="en-GB"/>
        </w:rPr>
        <w:tab/>
        <w:t xml:space="preserve">An illustration of trends since 1960 can be found on the Eurostat website at </w:t>
      </w:r>
      <w:hyperlink r:id="rId2" w:history="1">
        <w:r>
          <w:rPr>
            <w:rStyle w:val="Hyperlink"/>
            <w:sz w:val="18"/>
            <w:lang w:val="en-GB"/>
          </w:rPr>
          <w:t>http://ec.europa.eu/eurostat/statistics-explained/index.php/Population_and_population_change_statistics</w:t>
        </w:r>
      </w:hyperlink>
      <w:r>
        <w:rPr>
          <w:sz w:val="18"/>
          <w:lang w:val="en-GB"/>
        </w:rPr>
        <w:t xml:space="preserve"> </w:t>
      </w:r>
    </w:p>
  </w:footnote>
  <w:footnote w:id="15">
    <w:p>
      <w:pPr>
        <w:pStyle w:val="FootnoteText"/>
        <w:ind w:left="426" w:hanging="426"/>
        <w:rPr>
          <w:sz w:val="18"/>
          <w:lang w:val="en-GB"/>
        </w:rPr>
      </w:pPr>
      <w:r>
        <w:rPr>
          <w:sz w:val="18"/>
          <w:lang w:val="en-GB"/>
        </w:rPr>
        <w:t>(</w:t>
      </w:r>
      <w:r>
        <w:rPr>
          <w:rStyle w:val="FootnoteReference"/>
          <w:sz w:val="18"/>
        </w:rPr>
        <w:footnoteRef/>
      </w:r>
      <w:r>
        <w:rPr>
          <w:sz w:val="18"/>
          <w:lang w:val="en-GB"/>
        </w:rPr>
        <w:t>)</w:t>
      </w:r>
      <w:r>
        <w:rPr>
          <w:sz w:val="18"/>
          <w:lang w:val="en-GB"/>
        </w:rPr>
        <w:tab/>
        <w:t xml:space="preserve">Source: Eurostat, online data code [migr_imm2ctz] and discussion of data at </w:t>
      </w:r>
      <w:r>
        <w:rPr>
          <w:sz w:val="18"/>
          <w:lang w:val="en-GB"/>
        </w:rPr>
        <w:tab/>
      </w:r>
      <w:r>
        <w:rPr>
          <w:sz w:val="18"/>
          <w:lang w:val="en-GB"/>
        </w:rPr>
        <w:br/>
      </w:r>
      <w:hyperlink r:id="rId3" w:history="1">
        <w:r>
          <w:rPr>
            <w:rStyle w:val="Hyperlink"/>
            <w:sz w:val="18"/>
            <w:lang w:val="en-GB"/>
          </w:rPr>
          <w:t>http://ec.europa.eu/eurostat/statistics-explained/index.php/Migration_and_migrant_population_statistics</w:t>
        </w:r>
      </w:hyperlink>
      <w:r>
        <w:rPr>
          <w:sz w:val="18"/>
          <w:lang w:val="en-GB"/>
        </w:rPr>
        <w:t xml:space="preserve"> </w:t>
      </w:r>
    </w:p>
  </w:footnote>
  <w:footnote w:id="16">
    <w:p>
      <w:pPr>
        <w:pStyle w:val="FootnoteText"/>
        <w:ind w:left="426" w:hanging="426"/>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t>United Nations, 2016.</w:t>
      </w:r>
    </w:p>
  </w:footnote>
  <w:footnote w:id="17">
    <w:p>
      <w:pPr>
        <w:pStyle w:val="FootnoteText"/>
        <w:ind w:left="426" w:hanging="426"/>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t>Data source: Eurostat [lfso_14pcobp]. Data are only available for year 2014.</w:t>
      </w:r>
    </w:p>
  </w:footnote>
  <w:footnote w:id="18">
    <w:p>
      <w:pPr>
        <w:pStyle w:val="FootnoteText"/>
        <w:tabs>
          <w:tab w:val="left" w:pos="426"/>
        </w:tabs>
        <w:ind w:left="426" w:hanging="426"/>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r>
      <w:r>
        <w:rPr>
          <w:sz w:val="18"/>
          <w:szCs w:val="18"/>
        </w:rPr>
        <w:t>European Commission, 201</w:t>
      </w:r>
      <w:r>
        <w:rPr>
          <w:sz w:val="18"/>
          <w:szCs w:val="18"/>
          <w:lang w:val="en-GB"/>
        </w:rPr>
        <w:t>2a</w:t>
      </w:r>
      <w:r>
        <w:rPr>
          <w:sz w:val="18"/>
          <w:szCs w:val="18"/>
        </w:rPr>
        <w:t xml:space="preserve"> and 2014</w:t>
      </w:r>
      <w:r>
        <w:rPr>
          <w:sz w:val="18"/>
          <w:szCs w:val="18"/>
          <w:lang w:val="en-GB"/>
        </w:rPr>
        <w:t>a.</w:t>
      </w:r>
    </w:p>
  </w:footnote>
  <w:footnote w:id="19">
    <w:p>
      <w:pPr>
        <w:pStyle w:val="FootnoteText"/>
        <w:ind w:left="426" w:hanging="426"/>
        <w:rPr>
          <w:sz w:val="18"/>
          <w:lang w:val="en-GB"/>
        </w:rPr>
      </w:pPr>
      <w:r>
        <w:rPr>
          <w:sz w:val="18"/>
          <w:lang w:val="en-GB"/>
        </w:rPr>
        <w:t>(</w:t>
      </w:r>
      <w:r>
        <w:rPr>
          <w:rStyle w:val="FootnoteReference"/>
          <w:sz w:val="18"/>
        </w:rPr>
        <w:footnoteRef/>
      </w:r>
      <w:r>
        <w:rPr>
          <w:sz w:val="18"/>
          <w:lang w:val="en-GB"/>
        </w:rPr>
        <w:t>)</w:t>
      </w:r>
      <w:r>
        <w:rPr>
          <w:sz w:val="18"/>
          <w:lang w:val="en-GB"/>
        </w:rPr>
        <w:tab/>
        <w:t xml:space="preserve">For the countries mentioned, data are available at Eurostat's the online database [data code: </w:t>
      </w:r>
      <w:r>
        <w:rPr>
          <w:sz w:val="18"/>
          <w:lang w:val="en-US"/>
        </w:rPr>
        <w:t>yth_demo_070 and yth_demo_080].</w:t>
      </w:r>
    </w:p>
  </w:footnote>
  <w:footnote w:id="20">
    <w:p>
      <w:pPr>
        <w:pStyle w:val="FootnoteText"/>
        <w:ind w:left="426" w:hanging="426"/>
        <w:rPr>
          <w:lang w:val="en-GB"/>
        </w:rPr>
      </w:pPr>
      <w:r>
        <w:rPr>
          <w:sz w:val="18"/>
          <w:lang w:val="en-GB"/>
        </w:rPr>
        <w:t>(</w:t>
      </w:r>
      <w:r>
        <w:rPr>
          <w:rStyle w:val="FootnoteReference"/>
          <w:sz w:val="18"/>
        </w:rPr>
        <w:footnoteRef/>
      </w:r>
      <w:r>
        <w:rPr>
          <w:sz w:val="18"/>
          <w:lang w:val="en-GB"/>
        </w:rPr>
        <w:t>)</w:t>
      </w:r>
      <w:r>
        <w:rPr>
          <w:sz w:val="18"/>
          <w:lang w:val="en-GB"/>
        </w:rPr>
        <w:tab/>
        <w:t>Ibid.</w:t>
      </w:r>
    </w:p>
  </w:footnote>
  <w:footnote w:id="21">
    <w:p>
      <w:pPr>
        <w:pStyle w:val="FootnoteText"/>
        <w:ind w:left="426" w:hanging="426"/>
        <w:rPr>
          <w:lang w:val="en-GB"/>
        </w:rPr>
      </w:pPr>
      <w:r>
        <w:rPr>
          <w:sz w:val="18"/>
          <w:lang w:val="en-GB"/>
        </w:rPr>
        <w:t>(</w:t>
      </w:r>
      <w:r>
        <w:rPr>
          <w:rStyle w:val="FootnoteReference"/>
          <w:sz w:val="18"/>
        </w:rPr>
        <w:footnoteRef/>
      </w:r>
      <w:r>
        <w:rPr>
          <w:sz w:val="18"/>
          <w:lang w:val="en-GB"/>
        </w:rPr>
        <w:t>)</w:t>
      </w:r>
      <w:r>
        <w:rPr>
          <w:sz w:val="18"/>
          <w:lang w:val="en-GB"/>
        </w:rPr>
        <w:tab/>
        <w:t>King et al., 2016. In addition, the reports from the project '</w:t>
      </w:r>
      <w:r>
        <w:rPr>
          <w:sz w:val="18"/>
        </w:rPr>
        <w:t>ON-THE-MOVE –</w:t>
      </w:r>
      <w:r>
        <w:rPr>
          <w:i/>
          <w:sz w:val="18"/>
        </w:rPr>
        <w:t>The reality of free movement for young European citizens</w:t>
      </w:r>
      <w:r>
        <w:rPr>
          <w:i/>
          <w:sz w:val="18"/>
          <w:lang w:val="en-GB"/>
        </w:rPr>
        <w:t xml:space="preserve"> migrating in times of crisis</w:t>
      </w:r>
      <w:r>
        <w:rPr>
          <w:sz w:val="18"/>
          <w:lang w:val="en-GB"/>
        </w:rPr>
        <w:t xml:space="preserve">' from 2014 offer interesting insight on the motivations of young Europeans migrants. Available at: </w:t>
      </w:r>
      <w:hyperlink r:id="rId4" w:history="1">
        <w:r>
          <w:rPr>
            <w:rStyle w:val="Hyperlink"/>
            <w:sz w:val="18"/>
            <w:lang w:val="en-GB"/>
          </w:rPr>
          <w:t>http://euonthemove.eu/lessons-learned/</w:t>
        </w:r>
      </w:hyperlink>
      <w:r>
        <w:rPr>
          <w:sz w:val="18"/>
          <w:lang w:val="en-GB"/>
        </w:rPr>
        <w:t xml:space="preserve"> [Accessed on 9 November 2017].</w:t>
      </w:r>
    </w:p>
  </w:footnote>
  <w:footnote w:id="22">
    <w:p>
      <w:pPr>
        <w:pStyle w:val="FootnoteText"/>
        <w:ind w:left="426" w:hanging="426"/>
        <w:rPr>
          <w:sz w:val="18"/>
          <w:lang w:val="en-GB"/>
        </w:rPr>
      </w:pPr>
      <w:r>
        <w:rPr>
          <w:sz w:val="18"/>
          <w:lang w:val="en-GB"/>
        </w:rPr>
        <w:t>(</w:t>
      </w:r>
      <w:r>
        <w:rPr>
          <w:rStyle w:val="FootnoteReference"/>
          <w:sz w:val="18"/>
        </w:rPr>
        <w:footnoteRef/>
      </w:r>
      <w:r>
        <w:rPr>
          <w:sz w:val="18"/>
          <w:lang w:val="en-GB"/>
        </w:rPr>
        <w:t>)</w:t>
      </w:r>
      <w:r>
        <w:rPr>
          <w:sz w:val="18"/>
          <w:lang w:val="en-GB"/>
        </w:rPr>
        <w:tab/>
        <w:t>Glorius and Dominguez-Mujica,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35" w:type="pct"/>
      <w:tblInd w:w="-1026" w:type="dxa"/>
      <w:tblLook w:val="04A0" w:firstRow="1" w:lastRow="0" w:firstColumn="1" w:lastColumn="0" w:noHBand="0" w:noVBand="1"/>
    </w:tblPr>
    <w:tblGrid>
      <w:gridCol w:w="1105"/>
      <w:gridCol w:w="1507"/>
      <w:gridCol w:w="6800"/>
      <w:gridCol w:w="1693"/>
      <w:gridCol w:w="928"/>
    </w:tblGrid>
    <w:tr>
      <w:trPr>
        <w:trHeight w:hRule="exact" w:val="567"/>
      </w:trPr>
      <w:tc>
        <w:tcPr>
          <w:tcW w:w="1129" w:type="dxa"/>
          <w:shd w:val="clear" w:color="auto" w:fill="ED556E"/>
        </w:tcPr>
        <w:p>
          <w:pPr>
            <w:pStyle w:val="Header"/>
            <w:spacing w:after="0" w:line="240" w:lineRule="auto"/>
            <w:jc w:val="right"/>
            <w:rPr>
              <w:rFonts w:ascii="Myriad Pro" w:hAnsi="Myriad Pro"/>
              <w:b/>
              <w:color w:val="FFFFFF"/>
              <w:sz w:val="48"/>
            </w:rPr>
          </w:pPr>
          <w:r>
            <w:rPr>
              <w:rFonts w:ascii="Myriad Pro" w:hAnsi="Myriad Pro"/>
              <w:b/>
              <w:color w:val="FFFFFF"/>
              <w:sz w:val="44"/>
            </w:rPr>
            <w:t>1</w:t>
          </w:r>
        </w:p>
      </w:tc>
      <w:tc>
        <w:tcPr>
          <w:tcW w:w="1554" w:type="dxa"/>
          <w:shd w:val="clear" w:color="auto" w:fill="D9D9D9"/>
        </w:tcPr>
        <w:p>
          <w:pPr>
            <w:pStyle w:val="Header"/>
          </w:pPr>
        </w:p>
      </w:tc>
      <w:tc>
        <w:tcPr>
          <w:tcW w:w="6993" w:type="dxa"/>
          <w:shd w:val="clear" w:color="auto" w:fill="auto"/>
          <w:vAlign w:val="bottom"/>
        </w:tcPr>
        <w:p>
          <w:pPr>
            <w:pStyle w:val="Yo4Headereven"/>
          </w:pPr>
          <w:r>
            <w:rPr>
              <w:rFonts w:ascii="Arial" w:hAnsi="Arial"/>
              <w:noProof/>
              <w:color w:val="FF0000"/>
              <w:sz w:val="20"/>
            </w:rPr>
            <w:t>Demography</w:t>
          </w:r>
        </w:p>
      </w:tc>
      <w:tc>
        <w:tcPr>
          <w:tcW w:w="1747" w:type="dxa"/>
          <w:shd w:val="clear" w:color="auto" w:fill="auto"/>
        </w:tcPr>
        <w:p>
          <w:pPr>
            <w:pStyle w:val="Header"/>
            <w:spacing w:after="0" w:line="240" w:lineRule="auto"/>
            <w:jc w:val="center"/>
            <w:rPr>
              <w:b/>
              <w:color w:val="FFFFFF"/>
              <w:sz w:val="48"/>
            </w:rPr>
          </w:pPr>
        </w:p>
      </w:tc>
      <w:tc>
        <w:tcPr>
          <w:tcW w:w="954" w:type="dxa"/>
          <w:shd w:val="clear" w:color="auto" w:fill="auto"/>
        </w:tcPr>
        <w:p>
          <w:pPr>
            <w:pStyle w:val="Header"/>
            <w:spacing w:after="0" w:line="240" w:lineRule="auto"/>
            <w:jc w:val="center"/>
            <w:rPr>
              <w:b/>
              <w:color w:val="FFFFFF"/>
              <w:sz w:val="48"/>
            </w:rPr>
          </w:pPr>
        </w:p>
      </w:tc>
    </w:tr>
  </w:tbl>
  <w:p>
    <w:pPr>
      <w:pStyle w:val="Yo5TextNotes"/>
      <w:tabs>
        <w:tab w:val="clear" w:pos="1985"/>
        <w:tab w:val="left" w:pos="3825"/>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803" w:type="pct"/>
      <w:tblInd w:w="-601" w:type="dxa"/>
      <w:tblLook w:val="04A0" w:firstRow="1" w:lastRow="0" w:firstColumn="1" w:lastColumn="0" w:noHBand="0" w:noVBand="1"/>
    </w:tblPr>
    <w:tblGrid>
      <w:gridCol w:w="893"/>
      <w:gridCol w:w="1632"/>
      <w:gridCol w:w="6550"/>
      <w:gridCol w:w="1556"/>
      <w:gridCol w:w="1134"/>
    </w:tblGrid>
    <w:tr>
      <w:trPr>
        <w:trHeight w:hRule="exact" w:val="567"/>
      </w:trPr>
      <w:tc>
        <w:tcPr>
          <w:tcW w:w="893" w:type="dxa"/>
          <w:shd w:val="clear" w:color="auto" w:fill="auto"/>
        </w:tcPr>
        <w:p>
          <w:pPr>
            <w:pStyle w:val="Header"/>
            <w:spacing w:after="0" w:line="240" w:lineRule="auto"/>
            <w:rPr>
              <w:b/>
              <w:color w:val="FFFFFF"/>
              <w:sz w:val="48"/>
            </w:rPr>
          </w:pPr>
        </w:p>
      </w:tc>
      <w:tc>
        <w:tcPr>
          <w:tcW w:w="1632" w:type="dxa"/>
          <w:shd w:val="clear" w:color="auto" w:fill="auto"/>
        </w:tcPr>
        <w:p>
          <w:pPr>
            <w:pStyle w:val="Header"/>
          </w:pPr>
        </w:p>
      </w:tc>
      <w:tc>
        <w:tcPr>
          <w:tcW w:w="6551" w:type="dxa"/>
          <w:shd w:val="clear" w:color="auto" w:fill="auto"/>
          <w:vAlign w:val="bottom"/>
        </w:tcPr>
        <w:p>
          <w:pPr>
            <w:pStyle w:val="Yo4Headerodd"/>
          </w:pPr>
          <w:r>
            <w:rPr>
              <w:rFonts w:ascii="Arial" w:hAnsi="Arial"/>
              <w:noProof/>
              <w:color w:val="FF0000"/>
              <w:sz w:val="20"/>
            </w:rPr>
            <w:t>Demography</w:t>
          </w:r>
        </w:p>
      </w:tc>
      <w:tc>
        <w:tcPr>
          <w:tcW w:w="1556" w:type="dxa"/>
          <w:shd w:val="clear" w:color="auto" w:fill="D9D9D9"/>
        </w:tcPr>
        <w:p>
          <w:pPr>
            <w:pStyle w:val="Header"/>
            <w:spacing w:after="0" w:line="240" w:lineRule="auto"/>
            <w:jc w:val="center"/>
            <w:rPr>
              <w:b/>
              <w:color w:val="FFFFFF"/>
              <w:sz w:val="48"/>
            </w:rPr>
          </w:pPr>
        </w:p>
      </w:tc>
      <w:tc>
        <w:tcPr>
          <w:tcW w:w="1134" w:type="dxa"/>
          <w:shd w:val="clear" w:color="auto" w:fill="ED556E"/>
        </w:tcPr>
        <w:p>
          <w:pPr>
            <w:pStyle w:val="Header"/>
            <w:spacing w:after="0" w:line="240" w:lineRule="auto"/>
            <w:rPr>
              <w:rFonts w:ascii="Myriad Pro" w:hAnsi="Myriad Pro"/>
              <w:b/>
              <w:color w:val="FFFFFF"/>
              <w:sz w:val="44"/>
            </w:rPr>
          </w:pPr>
          <w:r>
            <w:rPr>
              <w:rFonts w:ascii="Myriad Pro" w:hAnsi="Myriad Pro"/>
              <w:b/>
              <w:color w:val="FFFFFF"/>
              <w:sz w:val="40"/>
            </w:rPr>
            <w:t>1</w:t>
          </w:r>
        </w:p>
      </w:tc>
    </w:tr>
  </w:tbl>
  <w:p>
    <w:pPr>
      <w:pStyle w:val="Yo5TextNotes"/>
    </w:pPr>
  </w:p>
  <w:p>
    <w:pPr>
      <w:pStyle w:val="Yo5TextNote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35" w:type="pct"/>
      <w:tblInd w:w="-1026" w:type="dxa"/>
      <w:tblLook w:val="04A0" w:firstRow="1" w:lastRow="0" w:firstColumn="1" w:lastColumn="0" w:noHBand="0" w:noVBand="1"/>
    </w:tblPr>
    <w:tblGrid>
      <w:gridCol w:w="1106"/>
      <w:gridCol w:w="1507"/>
      <w:gridCol w:w="6799"/>
      <w:gridCol w:w="1693"/>
      <w:gridCol w:w="928"/>
    </w:tblGrid>
    <w:tr>
      <w:trPr>
        <w:trHeight w:hRule="exact" w:val="567"/>
      </w:trPr>
      <w:tc>
        <w:tcPr>
          <w:tcW w:w="1129" w:type="dxa"/>
          <w:shd w:val="clear" w:color="auto" w:fill="ED556E"/>
        </w:tcPr>
        <w:p>
          <w:pPr>
            <w:pStyle w:val="Header"/>
            <w:spacing w:after="0" w:line="240" w:lineRule="auto"/>
            <w:jc w:val="right"/>
            <w:rPr>
              <w:rFonts w:ascii="Myriad Pro" w:hAnsi="Myriad Pro"/>
              <w:b/>
              <w:color w:val="FFFFFF"/>
              <w:sz w:val="48"/>
            </w:rPr>
          </w:pPr>
          <w:r>
            <w:rPr>
              <w:rFonts w:ascii="Myriad Pro" w:hAnsi="Myriad Pro"/>
              <w:b/>
              <w:color w:val="FFFFFF"/>
              <w:sz w:val="44"/>
            </w:rPr>
            <w:t>1</w:t>
          </w:r>
        </w:p>
      </w:tc>
      <w:tc>
        <w:tcPr>
          <w:tcW w:w="1554" w:type="dxa"/>
          <w:shd w:val="clear" w:color="auto" w:fill="D9D9D9"/>
        </w:tcPr>
        <w:p>
          <w:pPr>
            <w:pStyle w:val="Header"/>
          </w:pPr>
        </w:p>
      </w:tc>
      <w:tc>
        <w:tcPr>
          <w:tcW w:w="6993" w:type="dxa"/>
          <w:shd w:val="clear" w:color="auto" w:fill="auto"/>
          <w:vAlign w:val="bottom"/>
        </w:tcPr>
        <w:p>
          <w:pPr>
            <w:pStyle w:val="Yo4Headereven"/>
          </w:pPr>
          <w:r>
            <w:rPr>
              <w:rFonts w:ascii="Arial" w:hAnsi="Arial"/>
              <w:noProof/>
              <w:color w:val="FF0000"/>
              <w:sz w:val="20"/>
            </w:rPr>
            <w:t>Introduction</w:t>
          </w:r>
        </w:p>
      </w:tc>
      <w:tc>
        <w:tcPr>
          <w:tcW w:w="1747" w:type="dxa"/>
          <w:shd w:val="clear" w:color="auto" w:fill="auto"/>
        </w:tcPr>
        <w:p>
          <w:pPr>
            <w:pStyle w:val="Header"/>
            <w:spacing w:after="0" w:line="240" w:lineRule="auto"/>
            <w:jc w:val="center"/>
            <w:rPr>
              <w:b/>
              <w:color w:val="FFFFFF"/>
              <w:sz w:val="48"/>
            </w:rPr>
          </w:pPr>
        </w:p>
      </w:tc>
      <w:tc>
        <w:tcPr>
          <w:tcW w:w="954" w:type="dxa"/>
          <w:shd w:val="clear" w:color="auto" w:fill="auto"/>
        </w:tcPr>
        <w:p>
          <w:pPr>
            <w:pStyle w:val="Header"/>
            <w:spacing w:after="0" w:line="240" w:lineRule="auto"/>
            <w:jc w:val="center"/>
            <w:rPr>
              <w:b/>
              <w:color w:val="FFFFFF"/>
              <w:sz w:val="48"/>
            </w:rPr>
          </w:pPr>
        </w:p>
      </w:tc>
    </w:tr>
  </w:tbl>
  <w:p>
    <w:pPr>
      <w:pStyle w:val="Yo5TextNotes"/>
      <w:tabs>
        <w:tab w:val="clear" w:pos="1985"/>
        <w:tab w:val="left" w:pos="3825"/>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45" w:type="pct"/>
      <w:tblInd w:w="-601" w:type="dxa"/>
      <w:tblLook w:val="04A0" w:firstRow="1" w:lastRow="0" w:firstColumn="1" w:lastColumn="0" w:noHBand="0" w:noVBand="1"/>
    </w:tblPr>
    <w:tblGrid>
      <w:gridCol w:w="893"/>
      <w:gridCol w:w="1631"/>
    </w:tblGrid>
    <w:tr>
      <w:trPr>
        <w:trHeight w:hRule="exact" w:val="567"/>
      </w:trPr>
      <w:tc>
        <w:tcPr>
          <w:tcW w:w="893" w:type="dxa"/>
          <w:shd w:val="clear" w:color="auto" w:fill="auto"/>
        </w:tcPr>
        <w:p>
          <w:pPr>
            <w:pStyle w:val="Header"/>
            <w:spacing w:after="0" w:line="240" w:lineRule="auto"/>
            <w:rPr>
              <w:b/>
              <w:color w:val="FFFFFF"/>
              <w:sz w:val="48"/>
            </w:rPr>
          </w:pPr>
        </w:p>
      </w:tc>
      <w:tc>
        <w:tcPr>
          <w:tcW w:w="1632" w:type="dxa"/>
          <w:shd w:val="clear" w:color="auto" w:fill="auto"/>
        </w:tcPr>
        <w:p>
          <w:pPr>
            <w:pStyle w:val="Header"/>
          </w:pPr>
        </w:p>
      </w:tc>
    </w:tr>
  </w:tbl>
  <w:p>
    <w:pPr>
      <w:pStyle w:val="Yo5TextNote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35" w:type="pct"/>
      <w:tblInd w:w="-1026" w:type="dxa"/>
      <w:tblLook w:val="04A0" w:firstRow="1" w:lastRow="0" w:firstColumn="1" w:lastColumn="0" w:noHBand="0" w:noVBand="1"/>
    </w:tblPr>
    <w:tblGrid>
      <w:gridCol w:w="1106"/>
      <w:gridCol w:w="1507"/>
      <w:gridCol w:w="6799"/>
      <w:gridCol w:w="1693"/>
      <w:gridCol w:w="928"/>
    </w:tblGrid>
    <w:tr>
      <w:trPr>
        <w:trHeight w:hRule="exact" w:val="567"/>
      </w:trPr>
      <w:tc>
        <w:tcPr>
          <w:tcW w:w="1129" w:type="dxa"/>
          <w:shd w:val="clear" w:color="auto" w:fill="ED556E"/>
        </w:tcPr>
        <w:p>
          <w:pPr>
            <w:pStyle w:val="Header"/>
            <w:spacing w:after="0" w:line="240" w:lineRule="auto"/>
            <w:jc w:val="right"/>
            <w:rPr>
              <w:rFonts w:ascii="Myriad Pro" w:hAnsi="Myriad Pro"/>
              <w:b/>
              <w:color w:val="FFFFFF"/>
              <w:sz w:val="48"/>
            </w:rPr>
          </w:pPr>
          <w:r>
            <w:rPr>
              <w:rFonts w:ascii="Myriad Pro" w:hAnsi="Myriad Pro"/>
              <w:b/>
              <w:color w:val="FFFFFF"/>
              <w:sz w:val="44"/>
            </w:rPr>
            <w:t>1</w:t>
          </w:r>
        </w:p>
      </w:tc>
      <w:tc>
        <w:tcPr>
          <w:tcW w:w="1554" w:type="dxa"/>
          <w:shd w:val="clear" w:color="auto" w:fill="D9D9D9"/>
        </w:tcPr>
        <w:p>
          <w:pPr>
            <w:pStyle w:val="Header"/>
          </w:pPr>
        </w:p>
      </w:tc>
      <w:tc>
        <w:tcPr>
          <w:tcW w:w="6993" w:type="dxa"/>
          <w:shd w:val="clear" w:color="auto" w:fill="auto"/>
          <w:vAlign w:val="bottom"/>
        </w:tcPr>
        <w:p>
          <w:pPr>
            <w:pStyle w:val="Yo4Headereven"/>
          </w:pPr>
          <w:r>
            <w:rPr>
              <w:rFonts w:ascii="Arial" w:hAnsi="Arial"/>
              <w:noProof/>
              <w:color w:val="FF0000"/>
              <w:sz w:val="20"/>
            </w:rPr>
            <w:t>Introduction</w:t>
          </w:r>
        </w:p>
      </w:tc>
      <w:tc>
        <w:tcPr>
          <w:tcW w:w="1747" w:type="dxa"/>
          <w:shd w:val="clear" w:color="auto" w:fill="auto"/>
        </w:tcPr>
        <w:p>
          <w:pPr>
            <w:pStyle w:val="Header"/>
            <w:spacing w:after="0" w:line="240" w:lineRule="auto"/>
            <w:jc w:val="center"/>
            <w:rPr>
              <w:b/>
              <w:color w:val="FFFFFF"/>
              <w:sz w:val="48"/>
            </w:rPr>
          </w:pPr>
        </w:p>
      </w:tc>
      <w:tc>
        <w:tcPr>
          <w:tcW w:w="954" w:type="dxa"/>
          <w:shd w:val="clear" w:color="auto" w:fill="auto"/>
        </w:tcPr>
        <w:p>
          <w:pPr>
            <w:pStyle w:val="Header"/>
            <w:spacing w:after="0" w:line="240" w:lineRule="auto"/>
            <w:jc w:val="center"/>
            <w:rPr>
              <w:b/>
              <w:color w:val="FFFFFF"/>
              <w:sz w:val="48"/>
            </w:rPr>
          </w:pPr>
        </w:p>
      </w:tc>
    </w:tr>
  </w:tbl>
  <w:p>
    <w:pPr>
      <w:pStyle w:val="Yo5TextNotes"/>
      <w:tabs>
        <w:tab w:val="clear" w:pos="1985"/>
        <w:tab w:val="left" w:pos="3825"/>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803" w:type="pct"/>
      <w:tblInd w:w="-601" w:type="dxa"/>
      <w:tblLook w:val="04A0" w:firstRow="1" w:lastRow="0" w:firstColumn="1" w:lastColumn="0" w:noHBand="0" w:noVBand="1"/>
    </w:tblPr>
    <w:tblGrid>
      <w:gridCol w:w="893"/>
      <w:gridCol w:w="1632"/>
      <w:gridCol w:w="6550"/>
      <w:gridCol w:w="1556"/>
      <w:gridCol w:w="1134"/>
    </w:tblGrid>
    <w:tr>
      <w:trPr>
        <w:trHeight w:hRule="exact" w:val="567"/>
      </w:trPr>
      <w:tc>
        <w:tcPr>
          <w:tcW w:w="893" w:type="dxa"/>
          <w:shd w:val="clear" w:color="auto" w:fill="auto"/>
        </w:tcPr>
        <w:p>
          <w:pPr>
            <w:pStyle w:val="Header"/>
            <w:spacing w:after="0" w:line="240" w:lineRule="auto"/>
            <w:rPr>
              <w:b/>
              <w:color w:val="FFFFFF"/>
              <w:sz w:val="48"/>
            </w:rPr>
          </w:pPr>
        </w:p>
      </w:tc>
      <w:tc>
        <w:tcPr>
          <w:tcW w:w="1632" w:type="dxa"/>
          <w:shd w:val="clear" w:color="auto" w:fill="auto"/>
        </w:tcPr>
        <w:p>
          <w:pPr>
            <w:pStyle w:val="Header"/>
          </w:pPr>
        </w:p>
      </w:tc>
      <w:tc>
        <w:tcPr>
          <w:tcW w:w="6551" w:type="dxa"/>
          <w:shd w:val="clear" w:color="auto" w:fill="auto"/>
          <w:vAlign w:val="bottom"/>
        </w:tcPr>
        <w:p>
          <w:pPr>
            <w:pStyle w:val="Yo4Headerodd"/>
          </w:pPr>
          <w:r>
            <w:rPr>
              <w:rFonts w:ascii="Arial" w:hAnsi="Arial"/>
              <w:noProof/>
              <w:color w:val="FF0000"/>
              <w:sz w:val="20"/>
            </w:rPr>
            <w:t>Introduction</w:t>
          </w:r>
        </w:p>
      </w:tc>
      <w:tc>
        <w:tcPr>
          <w:tcW w:w="1556" w:type="dxa"/>
          <w:shd w:val="clear" w:color="auto" w:fill="D9D9D9"/>
        </w:tcPr>
        <w:p>
          <w:pPr>
            <w:pStyle w:val="Header"/>
            <w:spacing w:after="0" w:line="240" w:lineRule="auto"/>
            <w:jc w:val="center"/>
            <w:rPr>
              <w:b/>
              <w:color w:val="FFFFFF"/>
              <w:sz w:val="48"/>
            </w:rPr>
          </w:pPr>
        </w:p>
      </w:tc>
      <w:tc>
        <w:tcPr>
          <w:tcW w:w="1134" w:type="dxa"/>
          <w:shd w:val="clear" w:color="auto" w:fill="ED556E"/>
        </w:tcPr>
        <w:p>
          <w:pPr>
            <w:pStyle w:val="Header"/>
            <w:spacing w:after="0" w:line="240" w:lineRule="auto"/>
            <w:rPr>
              <w:rFonts w:ascii="Myriad Pro" w:hAnsi="Myriad Pro"/>
              <w:b/>
              <w:color w:val="FFFFFF"/>
              <w:sz w:val="44"/>
            </w:rPr>
          </w:pPr>
        </w:p>
      </w:tc>
    </w:tr>
  </w:tbl>
  <w:p>
    <w:pPr>
      <w:pStyle w:val="Yo5TextNote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E74C8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96E68AA"/>
    <w:lvl w:ilvl="0">
      <w:start w:val="1"/>
      <w:numFmt w:val="decimal"/>
      <w:lvlText w:val="%1."/>
      <w:lvlJc w:val="left"/>
      <w:pPr>
        <w:tabs>
          <w:tab w:val="num" w:pos="1492"/>
        </w:tabs>
        <w:ind w:left="1492" w:hanging="360"/>
      </w:pPr>
    </w:lvl>
  </w:abstractNum>
  <w:abstractNum w:abstractNumId="2">
    <w:nsid w:val="FFFFFF7E"/>
    <w:multiLevelType w:val="singleLevel"/>
    <w:tmpl w:val="20023824"/>
    <w:lvl w:ilvl="0">
      <w:start w:val="1"/>
      <w:numFmt w:val="decimal"/>
      <w:pStyle w:val="ListBullet2"/>
      <w:lvlText w:val="%1."/>
      <w:lvlJc w:val="left"/>
      <w:pPr>
        <w:tabs>
          <w:tab w:val="num" w:pos="926"/>
        </w:tabs>
        <w:ind w:left="926" w:hanging="360"/>
      </w:pPr>
      <w:rPr>
        <w:rFonts w:cs="Times New Roman"/>
      </w:rPr>
    </w:lvl>
  </w:abstractNum>
  <w:abstractNum w:abstractNumId="3">
    <w:nsid w:val="FFFFFF7F"/>
    <w:multiLevelType w:val="singleLevel"/>
    <w:tmpl w:val="E71E1756"/>
    <w:lvl w:ilvl="0">
      <w:start w:val="1"/>
      <w:numFmt w:val="decimal"/>
      <w:pStyle w:val="ListBullet"/>
      <w:lvlText w:val="%1."/>
      <w:lvlJc w:val="left"/>
      <w:pPr>
        <w:tabs>
          <w:tab w:val="num" w:pos="643"/>
        </w:tabs>
        <w:ind w:left="643" w:hanging="360"/>
      </w:pPr>
      <w:rPr>
        <w:rFonts w:cs="Times New Roman"/>
      </w:rPr>
    </w:lvl>
  </w:abstractNum>
  <w:abstractNum w:abstractNumId="4">
    <w:nsid w:val="FFFFFF80"/>
    <w:multiLevelType w:val="singleLevel"/>
    <w:tmpl w:val="3E0837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13099C8"/>
    <w:lvl w:ilvl="0">
      <w:start w:val="1"/>
      <w:numFmt w:val="bullet"/>
      <w:pStyle w:val="ListNumber3"/>
      <w:lvlText w:val=""/>
      <w:lvlJc w:val="left"/>
      <w:pPr>
        <w:tabs>
          <w:tab w:val="num" w:pos="1209"/>
        </w:tabs>
        <w:ind w:left="1209" w:hanging="360"/>
      </w:pPr>
      <w:rPr>
        <w:rFonts w:ascii="Symbol" w:hAnsi="Symbol" w:hint="default"/>
      </w:rPr>
    </w:lvl>
  </w:abstractNum>
  <w:abstractNum w:abstractNumId="6">
    <w:nsid w:val="FFFFFF82"/>
    <w:multiLevelType w:val="singleLevel"/>
    <w:tmpl w:val="F7A2C098"/>
    <w:lvl w:ilvl="0">
      <w:start w:val="1"/>
      <w:numFmt w:val="bullet"/>
      <w:pStyle w:val="ListNumber2"/>
      <w:lvlText w:val=""/>
      <w:lvlJc w:val="left"/>
      <w:pPr>
        <w:tabs>
          <w:tab w:val="num" w:pos="926"/>
        </w:tabs>
        <w:ind w:left="926" w:hanging="360"/>
      </w:pPr>
      <w:rPr>
        <w:rFonts w:ascii="Symbol" w:hAnsi="Symbol" w:hint="default"/>
      </w:rPr>
    </w:lvl>
  </w:abstractNum>
  <w:abstractNum w:abstractNumId="7">
    <w:nsid w:val="FFFFFF83"/>
    <w:multiLevelType w:val="singleLevel"/>
    <w:tmpl w:val="9950308C"/>
    <w:lvl w:ilvl="0">
      <w:start w:val="1"/>
      <w:numFmt w:val="bullet"/>
      <w:pStyle w:val="ListBullet4"/>
      <w:lvlText w:val=""/>
      <w:lvlJc w:val="left"/>
      <w:pPr>
        <w:tabs>
          <w:tab w:val="num" w:pos="643"/>
        </w:tabs>
        <w:ind w:left="643" w:hanging="360"/>
      </w:pPr>
      <w:rPr>
        <w:rFonts w:ascii="Symbol" w:hAnsi="Symbol" w:hint="default"/>
      </w:rPr>
    </w:lvl>
  </w:abstractNum>
  <w:abstractNum w:abstractNumId="8">
    <w:nsid w:val="FFFFFF88"/>
    <w:multiLevelType w:val="singleLevel"/>
    <w:tmpl w:val="31DA0418"/>
    <w:lvl w:ilvl="0">
      <w:start w:val="1"/>
      <w:numFmt w:val="decimal"/>
      <w:pStyle w:val="ListNumber4"/>
      <w:lvlText w:val="%1."/>
      <w:lvlJc w:val="left"/>
      <w:pPr>
        <w:tabs>
          <w:tab w:val="num" w:pos="360"/>
        </w:tabs>
        <w:ind w:left="360" w:hanging="360"/>
      </w:pPr>
      <w:rPr>
        <w:rFonts w:cs="Times New Roman"/>
      </w:rPr>
    </w:lvl>
  </w:abstractNum>
  <w:abstractNum w:abstractNumId="9">
    <w:nsid w:val="FFFFFF89"/>
    <w:multiLevelType w:val="singleLevel"/>
    <w:tmpl w:val="549C364E"/>
    <w:lvl w:ilvl="0">
      <w:start w:val="1"/>
      <w:numFmt w:val="bullet"/>
      <w:pStyle w:val="ListBullet3"/>
      <w:lvlText w:val=""/>
      <w:lvlJc w:val="left"/>
      <w:pPr>
        <w:tabs>
          <w:tab w:val="num" w:pos="360"/>
        </w:tabs>
        <w:ind w:left="360" w:hanging="360"/>
      </w:pPr>
      <w:rPr>
        <w:rFonts w:ascii="Symbol" w:hAnsi="Symbol" w:hint="default"/>
      </w:rPr>
    </w:lvl>
  </w:abstractNum>
  <w:abstractNum w:abstractNumId="10">
    <w:nsid w:val="061F12D1"/>
    <w:multiLevelType w:val="hybridMultilevel"/>
    <w:tmpl w:val="3D08A7B0"/>
    <w:lvl w:ilvl="0" w:tplc="4F34DA2C">
      <w:start w:val="1"/>
      <w:numFmt w:val="bullet"/>
      <w:lvlText w:val=""/>
      <w:lvlJc w:val="left"/>
      <w:pPr>
        <w:ind w:left="720" w:hanging="360"/>
      </w:pPr>
      <w:rPr>
        <w:rFonts w:ascii="Wingdings" w:hAnsi="Wingdings"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76A1B99"/>
    <w:multiLevelType w:val="hybridMultilevel"/>
    <w:tmpl w:val="7C401FD2"/>
    <w:lvl w:ilvl="0" w:tplc="0CBAACC0">
      <w:start w:val="1"/>
      <w:numFmt w:val="decimal"/>
      <w:pStyle w:val="Yo11TextNum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1314432"/>
    <w:multiLevelType w:val="multilevel"/>
    <w:tmpl w:val="56C06BBC"/>
    <w:lvl w:ilvl="0">
      <w:start w:val="1"/>
      <w:numFmt w:val="bullet"/>
      <w:pStyle w:val="Yo11Textbulletlvl1"/>
      <w:lvlText w:val=""/>
      <w:lvlJc w:val="left"/>
      <w:pPr>
        <w:ind w:left="360" w:hanging="360"/>
      </w:pPr>
      <w:rPr>
        <w:rFonts w:ascii="Symbol" w:hAnsi="Symbol" w:hint="default"/>
        <w:b w:val="0"/>
        <w:i w:val="0"/>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2F85CBE"/>
    <w:multiLevelType w:val="hybridMultilevel"/>
    <w:tmpl w:val="C5A25794"/>
    <w:lvl w:ilvl="0" w:tplc="2D2A33D8">
      <w:start w:val="1"/>
      <w:numFmt w:val="bullet"/>
      <w:pStyle w:val="tableauougraphique"/>
      <w:lvlText w:val=""/>
      <w:lvlJc w:val="left"/>
      <w:pPr>
        <w:ind w:left="720" w:hanging="360"/>
      </w:pPr>
      <w:rPr>
        <w:rFonts w:ascii="Wingdings 2" w:hAnsi="Wingdings 2" w:hint="default"/>
        <w:sz w:val="24"/>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CBD31A0"/>
    <w:multiLevelType w:val="hybridMultilevel"/>
    <w:tmpl w:val="F782BC64"/>
    <w:lvl w:ilvl="0" w:tplc="4F34DA2C">
      <w:start w:val="1"/>
      <w:numFmt w:val="bullet"/>
      <w:lvlText w:val=""/>
      <w:lvlJc w:val="left"/>
      <w:pPr>
        <w:ind w:left="720" w:hanging="360"/>
      </w:pPr>
      <w:rPr>
        <w:rFonts w:ascii="Wingdings" w:hAnsi="Wingdings"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E53124E"/>
    <w:multiLevelType w:val="singleLevel"/>
    <w:tmpl w:val="64B62D6E"/>
    <w:lvl w:ilvl="0">
      <w:start w:val="1"/>
      <w:numFmt w:val="bullet"/>
      <w:pStyle w:val="Heading8"/>
      <w:lvlText w:val=""/>
      <w:lvlJc w:val="left"/>
      <w:pPr>
        <w:tabs>
          <w:tab w:val="num" w:pos="360"/>
        </w:tabs>
        <w:ind w:left="360" w:hanging="360"/>
      </w:pPr>
      <w:rPr>
        <w:rFonts w:ascii="Symbol" w:hAnsi="Symbol" w:hint="default"/>
      </w:rPr>
    </w:lvl>
  </w:abstractNum>
  <w:abstractNum w:abstractNumId="16">
    <w:nsid w:val="1F3C6A90"/>
    <w:multiLevelType w:val="hybridMultilevel"/>
    <w:tmpl w:val="E0CC778C"/>
    <w:lvl w:ilvl="0" w:tplc="BFB88B92">
      <w:start w:val="1"/>
      <w:numFmt w:val="bullet"/>
      <w:pStyle w:val="textepar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7">
    <w:nsid w:val="24BA2E06"/>
    <w:multiLevelType w:val="hybridMultilevel"/>
    <w:tmpl w:val="CC345A64"/>
    <w:lvl w:ilvl="0" w:tplc="41F83986">
      <w:start w:val="1"/>
      <w:numFmt w:val="bullet"/>
      <w:pStyle w:val="Yo11Textbulletlvl2"/>
      <w:lvlText w:val="o"/>
      <w:lvlJc w:val="left"/>
      <w:pPr>
        <w:ind w:left="644" w:hanging="360"/>
      </w:pPr>
      <w:rPr>
        <w:rFonts w:ascii="Courier New" w:hAnsi="Courier New" w:cs="Courier New" w:hint="default"/>
      </w:rPr>
    </w:lvl>
    <w:lvl w:ilvl="1" w:tplc="04070003" w:tentative="1">
      <w:start w:val="1"/>
      <w:numFmt w:val="bullet"/>
      <w:lvlText w:val="o"/>
      <w:lvlJc w:val="left"/>
      <w:pPr>
        <w:ind w:left="2517" w:hanging="360"/>
      </w:pPr>
      <w:rPr>
        <w:rFonts w:ascii="Courier New" w:hAnsi="Courier New" w:cs="Courier New" w:hint="default"/>
      </w:rPr>
    </w:lvl>
    <w:lvl w:ilvl="2" w:tplc="04070005" w:tentative="1">
      <w:start w:val="1"/>
      <w:numFmt w:val="bullet"/>
      <w:lvlText w:val=""/>
      <w:lvlJc w:val="left"/>
      <w:pPr>
        <w:ind w:left="3237" w:hanging="360"/>
      </w:pPr>
      <w:rPr>
        <w:rFonts w:ascii="Wingdings" w:hAnsi="Wingdings" w:hint="default"/>
      </w:rPr>
    </w:lvl>
    <w:lvl w:ilvl="3" w:tplc="04070001" w:tentative="1">
      <w:start w:val="1"/>
      <w:numFmt w:val="bullet"/>
      <w:lvlText w:val=""/>
      <w:lvlJc w:val="left"/>
      <w:pPr>
        <w:ind w:left="3957" w:hanging="360"/>
      </w:pPr>
      <w:rPr>
        <w:rFonts w:ascii="Symbol" w:hAnsi="Symbol" w:hint="default"/>
      </w:rPr>
    </w:lvl>
    <w:lvl w:ilvl="4" w:tplc="04070003" w:tentative="1">
      <w:start w:val="1"/>
      <w:numFmt w:val="bullet"/>
      <w:lvlText w:val="o"/>
      <w:lvlJc w:val="left"/>
      <w:pPr>
        <w:ind w:left="4677" w:hanging="360"/>
      </w:pPr>
      <w:rPr>
        <w:rFonts w:ascii="Courier New" w:hAnsi="Courier New" w:cs="Courier New" w:hint="default"/>
      </w:rPr>
    </w:lvl>
    <w:lvl w:ilvl="5" w:tplc="04070005" w:tentative="1">
      <w:start w:val="1"/>
      <w:numFmt w:val="bullet"/>
      <w:lvlText w:val=""/>
      <w:lvlJc w:val="left"/>
      <w:pPr>
        <w:ind w:left="5397" w:hanging="360"/>
      </w:pPr>
      <w:rPr>
        <w:rFonts w:ascii="Wingdings" w:hAnsi="Wingdings" w:hint="default"/>
      </w:rPr>
    </w:lvl>
    <w:lvl w:ilvl="6" w:tplc="04070001" w:tentative="1">
      <w:start w:val="1"/>
      <w:numFmt w:val="bullet"/>
      <w:lvlText w:val=""/>
      <w:lvlJc w:val="left"/>
      <w:pPr>
        <w:ind w:left="6117" w:hanging="360"/>
      </w:pPr>
      <w:rPr>
        <w:rFonts w:ascii="Symbol" w:hAnsi="Symbol" w:hint="default"/>
      </w:rPr>
    </w:lvl>
    <w:lvl w:ilvl="7" w:tplc="04070003" w:tentative="1">
      <w:start w:val="1"/>
      <w:numFmt w:val="bullet"/>
      <w:lvlText w:val="o"/>
      <w:lvlJc w:val="left"/>
      <w:pPr>
        <w:ind w:left="6837" w:hanging="360"/>
      </w:pPr>
      <w:rPr>
        <w:rFonts w:ascii="Courier New" w:hAnsi="Courier New" w:cs="Courier New" w:hint="default"/>
      </w:rPr>
    </w:lvl>
    <w:lvl w:ilvl="8" w:tplc="04070005" w:tentative="1">
      <w:start w:val="1"/>
      <w:numFmt w:val="bullet"/>
      <w:lvlText w:val=""/>
      <w:lvlJc w:val="left"/>
      <w:pPr>
        <w:ind w:left="7557" w:hanging="360"/>
      </w:pPr>
      <w:rPr>
        <w:rFonts w:ascii="Wingdings" w:hAnsi="Wingdings" w:hint="default"/>
      </w:rPr>
    </w:lvl>
  </w:abstractNum>
  <w:abstractNum w:abstractNumId="18">
    <w:nsid w:val="264B3E4C"/>
    <w:multiLevelType w:val="hybridMultilevel"/>
    <w:tmpl w:val="5AF28330"/>
    <w:lvl w:ilvl="0" w:tplc="4F34DA2C">
      <w:start w:val="1"/>
      <w:numFmt w:val="bullet"/>
      <w:lvlText w:val=""/>
      <w:lvlJc w:val="left"/>
      <w:pPr>
        <w:ind w:left="720" w:hanging="360"/>
      </w:pPr>
      <w:rPr>
        <w:rFonts w:ascii="Wingdings" w:hAnsi="Wingdings"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F76E7A"/>
    <w:multiLevelType w:val="singleLevel"/>
    <w:tmpl w:val="C74C5A32"/>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0">
    <w:nsid w:val="2B255730"/>
    <w:multiLevelType w:val="hybridMultilevel"/>
    <w:tmpl w:val="6BB2EC14"/>
    <w:lvl w:ilvl="0" w:tplc="4F34DA2C">
      <w:start w:val="1"/>
      <w:numFmt w:val="bullet"/>
      <w:lvlText w:val=""/>
      <w:lvlJc w:val="left"/>
      <w:pPr>
        <w:ind w:left="720" w:hanging="360"/>
      </w:pPr>
      <w:rPr>
        <w:rFonts w:ascii="Wingdings" w:hAnsi="Wingdings"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DA6722C"/>
    <w:multiLevelType w:val="hybridMultilevel"/>
    <w:tmpl w:val="88BC12F8"/>
    <w:lvl w:ilvl="0" w:tplc="4F34DA2C">
      <w:start w:val="1"/>
      <w:numFmt w:val="bullet"/>
      <w:lvlText w:val=""/>
      <w:lvlJc w:val="left"/>
      <w:pPr>
        <w:ind w:left="720" w:hanging="360"/>
      </w:pPr>
      <w:rPr>
        <w:rFonts w:ascii="Wingdings" w:hAnsi="Wingdings"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87F1C13"/>
    <w:multiLevelType w:val="hybridMultilevel"/>
    <w:tmpl w:val="7A80DE1E"/>
    <w:lvl w:ilvl="0" w:tplc="4F34DA2C">
      <w:start w:val="1"/>
      <w:numFmt w:val="bullet"/>
      <w:lvlText w:val=""/>
      <w:lvlJc w:val="left"/>
      <w:pPr>
        <w:ind w:left="720" w:hanging="360"/>
      </w:pPr>
      <w:rPr>
        <w:rFonts w:ascii="Wingdings" w:hAnsi="Wingdings"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5459E8"/>
    <w:multiLevelType w:val="singleLevel"/>
    <w:tmpl w:val="2188C922"/>
    <w:name w:val="Tiret 1"/>
    <w:lvl w:ilvl="0">
      <w:start w:val="1"/>
      <w:numFmt w:val="bullet"/>
      <w:lvlRestart w:val="0"/>
      <w:pStyle w:val="Tiret1"/>
      <w:lvlText w:val="–"/>
      <w:lvlJc w:val="left"/>
      <w:pPr>
        <w:tabs>
          <w:tab w:val="num" w:pos="1417"/>
        </w:tabs>
        <w:ind w:left="1417" w:hanging="567"/>
      </w:pPr>
    </w:lvl>
  </w:abstractNum>
  <w:abstractNum w:abstractNumId="24">
    <w:nsid w:val="3BA736C9"/>
    <w:multiLevelType w:val="singleLevel"/>
    <w:tmpl w:val="F00A6C0C"/>
    <w:name w:val="Tiret 0"/>
    <w:lvl w:ilvl="0">
      <w:start w:val="1"/>
      <w:numFmt w:val="bullet"/>
      <w:lvlRestart w:val="0"/>
      <w:pStyle w:val="Tiret0"/>
      <w:lvlText w:val="–"/>
      <w:lvlJc w:val="left"/>
      <w:pPr>
        <w:tabs>
          <w:tab w:val="num" w:pos="850"/>
        </w:tabs>
        <w:ind w:left="850" w:hanging="850"/>
      </w:pPr>
    </w:lvl>
  </w:abstractNum>
  <w:abstractNum w:abstractNumId="25">
    <w:nsid w:val="3C90278F"/>
    <w:multiLevelType w:val="singleLevel"/>
    <w:tmpl w:val="0FE08974"/>
    <w:name w:val="Tiret 3"/>
    <w:lvl w:ilvl="0">
      <w:start w:val="1"/>
      <w:numFmt w:val="bullet"/>
      <w:lvlRestart w:val="0"/>
      <w:pStyle w:val="Tiret3"/>
      <w:lvlText w:val="–"/>
      <w:lvlJc w:val="left"/>
      <w:pPr>
        <w:tabs>
          <w:tab w:val="num" w:pos="2551"/>
        </w:tabs>
        <w:ind w:left="2551" w:hanging="567"/>
      </w:pPr>
    </w:lvl>
  </w:abstractNum>
  <w:abstractNum w:abstractNumId="26">
    <w:nsid w:val="40FF3500"/>
    <w:multiLevelType w:val="singleLevel"/>
    <w:tmpl w:val="84DA1EE8"/>
    <w:lvl w:ilvl="0">
      <w:start w:val="1"/>
      <w:numFmt w:val="bullet"/>
      <w:lvlRestart w:val="0"/>
      <w:lvlText w:val=""/>
      <w:lvlJc w:val="left"/>
      <w:pPr>
        <w:tabs>
          <w:tab w:val="num" w:pos="1417"/>
        </w:tabs>
        <w:ind w:left="1417" w:hanging="567"/>
      </w:pPr>
      <w:rPr>
        <w:rFonts w:ascii="Symbol" w:hAnsi="Symbol" w:hint="default"/>
      </w:rPr>
    </w:lvl>
  </w:abstractNum>
  <w:abstractNum w:abstractNumId="27">
    <w:nsid w:val="428415E7"/>
    <w:multiLevelType w:val="multilevel"/>
    <w:tmpl w:val="92100ADA"/>
    <w:lvl w:ilvl="0">
      <w:start w:val="1"/>
      <w:numFmt w:val="decimal"/>
      <w:pStyle w:val="ListNumber"/>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nsid w:val="48842C30"/>
    <w:multiLevelType w:val="singleLevel"/>
    <w:tmpl w:val="4FA60B9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9">
    <w:nsid w:val="49D47C56"/>
    <w:multiLevelType w:val="multilevel"/>
    <w:tmpl w:val="47CEF9CE"/>
    <w:name w:val="0.3838269"/>
    <w:lvl w:ilvl="0">
      <w:start w:val="3"/>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54593082"/>
    <w:multiLevelType w:val="singleLevel"/>
    <w:tmpl w:val="EDE069AC"/>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1">
    <w:nsid w:val="54E058C9"/>
    <w:multiLevelType w:val="hybridMultilevel"/>
    <w:tmpl w:val="BCFC9894"/>
    <w:lvl w:ilvl="0" w:tplc="EBA0E5C8">
      <w:start w:val="1"/>
      <w:numFmt w:val="decimal"/>
      <w:pStyle w:val="Yo11TextNum2"/>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32">
    <w:nsid w:val="568864DC"/>
    <w:multiLevelType w:val="singleLevel"/>
    <w:tmpl w:val="485EBDAC"/>
    <w:name w:val="Tiret 4"/>
    <w:lvl w:ilvl="0">
      <w:start w:val="1"/>
      <w:numFmt w:val="bullet"/>
      <w:lvlRestart w:val="0"/>
      <w:pStyle w:val="Tiret4"/>
      <w:lvlText w:val="–"/>
      <w:lvlJc w:val="left"/>
      <w:pPr>
        <w:tabs>
          <w:tab w:val="num" w:pos="3118"/>
        </w:tabs>
        <w:ind w:left="3118" w:hanging="567"/>
      </w:pPr>
    </w:lvl>
  </w:abstractNum>
  <w:abstractNum w:abstractNumId="33">
    <w:nsid w:val="59C8178D"/>
    <w:multiLevelType w:val="hybridMultilevel"/>
    <w:tmpl w:val="8A9E711C"/>
    <w:lvl w:ilvl="0" w:tplc="9A820658">
      <w:start w:val="1"/>
      <w:numFmt w:val="bullet"/>
      <w:pStyle w:val="Yo11Textbulletlvl3"/>
      <w:lvlText w:val=""/>
      <w:lvlJc w:val="left"/>
      <w:pPr>
        <w:ind w:left="984"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34">
    <w:nsid w:val="5F342530"/>
    <w:multiLevelType w:val="singleLevel"/>
    <w:tmpl w:val="D5444702"/>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5">
    <w:nsid w:val="5F9C40AA"/>
    <w:multiLevelType w:val="singleLevel"/>
    <w:tmpl w:val="B89CB5A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6">
    <w:nsid w:val="62970F71"/>
    <w:multiLevelType w:val="singleLevel"/>
    <w:tmpl w:val="5AFA8C72"/>
    <w:name w:val="Tiret 2"/>
    <w:lvl w:ilvl="0">
      <w:start w:val="1"/>
      <w:numFmt w:val="bullet"/>
      <w:lvlRestart w:val="0"/>
      <w:pStyle w:val="Tiret2"/>
      <w:lvlText w:val="–"/>
      <w:lvlJc w:val="left"/>
      <w:pPr>
        <w:tabs>
          <w:tab w:val="num" w:pos="1984"/>
        </w:tabs>
        <w:ind w:left="1984" w:hanging="567"/>
      </w:pPr>
    </w:lvl>
  </w:abstractNum>
  <w:abstractNum w:abstractNumId="37">
    <w:nsid w:val="63B55A30"/>
    <w:multiLevelType w:val="hybridMultilevel"/>
    <w:tmpl w:val="3F1CA44C"/>
    <w:lvl w:ilvl="0" w:tplc="4F34DA2C">
      <w:start w:val="1"/>
      <w:numFmt w:val="bullet"/>
      <w:lvlText w:val=""/>
      <w:lvlJc w:val="left"/>
      <w:pPr>
        <w:ind w:left="720" w:hanging="360"/>
      </w:pPr>
      <w:rPr>
        <w:rFonts w:ascii="Wingdings" w:hAnsi="Wingdings"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9995580"/>
    <w:multiLevelType w:val="singleLevel"/>
    <w:tmpl w:val="75CC7CBA"/>
    <w:name w:val="Considérant"/>
    <w:lvl w:ilvl="0">
      <w:start w:val="1"/>
      <w:numFmt w:val="decimal"/>
      <w:lvlRestart w:val="0"/>
      <w:pStyle w:val="Considrant"/>
      <w:lvlText w:val="(%1)"/>
      <w:lvlJc w:val="left"/>
      <w:pPr>
        <w:tabs>
          <w:tab w:val="num" w:pos="709"/>
        </w:tabs>
        <w:ind w:left="709" w:hanging="709"/>
      </w:pPr>
    </w:lvl>
  </w:abstractNum>
  <w:abstractNum w:abstractNumId="39">
    <w:nsid w:val="711167E2"/>
    <w:multiLevelType w:val="multilevel"/>
    <w:tmpl w:val="C3843A7A"/>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69D4072"/>
    <w:multiLevelType w:val="hybridMultilevel"/>
    <w:tmpl w:val="0ACA6C82"/>
    <w:lvl w:ilvl="0" w:tplc="4E80D628">
      <w:start w:val="1"/>
      <w:numFmt w:val="decimal"/>
      <w:pStyle w:val="Yo11TextNum3"/>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BE95D7F"/>
    <w:multiLevelType w:val="multilevel"/>
    <w:tmpl w:val="F126F780"/>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2">
    <w:nsid w:val="7CF63D8B"/>
    <w:multiLevelType w:val="hybridMultilevel"/>
    <w:tmpl w:val="5D82DCC4"/>
    <w:lvl w:ilvl="0" w:tplc="4F34DA2C">
      <w:start w:val="1"/>
      <w:numFmt w:val="bullet"/>
      <w:lvlText w:val=""/>
      <w:lvlJc w:val="left"/>
      <w:pPr>
        <w:ind w:left="720" w:hanging="360"/>
      </w:pPr>
      <w:rPr>
        <w:rFonts w:ascii="Wingdings" w:hAnsi="Wingdings"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33"/>
  </w:num>
  <w:num w:numId="4">
    <w:abstractNumId w:val="11"/>
  </w:num>
  <w:num w:numId="5">
    <w:abstractNumId w:val="31"/>
  </w:num>
  <w:num w:numId="6">
    <w:abstractNumId w:val="40"/>
  </w:num>
  <w:num w:numId="7">
    <w:abstractNumId w:val="29"/>
  </w:num>
  <w:num w:numId="8">
    <w:abstractNumId w:val="9"/>
  </w:num>
  <w:num w:numId="9">
    <w:abstractNumId w:val="7"/>
  </w:num>
  <w:num w:numId="10">
    <w:abstractNumId w:val="6"/>
  </w:num>
  <w:num w:numId="11">
    <w:abstractNumId w:val="5"/>
  </w:num>
  <w:num w:numId="12">
    <w:abstractNumId w:val="8"/>
  </w:num>
  <w:num w:numId="13">
    <w:abstractNumId w:val="3"/>
  </w:num>
  <w:num w:numId="14">
    <w:abstractNumId w:val="2"/>
  </w:num>
  <w:num w:numId="15">
    <w:abstractNumId w:val="27"/>
  </w:num>
  <w:num w:numId="16">
    <w:abstractNumId w:val="15"/>
  </w:num>
  <w:num w:numId="17">
    <w:abstractNumId w:val="16"/>
  </w:num>
  <w:num w:numId="18">
    <w:abstractNumId w:val="13"/>
  </w:num>
  <w:num w:numId="19">
    <w:abstractNumId w:val="24"/>
  </w:num>
  <w:num w:numId="20">
    <w:abstractNumId w:val="23"/>
  </w:num>
  <w:num w:numId="21">
    <w:abstractNumId w:val="36"/>
  </w:num>
  <w:num w:numId="22">
    <w:abstractNumId w:val="25"/>
  </w:num>
  <w:num w:numId="23">
    <w:abstractNumId w:val="32"/>
  </w:num>
  <w:num w:numId="24">
    <w:abstractNumId w:val="39"/>
  </w:num>
  <w:num w:numId="25">
    <w:abstractNumId w:val="41"/>
  </w:num>
  <w:num w:numId="26">
    <w:abstractNumId w:val="30"/>
  </w:num>
  <w:num w:numId="27">
    <w:abstractNumId w:val="19"/>
  </w:num>
  <w:num w:numId="28">
    <w:abstractNumId w:val="35"/>
  </w:num>
  <w:num w:numId="29">
    <w:abstractNumId w:val="34"/>
  </w:num>
  <w:num w:numId="30">
    <w:abstractNumId w:val="28"/>
  </w:num>
  <w:num w:numId="31">
    <w:abstractNumId w:val="38"/>
  </w:num>
  <w:num w:numId="32">
    <w:abstractNumId w:val="4"/>
  </w:num>
  <w:num w:numId="33">
    <w:abstractNumId w:val="1"/>
  </w:num>
  <w:num w:numId="34">
    <w:abstractNumId w:val="26"/>
  </w:num>
  <w:num w:numId="35">
    <w:abstractNumId w:val="0"/>
  </w:num>
  <w:num w:numId="36">
    <w:abstractNumId w:val="21"/>
  </w:num>
  <w:num w:numId="37">
    <w:abstractNumId w:val="42"/>
  </w:num>
  <w:num w:numId="38">
    <w:abstractNumId w:val="37"/>
  </w:num>
  <w:num w:numId="39">
    <w:abstractNumId w:val="18"/>
  </w:num>
  <w:num w:numId="40">
    <w:abstractNumId w:val="20"/>
  </w:num>
  <w:num w:numId="41">
    <w:abstractNumId w:val="22"/>
  </w:num>
  <w:num w:numId="42">
    <w:abstractNumId w:val="10"/>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C7EB7285-B5A5-49B3-8FF2-5F8E75C3B854"/>
    <w:docVar w:name="LW_COVERPAGE_TYPE" w:val="1"/>
    <w:docVar w:name="LW_CROSSREFERENCE" w:val="{COM(2018) 269 final}_x000b_{SWD(2018) 168 final}"/>
    <w:docVar w:name="LW_DocType" w:val="NORMAL"/>
    <w:docVar w:name="LW_EMISSION" w:val="22.5.2018"/>
    <w:docVar w:name="LW_EMISSION_ISODATE" w:val="2018-05-22"/>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Engaging, Connecting and Empowering young people: a new EU Youth Strategy"/>
    <w:docVar w:name="LW_PART_NBR" w:val="1"/>
    <w:docVar w:name="LW_PART_NBR_TOTAL" w:val="7"/>
    <w:docVar w:name="LW_REF.INST.NEW" w:val="SWD"/>
    <w:docVar w:name="LW_REF.INST.NEW_ADOPTED" w:val="final"/>
    <w:docVar w:name="LW_REF.INST.NEW_TEXT" w:val="(2018) 16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Situation of young people in the European Union"/>
    <w:docVar w:name="LW_TYPE.DOC.CP" w:val="COMMISSION STAFF WORKING DOCUMENT"/>
    <w:docVar w:name="LW_TYPEACTEPRINCIPAL.CP" w:val="COMMUNICATION FROM THE COMMISSION TO THE EUROPEAN PARLIAMENT, THE EUROPEAN COUNCIL, THE COUNCIL, THE EUROPEAN ECONOMIC AND SOCIAL COMMITTEE AND THE COMMITTEE OF THE REGIONS_x000b_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pPr>
      <w:keepNext/>
      <w:tabs>
        <w:tab w:val="num" w:pos="850"/>
      </w:tabs>
      <w:spacing w:before="120" w:after="120" w:line="240" w:lineRule="auto"/>
      <w:ind w:left="850" w:hanging="850"/>
      <w:jc w:val="both"/>
      <w:outlineLvl w:val="3"/>
    </w:pPr>
    <w:rPr>
      <w:rFonts w:ascii="Times New Roman" w:eastAsia="Times New Roman" w:hAnsi="Times New Roman"/>
      <w:bCs/>
      <w:sz w:val="24"/>
      <w:szCs w:val="28"/>
      <w:lang w:eastAsia="x-none"/>
    </w:rPr>
  </w:style>
  <w:style w:type="paragraph" w:styleId="Heading5">
    <w:name w:val="heading 5"/>
    <w:basedOn w:val="Normal"/>
    <w:next w:val="Normal"/>
    <w:link w:val="Heading5Char"/>
    <w:qFormat/>
    <w:pPr>
      <w:keepNext/>
      <w:spacing w:before="160" w:after="60" w:line="240" w:lineRule="auto"/>
      <w:jc w:val="both"/>
      <w:outlineLvl w:val="4"/>
    </w:pPr>
    <w:rPr>
      <w:rFonts w:ascii="Arial Narrow" w:hAnsi="Arial Narrow"/>
      <w:bCs/>
      <w:spacing w:val="8"/>
      <w:sz w:val="20"/>
      <w:szCs w:val="20"/>
      <w:u w:val="single"/>
      <w:lang w:val="en-IE" w:eastAsia="x-none"/>
    </w:rPr>
  </w:style>
  <w:style w:type="paragraph" w:styleId="Heading6">
    <w:name w:val="heading 6"/>
    <w:basedOn w:val="Normal"/>
    <w:next w:val="Normal"/>
    <w:link w:val="Heading6Char"/>
    <w:qFormat/>
    <w:pPr>
      <w:keepNext/>
      <w:spacing w:before="40" w:after="0" w:line="240" w:lineRule="auto"/>
      <w:ind w:left="57"/>
      <w:jc w:val="both"/>
      <w:outlineLvl w:val="5"/>
    </w:pPr>
    <w:rPr>
      <w:rFonts w:ascii="Myriad Pro SemiExt" w:hAnsi="Myriad Pro SemiExt"/>
      <w:b/>
      <w:bCs/>
      <w:sz w:val="16"/>
      <w:szCs w:val="20"/>
      <w:lang w:val="fr-FR" w:eastAsia="x-none"/>
    </w:rPr>
  </w:style>
  <w:style w:type="paragraph" w:styleId="Heading7">
    <w:name w:val="heading 7"/>
    <w:basedOn w:val="Normal"/>
    <w:next w:val="Normal"/>
    <w:link w:val="Heading7Char"/>
    <w:qFormat/>
    <w:pPr>
      <w:keepNext/>
      <w:spacing w:before="40" w:after="0" w:line="240" w:lineRule="auto"/>
      <w:ind w:left="57"/>
      <w:jc w:val="both"/>
      <w:outlineLvl w:val="6"/>
    </w:pPr>
    <w:rPr>
      <w:rFonts w:ascii="Myriad Pro Light" w:hAnsi="Myriad Pro Light"/>
      <w:b/>
      <w:bCs/>
      <w:sz w:val="16"/>
      <w:szCs w:val="20"/>
      <w:lang w:val="x-none" w:eastAsia="x-none"/>
    </w:rPr>
  </w:style>
  <w:style w:type="paragraph" w:styleId="Heading8">
    <w:name w:val="heading 8"/>
    <w:basedOn w:val="Normal"/>
    <w:next w:val="Normal"/>
    <w:link w:val="Heading8Char"/>
    <w:qFormat/>
    <w:pPr>
      <w:numPr>
        <w:numId w:val="16"/>
      </w:numPr>
      <w:spacing w:before="100" w:after="110" w:line="240" w:lineRule="auto"/>
      <w:jc w:val="both"/>
      <w:outlineLvl w:val="7"/>
    </w:pPr>
    <w:rPr>
      <w:rFonts w:ascii="Helvetica" w:hAnsi="Helvetica"/>
      <w:i/>
      <w:sz w:val="21"/>
      <w:szCs w:val="20"/>
      <w:lang w:val="fr-FR" w:eastAsia="x-none"/>
    </w:rPr>
  </w:style>
  <w:style w:type="paragraph" w:styleId="Heading9">
    <w:name w:val="heading 9"/>
    <w:basedOn w:val="Normal"/>
    <w:next w:val="Normal"/>
    <w:link w:val="Heading9Char"/>
    <w:qFormat/>
    <w:pPr>
      <w:spacing w:before="240" w:after="60" w:line="240" w:lineRule="auto"/>
      <w:jc w:val="both"/>
      <w:outlineLvl w:val="8"/>
    </w:pPr>
    <w:rPr>
      <w:rFonts w:ascii="Myriad Pro Light" w:hAnsi="Myriad Pro Light"/>
      <w:b/>
      <w:bCs/>
      <w:i/>
      <w:iCs/>
      <w:sz w:val="26"/>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36"/>
        <w:tab w:val="right" w:pos="9072"/>
      </w:tabs>
    </w:pPr>
    <w:rPr>
      <w:sz w:val="20"/>
      <w:szCs w:val="20"/>
      <w:lang w:val="x-none" w:eastAsia="x-none"/>
    </w:rPr>
  </w:style>
  <w:style w:type="character" w:customStyle="1" w:styleId="FooterChar">
    <w:name w:val="Footer Char"/>
    <w:link w:val="Footer"/>
    <w:uiPriority w:val="99"/>
    <w:rPr>
      <w:rFonts w:ascii="Calibri" w:eastAsia="Calibri" w:hAnsi="Calibri" w:cs="Times New Roman"/>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lang w:val="x-none" w:eastAsia="x-none"/>
    </w:rPr>
  </w:style>
  <w:style w:type="character" w:customStyle="1" w:styleId="CommentTextChar">
    <w:name w:val="Comment Text Char"/>
    <w:link w:val="CommentText"/>
    <w:uiPriority w:val="99"/>
    <w:rPr>
      <w:rFonts w:ascii="Calibri" w:eastAsia="Calibri" w:hAnsi="Calibri"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Pr>
      <w:rFonts w:ascii="Tahoma" w:eastAsia="Calibri" w:hAnsi="Tahoma" w:cs="Tahoma"/>
      <w:sz w:val="16"/>
      <w:szCs w:val="16"/>
    </w:rPr>
  </w:style>
  <w:style w:type="paragraph" w:styleId="CommentSubject">
    <w:name w:val="annotation subject"/>
    <w:basedOn w:val="CommentText"/>
    <w:next w:val="CommentText"/>
    <w:link w:val="CommentSubjectChar"/>
    <w:uiPriority w:val="99"/>
    <w:semiHidden/>
    <w:unhideWhenUsed/>
    <w:pPr>
      <w:spacing w:line="240" w:lineRule="auto"/>
    </w:pPr>
    <w:rPr>
      <w:b/>
      <w:bCs/>
    </w:rPr>
  </w:style>
  <w:style w:type="character" w:customStyle="1" w:styleId="CommentSubjectChar">
    <w:name w:val="Comment Subject Char"/>
    <w:link w:val="CommentSubject"/>
    <w:uiPriority w:val="99"/>
    <w:semiHidden/>
    <w:rPr>
      <w:rFonts w:ascii="Calibri" w:eastAsia="Calibri" w:hAnsi="Calibri" w:cs="Times New Roman"/>
      <w:b/>
      <w:bCs/>
      <w:sz w:val="20"/>
      <w:szCs w:val="20"/>
    </w:rPr>
  </w:style>
  <w:style w:type="paragraph" w:customStyle="1" w:styleId="p90H2">
    <w:name w:val="_p9_0_H2"/>
    <w:pPr>
      <w:spacing w:before="360" w:after="160"/>
      <w:ind w:left="426" w:hanging="426"/>
    </w:pPr>
    <w:rPr>
      <w:rFonts w:ascii="Arial" w:hAnsi="Arial" w:cs="Arial"/>
      <w:b/>
      <w:bCs/>
      <w:color w:val="C00000"/>
      <w:sz w:val="24"/>
      <w:szCs w:val="24"/>
      <w:lang w:eastAsia="en-US"/>
    </w:rPr>
  </w:style>
  <w:style w:type="paragraph" w:customStyle="1" w:styleId="p92TitleFigure">
    <w:name w:val="_p9_2_Title_Figure"/>
    <w:pPr>
      <w:keepNext/>
      <w:spacing w:before="200" w:after="100" w:line="276" w:lineRule="auto"/>
      <w:ind w:left="142"/>
    </w:pPr>
    <w:rPr>
      <w:rFonts w:ascii="Arial Narrow" w:eastAsia="Cambria" w:hAnsi="Arial Narrow" w:cs="Arial"/>
      <w:b/>
      <w:bCs/>
      <w:noProof/>
      <w:color w:val="C00000"/>
      <w:lang w:eastAsia="en-US"/>
    </w:rPr>
  </w:style>
  <w:style w:type="paragraph" w:customStyle="1" w:styleId="Yo0DocTitle">
    <w:name w:val="_Yo_0_Doc_Title"/>
    <w:qFormat/>
    <w:pPr>
      <w:ind w:left="2694"/>
    </w:pPr>
    <w:rPr>
      <w:rFonts w:ascii="Verdana" w:eastAsia="Times New Roman" w:hAnsi="Verdana" w:cs="Arial"/>
      <w:b/>
      <w:bCs/>
      <w:color w:val="1F497D"/>
      <w:sz w:val="48"/>
      <w:szCs w:val="48"/>
      <w:lang w:val="nl-NL" w:eastAsia="en-US"/>
    </w:rPr>
  </w:style>
  <w:style w:type="paragraph" w:customStyle="1" w:styleId="Yo0DocSubtitle">
    <w:name w:val="_Yo_0_Doc_Subtitle"/>
    <w:basedOn w:val="Yo0DocTitle"/>
    <w:qFormat/>
    <w:pPr>
      <w:spacing w:before="240"/>
    </w:pPr>
    <w:rPr>
      <w:b w:val="0"/>
      <w:sz w:val="36"/>
      <w:szCs w:val="36"/>
    </w:rPr>
  </w:style>
  <w:style w:type="paragraph" w:customStyle="1" w:styleId="Yo0H1">
    <w:name w:val="_Yo_0_H1"/>
    <w:basedOn w:val="Heading1"/>
    <w:link w:val="Yo0H1Char"/>
    <w:pPr>
      <w:spacing w:after="300" w:line="300" w:lineRule="auto"/>
      <w:jc w:val="both"/>
    </w:pPr>
    <w:rPr>
      <w:rFonts w:ascii="Verdana" w:eastAsia="Calibri" w:hAnsi="Verdana" w:cs="MyriadPro-Bold"/>
      <w:bCs w:val="0"/>
      <w:color w:val="DB1E48"/>
      <w:kern w:val="0"/>
      <w:sz w:val="44"/>
      <w:szCs w:val="44"/>
      <w:lang w:val="en-US" w:eastAsia="fr-BE"/>
    </w:rPr>
  </w:style>
  <w:style w:type="character" w:customStyle="1" w:styleId="Heading1Char">
    <w:name w:val="Heading 1 Char"/>
    <w:link w:val="Heading1"/>
    <w:rPr>
      <w:rFonts w:ascii="Cambria" w:eastAsia="Times New Roman" w:hAnsi="Cambria" w:cs="Times New Roman"/>
      <w:b/>
      <w:bCs/>
      <w:kern w:val="32"/>
      <w:sz w:val="32"/>
      <w:szCs w:val="32"/>
      <w:lang w:val="en-GB" w:eastAsia="en-US"/>
    </w:rPr>
  </w:style>
  <w:style w:type="paragraph" w:customStyle="1" w:styleId="Yo0H2">
    <w:name w:val="_Yo_0_H2"/>
    <w:basedOn w:val="Heading2"/>
    <w:pPr>
      <w:spacing w:before="360" w:after="160" w:line="240" w:lineRule="auto"/>
      <w:jc w:val="both"/>
    </w:pPr>
    <w:rPr>
      <w:rFonts w:ascii="Arial Narrow" w:eastAsia="Calibri" w:hAnsi="Arial Narrow" w:cs="Arial"/>
      <w:b w:val="0"/>
      <w:i w:val="0"/>
      <w:iCs w:val="0"/>
      <w:caps/>
      <w:color w:val="DA1E48"/>
      <w:spacing w:val="10"/>
      <w:lang w:val="en-US"/>
    </w:rPr>
  </w:style>
  <w:style w:type="character" w:customStyle="1" w:styleId="Heading2Char">
    <w:name w:val="Heading 2 Char"/>
    <w:link w:val="Heading2"/>
    <w:rPr>
      <w:rFonts w:ascii="Cambria" w:eastAsia="Times New Roman" w:hAnsi="Cambria" w:cs="Times New Roman"/>
      <w:b/>
      <w:bCs/>
      <w:i/>
      <w:iCs/>
      <w:sz w:val="28"/>
      <w:szCs w:val="28"/>
      <w:lang w:val="en-GB" w:eastAsia="en-US"/>
    </w:rPr>
  </w:style>
  <w:style w:type="paragraph" w:customStyle="1" w:styleId="Yo0H3">
    <w:name w:val="_Yo_0_H3"/>
    <w:basedOn w:val="Heading3"/>
    <w:pPr>
      <w:spacing w:before="270" w:after="160" w:line="240" w:lineRule="auto"/>
      <w:jc w:val="both"/>
    </w:pPr>
    <w:rPr>
      <w:rFonts w:ascii="Calibri" w:eastAsia="Calibri" w:hAnsi="Calibri" w:cs="Calibri"/>
      <w:iCs/>
      <w:color w:val="C00000"/>
      <w:lang w:eastAsia="fr-BE"/>
    </w:rPr>
  </w:style>
  <w:style w:type="character" w:customStyle="1" w:styleId="Heading3Char">
    <w:name w:val="Heading 3 Char"/>
    <w:link w:val="Heading3"/>
    <w:rPr>
      <w:rFonts w:ascii="Cambria" w:eastAsia="Times New Roman" w:hAnsi="Cambria" w:cs="Times New Roman"/>
      <w:b/>
      <w:bCs/>
      <w:sz w:val="26"/>
      <w:szCs w:val="26"/>
      <w:lang w:val="en-GB" w:eastAsia="en-US"/>
    </w:rPr>
  </w:style>
  <w:style w:type="paragraph" w:customStyle="1" w:styleId="Yo0H4">
    <w:name w:val="_Yo_0_H4"/>
    <w:pPr>
      <w:suppressAutoHyphens/>
      <w:spacing w:before="240"/>
      <w:ind w:left="1418" w:hanging="1418"/>
      <w:outlineLvl w:val="4"/>
    </w:pPr>
    <w:rPr>
      <w:rFonts w:ascii="Arial Narrow" w:hAnsi="Arial Narrow" w:cs="Arial"/>
      <w:b/>
      <w:bCs/>
      <w:color w:val="C00000"/>
      <w:spacing w:val="30"/>
      <w:sz w:val="22"/>
      <w:szCs w:val="22"/>
      <w:lang w:eastAsia="en-US"/>
    </w:rPr>
  </w:style>
  <w:style w:type="paragraph" w:customStyle="1" w:styleId="Yo0H5">
    <w:name w:val="_Yo_0_H5"/>
    <w:pPr>
      <w:suppressAutoHyphens/>
      <w:spacing w:before="240" w:after="60"/>
      <w:ind w:left="1418" w:hanging="1418"/>
      <w:outlineLvl w:val="5"/>
    </w:pPr>
    <w:rPr>
      <w:rFonts w:ascii="Arial" w:eastAsia="Times New Roman" w:hAnsi="Arial" w:cs="Arial"/>
      <w:bCs/>
      <w:color w:val="C00000"/>
      <w:sz w:val="22"/>
      <w:u w:val="single"/>
      <w:lang w:eastAsia="en-US"/>
    </w:rPr>
  </w:style>
  <w:style w:type="paragraph" w:customStyle="1" w:styleId="Yo0H6">
    <w:name w:val="_Yo_0_H6"/>
    <w:pPr>
      <w:suppressAutoHyphens/>
      <w:spacing w:before="240" w:after="60"/>
      <w:ind w:left="1418" w:hanging="1418"/>
      <w:jc w:val="both"/>
      <w:outlineLvl w:val="6"/>
    </w:pPr>
    <w:rPr>
      <w:rFonts w:ascii="Arial Narrow" w:eastAsia="Times New Roman" w:hAnsi="Arial Narrow" w:cs="Arial"/>
      <w:bCs/>
      <w:i/>
      <w:color w:val="C00000"/>
      <w:spacing w:val="20"/>
      <w:lang w:eastAsia="en-US"/>
    </w:rPr>
  </w:style>
  <w:style w:type="paragraph" w:customStyle="1" w:styleId="Yo0H7">
    <w:name w:val="_Yo_0_H7"/>
    <w:pPr>
      <w:suppressAutoHyphens/>
      <w:spacing w:before="240" w:after="60"/>
      <w:ind w:left="1985" w:hanging="1985"/>
      <w:jc w:val="both"/>
      <w:outlineLvl w:val="6"/>
    </w:pPr>
    <w:rPr>
      <w:rFonts w:ascii="Arial Narrow" w:eastAsia="Times New Roman" w:hAnsi="Arial Narrow" w:cs="Arial"/>
      <w:color w:val="002060"/>
      <w:spacing w:val="20"/>
      <w:u w:val="single"/>
      <w:lang w:val="en-US" w:eastAsia="en-US"/>
    </w:rPr>
  </w:style>
  <w:style w:type="paragraph" w:customStyle="1" w:styleId="Yo0H8">
    <w:name w:val="_Yo_0_H8"/>
    <w:pPr>
      <w:suppressAutoHyphens/>
      <w:spacing w:before="240" w:after="60"/>
      <w:ind w:left="1985" w:hanging="1985"/>
      <w:jc w:val="both"/>
      <w:outlineLvl w:val="6"/>
    </w:pPr>
    <w:rPr>
      <w:rFonts w:ascii="Arial Narrow" w:eastAsia="Times New Roman" w:hAnsi="Arial Narrow" w:cs="Arial"/>
      <w:b/>
      <w:bCs/>
      <w:color w:val="0070C0"/>
      <w:spacing w:val="40"/>
      <w:w w:val="80"/>
      <w:lang w:val="en-US" w:eastAsia="en-US"/>
    </w:rPr>
  </w:style>
  <w:style w:type="paragraph" w:customStyle="1" w:styleId="Yo0H9">
    <w:name w:val="_Yo_0_H9"/>
    <w:pPr>
      <w:suppressAutoHyphens/>
      <w:spacing w:before="240" w:after="60"/>
      <w:ind w:left="1985" w:hanging="1985"/>
      <w:jc w:val="both"/>
      <w:outlineLvl w:val="6"/>
    </w:pPr>
    <w:rPr>
      <w:rFonts w:ascii="Arial Narrow" w:eastAsia="Times New Roman" w:hAnsi="Arial Narrow" w:cs="Arial"/>
      <w:i/>
      <w:iCs/>
      <w:color w:val="C00000"/>
      <w:spacing w:val="20"/>
      <w:lang w:eastAsia="en-US"/>
    </w:rPr>
  </w:style>
  <w:style w:type="paragraph" w:customStyle="1" w:styleId="Yo0Paratitle1">
    <w:name w:val="_Yo_0_Para_title_1"/>
    <w:basedOn w:val="Yo0DocTitle"/>
    <w:pPr>
      <w:spacing w:before="270" w:after="160"/>
      <w:ind w:left="0"/>
      <w:jc w:val="both"/>
    </w:pPr>
    <w:rPr>
      <w:rFonts w:ascii="Arial Narrow" w:hAnsi="Arial Narrow"/>
      <w:sz w:val="24"/>
      <w:szCs w:val="24"/>
    </w:rPr>
  </w:style>
  <w:style w:type="paragraph" w:customStyle="1" w:styleId="Yo0Paratitle2">
    <w:name w:val="_Yo_0_Para_title_2"/>
    <w:pPr>
      <w:keepNext/>
      <w:tabs>
        <w:tab w:val="left" w:pos="993"/>
      </w:tabs>
      <w:suppressAutoHyphens/>
      <w:spacing w:before="120" w:after="120" w:line="300" w:lineRule="auto"/>
      <w:jc w:val="both"/>
    </w:pPr>
    <w:rPr>
      <w:rFonts w:ascii="Verdana" w:hAnsi="Verdana" w:cs="Arial"/>
      <w:b/>
      <w:noProof/>
      <w:sz w:val="18"/>
      <w:szCs w:val="18"/>
      <w:lang w:val="nl-NL" w:eastAsia="nl-NL"/>
    </w:rPr>
  </w:style>
  <w:style w:type="paragraph" w:customStyle="1" w:styleId="Yo0Paratitle3">
    <w:name w:val="_Yo_0_Para_title_3"/>
    <w:pPr>
      <w:spacing w:before="120" w:after="120" w:line="276" w:lineRule="auto"/>
    </w:pPr>
    <w:rPr>
      <w:rFonts w:ascii="Arial Narrow" w:eastAsia="Times New Roman" w:hAnsi="Arial Narrow" w:cs="Arial"/>
      <w:b/>
      <w:i/>
      <w:color w:val="1F497D"/>
      <w:spacing w:val="20"/>
      <w:lang w:eastAsia="en-US"/>
    </w:rPr>
  </w:style>
  <w:style w:type="paragraph" w:customStyle="1" w:styleId="Yo0Paratitle4">
    <w:name w:val="_Yo_0_Para_title_4"/>
    <w:pPr>
      <w:spacing w:before="240" w:after="120"/>
      <w:outlineLvl w:val="0"/>
    </w:pPr>
    <w:rPr>
      <w:rFonts w:ascii="Arial Narrow" w:eastAsia="Times New Roman" w:hAnsi="Arial Narrow" w:cs="Arial"/>
      <w:bCs/>
      <w:color w:val="1F497D"/>
      <w:spacing w:val="20"/>
      <w:w w:val="80"/>
      <w:u w:val="single"/>
      <w:lang w:val="nl-NL" w:eastAsia="en-US"/>
    </w:rPr>
  </w:style>
  <w:style w:type="paragraph" w:customStyle="1" w:styleId="Yo1Textpara">
    <w:name w:val="_Yo_1_Text_para"/>
    <w:pPr>
      <w:tabs>
        <w:tab w:val="left" w:pos="4253"/>
      </w:tabs>
      <w:spacing w:before="160" w:line="300" w:lineRule="auto"/>
      <w:jc w:val="both"/>
    </w:pPr>
    <w:rPr>
      <w:rFonts w:ascii="Times New Roman" w:hAnsi="Times New Roman"/>
      <w:sz w:val="22"/>
      <w:lang w:eastAsia="fr-BE"/>
    </w:rPr>
  </w:style>
  <w:style w:type="paragraph" w:customStyle="1" w:styleId="Yo1Text">
    <w:name w:val="_Yo_1_Text"/>
    <w:basedOn w:val="Yo1Textpara"/>
    <w:qFormat/>
    <w:pPr>
      <w:spacing w:before="0"/>
    </w:pPr>
  </w:style>
  <w:style w:type="paragraph" w:customStyle="1" w:styleId="Yo11Textbulletlvl1">
    <w:name w:val="_Yo_11_Text_bullet_lvl_1"/>
    <w:basedOn w:val="Yo1Textpara"/>
    <w:pPr>
      <w:numPr>
        <w:numId w:val="1"/>
      </w:numPr>
      <w:tabs>
        <w:tab w:val="clear" w:pos="4253"/>
        <w:tab w:val="left" w:pos="426"/>
      </w:tabs>
      <w:spacing w:before="120"/>
    </w:pPr>
    <w:rPr>
      <w:lang w:val="en-US"/>
    </w:rPr>
  </w:style>
  <w:style w:type="paragraph" w:customStyle="1" w:styleId="Yo11Textbulletlvl2">
    <w:name w:val="_Yo_11_Text_bullet_lvl_2"/>
    <w:basedOn w:val="Yo1Textpara"/>
    <w:pPr>
      <w:numPr>
        <w:numId w:val="2"/>
      </w:numPr>
      <w:tabs>
        <w:tab w:val="clear" w:pos="4253"/>
        <w:tab w:val="left" w:pos="709"/>
      </w:tabs>
      <w:spacing w:before="100" w:line="264" w:lineRule="auto"/>
    </w:pPr>
    <w:rPr>
      <w:lang w:val="en-US"/>
    </w:rPr>
  </w:style>
  <w:style w:type="paragraph" w:customStyle="1" w:styleId="Yo11Textbulletlvl3">
    <w:name w:val="_Yo_11_Text_bullet_lvl_3"/>
    <w:basedOn w:val="Yo1Textpara"/>
    <w:pPr>
      <w:numPr>
        <w:numId w:val="3"/>
      </w:numPr>
      <w:tabs>
        <w:tab w:val="clear" w:pos="4253"/>
        <w:tab w:val="left" w:pos="981"/>
      </w:tabs>
      <w:spacing w:before="100" w:after="20"/>
    </w:pPr>
    <w:rPr>
      <w:rFonts w:ascii="Arial Narrow" w:hAnsi="Arial Narrow"/>
    </w:rPr>
  </w:style>
  <w:style w:type="paragraph" w:customStyle="1" w:styleId="Yo11TextNum1">
    <w:name w:val="_Yo_11_Text_Num_1"/>
    <w:basedOn w:val="Yo1Textpara"/>
    <w:next w:val="Normal"/>
    <w:pPr>
      <w:numPr>
        <w:numId w:val="4"/>
      </w:numPr>
      <w:tabs>
        <w:tab w:val="clear" w:pos="4253"/>
        <w:tab w:val="left" w:pos="426"/>
      </w:tabs>
      <w:spacing w:after="120"/>
    </w:pPr>
    <w:rPr>
      <w:rFonts w:eastAsia="Times New Roman"/>
      <w:color w:val="1F497D"/>
      <w:lang w:val="fr-FR"/>
    </w:rPr>
  </w:style>
  <w:style w:type="paragraph" w:customStyle="1" w:styleId="Yo11TextNum2">
    <w:name w:val="_Yo_11_Text_Num_2"/>
    <w:basedOn w:val="Yo1Textpara"/>
    <w:next w:val="Normal"/>
    <w:pPr>
      <w:numPr>
        <w:numId w:val="5"/>
      </w:numPr>
      <w:tabs>
        <w:tab w:val="clear" w:pos="4253"/>
        <w:tab w:val="left" w:pos="709"/>
      </w:tabs>
      <w:spacing w:before="120" w:after="120"/>
    </w:pPr>
    <w:rPr>
      <w:rFonts w:eastAsia="Times New Roman"/>
      <w:color w:val="1F497D"/>
      <w:lang w:val="fr-FR"/>
    </w:rPr>
  </w:style>
  <w:style w:type="paragraph" w:customStyle="1" w:styleId="Yo11TextNum3">
    <w:name w:val="_Yo_11_Text_Num_3"/>
    <w:basedOn w:val="Yo1Textpara"/>
    <w:next w:val="Normal"/>
    <w:pPr>
      <w:numPr>
        <w:numId w:val="6"/>
      </w:numPr>
      <w:tabs>
        <w:tab w:val="clear" w:pos="4253"/>
        <w:tab w:val="left" w:pos="993"/>
      </w:tabs>
      <w:spacing w:before="120" w:after="120"/>
    </w:pPr>
    <w:rPr>
      <w:rFonts w:eastAsia="Times New Roman"/>
      <w:color w:val="1F497D"/>
      <w:lang w:val="fr-FR"/>
    </w:rPr>
  </w:style>
  <w:style w:type="paragraph" w:customStyle="1" w:styleId="Yo12Encart">
    <w:name w:val="_Yo_12_Encart"/>
    <w:qFormat/>
    <w:pPr>
      <w:framePr w:hSpace="180" w:wrap="around" w:vAnchor="text" w:hAnchor="margin" w:xAlign="right" w:y="675"/>
      <w:spacing w:before="60" w:after="60"/>
      <w:ind w:left="142" w:right="108"/>
      <w:suppressOverlap/>
      <w:jc w:val="both"/>
    </w:pPr>
    <w:rPr>
      <w:rFonts w:ascii="Arial Narrow" w:hAnsi="Arial Narrow"/>
      <w:sz w:val="18"/>
      <w:szCs w:val="24"/>
      <w:lang w:eastAsia="en-US"/>
    </w:rPr>
  </w:style>
  <w:style w:type="paragraph" w:customStyle="1" w:styleId="Yo12Example">
    <w:name w:val="_Yo_12_Example"/>
    <w:pPr>
      <w:spacing w:before="120" w:line="300" w:lineRule="auto"/>
      <w:ind w:left="369"/>
      <w:jc w:val="both"/>
    </w:pPr>
    <w:rPr>
      <w:rFonts w:ascii="Arial Narrow" w:hAnsi="Arial Narrow"/>
      <w:color w:val="1F497D"/>
      <w:sz w:val="18"/>
      <w:szCs w:val="24"/>
      <w:lang w:eastAsia="en-US"/>
    </w:rPr>
  </w:style>
  <w:style w:type="paragraph" w:customStyle="1" w:styleId="Yo12TextParaForeword">
    <w:name w:val="_Yo_12_Text_Para_Foreword"/>
    <w:qFormat/>
    <w:pPr>
      <w:spacing w:before="240" w:line="360" w:lineRule="auto"/>
      <w:jc w:val="both"/>
    </w:pPr>
    <w:rPr>
      <w:rFonts w:ascii="Arial" w:eastAsia="Times New Roman" w:hAnsi="Arial" w:cs="Arial"/>
      <w:color w:val="1F497D"/>
      <w:lang w:eastAsia="en-US"/>
    </w:rPr>
  </w:style>
  <w:style w:type="paragraph" w:customStyle="1" w:styleId="Yo4centeredHeader">
    <w:name w:val="_Yo_4_centered_Header"/>
    <w:qFormat/>
    <w:pPr>
      <w:pBdr>
        <w:bottom w:val="single" w:sz="4" w:space="5" w:color="C00000"/>
      </w:pBdr>
      <w:jc w:val="center"/>
    </w:pPr>
    <w:rPr>
      <w:rFonts w:ascii="Arial Narrow" w:hAnsi="Arial Narrow" w:cs="Arial"/>
      <w:color w:val="000000"/>
      <w:spacing w:val="20"/>
      <w:sz w:val="18"/>
      <w:lang w:val="en-US" w:eastAsia="en-US"/>
    </w:rPr>
  </w:style>
  <w:style w:type="paragraph" w:customStyle="1" w:styleId="Yo4FootnoteSeparator">
    <w:name w:val="_Yo_4_Footnote_Separator"/>
    <w:qFormat/>
    <w:rPr>
      <w:color w:val="DA1E48"/>
      <w:sz w:val="22"/>
      <w:szCs w:val="22"/>
      <w:lang w:val="fr-BE" w:eastAsia="en-US"/>
    </w:rPr>
  </w:style>
  <w:style w:type="paragraph" w:customStyle="1" w:styleId="Yo4Headereven">
    <w:name w:val="_Yo_4_Header_even"/>
    <w:pPr>
      <w:spacing w:after="60"/>
    </w:pPr>
    <w:rPr>
      <w:rFonts w:ascii="Arial Narrow" w:hAnsi="Arial Narrow" w:cs="Arial"/>
      <w:color w:val="DA1E48"/>
      <w:spacing w:val="20"/>
      <w:sz w:val="22"/>
      <w:lang w:eastAsia="en-US"/>
    </w:rPr>
  </w:style>
  <w:style w:type="paragraph" w:customStyle="1" w:styleId="Yo4Headerodd">
    <w:name w:val="_Yo_4_Header_odd"/>
    <w:basedOn w:val="Yo4Headereven"/>
    <w:pPr>
      <w:jc w:val="right"/>
    </w:pPr>
    <w:rPr>
      <w:lang w:val="en-US"/>
    </w:rPr>
  </w:style>
  <w:style w:type="paragraph" w:customStyle="1" w:styleId="Yo5TextbaseTable">
    <w:name w:val="_Yo_5_Text_base_Table"/>
    <w:qFormat/>
    <w:pPr>
      <w:tabs>
        <w:tab w:val="left" w:pos="1985"/>
      </w:tabs>
    </w:pPr>
    <w:rPr>
      <w:rFonts w:ascii="Arial" w:eastAsia="Times New Roman" w:hAnsi="Arial" w:cs="Arial"/>
      <w:snapToGrid w:val="0"/>
      <w:sz w:val="16"/>
      <w:szCs w:val="16"/>
      <w:lang w:val="en-US" w:eastAsia="en-US"/>
    </w:rPr>
  </w:style>
  <w:style w:type="paragraph" w:customStyle="1" w:styleId="Yo5TextNotes">
    <w:name w:val="_Yo_5_Text_Notes"/>
    <w:pPr>
      <w:widowControl w:val="0"/>
      <w:tabs>
        <w:tab w:val="left" w:pos="1985"/>
      </w:tabs>
      <w:jc w:val="both"/>
    </w:pPr>
    <w:rPr>
      <w:rFonts w:ascii="Verdana" w:eastAsia="Times New Roman" w:hAnsi="Verdana" w:cs="Arial"/>
      <w:snapToGrid w:val="0"/>
      <w:sz w:val="14"/>
      <w:szCs w:val="16"/>
      <w:lang w:val="fr-FR" w:eastAsia="en-US"/>
    </w:rPr>
  </w:style>
  <w:style w:type="paragraph" w:customStyle="1" w:styleId="Yo5TextNotesafter">
    <w:name w:val="_Yo_5_Text_Notes_after"/>
    <w:basedOn w:val="Yo5TextNotes"/>
    <w:pPr>
      <w:tabs>
        <w:tab w:val="left" w:pos="5103"/>
      </w:tabs>
      <w:spacing w:after="60"/>
    </w:pPr>
    <w:rPr>
      <w:lang w:val="en-US"/>
    </w:rPr>
  </w:style>
  <w:style w:type="paragraph" w:customStyle="1" w:styleId="Yo5TextNotesbefore">
    <w:name w:val="_Yo_5_Text_Notes_before"/>
    <w:basedOn w:val="Yo5TextNotesafter"/>
    <w:pPr>
      <w:spacing w:before="120" w:after="0"/>
    </w:pPr>
  </w:style>
  <w:style w:type="paragraph" w:customStyle="1" w:styleId="Yo5TextNotesbeforeafter">
    <w:name w:val="_Yo_5_Text_Notes_before_after"/>
    <w:basedOn w:val="Yo5TextNotes"/>
    <w:pPr>
      <w:spacing w:before="60" w:after="60"/>
    </w:pPr>
  </w:style>
  <w:style w:type="paragraph" w:customStyle="1" w:styleId="Yo5TitleFigure">
    <w:name w:val="_Yo_5_Title_Figure"/>
    <w:pPr>
      <w:keepNext/>
      <w:spacing w:before="200" w:after="60" w:line="276" w:lineRule="auto"/>
    </w:pPr>
    <w:rPr>
      <w:rFonts w:ascii="Verdana" w:eastAsia="Cambria" w:hAnsi="Verdana" w:cs="Calibri"/>
      <w:bCs/>
      <w:noProof/>
      <w:color w:val="7F7F7F"/>
      <w:w w:val="80"/>
      <w:sz w:val="22"/>
      <w:szCs w:val="22"/>
      <w:lang w:eastAsia="en-US"/>
    </w:rPr>
  </w:style>
  <w:style w:type="paragraph" w:customStyle="1" w:styleId="Yo5TitleFigureend">
    <w:name w:val="_Yo_5_Title_Figure_end"/>
    <w:basedOn w:val="Yo5TitleFigure"/>
    <w:qFormat/>
    <w:pPr>
      <w:pBdr>
        <w:bottom w:val="single" w:sz="8" w:space="1" w:color="C00000"/>
        <w:right w:val="single" w:sz="8" w:space="4" w:color="C00000"/>
      </w:pBdr>
      <w:spacing w:before="0"/>
    </w:pPr>
  </w:style>
  <w:style w:type="paragraph" w:customStyle="1" w:styleId="Yo5TitleNotes">
    <w:name w:val="_Yo_5_Title_Notes"/>
    <w:pPr>
      <w:keepNext/>
      <w:spacing w:before="100" w:after="60"/>
    </w:pPr>
    <w:rPr>
      <w:rFonts w:ascii="Arial" w:eastAsia="Times New Roman" w:hAnsi="Arial" w:cs="Arial"/>
      <w:b/>
      <w:bCs/>
      <w:color w:val="C00000"/>
      <w:sz w:val="18"/>
      <w:u w:val="single"/>
      <w:lang w:val="fr-FR" w:eastAsia="en-US"/>
    </w:rPr>
  </w:style>
  <w:style w:type="paragraph" w:customStyle="1" w:styleId="Yo5TitleNotesbefore">
    <w:name w:val="_Yo_5_Title_Notes_before"/>
    <w:basedOn w:val="Yo5TextNotes"/>
    <w:next w:val="Yo5TextNotes"/>
    <w:pPr>
      <w:widowControl/>
      <w:tabs>
        <w:tab w:val="clear" w:pos="1985"/>
      </w:tabs>
      <w:spacing w:before="60"/>
    </w:pPr>
    <w:rPr>
      <w:snapToGrid/>
      <w:sz w:val="17"/>
      <w:szCs w:val="17"/>
    </w:rPr>
  </w:style>
  <w:style w:type="paragraph" w:customStyle="1" w:styleId="Yo6TOFTextTab">
    <w:name w:val="_Yo_6_TOF_Text_Tab"/>
    <w:qFormat/>
    <w:rPr>
      <w:rFonts w:ascii="Arial Narrow" w:eastAsia="Times New Roman" w:hAnsi="Arial Narrow" w:cs="Arial"/>
      <w:sz w:val="17"/>
      <w:szCs w:val="17"/>
      <w:lang w:eastAsia="en-US"/>
    </w:rPr>
  </w:style>
  <w:style w:type="paragraph" w:customStyle="1" w:styleId="Yo6TOFnumero">
    <w:name w:val="_Yo_6_TOF_numero"/>
    <w:basedOn w:val="Yo6TOFTextTab"/>
    <w:qFormat/>
    <w:pPr>
      <w:jc w:val="center"/>
    </w:pPr>
    <w:rPr>
      <w:sz w:val="16"/>
      <w:szCs w:val="16"/>
    </w:rPr>
  </w:style>
  <w:style w:type="paragraph" w:customStyle="1" w:styleId="Yo7ackCountries">
    <w:name w:val="_Yo_7_ack_Countries"/>
    <w:pPr>
      <w:pBdr>
        <w:top w:val="single" w:sz="4" w:space="3" w:color="C00000"/>
        <w:bottom w:val="single" w:sz="4" w:space="3" w:color="C00000"/>
      </w:pBdr>
      <w:spacing w:before="100" w:after="60"/>
    </w:pPr>
    <w:rPr>
      <w:rFonts w:ascii="Arial Narrow" w:eastAsia="Times New Roman" w:hAnsi="Arial Narrow"/>
      <w:b/>
      <w:color w:val="C00000"/>
      <w:sz w:val="18"/>
      <w:szCs w:val="18"/>
      <w:lang w:val="fr-FR" w:eastAsia="en-US"/>
    </w:rPr>
  </w:style>
  <w:style w:type="paragraph" w:customStyle="1" w:styleId="Yo7ackCountriesaddresses">
    <w:name w:val="_Yo_7_ack_Countries_addresses"/>
    <w:rPr>
      <w:rFonts w:ascii="Arial" w:eastAsia="Times New Roman" w:hAnsi="Arial" w:cs="Arial"/>
      <w:sz w:val="16"/>
      <w:szCs w:val="16"/>
      <w:lang w:val="fr-FR" w:eastAsia="en-US"/>
    </w:rPr>
  </w:style>
  <w:style w:type="paragraph" w:customStyle="1" w:styleId="Yo7ackeurydice">
    <w:name w:val="_Yo_7_ack_eurydice"/>
    <w:qFormat/>
    <w:pPr>
      <w:spacing w:before="240" w:line="300" w:lineRule="auto"/>
      <w:jc w:val="center"/>
    </w:pPr>
    <w:rPr>
      <w:rFonts w:ascii="Arial" w:eastAsia="Times New Roman" w:hAnsi="Arial" w:cs="Arial"/>
      <w:b/>
      <w:bCs/>
      <w:color w:val="C00000"/>
      <w:sz w:val="32"/>
      <w:lang w:eastAsia="en-US"/>
    </w:rPr>
  </w:style>
  <w:style w:type="paragraph" w:customStyle="1" w:styleId="Yo7ackFunctions">
    <w:name w:val="_Yo_7_ack_Functions"/>
    <w:qFormat/>
    <w:pPr>
      <w:spacing w:before="320" w:after="60"/>
      <w:jc w:val="center"/>
    </w:pPr>
    <w:rPr>
      <w:rFonts w:ascii="Arial" w:eastAsia="Times New Roman" w:hAnsi="Arial" w:cs="Arial"/>
      <w:b/>
      <w:bCs/>
      <w:color w:val="C00000"/>
      <w:sz w:val="24"/>
      <w:szCs w:val="24"/>
      <w:lang w:eastAsia="en-US"/>
    </w:rPr>
  </w:style>
  <w:style w:type="paragraph" w:customStyle="1" w:styleId="Yo7ackSubTitle">
    <w:name w:val="_Yo_7_ack_SubTitle"/>
    <w:qFormat/>
    <w:pPr>
      <w:spacing w:before="200" w:after="120"/>
      <w:jc w:val="center"/>
    </w:pPr>
    <w:rPr>
      <w:rFonts w:ascii="Arial" w:eastAsia="Times New Roman" w:hAnsi="Arial" w:cs="Arial"/>
      <w:b/>
      <w:bCs/>
      <w:color w:val="C00000"/>
      <w:sz w:val="28"/>
      <w:szCs w:val="28"/>
      <w:lang w:val="fr-FR" w:eastAsia="en-US"/>
    </w:rPr>
  </w:style>
  <w:style w:type="paragraph" w:customStyle="1" w:styleId="Yo7ackTextParacentered">
    <w:name w:val="_Yo_7_ack_Text_Para_centered"/>
    <w:qFormat/>
    <w:pPr>
      <w:spacing w:before="240" w:line="300" w:lineRule="auto"/>
      <w:jc w:val="center"/>
    </w:pPr>
    <w:rPr>
      <w:rFonts w:ascii="Arial" w:eastAsia="Times New Roman" w:hAnsi="Arial" w:cs="Arial"/>
      <w:lang w:val="fr-FR"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pPr>
      <w:tabs>
        <w:tab w:val="center" w:pos="4536"/>
        <w:tab w:val="right" w:pos="9072"/>
      </w:tabs>
    </w:pPr>
  </w:style>
  <w:style w:type="character" w:customStyle="1" w:styleId="HeaderChar">
    <w:name w:val="Header Char"/>
    <w:link w:val="Header"/>
    <w:rPr>
      <w:sz w:val="22"/>
      <w:szCs w:val="22"/>
      <w:lang w:val="en-GB" w:eastAsia="en-US"/>
    </w:rPr>
  </w:style>
  <w:style w:type="character" w:customStyle="1" w:styleId="Heading4Char">
    <w:name w:val="Heading 4 Char"/>
    <w:link w:val="Heading4"/>
    <w:rPr>
      <w:rFonts w:ascii="Times New Roman" w:eastAsia="Times New Roman" w:hAnsi="Times New Roman"/>
      <w:bCs/>
      <w:sz w:val="24"/>
      <w:szCs w:val="28"/>
      <w:lang w:val="en-GB" w:eastAsia="x-none"/>
    </w:rPr>
  </w:style>
  <w:style w:type="character" w:customStyle="1" w:styleId="Heading5Char">
    <w:name w:val="Heading 5 Char"/>
    <w:link w:val="Heading5"/>
    <w:rPr>
      <w:rFonts w:ascii="Arial Narrow" w:hAnsi="Arial Narrow"/>
      <w:bCs/>
      <w:spacing w:val="8"/>
      <w:u w:val="single"/>
      <w:lang w:val="en-IE" w:eastAsia="x-none"/>
    </w:rPr>
  </w:style>
  <w:style w:type="character" w:customStyle="1" w:styleId="Heading6Char">
    <w:name w:val="Heading 6 Char"/>
    <w:link w:val="Heading6"/>
    <w:rPr>
      <w:rFonts w:ascii="Myriad Pro SemiExt" w:hAnsi="Myriad Pro SemiExt"/>
      <w:b/>
      <w:bCs/>
      <w:sz w:val="16"/>
      <w:lang w:val="fr-FR" w:eastAsia="x-none"/>
    </w:rPr>
  </w:style>
  <w:style w:type="character" w:customStyle="1" w:styleId="Heading7Char">
    <w:name w:val="Heading 7 Char"/>
    <w:link w:val="Heading7"/>
    <w:rPr>
      <w:rFonts w:ascii="Myriad Pro Light" w:hAnsi="Myriad Pro Light"/>
      <w:b/>
      <w:bCs/>
      <w:sz w:val="16"/>
      <w:lang w:val="x-none" w:eastAsia="x-none"/>
    </w:rPr>
  </w:style>
  <w:style w:type="character" w:customStyle="1" w:styleId="Heading8Char">
    <w:name w:val="Heading 8 Char"/>
    <w:link w:val="Heading8"/>
    <w:rPr>
      <w:rFonts w:ascii="Helvetica" w:hAnsi="Helvetica"/>
      <w:i/>
      <w:sz w:val="21"/>
      <w:lang w:val="fr-FR" w:eastAsia="x-none"/>
    </w:rPr>
  </w:style>
  <w:style w:type="character" w:customStyle="1" w:styleId="Heading9Char">
    <w:name w:val="Heading 9 Char"/>
    <w:link w:val="Heading9"/>
    <w:rPr>
      <w:rFonts w:ascii="Myriad Pro Light" w:hAnsi="Myriad Pro Light"/>
      <w:b/>
      <w:bCs/>
      <w:i/>
      <w:iCs/>
      <w:sz w:val="26"/>
      <w:lang w:val="en-GB" w:eastAsia="en-GB"/>
    </w:rPr>
  </w:style>
  <w:style w:type="paragraph" w:styleId="FootnoteText">
    <w:name w:val="footnote text"/>
    <w:aliases w:val="Fußnotentext Char Char,Footnote text,Footnote text Char,Footnote1,Footnote2,Footnote3,Footnote4,Footnote5,Footnote6,Footnote7,Footnote8,Footnote9,Footnote10,Footnote11,Footnote21,Footnote31,Footnote41,Footnote51,Footnote61,Footnote71,fn,st"/>
    <w:basedOn w:val="Normal"/>
    <w:link w:val="FootnoteTextChar"/>
    <w:uiPriority w:val="99"/>
    <w:pPr>
      <w:spacing w:before="40" w:after="0" w:line="240" w:lineRule="auto"/>
      <w:ind w:left="720" w:hanging="720"/>
      <w:jc w:val="both"/>
    </w:pPr>
    <w:rPr>
      <w:rFonts w:ascii="Times New Roman" w:eastAsia="Times New Roman" w:hAnsi="Times New Roman"/>
      <w:sz w:val="20"/>
      <w:szCs w:val="20"/>
      <w:lang w:val="x-none" w:eastAsia="x-none"/>
    </w:rPr>
  </w:style>
  <w:style w:type="character" w:customStyle="1" w:styleId="FootnoteTextChar">
    <w:name w:val="Footnote Text Char"/>
    <w:aliases w:val="Fußnotentext Char Char Char,Footnote text Char1,Footnote text Char Char,Footnote1 Char,Footnote2 Char,Footnote3 Char,Footnote4 Char,Footnote5 Char,Footnote6 Char,Footnote7 Char,Footnote8 Char,Footnote9 Char,Footnote10 Char,fn Char"/>
    <w:link w:val="FootnoteText"/>
    <w:uiPriority w:val="99"/>
    <w:semiHidden/>
    <w:rPr>
      <w:rFonts w:ascii="Times New Roman" w:eastAsia="Times New Roman" w:hAnsi="Times New Roman"/>
      <w:lang w:val="x-none" w:eastAsia="x-none"/>
    </w:rPr>
  </w:style>
  <w:style w:type="character" w:styleId="FootnoteReference">
    <w:name w:val="footnote reference"/>
    <w:aliases w:val="Footnote Reference Superscript,Footnote Reference_LVL6,Footnote Reference_LVL61,Footnote Reference_LVL62,Footnote Reference_LVL63,Footnote Reference_LVL64,Footnote Reference_LVL65,Footnote Reference Number,Footnote Reference/,Footnote"/>
    <w:uiPriority w:val="99"/>
    <w:qFormat/>
    <w:rPr>
      <w:shd w:val="clear" w:color="auto" w:fill="auto"/>
      <w:vertAlign w:val="superscript"/>
    </w:rPr>
  </w:style>
  <w:style w:type="character" w:styleId="Hyperlink">
    <w:name w:val="Hyperlink"/>
    <w:uiPriority w:val="99"/>
    <w:rPr>
      <w:rFonts w:cs="Times New Roman"/>
      <w:color w:val="0000FF"/>
      <w:u w:val="single"/>
      <w:shd w:val="clear" w:color="auto" w:fill="auto"/>
    </w:rPr>
  </w:style>
  <w:style w:type="character" w:styleId="Strong">
    <w:name w:val="Strong"/>
    <w:qFormat/>
    <w:rPr>
      <w:rFonts w:cs="Times New Roman"/>
      <w:b/>
      <w:bCs/>
    </w:rPr>
  </w:style>
  <w:style w:type="paragraph" w:customStyle="1" w:styleId="textepar">
    <w:name w:val="texte+par"/>
    <w:link w:val="texteparChar"/>
    <w:pPr>
      <w:spacing w:before="160" w:line="300" w:lineRule="auto"/>
      <w:jc w:val="both"/>
    </w:pPr>
    <w:rPr>
      <w:rFonts w:ascii="Verdana" w:eastAsia="Times New Roman" w:hAnsi="Verdana"/>
      <w:color w:val="632423"/>
      <w:sz w:val="22"/>
      <w:szCs w:val="22"/>
      <w:lang w:eastAsia="en-US"/>
    </w:rPr>
  </w:style>
  <w:style w:type="character" w:customStyle="1" w:styleId="texteparChar">
    <w:name w:val="texte+par Char"/>
    <w:link w:val="textepar"/>
    <w:rPr>
      <w:rFonts w:ascii="Verdana" w:eastAsia="Times New Roman" w:hAnsi="Verdana"/>
      <w:color w:val="632423"/>
      <w:sz w:val="22"/>
      <w:szCs w:val="22"/>
      <w:lang w:val="en-GB" w:eastAsia="en-US" w:bidi="ar-SA"/>
    </w:rPr>
  </w:style>
  <w:style w:type="paragraph" w:styleId="Caption">
    <w:name w:val="caption"/>
    <w:basedOn w:val="Normal"/>
    <w:next w:val="Normal"/>
    <w:link w:val="CaptionChar"/>
    <w:autoRedefine/>
    <w:uiPriority w:val="99"/>
    <w:qFormat/>
    <w:pPr>
      <w:keepNext/>
      <w:spacing w:before="40" w:after="0" w:line="240" w:lineRule="auto"/>
      <w:jc w:val="both"/>
    </w:pPr>
    <w:rPr>
      <w:rFonts w:ascii="Arial" w:hAnsi="Arial"/>
      <w:b/>
      <w:bCs/>
      <w:noProof/>
      <w:color w:val="FF0000"/>
      <w:sz w:val="18"/>
      <w:szCs w:val="20"/>
      <w:lang w:val="en-US" w:eastAsia="x-none"/>
    </w:rPr>
  </w:style>
  <w:style w:type="character" w:customStyle="1" w:styleId="CaptionChar">
    <w:name w:val="Caption Char"/>
    <w:link w:val="Caption"/>
    <w:uiPriority w:val="99"/>
    <w:locked/>
    <w:rPr>
      <w:rFonts w:ascii="Arial" w:hAnsi="Arial" w:cs="Arial"/>
      <w:b/>
      <w:bCs/>
      <w:noProof/>
      <w:color w:val="FF0000"/>
      <w:sz w:val="18"/>
      <w:lang w:val="en-US" w:eastAsia="x-none"/>
    </w:rPr>
  </w:style>
  <w:style w:type="paragraph" w:customStyle="1" w:styleId="texte8">
    <w:name w:val="texte8"/>
    <w:link w:val="texte8Char"/>
    <w:pPr>
      <w:widowControl w:val="0"/>
    </w:pPr>
    <w:rPr>
      <w:rFonts w:ascii="Arial" w:hAnsi="Arial"/>
      <w:color w:val="632423"/>
      <w:sz w:val="16"/>
      <w:szCs w:val="16"/>
      <w:lang w:val="fr-FR"/>
    </w:rPr>
  </w:style>
  <w:style w:type="character" w:customStyle="1" w:styleId="texte8Char">
    <w:name w:val="texte8 Char"/>
    <w:link w:val="texte8"/>
    <w:locked/>
    <w:rPr>
      <w:rFonts w:ascii="Arial" w:hAnsi="Arial"/>
      <w:color w:val="632423"/>
      <w:sz w:val="16"/>
      <w:szCs w:val="16"/>
      <w:lang w:val="fr-FR" w:eastAsia="en-GB" w:bidi="ar-SA"/>
    </w:rPr>
  </w:style>
  <w:style w:type="paragraph" w:customStyle="1" w:styleId="Source">
    <w:name w:val="Source"/>
    <w:basedOn w:val="Normal"/>
    <w:next w:val="Normal"/>
    <w:qFormat/>
    <w:pPr>
      <w:widowControl w:val="0"/>
      <w:spacing w:before="40" w:after="120" w:line="240" w:lineRule="auto"/>
      <w:contextualSpacing/>
      <w:jc w:val="both"/>
    </w:pPr>
    <w:rPr>
      <w:rFonts w:ascii="Arial" w:eastAsia="Times New Roman" w:hAnsi="Arial"/>
      <w:snapToGrid w:val="0"/>
      <w:sz w:val="16"/>
      <w:szCs w:val="16"/>
    </w:rPr>
  </w:style>
  <w:style w:type="paragraph" w:customStyle="1" w:styleId="texte83av3ap">
    <w:name w:val="texte8_3av_3ap"/>
    <w:basedOn w:val="Normal"/>
    <w:pPr>
      <w:widowControl w:val="0"/>
      <w:spacing w:before="60" w:after="60" w:line="240" w:lineRule="auto"/>
      <w:jc w:val="both"/>
    </w:pPr>
    <w:rPr>
      <w:rFonts w:ascii="Arial" w:eastAsia="Times New Roman" w:hAnsi="Arial" w:cs="Arial"/>
      <w:color w:val="632423"/>
      <w:sz w:val="16"/>
      <w:szCs w:val="16"/>
    </w:rPr>
  </w:style>
  <w:style w:type="paragraph" w:customStyle="1" w:styleId="texte83av">
    <w:name w:val="texte8_3av"/>
    <w:basedOn w:val="Normal"/>
    <w:pPr>
      <w:widowControl w:val="0"/>
      <w:spacing w:before="60" w:after="0" w:line="240" w:lineRule="auto"/>
      <w:jc w:val="both"/>
    </w:pPr>
    <w:rPr>
      <w:rFonts w:ascii="Arial" w:eastAsia="Times New Roman" w:hAnsi="Arial" w:cs="Arial"/>
      <w:sz w:val="16"/>
      <w:szCs w:val="16"/>
    </w:rPr>
  </w:style>
  <w:style w:type="character" w:customStyle="1" w:styleId="Heading1Char1">
    <w:name w:val="Heading 1 Char1"/>
    <w:uiPriority w:val="99"/>
    <w:rPr>
      <w:rFonts w:ascii="Times New Roman" w:eastAsia="Times New Roman" w:hAnsi="Times New Roman" w:cs="Times New Roman"/>
      <w:b/>
      <w:bCs/>
      <w:smallCaps/>
      <w:sz w:val="24"/>
      <w:szCs w:val="32"/>
      <w:lang w:val="en-GB"/>
    </w:rPr>
  </w:style>
  <w:style w:type="character" w:customStyle="1" w:styleId="Heading2Char1">
    <w:name w:val="Heading 2 Char1"/>
    <w:uiPriority w:val="99"/>
    <w:rPr>
      <w:rFonts w:ascii="Times New Roman" w:eastAsia="Times New Roman" w:hAnsi="Times New Roman" w:cs="Times New Roman"/>
      <w:b/>
      <w:bCs/>
      <w:iCs/>
      <w:sz w:val="24"/>
      <w:szCs w:val="28"/>
      <w:lang w:val="en-GB"/>
    </w:rPr>
  </w:style>
  <w:style w:type="character" w:customStyle="1" w:styleId="Heading3Char1">
    <w:name w:val="Heading 3 Char1"/>
    <w:uiPriority w:val="99"/>
    <w:rPr>
      <w:rFonts w:ascii="Times New Roman" w:eastAsia="Times New Roman" w:hAnsi="Times New Roman" w:cs="Times New Roman"/>
      <w:bCs/>
      <w:i/>
      <w:sz w:val="24"/>
      <w:szCs w:val="26"/>
      <w:lang w:val="en-GB"/>
    </w:rPr>
  </w:style>
  <w:style w:type="character" w:customStyle="1" w:styleId="Heading4Char1">
    <w:name w:val="Heading 4 Char1"/>
    <w:uiPriority w:val="99"/>
    <w:rPr>
      <w:rFonts w:ascii="Times New Roman" w:eastAsia="Times New Roman" w:hAnsi="Times New Roman" w:cs="Times New Roman"/>
      <w:bCs/>
      <w:sz w:val="24"/>
      <w:szCs w:val="28"/>
      <w:lang w:val="en-GB"/>
    </w:rPr>
  </w:style>
  <w:style w:type="paragraph" w:customStyle="1" w:styleId="Text1">
    <w:name w:val="Text 1"/>
    <w:basedOn w:val="Normal"/>
    <w:uiPriority w:val="99"/>
    <w:pPr>
      <w:spacing w:before="120" w:after="120" w:line="240" w:lineRule="auto"/>
      <w:ind w:left="850"/>
      <w:jc w:val="both"/>
    </w:pPr>
    <w:rPr>
      <w:rFonts w:ascii="Times New Roman" w:eastAsia="Times New Roman" w:hAnsi="Times New Roman"/>
      <w:sz w:val="24"/>
      <w:szCs w:val="24"/>
    </w:rPr>
  </w:style>
  <w:style w:type="character" w:customStyle="1" w:styleId="HeaderChar1">
    <w:name w:val="Header Char1"/>
    <w:rPr>
      <w:rFonts w:ascii="Times New Roman" w:eastAsia="Times New Roman" w:hAnsi="Times New Roman"/>
      <w:sz w:val="24"/>
      <w:szCs w:val="24"/>
      <w:lang w:eastAsia="x-none"/>
    </w:rPr>
  </w:style>
  <w:style w:type="character" w:customStyle="1" w:styleId="FooterChar1">
    <w:name w:val="Footer Char1"/>
    <w:uiPriority w:val="99"/>
    <w:rPr>
      <w:rFonts w:ascii="Times New Roman" w:eastAsia="Times New Roman" w:hAnsi="Times New Roman"/>
      <w:sz w:val="24"/>
      <w:szCs w:val="24"/>
      <w:lang w:eastAsia="x-none"/>
    </w:rPr>
  </w:style>
  <w:style w:type="character" w:customStyle="1" w:styleId="FootnoteTextChar1">
    <w:name w:val="Footnote Text Char1"/>
    <w:semiHidden/>
    <w:rPr>
      <w:rFonts w:ascii="Times New Roman" w:eastAsia="Times New Roman" w:hAnsi="Times New Roman" w:cs="Times New Roman"/>
      <w:sz w:val="20"/>
      <w:szCs w:val="20"/>
      <w:lang w:val="en-GB"/>
    </w:rPr>
  </w:style>
  <w:style w:type="paragraph" w:styleId="TOC1">
    <w:name w:val="toc 1"/>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2">
    <w:name w:val="toc 2"/>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3">
    <w:name w:val="toc 3"/>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4">
    <w:name w:val="toc 4"/>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5">
    <w:name w:val="toc 5"/>
    <w:basedOn w:val="Normal"/>
    <w:next w:val="Normal"/>
    <w:uiPriority w:val="39"/>
    <w:pPr>
      <w:tabs>
        <w:tab w:val="right" w:leader="dot" w:pos="9071"/>
      </w:tabs>
      <w:spacing w:before="300" w:after="120" w:line="240" w:lineRule="auto"/>
      <w:jc w:val="both"/>
    </w:pPr>
    <w:rPr>
      <w:rFonts w:ascii="Times New Roman" w:eastAsia="Times New Roman" w:hAnsi="Times New Roman"/>
      <w:sz w:val="24"/>
      <w:szCs w:val="24"/>
    </w:rPr>
  </w:style>
  <w:style w:type="paragraph" w:styleId="TOC6">
    <w:name w:val="toc 6"/>
    <w:basedOn w:val="Normal"/>
    <w:next w:val="Normal"/>
    <w:uiPriority w:val="39"/>
    <w:pPr>
      <w:tabs>
        <w:tab w:val="right" w:leader="dot" w:pos="9071"/>
      </w:tabs>
      <w:spacing w:before="240" w:after="120" w:line="240" w:lineRule="auto"/>
      <w:jc w:val="both"/>
    </w:pPr>
    <w:rPr>
      <w:rFonts w:ascii="Times New Roman" w:eastAsia="Times New Roman" w:hAnsi="Times New Roman"/>
      <w:sz w:val="24"/>
      <w:szCs w:val="24"/>
    </w:rPr>
  </w:style>
  <w:style w:type="paragraph" w:styleId="TOC7">
    <w:name w:val="toc 7"/>
    <w:basedOn w:val="Normal"/>
    <w:next w:val="Normal"/>
    <w:uiPriority w:val="39"/>
    <w:pPr>
      <w:tabs>
        <w:tab w:val="right" w:leader="dot" w:pos="9071"/>
      </w:tabs>
      <w:spacing w:before="180" w:after="120" w:line="240" w:lineRule="auto"/>
      <w:jc w:val="both"/>
    </w:pPr>
    <w:rPr>
      <w:rFonts w:ascii="Times New Roman" w:eastAsia="Times New Roman" w:hAnsi="Times New Roman"/>
      <w:sz w:val="24"/>
      <w:szCs w:val="24"/>
    </w:rPr>
  </w:style>
  <w:style w:type="paragraph" w:styleId="TOC8">
    <w:name w:val="toc 8"/>
    <w:basedOn w:val="Normal"/>
    <w:next w:val="Normal"/>
    <w:uiPriority w:val="39"/>
    <w:pPr>
      <w:tabs>
        <w:tab w:val="right" w:leader="dot" w:pos="9071"/>
      </w:tabs>
      <w:spacing w:before="120" w:after="120" w:line="240" w:lineRule="auto"/>
      <w:jc w:val="both"/>
    </w:pPr>
    <w:rPr>
      <w:rFonts w:ascii="Times New Roman" w:eastAsia="Times New Roman" w:hAnsi="Times New Roman"/>
      <w:sz w:val="24"/>
      <w:szCs w:val="24"/>
    </w:rPr>
  </w:style>
  <w:style w:type="paragraph" w:styleId="TOC9">
    <w:name w:val="toc 9"/>
    <w:basedOn w:val="Normal"/>
    <w:next w:val="Normal"/>
    <w:uiPriority w:val="39"/>
    <w:pPr>
      <w:tabs>
        <w:tab w:val="right" w:leader="dot" w:pos="9071"/>
      </w:tabs>
      <w:spacing w:before="120" w:after="120" w:line="240" w:lineRule="auto"/>
      <w:jc w:val="both"/>
    </w:pPr>
    <w:rPr>
      <w:rFonts w:ascii="Times New Roman" w:eastAsia="Times New Roman" w:hAnsi="Times New Roman"/>
      <w:sz w:val="24"/>
      <w:szCs w:val="24"/>
    </w:rPr>
  </w:style>
  <w:style w:type="paragraph" w:customStyle="1" w:styleId="HeaderLandscape">
    <w:name w:val="HeaderLandscape"/>
    <w:basedOn w:val="Normal"/>
    <w:pPr>
      <w:tabs>
        <w:tab w:val="center" w:pos="7285"/>
        <w:tab w:val="right" w:pos="14003"/>
      </w:tabs>
      <w:spacing w:before="120" w:after="120" w:line="240" w:lineRule="auto"/>
      <w:jc w:val="both"/>
    </w:pPr>
    <w:rPr>
      <w:rFonts w:ascii="Times New Roman" w:eastAsia="Times New Roman" w:hAnsi="Times New Roman"/>
      <w:sz w:val="24"/>
      <w:szCs w:val="24"/>
    </w:rPr>
  </w:style>
  <w:style w:type="paragraph" w:customStyle="1" w:styleId="FooterLandscape">
    <w:name w:val="FooterLandscape"/>
    <w:basedOn w:val="Normal"/>
    <w:uiPriority w:val="99"/>
    <w:pPr>
      <w:tabs>
        <w:tab w:val="center" w:pos="7285"/>
        <w:tab w:val="center" w:pos="10913"/>
        <w:tab w:val="right" w:pos="15137"/>
      </w:tabs>
      <w:spacing w:before="360" w:after="0" w:line="240" w:lineRule="auto"/>
      <w:ind w:left="-567" w:right="-567"/>
      <w:jc w:val="both"/>
    </w:pPr>
    <w:rPr>
      <w:rFonts w:ascii="Times New Roman" w:eastAsia="Times New Roman" w:hAnsi="Times New Roman"/>
      <w:sz w:val="24"/>
      <w:szCs w:val="24"/>
    </w:rPr>
  </w:style>
  <w:style w:type="paragraph" w:customStyle="1" w:styleId="Text2">
    <w:name w:val="Text 2"/>
    <w:basedOn w:val="Normal"/>
    <w:uiPriority w:val="99"/>
    <w:pPr>
      <w:spacing w:before="120" w:after="120" w:line="240" w:lineRule="auto"/>
      <w:ind w:left="1417"/>
      <w:jc w:val="both"/>
    </w:pPr>
    <w:rPr>
      <w:rFonts w:ascii="Times New Roman" w:eastAsia="Times New Roman" w:hAnsi="Times New Roman"/>
      <w:sz w:val="24"/>
      <w:szCs w:val="24"/>
    </w:rPr>
  </w:style>
  <w:style w:type="paragraph" w:customStyle="1" w:styleId="Text3">
    <w:name w:val="Text 3"/>
    <w:basedOn w:val="Normal"/>
    <w:uiPriority w:val="99"/>
    <w:pPr>
      <w:spacing w:before="120" w:after="120" w:line="240" w:lineRule="auto"/>
      <w:ind w:left="1984"/>
      <w:jc w:val="both"/>
    </w:pPr>
    <w:rPr>
      <w:rFonts w:ascii="Times New Roman" w:eastAsia="Times New Roman" w:hAnsi="Times New Roman"/>
      <w:sz w:val="24"/>
      <w:szCs w:val="24"/>
    </w:rPr>
  </w:style>
  <w:style w:type="paragraph" w:customStyle="1" w:styleId="Text4">
    <w:name w:val="Text 4"/>
    <w:basedOn w:val="Normal"/>
    <w:uiPriority w:val="99"/>
    <w:pPr>
      <w:spacing w:before="120" w:after="120" w:line="240" w:lineRule="auto"/>
      <w:ind w:left="2551"/>
      <w:jc w:val="both"/>
    </w:pPr>
    <w:rPr>
      <w:rFonts w:ascii="Times New Roman" w:eastAsia="Times New Roman" w:hAnsi="Times New Roman"/>
      <w:sz w:val="24"/>
      <w:szCs w:val="24"/>
    </w:rPr>
  </w:style>
  <w:style w:type="paragraph" w:customStyle="1" w:styleId="NormalCentered">
    <w:name w:val="Normal Centered"/>
    <w:basedOn w:val="Normal"/>
    <w:uiPriority w:val="99"/>
    <w:pPr>
      <w:spacing w:before="120" w:after="120" w:line="240" w:lineRule="auto"/>
      <w:jc w:val="center"/>
    </w:pPr>
    <w:rPr>
      <w:rFonts w:ascii="Times New Roman" w:eastAsia="Times New Roman" w:hAnsi="Times New Roman"/>
      <w:sz w:val="24"/>
      <w:szCs w:val="24"/>
    </w:rPr>
  </w:style>
  <w:style w:type="paragraph" w:customStyle="1" w:styleId="NormalLeft">
    <w:name w:val="Normal Left"/>
    <w:basedOn w:val="Normal"/>
    <w:uiPriority w:val="99"/>
    <w:pPr>
      <w:spacing w:before="120" w:after="120" w:line="240" w:lineRule="auto"/>
      <w:jc w:val="both"/>
    </w:pPr>
    <w:rPr>
      <w:rFonts w:ascii="Times New Roman" w:eastAsia="Times New Roman" w:hAnsi="Times New Roman"/>
      <w:sz w:val="24"/>
      <w:szCs w:val="24"/>
    </w:rPr>
  </w:style>
  <w:style w:type="paragraph" w:customStyle="1" w:styleId="NormalRight">
    <w:name w:val="Normal Right"/>
    <w:basedOn w:val="Normal"/>
    <w:uiPriority w:val="99"/>
    <w:pPr>
      <w:spacing w:before="120" w:after="120" w:line="240" w:lineRule="auto"/>
      <w:jc w:val="right"/>
    </w:pPr>
    <w:rPr>
      <w:rFonts w:ascii="Times New Roman" w:eastAsia="Times New Roman" w:hAnsi="Times New Roman"/>
      <w:sz w:val="24"/>
      <w:szCs w:val="24"/>
    </w:rPr>
  </w:style>
  <w:style w:type="paragraph" w:customStyle="1" w:styleId="QuotedText">
    <w:name w:val="Quoted Text"/>
    <w:basedOn w:val="Normal"/>
    <w:uiPriority w:val="99"/>
    <w:pPr>
      <w:spacing w:before="120" w:after="120" w:line="240" w:lineRule="auto"/>
      <w:ind w:left="1417"/>
      <w:jc w:val="both"/>
    </w:pPr>
    <w:rPr>
      <w:rFonts w:ascii="Times New Roman" w:eastAsia="Times New Roman" w:hAnsi="Times New Roman"/>
      <w:sz w:val="24"/>
      <w:szCs w:val="24"/>
    </w:rPr>
  </w:style>
  <w:style w:type="paragraph" w:customStyle="1" w:styleId="Point0">
    <w:name w:val="Point 0"/>
    <w:basedOn w:val="Normal"/>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Point1">
    <w:name w:val="Point 1"/>
    <w:basedOn w:val="Normal"/>
    <w:pPr>
      <w:spacing w:before="120" w:after="120" w:line="240" w:lineRule="auto"/>
      <w:ind w:left="1417" w:hanging="567"/>
      <w:jc w:val="both"/>
    </w:pPr>
    <w:rPr>
      <w:rFonts w:ascii="Times New Roman" w:eastAsia="Times New Roman" w:hAnsi="Times New Roman"/>
      <w:sz w:val="24"/>
      <w:szCs w:val="24"/>
    </w:rPr>
  </w:style>
  <w:style w:type="paragraph" w:customStyle="1" w:styleId="Point2">
    <w:name w:val="Point 2"/>
    <w:basedOn w:val="Normal"/>
    <w:uiPriority w:val="99"/>
    <w:pPr>
      <w:spacing w:before="120" w:after="120" w:line="240" w:lineRule="auto"/>
      <w:ind w:left="1984" w:hanging="567"/>
      <w:jc w:val="both"/>
    </w:pPr>
    <w:rPr>
      <w:rFonts w:ascii="Times New Roman" w:eastAsia="Times New Roman" w:hAnsi="Times New Roman"/>
      <w:sz w:val="24"/>
      <w:szCs w:val="24"/>
    </w:rPr>
  </w:style>
  <w:style w:type="paragraph" w:customStyle="1" w:styleId="Point3">
    <w:name w:val="Point 3"/>
    <w:basedOn w:val="Normal"/>
    <w:uiPriority w:val="99"/>
    <w:pPr>
      <w:spacing w:before="120" w:after="120" w:line="240" w:lineRule="auto"/>
      <w:ind w:left="2551" w:hanging="567"/>
      <w:jc w:val="both"/>
    </w:pPr>
    <w:rPr>
      <w:rFonts w:ascii="Times New Roman" w:eastAsia="Times New Roman" w:hAnsi="Times New Roman"/>
      <w:sz w:val="24"/>
      <w:szCs w:val="24"/>
    </w:rPr>
  </w:style>
  <w:style w:type="paragraph" w:customStyle="1" w:styleId="Point4">
    <w:name w:val="Point 4"/>
    <w:basedOn w:val="Normal"/>
    <w:uiPriority w:val="99"/>
    <w:pPr>
      <w:spacing w:before="120" w:after="120" w:line="240" w:lineRule="auto"/>
      <w:ind w:left="3118" w:hanging="567"/>
      <w:jc w:val="both"/>
    </w:pPr>
    <w:rPr>
      <w:rFonts w:ascii="Times New Roman" w:eastAsia="Times New Roman" w:hAnsi="Times New Roman"/>
      <w:sz w:val="24"/>
      <w:szCs w:val="24"/>
    </w:rPr>
  </w:style>
  <w:style w:type="paragraph" w:customStyle="1" w:styleId="Tiret0">
    <w:name w:val="Tiret 0"/>
    <w:basedOn w:val="Point0"/>
    <w:pPr>
      <w:numPr>
        <w:numId w:val="19"/>
      </w:numPr>
    </w:pPr>
  </w:style>
  <w:style w:type="paragraph" w:customStyle="1" w:styleId="Tiret1">
    <w:name w:val="Tiret 1"/>
    <w:basedOn w:val="Point1"/>
    <w:pPr>
      <w:numPr>
        <w:numId w:val="20"/>
      </w:numPr>
    </w:pPr>
  </w:style>
  <w:style w:type="paragraph" w:customStyle="1" w:styleId="Tiret2">
    <w:name w:val="Tiret 2"/>
    <w:basedOn w:val="Point2"/>
    <w:pPr>
      <w:numPr>
        <w:numId w:val="21"/>
      </w:numPr>
    </w:pPr>
  </w:style>
  <w:style w:type="paragraph" w:customStyle="1" w:styleId="Tiret3">
    <w:name w:val="Tiret 3"/>
    <w:basedOn w:val="Point3"/>
    <w:pPr>
      <w:numPr>
        <w:numId w:val="22"/>
      </w:numPr>
    </w:pPr>
  </w:style>
  <w:style w:type="paragraph" w:customStyle="1" w:styleId="Tiret4">
    <w:name w:val="Tiret 4"/>
    <w:basedOn w:val="Point4"/>
    <w:pPr>
      <w:numPr>
        <w:numId w:val="23"/>
      </w:numPr>
    </w:pPr>
  </w:style>
  <w:style w:type="paragraph" w:customStyle="1" w:styleId="PointDouble0">
    <w:name w:val="PointDouble 0"/>
    <w:basedOn w:val="Normal"/>
    <w:uiPriority w:val="99"/>
    <w:pPr>
      <w:tabs>
        <w:tab w:val="left" w:pos="850"/>
      </w:tabs>
      <w:spacing w:before="120" w:after="120" w:line="240" w:lineRule="auto"/>
      <w:ind w:left="1417" w:hanging="1417"/>
      <w:jc w:val="both"/>
    </w:pPr>
    <w:rPr>
      <w:rFonts w:ascii="Times New Roman" w:eastAsia="Times New Roman" w:hAnsi="Times New Roman"/>
      <w:sz w:val="24"/>
      <w:szCs w:val="24"/>
    </w:rPr>
  </w:style>
  <w:style w:type="paragraph" w:customStyle="1" w:styleId="PointDouble1">
    <w:name w:val="PointDouble 1"/>
    <w:basedOn w:val="Normal"/>
    <w:uiPriority w:val="99"/>
    <w:pPr>
      <w:tabs>
        <w:tab w:val="left" w:pos="1417"/>
      </w:tabs>
      <w:spacing w:before="120" w:after="120" w:line="240" w:lineRule="auto"/>
      <w:ind w:left="1984" w:hanging="1134"/>
      <w:jc w:val="both"/>
    </w:pPr>
    <w:rPr>
      <w:rFonts w:ascii="Times New Roman" w:eastAsia="Times New Roman" w:hAnsi="Times New Roman"/>
      <w:sz w:val="24"/>
      <w:szCs w:val="24"/>
    </w:rPr>
  </w:style>
  <w:style w:type="paragraph" w:customStyle="1" w:styleId="PointDouble2">
    <w:name w:val="PointDouble 2"/>
    <w:basedOn w:val="Normal"/>
    <w:uiPriority w:val="99"/>
    <w:pPr>
      <w:tabs>
        <w:tab w:val="left" w:pos="1984"/>
      </w:tabs>
      <w:spacing w:before="120" w:after="120" w:line="240" w:lineRule="auto"/>
      <w:ind w:left="2551" w:hanging="1134"/>
      <w:jc w:val="both"/>
    </w:pPr>
    <w:rPr>
      <w:rFonts w:ascii="Times New Roman" w:eastAsia="Times New Roman" w:hAnsi="Times New Roman"/>
      <w:sz w:val="24"/>
      <w:szCs w:val="24"/>
    </w:rPr>
  </w:style>
  <w:style w:type="paragraph" w:customStyle="1" w:styleId="PointDouble3">
    <w:name w:val="PointDouble 3"/>
    <w:basedOn w:val="Normal"/>
    <w:uiPriority w:val="99"/>
    <w:pPr>
      <w:tabs>
        <w:tab w:val="left" w:pos="2551"/>
      </w:tabs>
      <w:spacing w:before="120" w:after="120" w:line="240" w:lineRule="auto"/>
      <w:ind w:left="3118" w:hanging="1134"/>
      <w:jc w:val="both"/>
    </w:pPr>
    <w:rPr>
      <w:rFonts w:ascii="Times New Roman" w:eastAsia="Times New Roman" w:hAnsi="Times New Roman"/>
      <w:sz w:val="24"/>
      <w:szCs w:val="24"/>
    </w:rPr>
  </w:style>
  <w:style w:type="paragraph" w:customStyle="1" w:styleId="PointDouble4">
    <w:name w:val="PointDouble 4"/>
    <w:basedOn w:val="Normal"/>
    <w:uiPriority w:val="99"/>
    <w:pPr>
      <w:tabs>
        <w:tab w:val="left" w:pos="3118"/>
      </w:tabs>
      <w:spacing w:before="120" w:after="120" w:line="240" w:lineRule="auto"/>
      <w:ind w:left="3685" w:hanging="1134"/>
      <w:jc w:val="both"/>
    </w:pPr>
    <w:rPr>
      <w:rFonts w:ascii="Times New Roman" w:eastAsia="Times New Roman" w:hAnsi="Times New Roman"/>
      <w:sz w:val="24"/>
      <w:szCs w:val="24"/>
    </w:rPr>
  </w:style>
  <w:style w:type="paragraph" w:customStyle="1" w:styleId="PointTriple0">
    <w:name w:val="PointTriple 0"/>
    <w:basedOn w:val="Normal"/>
    <w:uiPriority w:val="99"/>
    <w:pPr>
      <w:tabs>
        <w:tab w:val="left" w:pos="850"/>
        <w:tab w:val="left" w:pos="1417"/>
      </w:tabs>
      <w:spacing w:before="120" w:after="120" w:line="240" w:lineRule="auto"/>
      <w:ind w:left="1984" w:hanging="1984"/>
      <w:jc w:val="both"/>
    </w:pPr>
    <w:rPr>
      <w:rFonts w:ascii="Times New Roman" w:eastAsia="Times New Roman" w:hAnsi="Times New Roman"/>
      <w:sz w:val="24"/>
      <w:szCs w:val="24"/>
    </w:rPr>
  </w:style>
  <w:style w:type="paragraph" w:customStyle="1" w:styleId="PointTriple1">
    <w:name w:val="PointTriple 1"/>
    <w:basedOn w:val="Normal"/>
    <w:uiPriority w:val="99"/>
    <w:pPr>
      <w:tabs>
        <w:tab w:val="left" w:pos="1417"/>
        <w:tab w:val="left" w:pos="1984"/>
      </w:tabs>
      <w:spacing w:before="120" w:after="120" w:line="240" w:lineRule="auto"/>
      <w:ind w:left="2551" w:hanging="1701"/>
      <w:jc w:val="both"/>
    </w:pPr>
    <w:rPr>
      <w:rFonts w:ascii="Times New Roman" w:eastAsia="Times New Roman" w:hAnsi="Times New Roman"/>
      <w:sz w:val="24"/>
      <w:szCs w:val="24"/>
    </w:rPr>
  </w:style>
  <w:style w:type="paragraph" w:customStyle="1" w:styleId="PointTriple2">
    <w:name w:val="PointTriple 2"/>
    <w:basedOn w:val="Normal"/>
    <w:uiPriority w:val="99"/>
    <w:pPr>
      <w:tabs>
        <w:tab w:val="left" w:pos="1984"/>
        <w:tab w:val="left" w:pos="2551"/>
      </w:tabs>
      <w:spacing w:before="120" w:after="120" w:line="240" w:lineRule="auto"/>
      <w:ind w:left="3118" w:hanging="1701"/>
      <w:jc w:val="both"/>
    </w:pPr>
    <w:rPr>
      <w:rFonts w:ascii="Times New Roman" w:eastAsia="Times New Roman" w:hAnsi="Times New Roman"/>
      <w:sz w:val="24"/>
      <w:szCs w:val="24"/>
    </w:rPr>
  </w:style>
  <w:style w:type="paragraph" w:customStyle="1" w:styleId="PointTriple3">
    <w:name w:val="PointTriple 3"/>
    <w:basedOn w:val="Normal"/>
    <w:uiPriority w:val="99"/>
    <w:pPr>
      <w:tabs>
        <w:tab w:val="left" w:pos="2551"/>
        <w:tab w:val="left" w:pos="3118"/>
      </w:tabs>
      <w:spacing w:before="120" w:after="120" w:line="240" w:lineRule="auto"/>
      <w:ind w:left="3685" w:hanging="1701"/>
      <w:jc w:val="both"/>
    </w:pPr>
    <w:rPr>
      <w:rFonts w:ascii="Times New Roman" w:eastAsia="Times New Roman" w:hAnsi="Times New Roman"/>
      <w:sz w:val="24"/>
      <w:szCs w:val="24"/>
    </w:rPr>
  </w:style>
  <w:style w:type="paragraph" w:customStyle="1" w:styleId="PointTriple4">
    <w:name w:val="PointTriple 4"/>
    <w:basedOn w:val="Normal"/>
    <w:uiPriority w:val="99"/>
    <w:pPr>
      <w:tabs>
        <w:tab w:val="left" w:pos="3118"/>
        <w:tab w:val="left" w:pos="3685"/>
      </w:tabs>
      <w:spacing w:before="120" w:after="120" w:line="240" w:lineRule="auto"/>
      <w:ind w:left="4252" w:hanging="1701"/>
      <w:jc w:val="both"/>
    </w:pPr>
    <w:rPr>
      <w:rFonts w:ascii="Times New Roman" w:eastAsia="Times New Roman" w:hAnsi="Times New Roman"/>
      <w:sz w:val="24"/>
      <w:szCs w:val="24"/>
    </w:rPr>
  </w:style>
  <w:style w:type="paragraph" w:customStyle="1" w:styleId="NumPar1">
    <w:name w:val="NumPar 1"/>
    <w:basedOn w:val="Normal"/>
    <w:next w:val="Text1"/>
    <w:pPr>
      <w:numPr>
        <w:numId w:val="24"/>
      </w:numPr>
      <w:spacing w:before="120" w:after="120" w:line="240" w:lineRule="auto"/>
      <w:jc w:val="both"/>
    </w:pPr>
    <w:rPr>
      <w:rFonts w:ascii="Times New Roman" w:eastAsia="Times New Roman" w:hAnsi="Times New Roman"/>
      <w:sz w:val="24"/>
      <w:szCs w:val="24"/>
    </w:rPr>
  </w:style>
  <w:style w:type="paragraph" w:customStyle="1" w:styleId="NumPar2">
    <w:name w:val="NumPar 2"/>
    <w:basedOn w:val="Normal"/>
    <w:next w:val="Text1"/>
    <w:pPr>
      <w:numPr>
        <w:ilvl w:val="1"/>
        <w:numId w:val="24"/>
      </w:numPr>
      <w:spacing w:before="120" w:after="120" w:line="240" w:lineRule="auto"/>
      <w:jc w:val="both"/>
    </w:pPr>
    <w:rPr>
      <w:rFonts w:ascii="Times New Roman" w:eastAsia="Times New Roman" w:hAnsi="Times New Roman"/>
      <w:sz w:val="24"/>
      <w:szCs w:val="24"/>
    </w:rPr>
  </w:style>
  <w:style w:type="paragraph" w:customStyle="1" w:styleId="NumPar3">
    <w:name w:val="NumPar 3"/>
    <w:basedOn w:val="Normal"/>
    <w:next w:val="Text1"/>
    <w:pPr>
      <w:numPr>
        <w:ilvl w:val="2"/>
        <w:numId w:val="24"/>
      </w:numPr>
      <w:spacing w:before="120" w:after="120" w:line="240" w:lineRule="auto"/>
      <w:jc w:val="both"/>
    </w:pPr>
    <w:rPr>
      <w:rFonts w:ascii="Times New Roman" w:eastAsia="Times New Roman" w:hAnsi="Times New Roman"/>
      <w:sz w:val="24"/>
      <w:szCs w:val="24"/>
    </w:rPr>
  </w:style>
  <w:style w:type="paragraph" w:customStyle="1" w:styleId="NumPar4">
    <w:name w:val="NumPar 4"/>
    <w:basedOn w:val="Normal"/>
    <w:next w:val="Text1"/>
    <w:pPr>
      <w:numPr>
        <w:ilvl w:val="3"/>
        <w:numId w:val="24"/>
      </w:numPr>
      <w:spacing w:before="120" w:after="120" w:line="240" w:lineRule="auto"/>
      <w:jc w:val="both"/>
    </w:pPr>
    <w:rPr>
      <w:rFonts w:ascii="Times New Roman" w:eastAsia="Times New Roman" w:hAnsi="Times New Roman"/>
      <w:sz w:val="24"/>
      <w:szCs w:val="24"/>
    </w:rPr>
  </w:style>
  <w:style w:type="paragraph" w:customStyle="1" w:styleId="ManualNumPar1">
    <w:name w:val="Manual NumPar 1"/>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2">
    <w:name w:val="Manual NumPar 2"/>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3">
    <w:name w:val="Manual NumPar 3"/>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4">
    <w:name w:val="Manual NumPar 4"/>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QuotedNumPar">
    <w:name w:val="Quoted NumPar"/>
    <w:basedOn w:val="Normal"/>
    <w:uiPriority w:val="99"/>
    <w:pPr>
      <w:spacing w:before="120" w:after="120" w:line="240" w:lineRule="auto"/>
      <w:ind w:left="1417" w:hanging="567"/>
      <w:jc w:val="both"/>
    </w:pPr>
    <w:rPr>
      <w:rFonts w:ascii="Times New Roman" w:eastAsia="Times New Roman" w:hAnsi="Times New Roman"/>
      <w:sz w:val="24"/>
      <w:szCs w:val="24"/>
    </w:rPr>
  </w:style>
  <w:style w:type="paragraph" w:customStyle="1" w:styleId="ManualHeading1">
    <w:name w:val="Manual Heading 1"/>
    <w:basedOn w:val="Normal"/>
    <w:next w:val="Text1"/>
    <w:uiPriority w:val="99"/>
    <w:pPr>
      <w:keepNext/>
      <w:tabs>
        <w:tab w:val="left" w:pos="850"/>
      </w:tabs>
      <w:spacing w:before="360" w:after="120" w:line="240" w:lineRule="auto"/>
      <w:ind w:left="850" w:hanging="850"/>
      <w:jc w:val="both"/>
      <w:outlineLvl w:val="0"/>
    </w:pPr>
    <w:rPr>
      <w:rFonts w:ascii="Times New Roman" w:eastAsia="Times New Roman" w:hAnsi="Times New Roman"/>
      <w:b/>
      <w:smallCaps/>
      <w:sz w:val="24"/>
      <w:szCs w:val="24"/>
    </w:rPr>
  </w:style>
  <w:style w:type="paragraph" w:customStyle="1" w:styleId="ManualHeading2">
    <w:name w:val="Manual Heading 2"/>
    <w:basedOn w:val="Normal"/>
    <w:next w:val="Text1"/>
    <w:uiPriority w:val="99"/>
    <w:pPr>
      <w:keepNext/>
      <w:tabs>
        <w:tab w:val="left" w:pos="850"/>
      </w:tabs>
      <w:spacing w:before="120" w:after="120" w:line="240" w:lineRule="auto"/>
      <w:ind w:left="850" w:hanging="850"/>
      <w:jc w:val="both"/>
      <w:outlineLvl w:val="1"/>
    </w:pPr>
    <w:rPr>
      <w:rFonts w:ascii="Times New Roman" w:eastAsia="Times New Roman" w:hAnsi="Times New Roman"/>
      <w:b/>
      <w:sz w:val="24"/>
      <w:szCs w:val="24"/>
    </w:rPr>
  </w:style>
  <w:style w:type="paragraph" w:customStyle="1" w:styleId="ManualHeading3">
    <w:name w:val="Manual Heading 3"/>
    <w:basedOn w:val="Normal"/>
    <w:next w:val="Text1"/>
    <w:uiPriority w:val="99"/>
    <w:pPr>
      <w:keepNext/>
      <w:tabs>
        <w:tab w:val="left" w:pos="850"/>
      </w:tabs>
      <w:spacing w:before="120" w:after="120" w:line="240" w:lineRule="auto"/>
      <w:ind w:left="850" w:hanging="850"/>
      <w:jc w:val="both"/>
      <w:outlineLvl w:val="2"/>
    </w:pPr>
    <w:rPr>
      <w:rFonts w:ascii="Times New Roman" w:eastAsia="Times New Roman" w:hAnsi="Times New Roman"/>
      <w:i/>
      <w:sz w:val="24"/>
      <w:szCs w:val="24"/>
    </w:rPr>
  </w:style>
  <w:style w:type="paragraph" w:customStyle="1" w:styleId="ManualHeading4">
    <w:name w:val="Manual Heading 4"/>
    <w:basedOn w:val="Normal"/>
    <w:next w:val="Text1"/>
    <w:uiPriority w:val="99"/>
    <w:pPr>
      <w:keepNext/>
      <w:tabs>
        <w:tab w:val="left" w:pos="850"/>
      </w:tabs>
      <w:spacing w:before="120" w:after="120" w:line="240" w:lineRule="auto"/>
      <w:ind w:left="850" w:hanging="850"/>
      <w:jc w:val="both"/>
      <w:outlineLvl w:val="3"/>
    </w:pPr>
    <w:rPr>
      <w:rFonts w:ascii="Times New Roman" w:eastAsia="Times New Roman" w:hAnsi="Times New Roman"/>
      <w:sz w:val="24"/>
      <w:szCs w:val="24"/>
    </w:rPr>
  </w:style>
  <w:style w:type="paragraph" w:customStyle="1" w:styleId="ChapterTitle">
    <w:name w:val="ChapterTitle"/>
    <w:basedOn w:val="Normal"/>
    <w:next w:val="Normal"/>
    <w:uiPriority w:val="99"/>
    <w:pPr>
      <w:keepNext/>
      <w:spacing w:before="120" w:after="360" w:line="240" w:lineRule="auto"/>
      <w:jc w:val="center"/>
    </w:pPr>
    <w:rPr>
      <w:rFonts w:ascii="Times New Roman" w:eastAsia="Times New Roman" w:hAnsi="Times New Roman"/>
      <w:b/>
      <w:sz w:val="32"/>
      <w:szCs w:val="24"/>
    </w:rPr>
  </w:style>
  <w:style w:type="paragraph" w:customStyle="1" w:styleId="PartTitle">
    <w:name w:val="PartTitle"/>
    <w:basedOn w:val="Normal"/>
    <w:next w:val="ChapterTitle"/>
    <w:uiPriority w:val="99"/>
    <w:pPr>
      <w:keepNext/>
      <w:pageBreakBefore/>
      <w:spacing w:before="120" w:after="360" w:line="240" w:lineRule="auto"/>
      <w:jc w:val="center"/>
    </w:pPr>
    <w:rPr>
      <w:rFonts w:ascii="Times New Roman" w:eastAsia="Times New Roman" w:hAnsi="Times New Roman"/>
      <w:b/>
      <w:sz w:val="36"/>
      <w:szCs w:val="24"/>
    </w:rPr>
  </w:style>
  <w:style w:type="paragraph" w:customStyle="1" w:styleId="SectionTitle">
    <w:name w:val="SectionTitle"/>
    <w:basedOn w:val="Normal"/>
    <w:next w:val="Heading1"/>
    <w:uiPriority w:val="99"/>
    <w:pPr>
      <w:keepNext/>
      <w:spacing w:before="120" w:after="360" w:line="240" w:lineRule="auto"/>
      <w:jc w:val="center"/>
    </w:pPr>
    <w:rPr>
      <w:rFonts w:ascii="Times New Roman" w:eastAsia="Times New Roman" w:hAnsi="Times New Roman"/>
      <w:b/>
      <w:smallCaps/>
      <w:sz w:val="28"/>
      <w:szCs w:val="24"/>
    </w:rPr>
  </w:style>
  <w:style w:type="paragraph" w:customStyle="1" w:styleId="TableTitle">
    <w:name w:val="Table Title"/>
    <w:basedOn w:val="Normal"/>
    <w:next w:val="Normal"/>
    <w:uiPriority w:val="99"/>
    <w:pPr>
      <w:spacing w:before="120" w:after="120" w:line="240" w:lineRule="auto"/>
      <w:jc w:val="center"/>
    </w:pPr>
    <w:rPr>
      <w:rFonts w:ascii="Times New Roman" w:eastAsia="Times New Roman" w:hAnsi="Times New Roman"/>
      <w:b/>
      <w:sz w:val="24"/>
      <w:szCs w:val="24"/>
    </w:rPr>
  </w:style>
  <w:style w:type="character" w:customStyle="1" w:styleId="Marker">
    <w:name w:val="Marker"/>
    <w:uiPriority w:val="99"/>
    <w:rPr>
      <w:rFonts w:cs="Times New Roman"/>
      <w:color w:val="0000FF"/>
      <w:shd w:val="clear" w:color="auto" w:fill="auto"/>
    </w:rPr>
  </w:style>
  <w:style w:type="character" w:customStyle="1" w:styleId="Marker1">
    <w:name w:val="Marker1"/>
    <w:uiPriority w:val="99"/>
    <w:rPr>
      <w:rFonts w:cs="Times New Roman"/>
      <w:color w:val="008000"/>
      <w:shd w:val="clear" w:color="auto" w:fill="auto"/>
    </w:rPr>
  </w:style>
  <w:style w:type="character" w:customStyle="1" w:styleId="Marker2">
    <w:name w:val="Marker2"/>
    <w:uiPriority w:val="99"/>
    <w:rPr>
      <w:rFonts w:cs="Times New Roman"/>
      <w:color w:val="FF0000"/>
      <w:shd w:val="clear" w:color="auto" w:fill="auto"/>
    </w:rPr>
  </w:style>
  <w:style w:type="paragraph" w:customStyle="1" w:styleId="Titolosommario">
    <w:name w:val="Titolo sommario"/>
    <w:basedOn w:val="Normal"/>
    <w:next w:val="Normal"/>
    <w:link w:val="TitolosommarioCarattere"/>
    <w:uiPriority w:val="39"/>
    <w:qFormat/>
    <w:pPr>
      <w:spacing w:before="120" w:after="240" w:line="240" w:lineRule="auto"/>
      <w:jc w:val="center"/>
    </w:pPr>
    <w:rPr>
      <w:rFonts w:ascii="Times New Roman" w:eastAsia="Times New Roman" w:hAnsi="Times New Roman"/>
      <w:b/>
      <w:sz w:val="28"/>
      <w:szCs w:val="24"/>
      <w:lang w:val="x-none"/>
    </w:rPr>
  </w:style>
  <w:style w:type="paragraph" w:customStyle="1" w:styleId="Point0number">
    <w:name w:val="Point 0 (number)"/>
    <w:basedOn w:val="Normal"/>
    <w:pPr>
      <w:numPr>
        <w:numId w:val="25"/>
      </w:numPr>
      <w:spacing w:before="120" w:after="120" w:line="240" w:lineRule="auto"/>
      <w:jc w:val="both"/>
    </w:pPr>
    <w:rPr>
      <w:rFonts w:ascii="Times New Roman" w:eastAsia="Times New Roman" w:hAnsi="Times New Roman"/>
      <w:sz w:val="24"/>
      <w:szCs w:val="24"/>
    </w:rPr>
  </w:style>
  <w:style w:type="paragraph" w:customStyle="1" w:styleId="Point1number">
    <w:name w:val="Point 1 (number)"/>
    <w:basedOn w:val="Normal"/>
    <w:pPr>
      <w:numPr>
        <w:ilvl w:val="2"/>
        <w:numId w:val="25"/>
      </w:numPr>
      <w:spacing w:before="120" w:after="120" w:line="240" w:lineRule="auto"/>
      <w:jc w:val="both"/>
    </w:pPr>
    <w:rPr>
      <w:rFonts w:ascii="Times New Roman" w:eastAsia="Times New Roman" w:hAnsi="Times New Roman"/>
      <w:sz w:val="24"/>
      <w:szCs w:val="24"/>
    </w:rPr>
  </w:style>
  <w:style w:type="paragraph" w:customStyle="1" w:styleId="Point2number">
    <w:name w:val="Point 2 (number)"/>
    <w:basedOn w:val="Normal"/>
    <w:pPr>
      <w:numPr>
        <w:ilvl w:val="4"/>
        <w:numId w:val="25"/>
      </w:numPr>
      <w:spacing w:before="120" w:after="120" w:line="240" w:lineRule="auto"/>
      <w:jc w:val="both"/>
    </w:pPr>
    <w:rPr>
      <w:rFonts w:ascii="Times New Roman" w:eastAsia="Times New Roman" w:hAnsi="Times New Roman"/>
      <w:sz w:val="24"/>
      <w:szCs w:val="24"/>
    </w:rPr>
  </w:style>
  <w:style w:type="paragraph" w:customStyle="1" w:styleId="Point3number">
    <w:name w:val="Point 3 (number)"/>
    <w:basedOn w:val="Normal"/>
    <w:pPr>
      <w:numPr>
        <w:ilvl w:val="6"/>
        <w:numId w:val="25"/>
      </w:numPr>
      <w:spacing w:before="120" w:after="120" w:line="240" w:lineRule="auto"/>
      <w:jc w:val="both"/>
    </w:pPr>
    <w:rPr>
      <w:rFonts w:ascii="Times New Roman" w:eastAsia="Times New Roman" w:hAnsi="Times New Roman"/>
      <w:sz w:val="24"/>
      <w:szCs w:val="24"/>
    </w:rPr>
  </w:style>
  <w:style w:type="paragraph" w:customStyle="1" w:styleId="Point0letter">
    <w:name w:val="Point 0 (letter)"/>
    <w:basedOn w:val="Normal"/>
    <w:pPr>
      <w:numPr>
        <w:ilvl w:val="1"/>
        <w:numId w:val="25"/>
      </w:numPr>
      <w:spacing w:before="120" w:after="120" w:line="240" w:lineRule="auto"/>
      <w:jc w:val="both"/>
    </w:pPr>
    <w:rPr>
      <w:rFonts w:ascii="Times New Roman" w:eastAsia="Times New Roman" w:hAnsi="Times New Roman"/>
      <w:sz w:val="24"/>
      <w:szCs w:val="24"/>
    </w:rPr>
  </w:style>
  <w:style w:type="paragraph" w:customStyle="1" w:styleId="Point1letter">
    <w:name w:val="Point 1 (letter)"/>
    <w:basedOn w:val="Normal"/>
    <w:pPr>
      <w:numPr>
        <w:ilvl w:val="3"/>
        <w:numId w:val="25"/>
      </w:numPr>
      <w:spacing w:before="120" w:after="120" w:line="240" w:lineRule="auto"/>
      <w:jc w:val="both"/>
    </w:pPr>
    <w:rPr>
      <w:rFonts w:ascii="Times New Roman" w:eastAsia="Times New Roman" w:hAnsi="Times New Roman"/>
      <w:sz w:val="24"/>
      <w:szCs w:val="24"/>
    </w:rPr>
  </w:style>
  <w:style w:type="paragraph" w:customStyle="1" w:styleId="Point2letter">
    <w:name w:val="Point 2 (letter)"/>
    <w:basedOn w:val="Normal"/>
    <w:pPr>
      <w:numPr>
        <w:ilvl w:val="5"/>
        <w:numId w:val="25"/>
      </w:numPr>
      <w:spacing w:before="120" w:after="120" w:line="240" w:lineRule="auto"/>
      <w:jc w:val="both"/>
    </w:pPr>
    <w:rPr>
      <w:rFonts w:ascii="Times New Roman" w:eastAsia="Times New Roman" w:hAnsi="Times New Roman"/>
      <w:sz w:val="24"/>
      <w:szCs w:val="24"/>
    </w:rPr>
  </w:style>
  <w:style w:type="paragraph" w:customStyle="1" w:styleId="Point3letter">
    <w:name w:val="Point 3 (letter)"/>
    <w:basedOn w:val="Normal"/>
    <w:pPr>
      <w:numPr>
        <w:ilvl w:val="7"/>
        <w:numId w:val="25"/>
      </w:numPr>
      <w:spacing w:before="120" w:after="120" w:line="240" w:lineRule="auto"/>
      <w:jc w:val="both"/>
    </w:pPr>
    <w:rPr>
      <w:rFonts w:ascii="Times New Roman" w:eastAsia="Times New Roman" w:hAnsi="Times New Roman"/>
      <w:sz w:val="24"/>
      <w:szCs w:val="24"/>
    </w:rPr>
  </w:style>
  <w:style w:type="paragraph" w:customStyle="1" w:styleId="Point4letter">
    <w:name w:val="Point 4 (letter)"/>
    <w:basedOn w:val="Normal"/>
    <w:pPr>
      <w:numPr>
        <w:ilvl w:val="8"/>
        <w:numId w:val="25"/>
      </w:numPr>
      <w:spacing w:before="120" w:after="120" w:line="240" w:lineRule="auto"/>
      <w:jc w:val="both"/>
    </w:pPr>
    <w:rPr>
      <w:rFonts w:ascii="Times New Roman" w:eastAsia="Times New Roman" w:hAnsi="Times New Roman"/>
      <w:sz w:val="24"/>
      <w:szCs w:val="24"/>
    </w:rPr>
  </w:style>
  <w:style w:type="paragraph" w:customStyle="1" w:styleId="Bullet0">
    <w:name w:val="Bullet 0"/>
    <w:basedOn w:val="Normal"/>
    <w:pPr>
      <w:numPr>
        <w:numId w:val="26"/>
      </w:numPr>
      <w:spacing w:before="120" w:after="120" w:line="240" w:lineRule="auto"/>
      <w:jc w:val="both"/>
    </w:pPr>
    <w:rPr>
      <w:rFonts w:ascii="Times New Roman" w:eastAsia="Times New Roman" w:hAnsi="Times New Roman"/>
      <w:sz w:val="24"/>
      <w:szCs w:val="24"/>
    </w:rPr>
  </w:style>
  <w:style w:type="paragraph" w:customStyle="1" w:styleId="Bullet1">
    <w:name w:val="Bullet 1"/>
    <w:basedOn w:val="Normal"/>
    <w:pPr>
      <w:numPr>
        <w:numId w:val="27"/>
      </w:numPr>
      <w:spacing w:before="120" w:after="120" w:line="240" w:lineRule="auto"/>
      <w:jc w:val="both"/>
    </w:pPr>
    <w:rPr>
      <w:rFonts w:ascii="Times New Roman" w:eastAsia="Times New Roman" w:hAnsi="Times New Roman"/>
      <w:sz w:val="24"/>
      <w:szCs w:val="24"/>
    </w:rPr>
  </w:style>
  <w:style w:type="paragraph" w:customStyle="1" w:styleId="Bullet2">
    <w:name w:val="Bullet 2"/>
    <w:basedOn w:val="Normal"/>
    <w:pPr>
      <w:numPr>
        <w:numId w:val="28"/>
      </w:numPr>
      <w:spacing w:before="120" w:after="120" w:line="240" w:lineRule="auto"/>
      <w:jc w:val="both"/>
    </w:pPr>
    <w:rPr>
      <w:rFonts w:ascii="Times New Roman" w:eastAsia="Times New Roman" w:hAnsi="Times New Roman"/>
      <w:sz w:val="24"/>
      <w:szCs w:val="24"/>
    </w:rPr>
  </w:style>
  <w:style w:type="paragraph" w:customStyle="1" w:styleId="Bullet3">
    <w:name w:val="Bullet 3"/>
    <w:basedOn w:val="Normal"/>
    <w:pPr>
      <w:numPr>
        <w:numId w:val="29"/>
      </w:numPr>
      <w:spacing w:before="120" w:after="120" w:line="240" w:lineRule="auto"/>
      <w:jc w:val="both"/>
    </w:pPr>
    <w:rPr>
      <w:rFonts w:ascii="Times New Roman" w:eastAsia="Times New Roman" w:hAnsi="Times New Roman"/>
      <w:sz w:val="24"/>
      <w:szCs w:val="24"/>
    </w:rPr>
  </w:style>
  <w:style w:type="paragraph" w:customStyle="1" w:styleId="Bullet4">
    <w:name w:val="Bullet 4"/>
    <w:basedOn w:val="Normal"/>
    <w:pPr>
      <w:numPr>
        <w:numId w:val="30"/>
      </w:numPr>
      <w:spacing w:before="120" w:after="120" w:line="240" w:lineRule="auto"/>
      <w:jc w:val="both"/>
    </w:pPr>
    <w:rPr>
      <w:rFonts w:ascii="Times New Roman" w:eastAsia="Times New Roman" w:hAnsi="Times New Roman"/>
      <w:sz w:val="24"/>
      <w:szCs w:val="24"/>
    </w:rPr>
  </w:style>
  <w:style w:type="paragraph" w:customStyle="1" w:styleId="Annexetitreexpos">
    <w:name w:val="Annexe titre (exposé)"/>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nnexetitre">
    <w:name w:val="Annexe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nnexetitrefichefinancire">
    <w:name w:val="Annexe titre (fiche financiè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pplicationdirecte">
    <w:name w:val="Application directe"/>
    <w:basedOn w:val="Normal"/>
    <w:next w:val="Fait"/>
    <w:uiPriority w:val="99"/>
    <w:pPr>
      <w:spacing w:before="480" w:after="120" w:line="240" w:lineRule="auto"/>
      <w:jc w:val="both"/>
    </w:pPr>
    <w:rPr>
      <w:rFonts w:ascii="Times New Roman" w:eastAsia="Times New Roman" w:hAnsi="Times New Roman"/>
      <w:sz w:val="24"/>
      <w:szCs w:val="24"/>
    </w:rPr>
  </w:style>
  <w:style w:type="paragraph" w:customStyle="1" w:styleId="Fait">
    <w:name w:val="Fait à"/>
    <w:basedOn w:val="Normal"/>
    <w:next w:val="Institutionquisigne"/>
    <w:uiPriority w:val="99"/>
    <w:pPr>
      <w:keepNext/>
      <w:spacing w:before="120" w:after="0" w:line="240" w:lineRule="auto"/>
      <w:jc w:val="both"/>
    </w:pPr>
    <w:rPr>
      <w:rFonts w:ascii="Times New Roman" w:eastAsia="Times New Roman" w:hAnsi="Times New Roman"/>
      <w:sz w:val="24"/>
      <w:szCs w:val="24"/>
    </w:rPr>
  </w:style>
  <w:style w:type="paragraph" w:customStyle="1" w:styleId="Institutionquisigne">
    <w:name w:val="Institution qui signe"/>
    <w:basedOn w:val="Normal"/>
    <w:next w:val="Personnequisigne"/>
    <w:uiPriority w:val="99"/>
    <w:pPr>
      <w:keepNext/>
      <w:tabs>
        <w:tab w:val="left" w:pos="4252"/>
      </w:tabs>
      <w:spacing w:before="720" w:after="0" w:line="240" w:lineRule="auto"/>
      <w:jc w:val="both"/>
    </w:pPr>
    <w:rPr>
      <w:rFonts w:ascii="Times New Roman" w:eastAsia="Times New Roman" w:hAnsi="Times New Roman"/>
      <w:i/>
      <w:sz w:val="24"/>
      <w:szCs w:val="24"/>
    </w:rPr>
  </w:style>
  <w:style w:type="paragraph" w:customStyle="1" w:styleId="Personnequisigne">
    <w:name w:val="Personne qui signe"/>
    <w:basedOn w:val="Normal"/>
    <w:next w:val="Institutionquisigne"/>
    <w:uiPriority w:val="99"/>
    <w:pPr>
      <w:tabs>
        <w:tab w:val="left" w:pos="4252"/>
      </w:tabs>
      <w:spacing w:before="40" w:after="0" w:line="240" w:lineRule="auto"/>
      <w:jc w:val="both"/>
    </w:pPr>
    <w:rPr>
      <w:rFonts w:ascii="Times New Roman" w:eastAsia="Times New Roman" w:hAnsi="Times New Roman"/>
      <w:i/>
      <w:sz w:val="24"/>
      <w:szCs w:val="24"/>
    </w:rPr>
  </w:style>
  <w:style w:type="paragraph" w:customStyle="1" w:styleId="Avertissementtitre">
    <w:name w:val="Avertissement titre"/>
    <w:basedOn w:val="Normal"/>
    <w:next w:val="Normal"/>
    <w:uiPriority w:val="99"/>
    <w:pPr>
      <w:keepNext/>
      <w:spacing w:before="480" w:after="120" w:line="240" w:lineRule="auto"/>
      <w:jc w:val="both"/>
    </w:pPr>
    <w:rPr>
      <w:rFonts w:ascii="Times New Roman" w:eastAsia="Times New Roman" w:hAnsi="Times New Roman"/>
      <w:sz w:val="24"/>
      <w:szCs w:val="24"/>
      <w:u w:val="single"/>
    </w:rPr>
  </w:style>
  <w:style w:type="paragraph" w:customStyle="1" w:styleId="Confidence">
    <w:name w:val="Confidence"/>
    <w:basedOn w:val="Normal"/>
    <w:next w:val="Normal"/>
    <w:uiPriority w:val="99"/>
    <w:pPr>
      <w:spacing w:before="360" w:after="120" w:line="240" w:lineRule="auto"/>
      <w:jc w:val="center"/>
    </w:pPr>
    <w:rPr>
      <w:rFonts w:ascii="Times New Roman" w:eastAsia="Times New Roman" w:hAnsi="Times New Roman"/>
      <w:sz w:val="24"/>
      <w:szCs w:val="24"/>
    </w:rPr>
  </w:style>
  <w:style w:type="paragraph" w:customStyle="1" w:styleId="Confidentialit">
    <w:name w:val="Confidentialité"/>
    <w:basedOn w:val="Normal"/>
    <w:next w:val="TypedudocumentPagedecouverture"/>
    <w:uiPriority w:val="99"/>
    <w:pPr>
      <w:spacing w:before="240" w:after="240" w:line="240" w:lineRule="auto"/>
      <w:ind w:left="5103"/>
      <w:jc w:val="both"/>
    </w:pPr>
    <w:rPr>
      <w:rFonts w:ascii="Times New Roman" w:eastAsia="Times New Roman" w:hAnsi="Times New Roman"/>
      <w:i/>
      <w:sz w:val="32"/>
      <w:szCs w:val="24"/>
    </w:rPr>
  </w:style>
  <w:style w:type="paragraph" w:customStyle="1" w:styleId="TypedudocumentPagedecouverture">
    <w:name w:val="Type du document (Page de couverture)"/>
    <w:basedOn w:val="Typedudocument"/>
    <w:next w:val="TitreobjetPagedecouverture"/>
    <w:uiPriority w:val="99"/>
  </w:style>
  <w:style w:type="paragraph" w:customStyle="1" w:styleId="Typedudocument">
    <w:name w:val="Type du document"/>
    <w:basedOn w:val="Normal"/>
    <w:next w:val="Titreobjet"/>
    <w:uiPriority w:val="99"/>
    <w:pPr>
      <w:spacing w:before="360" w:after="0" w:line="240" w:lineRule="auto"/>
      <w:jc w:val="center"/>
    </w:pPr>
    <w:rPr>
      <w:rFonts w:ascii="Times New Roman" w:eastAsia="Times New Roman" w:hAnsi="Times New Roman"/>
      <w:b/>
      <w:sz w:val="24"/>
      <w:szCs w:val="24"/>
    </w:rPr>
  </w:style>
  <w:style w:type="paragraph" w:customStyle="1" w:styleId="Titreobjet">
    <w:name w:val="Titre objet"/>
    <w:basedOn w:val="Normal"/>
    <w:next w:val="Sous-titreobjet"/>
    <w:uiPriority w:val="99"/>
    <w:pPr>
      <w:spacing w:before="360" w:after="360" w:line="240" w:lineRule="auto"/>
      <w:jc w:val="center"/>
    </w:pPr>
    <w:rPr>
      <w:rFonts w:ascii="Times New Roman" w:eastAsia="Times New Roman" w:hAnsi="Times New Roman"/>
      <w:b/>
      <w:sz w:val="24"/>
      <w:szCs w:val="24"/>
    </w:rPr>
  </w:style>
  <w:style w:type="paragraph" w:customStyle="1" w:styleId="Sous-titreobjet">
    <w:name w:val="Sous-titre objet"/>
    <w:basedOn w:val="Normal"/>
    <w:uiPriority w:val="99"/>
    <w:pPr>
      <w:spacing w:before="40" w:after="0" w:line="240" w:lineRule="auto"/>
      <w:jc w:val="center"/>
    </w:pPr>
    <w:rPr>
      <w:rFonts w:ascii="Times New Roman" w:eastAsia="Times New Roman" w:hAnsi="Times New Roman"/>
      <w:b/>
      <w:sz w:val="24"/>
      <w:szCs w:val="24"/>
    </w:rPr>
  </w:style>
  <w:style w:type="paragraph" w:customStyle="1" w:styleId="TitreobjetPagedecouverture">
    <w:name w:val="Titre objet (Page de couverture)"/>
    <w:basedOn w:val="Titreobjet"/>
    <w:next w:val="Sous-titreobjetPagedecouverture"/>
    <w:uiPriority w:val="99"/>
  </w:style>
  <w:style w:type="paragraph" w:customStyle="1" w:styleId="Sous-titreobjetPagedecouverture">
    <w:name w:val="Sous-titre objet (Page de couverture)"/>
    <w:basedOn w:val="Sous-titreobjet"/>
    <w:uiPriority w:val="99"/>
  </w:style>
  <w:style w:type="paragraph" w:customStyle="1" w:styleId="Considrant">
    <w:name w:val="Considérant"/>
    <w:basedOn w:val="Normal"/>
    <w:pPr>
      <w:numPr>
        <w:numId w:val="31"/>
      </w:numPr>
      <w:spacing w:before="120" w:after="120" w:line="240" w:lineRule="auto"/>
      <w:jc w:val="both"/>
    </w:pPr>
    <w:rPr>
      <w:rFonts w:ascii="Times New Roman" w:eastAsia="Times New Roman" w:hAnsi="Times New Roman"/>
      <w:sz w:val="24"/>
      <w:szCs w:val="24"/>
    </w:rPr>
  </w:style>
  <w:style w:type="paragraph" w:customStyle="1" w:styleId="Corrigendum">
    <w:name w:val="Corrigendum"/>
    <w:basedOn w:val="Normal"/>
    <w:next w:val="Normal"/>
    <w:uiPriority w:val="99"/>
    <w:pPr>
      <w:spacing w:before="40" w:after="240" w:line="240" w:lineRule="auto"/>
      <w:jc w:val="both"/>
    </w:pPr>
    <w:rPr>
      <w:rFonts w:ascii="Times New Roman" w:eastAsia="Times New Roman" w:hAnsi="Times New Roman"/>
      <w:sz w:val="24"/>
      <w:szCs w:val="24"/>
    </w:rPr>
  </w:style>
  <w:style w:type="paragraph" w:customStyle="1" w:styleId="Datedadoption">
    <w:name w:val="Date d'adoption"/>
    <w:basedOn w:val="Normal"/>
    <w:next w:val="Titreobjet"/>
    <w:uiPriority w:val="99"/>
    <w:pPr>
      <w:spacing w:before="360" w:after="0" w:line="240" w:lineRule="auto"/>
      <w:jc w:val="center"/>
    </w:pPr>
    <w:rPr>
      <w:rFonts w:ascii="Times New Roman" w:eastAsia="Times New Roman" w:hAnsi="Times New Roman"/>
      <w:b/>
      <w:sz w:val="24"/>
      <w:szCs w:val="24"/>
    </w:rPr>
  </w:style>
  <w:style w:type="paragraph" w:customStyle="1" w:styleId="Emission">
    <w:name w:val="Emission"/>
    <w:basedOn w:val="Normal"/>
    <w:next w:val="Rfrenceinstitutionnelle"/>
    <w:uiPriority w:val="99"/>
    <w:pPr>
      <w:spacing w:before="40" w:after="0" w:line="240" w:lineRule="auto"/>
      <w:ind w:left="5103"/>
      <w:jc w:val="both"/>
    </w:pPr>
    <w:rPr>
      <w:rFonts w:ascii="Times New Roman" w:eastAsia="Times New Roman" w:hAnsi="Times New Roman"/>
      <w:sz w:val="24"/>
      <w:szCs w:val="24"/>
    </w:rPr>
  </w:style>
  <w:style w:type="paragraph" w:customStyle="1" w:styleId="Rfrenceinstitutionnelle">
    <w:name w:val="Référence institutionnelle"/>
    <w:basedOn w:val="Normal"/>
    <w:next w:val="Confidentialit"/>
    <w:uiPriority w:val="99"/>
    <w:pPr>
      <w:spacing w:before="40" w:after="240" w:line="240" w:lineRule="auto"/>
      <w:ind w:left="5103"/>
      <w:jc w:val="both"/>
    </w:pPr>
    <w:rPr>
      <w:rFonts w:ascii="Times New Roman" w:eastAsia="Times New Roman" w:hAnsi="Times New Roman"/>
      <w:sz w:val="24"/>
      <w:szCs w:val="24"/>
    </w:rPr>
  </w:style>
  <w:style w:type="paragraph" w:customStyle="1" w:styleId="Exposdesmotifstitre">
    <w:name w:val="Exposé des motifs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Formuledadoption">
    <w:name w:val="Formule d'adoption"/>
    <w:basedOn w:val="Normal"/>
    <w:next w:val="Titrearticle"/>
    <w:uiPriority w:val="99"/>
    <w:pPr>
      <w:keepNext/>
      <w:spacing w:before="120" w:after="120" w:line="240" w:lineRule="auto"/>
      <w:jc w:val="both"/>
    </w:pPr>
    <w:rPr>
      <w:rFonts w:ascii="Times New Roman" w:eastAsia="Times New Roman" w:hAnsi="Times New Roman"/>
      <w:sz w:val="24"/>
      <w:szCs w:val="24"/>
    </w:rPr>
  </w:style>
  <w:style w:type="paragraph" w:customStyle="1" w:styleId="Titrearticle">
    <w:name w:val="Titre article"/>
    <w:basedOn w:val="Normal"/>
    <w:next w:val="Normal"/>
    <w:uiPriority w:val="99"/>
    <w:pPr>
      <w:keepNext/>
      <w:spacing w:before="360" w:after="120" w:line="240" w:lineRule="auto"/>
      <w:jc w:val="center"/>
    </w:pPr>
    <w:rPr>
      <w:rFonts w:ascii="Times New Roman" w:eastAsia="Times New Roman" w:hAnsi="Times New Roman"/>
      <w:i/>
      <w:sz w:val="24"/>
      <w:szCs w:val="24"/>
    </w:rPr>
  </w:style>
  <w:style w:type="paragraph" w:customStyle="1" w:styleId="Institutionquiagit">
    <w:name w:val="Institution qui agit"/>
    <w:basedOn w:val="Normal"/>
    <w:next w:val="Normal"/>
    <w:uiPriority w:val="99"/>
    <w:pPr>
      <w:keepNext/>
      <w:spacing w:before="600" w:after="120" w:line="240" w:lineRule="auto"/>
      <w:jc w:val="both"/>
    </w:pPr>
    <w:rPr>
      <w:rFonts w:ascii="Times New Roman" w:eastAsia="Times New Roman" w:hAnsi="Times New Roman"/>
      <w:sz w:val="24"/>
      <w:szCs w:val="24"/>
    </w:rPr>
  </w:style>
  <w:style w:type="paragraph" w:customStyle="1" w:styleId="Langue">
    <w:name w:val="Langue"/>
    <w:basedOn w:val="Normal"/>
    <w:next w:val="Rfrenceinterne"/>
    <w:pPr>
      <w:framePr w:wrap="around" w:vAnchor="page" w:hAnchor="text" w:xAlign="center" w:y="14741"/>
      <w:spacing w:before="40" w:after="600" w:line="240" w:lineRule="auto"/>
      <w:jc w:val="center"/>
    </w:pPr>
    <w:rPr>
      <w:rFonts w:ascii="Times New Roman" w:eastAsia="Times New Roman" w:hAnsi="Times New Roman"/>
      <w:b/>
      <w:caps/>
      <w:sz w:val="24"/>
      <w:szCs w:val="24"/>
    </w:rPr>
  </w:style>
  <w:style w:type="paragraph" w:customStyle="1" w:styleId="Rfrenceinterne">
    <w:name w:val="Référence interne"/>
    <w:basedOn w:val="Normal"/>
    <w:next w:val="Rfrenceinterinstitutionnelle"/>
    <w:uiPriority w:val="99"/>
    <w:pPr>
      <w:spacing w:before="40" w:after="0" w:line="240" w:lineRule="auto"/>
      <w:ind w:left="5103"/>
      <w:jc w:val="both"/>
    </w:pPr>
    <w:rPr>
      <w:rFonts w:ascii="Times New Roman" w:eastAsia="Times New Roman" w:hAnsi="Times New Roman"/>
      <w:sz w:val="24"/>
      <w:szCs w:val="24"/>
    </w:rPr>
  </w:style>
  <w:style w:type="paragraph" w:customStyle="1" w:styleId="Rfrenceinterinstitutionnelle">
    <w:name w:val="Référence interinstitutionnelle"/>
    <w:basedOn w:val="Normal"/>
    <w:next w:val="Statut"/>
    <w:uiPriority w:val="99"/>
    <w:pPr>
      <w:spacing w:before="40" w:after="0" w:line="240" w:lineRule="auto"/>
      <w:ind w:left="5103"/>
      <w:jc w:val="both"/>
    </w:pPr>
    <w:rPr>
      <w:rFonts w:ascii="Times New Roman" w:eastAsia="Times New Roman" w:hAnsi="Times New Roman"/>
      <w:sz w:val="24"/>
      <w:szCs w:val="24"/>
    </w:rPr>
  </w:style>
  <w:style w:type="paragraph" w:customStyle="1" w:styleId="Statut">
    <w:name w:val="Statut"/>
    <w:basedOn w:val="Normal"/>
    <w:next w:val="Typedudocument"/>
    <w:uiPriority w:val="99"/>
    <w:pPr>
      <w:spacing w:before="360" w:after="0" w:line="240" w:lineRule="auto"/>
      <w:jc w:val="center"/>
    </w:pPr>
    <w:rPr>
      <w:rFonts w:ascii="Times New Roman" w:eastAsia="Times New Roman" w:hAnsi="Times New Roman"/>
      <w:sz w:val="24"/>
      <w:szCs w:val="24"/>
    </w:rPr>
  </w:style>
  <w:style w:type="paragraph" w:customStyle="1" w:styleId="ManualConsidrant">
    <w:name w:val="Manual Considérant"/>
    <w:basedOn w:val="Normal"/>
    <w:uiPriority w:val="99"/>
    <w:pPr>
      <w:spacing w:before="120" w:after="120" w:line="240" w:lineRule="auto"/>
      <w:ind w:left="709" w:hanging="709"/>
      <w:jc w:val="both"/>
    </w:pPr>
    <w:rPr>
      <w:rFonts w:ascii="Times New Roman" w:eastAsia="Times New Roman" w:hAnsi="Times New Roman"/>
      <w:sz w:val="24"/>
      <w:szCs w:val="24"/>
    </w:rPr>
  </w:style>
  <w:style w:type="paragraph" w:customStyle="1" w:styleId="Nomdelinstitution">
    <w:name w:val="Nom de l'institution"/>
    <w:basedOn w:val="Normal"/>
    <w:next w:val="Emission"/>
    <w:uiPriority w:val="99"/>
    <w:pPr>
      <w:spacing w:before="40" w:after="0" w:line="240" w:lineRule="auto"/>
      <w:jc w:val="both"/>
    </w:pPr>
    <w:rPr>
      <w:rFonts w:ascii="Arial" w:eastAsia="Times New Roman" w:hAnsi="Arial" w:cs="Arial"/>
      <w:sz w:val="24"/>
      <w:szCs w:val="24"/>
    </w:rPr>
  </w:style>
  <w:style w:type="character" w:customStyle="1" w:styleId="Added">
    <w:name w:val="Added"/>
    <w:uiPriority w:val="99"/>
    <w:rPr>
      <w:rFonts w:cs="Times New Roman"/>
      <w:b/>
      <w:u w:val="single"/>
      <w:shd w:val="clear" w:color="auto" w:fill="auto"/>
    </w:rPr>
  </w:style>
  <w:style w:type="character" w:customStyle="1" w:styleId="Deleted">
    <w:name w:val="Deleted"/>
    <w:uiPriority w:val="99"/>
    <w:rPr>
      <w:rFonts w:cs="Times New Roman"/>
      <w:strike/>
      <w:shd w:val="clear" w:color="auto" w:fill="auto"/>
    </w:rPr>
  </w:style>
  <w:style w:type="paragraph" w:customStyle="1" w:styleId="Address">
    <w:name w:val="Address"/>
    <w:basedOn w:val="Normal"/>
    <w:next w:val="Normal"/>
    <w:uiPriority w:val="99"/>
    <w:pPr>
      <w:keepLines/>
      <w:spacing w:before="120" w:after="120" w:line="360" w:lineRule="auto"/>
      <w:ind w:left="3402"/>
      <w:jc w:val="both"/>
    </w:pPr>
    <w:rPr>
      <w:rFonts w:ascii="Times New Roman" w:eastAsia="Times New Roman" w:hAnsi="Times New Roman"/>
      <w:sz w:val="24"/>
      <w:szCs w:val="24"/>
    </w:rPr>
  </w:style>
  <w:style w:type="paragraph" w:customStyle="1" w:styleId="Objetexterne">
    <w:name w:val="Objet externe"/>
    <w:basedOn w:val="Normal"/>
    <w:next w:val="Normal"/>
    <w:uiPriority w:val="99"/>
    <w:pPr>
      <w:spacing w:before="120" w:after="120" w:line="240" w:lineRule="auto"/>
      <w:jc w:val="both"/>
    </w:pPr>
    <w:rPr>
      <w:rFonts w:ascii="Times New Roman" w:eastAsia="Times New Roman" w:hAnsi="Times New Roman"/>
      <w:i/>
      <w:caps/>
      <w:sz w:val="24"/>
      <w:szCs w:val="24"/>
    </w:rPr>
  </w:style>
  <w:style w:type="paragraph" w:customStyle="1" w:styleId="Pagedecouverture">
    <w:name w:val="Page de couverture"/>
    <w:basedOn w:val="Normal"/>
    <w:next w:val="Normal"/>
    <w:uiPriority w:val="99"/>
    <w:pPr>
      <w:spacing w:before="120" w:after="120" w:line="240" w:lineRule="auto"/>
      <w:jc w:val="both"/>
    </w:pPr>
    <w:rPr>
      <w:rFonts w:ascii="Times New Roman" w:eastAsia="Times New Roman" w:hAnsi="Times New Roman"/>
      <w:sz w:val="24"/>
      <w:szCs w:val="24"/>
    </w:rPr>
  </w:style>
  <w:style w:type="paragraph" w:customStyle="1" w:styleId="Supertitre">
    <w:name w:val="Supertitre"/>
    <w:basedOn w:val="Normal"/>
    <w:next w:val="Normal"/>
    <w:uiPriority w:val="99"/>
    <w:pPr>
      <w:spacing w:before="40" w:after="600" w:line="240" w:lineRule="auto"/>
      <w:jc w:val="center"/>
    </w:pPr>
    <w:rPr>
      <w:rFonts w:ascii="Times New Roman" w:eastAsia="Times New Roman" w:hAnsi="Times New Roman"/>
      <w:b/>
      <w:sz w:val="24"/>
      <w:szCs w:val="24"/>
    </w:rPr>
  </w:style>
  <w:style w:type="paragraph" w:customStyle="1" w:styleId="Languesfaisantfoi">
    <w:name w:val="Langues faisant foi"/>
    <w:basedOn w:val="Normal"/>
    <w:next w:val="Normal"/>
    <w:uiPriority w:val="99"/>
    <w:pPr>
      <w:spacing w:before="360" w:after="0" w:line="240" w:lineRule="auto"/>
      <w:jc w:val="center"/>
    </w:pPr>
    <w:rPr>
      <w:rFonts w:ascii="Times New Roman" w:eastAsia="Times New Roman" w:hAnsi="Times New Roman"/>
      <w:sz w:val="24"/>
      <w:szCs w:val="24"/>
    </w:rPr>
  </w:style>
  <w:style w:type="paragraph" w:customStyle="1" w:styleId="Rfrencecroise">
    <w:name w:val="Référence croisée"/>
    <w:basedOn w:val="Normal"/>
    <w:uiPriority w:val="99"/>
    <w:pPr>
      <w:spacing w:before="40" w:after="0" w:line="240" w:lineRule="auto"/>
      <w:jc w:val="center"/>
    </w:pPr>
    <w:rPr>
      <w:rFonts w:ascii="Times New Roman" w:eastAsia="Times New Roman" w:hAnsi="Times New Roman"/>
      <w:sz w:val="24"/>
      <w:szCs w:val="24"/>
    </w:rPr>
  </w:style>
  <w:style w:type="paragraph" w:customStyle="1" w:styleId="Fichefinanciretitre">
    <w:name w:val="Fiche financière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DatedadoptionPagedecouverture">
    <w:name w:val="Date d'adoption (Page de couverture)"/>
    <w:basedOn w:val="Datedadoption"/>
    <w:next w:val="TitreobjetPagedecouverture"/>
    <w:uiPriority w:val="99"/>
  </w:style>
  <w:style w:type="paragraph" w:customStyle="1" w:styleId="RfrenceinterinstitutionnellePagedecouverture">
    <w:name w:val="Référence interinstitutionnelle (Page de couverture)"/>
    <w:basedOn w:val="Rfrenceinterinstitutionnelle"/>
    <w:next w:val="Confidentialit"/>
    <w:uiPriority w:val="99"/>
  </w:style>
  <w:style w:type="paragraph" w:customStyle="1" w:styleId="StatutPagedecouverture">
    <w:name w:val="Statut (Page de couverture)"/>
    <w:basedOn w:val="Statut"/>
    <w:next w:val="TypedudocumentPagedecouverture"/>
    <w:uiPriority w:val="99"/>
  </w:style>
  <w:style w:type="paragraph" w:customStyle="1" w:styleId="Volume">
    <w:name w:val="Volume"/>
    <w:basedOn w:val="Normal"/>
    <w:next w:val="Confidentialit"/>
    <w:uiPriority w:val="99"/>
    <w:pPr>
      <w:spacing w:before="40" w:after="240" w:line="240" w:lineRule="auto"/>
      <w:ind w:left="5103"/>
      <w:jc w:val="both"/>
    </w:pPr>
    <w:rPr>
      <w:rFonts w:ascii="Times New Roman" w:eastAsia="Times New Roman" w:hAnsi="Times New Roman"/>
      <w:sz w:val="24"/>
      <w:szCs w:val="24"/>
    </w:rPr>
  </w:style>
  <w:style w:type="paragraph" w:customStyle="1" w:styleId="IntrtEEE">
    <w:name w:val="Intérêt EEE"/>
    <w:basedOn w:val="Languesfaisantfoi"/>
    <w:next w:val="Normal"/>
    <w:uiPriority w:val="99"/>
    <w:pPr>
      <w:spacing w:after="240"/>
    </w:pPr>
  </w:style>
  <w:style w:type="paragraph" w:customStyle="1" w:styleId="Accompagnant">
    <w:name w:val="Accompagnant"/>
    <w:basedOn w:val="Normal"/>
    <w:next w:val="Typeacteprincipal"/>
    <w:uiPriority w:val="99"/>
    <w:pPr>
      <w:spacing w:before="40" w:after="240" w:line="240" w:lineRule="auto"/>
      <w:jc w:val="center"/>
    </w:pPr>
    <w:rPr>
      <w:rFonts w:ascii="Times New Roman" w:eastAsia="Times New Roman" w:hAnsi="Times New Roman"/>
      <w:b/>
      <w:i/>
      <w:sz w:val="24"/>
      <w:szCs w:val="24"/>
    </w:rPr>
  </w:style>
  <w:style w:type="paragraph" w:customStyle="1" w:styleId="Typeacteprincipal">
    <w:name w:val="Type acte principal"/>
    <w:basedOn w:val="Normal"/>
    <w:next w:val="Objetacteprincipal"/>
    <w:uiPriority w:val="99"/>
    <w:pPr>
      <w:spacing w:before="40" w:after="240" w:line="240" w:lineRule="auto"/>
      <w:jc w:val="center"/>
    </w:pPr>
    <w:rPr>
      <w:rFonts w:ascii="Times New Roman" w:eastAsia="Times New Roman" w:hAnsi="Times New Roman"/>
      <w:b/>
      <w:sz w:val="24"/>
      <w:szCs w:val="24"/>
    </w:rPr>
  </w:style>
  <w:style w:type="paragraph" w:customStyle="1" w:styleId="Objetacteprincipal">
    <w:name w:val="Objet acte principal"/>
    <w:basedOn w:val="Normal"/>
    <w:next w:val="Titrearticle"/>
    <w:uiPriority w:val="99"/>
    <w:pPr>
      <w:spacing w:before="40" w:after="360" w:line="240" w:lineRule="auto"/>
      <w:jc w:val="center"/>
    </w:pPr>
    <w:rPr>
      <w:rFonts w:ascii="Times New Roman" w:eastAsia="Times New Roman" w:hAnsi="Times New Roman"/>
      <w:b/>
      <w:sz w:val="24"/>
      <w:szCs w:val="24"/>
    </w:rPr>
  </w:style>
  <w:style w:type="paragraph" w:customStyle="1" w:styleId="IntrtEEEPagedecouverture">
    <w:name w:val="Intérêt EEE (Page de couverture)"/>
    <w:basedOn w:val="IntrtEEE"/>
    <w:next w:val="Rfrencecroise"/>
    <w:uiPriority w:val="99"/>
  </w:style>
  <w:style w:type="paragraph" w:customStyle="1" w:styleId="AccompagnantPagedecouverture">
    <w:name w:val="Accompagnant (Page de couverture)"/>
    <w:basedOn w:val="Accompagnant"/>
    <w:next w:val="TypeacteprincipalPagedecouverture"/>
    <w:uiPriority w:val="99"/>
  </w:style>
  <w:style w:type="paragraph" w:customStyle="1" w:styleId="TypeacteprincipalPagedecouverture">
    <w:name w:val="Type acte principal (Page de couverture)"/>
    <w:basedOn w:val="Typeacteprincipal"/>
    <w:next w:val="ObjetacteprincipalPagedecouverture"/>
    <w:uiPriority w:val="99"/>
  </w:style>
  <w:style w:type="paragraph" w:customStyle="1" w:styleId="ObjetacteprincipalPagedecouverture">
    <w:name w:val="Objet acte principal (Page de couverture)"/>
    <w:basedOn w:val="Objetacteprincipal"/>
    <w:next w:val="Rfrencecroise"/>
    <w:uiPriority w:val="99"/>
  </w:style>
  <w:style w:type="paragraph" w:customStyle="1" w:styleId="LanguesfaisantfoiPagedecouverture">
    <w:name w:val="Langues faisant foi (Page de couverture)"/>
    <w:basedOn w:val="Normal"/>
    <w:next w:val="Normal"/>
    <w:uiPriority w:val="99"/>
    <w:pPr>
      <w:spacing w:before="360" w:after="0" w:line="240" w:lineRule="auto"/>
      <w:jc w:val="center"/>
    </w:pPr>
    <w:rPr>
      <w:rFonts w:ascii="Times New Roman" w:eastAsia="Times New Roman" w:hAnsi="Times New Roman"/>
      <w:sz w:val="24"/>
      <w:szCs w:val="24"/>
    </w:rPr>
  </w:style>
  <w:style w:type="paragraph" w:styleId="ListBullet">
    <w:name w:val="List Bullet"/>
    <w:basedOn w:val="Normal"/>
    <w:uiPriority w:val="99"/>
    <w:pPr>
      <w:numPr>
        <w:numId w:val="13"/>
      </w:numPr>
      <w:tabs>
        <w:tab w:val="clear" w:pos="643"/>
        <w:tab w:val="num" w:pos="926"/>
        <w:tab w:val="num" w:pos="1984"/>
      </w:tabs>
      <w:spacing w:before="120" w:after="120" w:line="240" w:lineRule="auto"/>
      <w:ind w:left="360"/>
      <w:jc w:val="both"/>
    </w:pPr>
    <w:rPr>
      <w:rFonts w:ascii="Times New Roman" w:eastAsia="Times New Roman" w:hAnsi="Times New Roman"/>
      <w:sz w:val="24"/>
      <w:szCs w:val="24"/>
    </w:rPr>
  </w:style>
  <w:style w:type="paragraph" w:styleId="ListBullet2">
    <w:name w:val="List Bullet 2"/>
    <w:basedOn w:val="Normal"/>
    <w:uiPriority w:val="99"/>
    <w:pPr>
      <w:numPr>
        <w:numId w:val="14"/>
      </w:numPr>
      <w:tabs>
        <w:tab w:val="clear" w:pos="926"/>
        <w:tab w:val="num" w:pos="643"/>
        <w:tab w:val="num" w:pos="1209"/>
        <w:tab w:val="num" w:pos="2551"/>
      </w:tabs>
      <w:spacing w:before="120" w:after="120" w:line="240" w:lineRule="auto"/>
      <w:ind w:left="643"/>
      <w:jc w:val="both"/>
    </w:pPr>
    <w:rPr>
      <w:rFonts w:ascii="Times New Roman" w:eastAsia="Times New Roman" w:hAnsi="Times New Roman"/>
      <w:sz w:val="24"/>
      <w:szCs w:val="24"/>
    </w:rPr>
  </w:style>
  <w:style w:type="paragraph" w:styleId="ListBullet3">
    <w:name w:val="List Bullet 3"/>
    <w:basedOn w:val="Normal"/>
    <w:uiPriority w:val="99"/>
    <w:pPr>
      <w:numPr>
        <w:numId w:val="8"/>
      </w:numPr>
      <w:tabs>
        <w:tab w:val="clear" w:pos="360"/>
        <w:tab w:val="num" w:pos="926"/>
        <w:tab w:val="num" w:pos="3118"/>
      </w:tabs>
      <w:spacing w:before="120" w:after="120" w:line="240" w:lineRule="auto"/>
      <w:ind w:left="926"/>
      <w:jc w:val="both"/>
    </w:pPr>
    <w:rPr>
      <w:rFonts w:ascii="Times New Roman" w:eastAsia="Times New Roman" w:hAnsi="Times New Roman"/>
      <w:sz w:val="24"/>
      <w:szCs w:val="24"/>
    </w:rPr>
  </w:style>
  <w:style w:type="paragraph" w:styleId="ListBullet4">
    <w:name w:val="List Bullet 4"/>
    <w:basedOn w:val="Normal"/>
    <w:uiPriority w:val="99"/>
    <w:pPr>
      <w:numPr>
        <w:numId w:val="9"/>
      </w:numPr>
      <w:tabs>
        <w:tab w:val="num" w:pos="709"/>
        <w:tab w:val="num" w:pos="1209"/>
      </w:tabs>
      <w:spacing w:before="120" w:after="120" w:line="240" w:lineRule="auto"/>
      <w:ind w:left="1209"/>
      <w:jc w:val="both"/>
    </w:pPr>
    <w:rPr>
      <w:rFonts w:ascii="Times New Roman" w:eastAsia="Times New Roman" w:hAnsi="Times New Roman"/>
      <w:sz w:val="24"/>
      <w:szCs w:val="24"/>
    </w:rPr>
  </w:style>
  <w:style w:type="character" w:styleId="Emphasis">
    <w:name w:val="Emphasis"/>
    <w:uiPriority w:val="20"/>
    <w:qFormat/>
    <w:rPr>
      <w:rFonts w:cs="Times New Roman"/>
      <w:i/>
    </w:rPr>
  </w:style>
  <w:style w:type="paragraph" w:styleId="NormalWeb">
    <w:name w:val="Normal (Web)"/>
    <w:basedOn w:val="Normal"/>
    <w:uiPriority w:val="99"/>
    <w:pPr>
      <w:spacing w:before="100" w:beforeAutospacing="1" w:after="115" w:line="240" w:lineRule="auto"/>
      <w:jc w:val="both"/>
    </w:pPr>
    <w:rPr>
      <w:rFonts w:ascii="Times" w:eastAsia="Times New Roman" w:hAnsi="Times"/>
      <w:sz w:val="20"/>
      <w:szCs w:val="20"/>
      <w:lang w:val="en-US"/>
    </w:rPr>
  </w:style>
  <w:style w:type="paragraph" w:styleId="PlainText">
    <w:name w:val="Plain Text"/>
    <w:basedOn w:val="Normal"/>
    <w:link w:val="PlainTextChar1"/>
    <w:uiPriority w:val="99"/>
    <w:pPr>
      <w:widowControl w:val="0"/>
      <w:suppressAutoHyphens/>
      <w:spacing w:before="40" w:after="0" w:line="240" w:lineRule="auto"/>
      <w:jc w:val="both"/>
    </w:pPr>
    <w:rPr>
      <w:rFonts w:ascii="Arial" w:eastAsia="Arial Unicode MS" w:hAnsi="Arial" w:cs="Arial Unicode MS"/>
      <w:kern w:val="1"/>
      <w:sz w:val="24"/>
      <w:szCs w:val="24"/>
      <w:lang w:eastAsia="hi-IN" w:bidi="hi-IN"/>
    </w:rPr>
  </w:style>
  <w:style w:type="character" w:customStyle="1" w:styleId="PlainTextChar">
    <w:name w:val="Plain Text Char"/>
    <w:rPr>
      <w:rFonts w:ascii="Courier New" w:hAnsi="Courier New" w:cs="Courier New"/>
      <w:lang w:val="en-GB" w:eastAsia="en-US"/>
    </w:rPr>
  </w:style>
  <w:style w:type="character" w:customStyle="1" w:styleId="PlainTextChar1">
    <w:name w:val="Plain Text Char1"/>
    <w:link w:val="PlainText"/>
    <w:uiPriority w:val="99"/>
    <w:rPr>
      <w:rFonts w:ascii="Arial" w:eastAsia="Arial Unicode MS" w:hAnsi="Arial" w:cs="Arial Unicode MS"/>
      <w:kern w:val="1"/>
      <w:sz w:val="24"/>
      <w:szCs w:val="24"/>
      <w:lang w:val="en-GB" w:eastAsia="hi-IN" w:bidi="hi-IN"/>
    </w:rPr>
  </w:style>
  <w:style w:type="paragraph" w:styleId="BodyText">
    <w:name w:val="Body Text"/>
    <w:basedOn w:val="Normal"/>
    <w:link w:val="BodyTextChar1"/>
    <w:uiPriority w:val="99"/>
    <w:pPr>
      <w:widowControl w:val="0"/>
      <w:suppressAutoHyphens/>
      <w:spacing w:before="40" w:after="120" w:line="240" w:lineRule="auto"/>
      <w:jc w:val="both"/>
    </w:pPr>
    <w:rPr>
      <w:rFonts w:ascii="Arial" w:eastAsia="Arial Unicode MS" w:hAnsi="Arial" w:cs="Arial Unicode MS"/>
      <w:kern w:val="1"/>
      <w:sz w:val="24"/>
      <w:szCs w:val="24"/>
      <w:lang w:eastAsia="hi-IN" w:bidi="hi-IN"/>
    </w:rPr>
  </w:style>
  <w:style w:type="character" w:customStyle="1" w:styleId="BodyTextChar">
    <w:name w:val="Body Text Char"/>
    <w:rPr>
      <w:sz w:val="22"/>
      <w:szCs w:val="22"/>
      <w:lang w:val="en-GB" w:eastAsia="en-US"/>
    </w:rPr>
  </w:style>
  <w:style w:type="character" w:customStyle="1" w:styleId="BodyTextChar1">
    <w:name w:val="Body Text Char1"/>
    <w:link w:val="BodyText"/>
    <w:uiPriority w:val="99"/>
    <w:rPr>
      <w:rFonts w:ascii="Arial" w:eastAsia="Arial Unicode MS" w:hAnsi="Arial" w:cs="Arial Unicode MS"/>
      <w:kern w:val="1"/>
      <w:sz w:val="24"/>
      <w:szCs w:val="24"/>
      <w:lang w:val="en-GB" w:eastAsia="hi-IN" w:bidi="hi-IN"/>
    </w:rPr>
  </w:style>
  <w:style w:type="paragraph" w:styleId="ListNumber">
    <w:name w:val="List Number"/>
    <w:basedOn w:val="Normal"/>
    <w:uiPriority w:val="99"/>
    <w:pPr>
      <w:numPr>
        <w:numId w:val="15"/>
      </w:numPr>
      <w:spacing w:before="40" w:after="240" w:line="240" w:lineRule="auto"/>
      <w:jc w:val="both"/>
    </w:pPr>
    <w:rPr>
      <w:rFonts w:ascii="Times New Roman" w:eastAsia="Times New Roman" w:hAnsi="Times New Roman"/>
      <w:sz w:val="24"/>
      <w:szCs w:val="20"/>
    </w:rPr>
  </w:style>
  <w:style w:type="paragraph" w:customStyle="1" w:styleId="ListNumberLevel2">
    <w:name w:val="List Number (Level 2)"/>
    <w:basedOn w:val="Normal"/>
    <w:uiPriority w:val="99"/>
    <w:pPr>
      <w:numPr>
        <w:ilvl w:val="1"/>
        <w:numId w:val="15"/>
      </w:numPr>
      <w:spacing w:before="40"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uiPriority w:val="99"/>
    <w:pPr>
      <w:numPr>
        <w:ilvl w:val="2"/>
        <w:numId w:val="15"/>
      </w:numPr>
      <w:spacing w:before="40"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uiPriority w:val="99"/>
    <w:pPr>
      <w:numPr>
        <w:ilvl w:val="3"/>
        <w:numId w:val="15"/>
      </w:numPr>
      <w:spacing w:before="40" w:after="240" w:line="240" w:lineRule="auto"/>
      <w:jc w:val="both"/>
    </w:pPr>
    <w:rPr>
      <w:rFonts w:ascii="Times New Roman" w:eastAsia="Times New Roman" w:hAnsi="Times New Roman"/>
      <w:sz w:val="24"/>
      <w:szCs w:val="20"/>
    </w:rPr>
  </w:style>
  <w:style w:type="character" w:customStyle="1" w:styleId="CommentTextChar1">
    <w:name w:val="Comment Text Char1"/>
    <w:rPr>
      <w:rFonts w:eastAsia="Times New Roman"/>
      <w:lang w:val="x-none" w:eastAsia="x-none"/>
    </w:rPr>
  </w:style>
  <w:style w:type="paragraph" w:customStyle="1" w:styleId="Not">
    <w:name w:val="Not"/>
    <w:basedOn w:val="FootnoteText"/>
    <w:uiPriority w:val="99"/>
    <w:pPr>
      <w:ind w:left="0" w:firstLine="0"/>
    </w:pPr>
  </w:style>
  <w:style w:type="character" w:customStyle="1" w:styleId="t23">
    <w:name w:val="t23"/>
    <w:uiPriority w:val="99"/>
    <w:rPr>
      <w:rFonts w:cs="Times New Roman"/>
      <w:shd w:val="clear" w:color="auto" w:fill="auto"/>
    </w:rPr>
  </w:style>
  <w:style w:type="character" w:customStyle="1" w:styleId="t25">
    <w:name w:val="t25"/>
    <w:uiPriority w:val="99"/>
    <w:rPr>
      <w:rFonts w:cs="Times New Roman"/>
      <w:shd w:val="clear" w:color="auto" w:fill="auto"/>
    </w:rPr>
  </w:style>
  <w:style w:type="character" w:customStyle="1" w:styleId="Caractresdenotedebasdepage">
    <w:name w:val="Caractères de note de bas de page"/>
    <w:uiPriority w:val="99"/>
    <w:rPr>
      <w:rFonts w:cs="Times New Roman"/>
      <w:shd w:val="clear" w:color="auto" w:fill="auto"/>
      <w:vertAlign w:val="superscript"/>
    </w:rPr>
  </w:style>
  <w:style w:type="character" w:customStyle="1" w:styleId="t9">
    <w:name w:val="t9"/>
    <w:uiPriority w:val="99"/>
    <w:rPr>
      <w:rFonts w:cs="Times New Roman"/>
      <w:shd w:val="clear" w:color="auto" w:fill="auto"/>
    </w:rPr>
  </w:style>
  <w:style w:type="character" w:customStyle="1" w:styleId="t10">
    <w:name w:val="t10"/>
    <w:uiPriority w:val="99"/>
    <w:rPr>
      <w:rFonts w:cs="Times New Roman"/>
      <w:shd w:val="clear" w:color="auto" w:fill="auto"/>
    </w:rPr>
  </w:style>
  <w:style w:type="character" w:customStyle="1" w:styleId="t20">
    <w:name w:val="t20"/>
    <w:uiPriority w:val="99"/>
    <w:rPr>
      <w:rFonts w:cs="Times New Roman"/>
      <w:shd w:val="clear" w:color="auto" w:fill="auto"/>
    </w:rPr>
  </w:style>
  <w:style w:type="character" w:customStyle="1" w:styleId="t21">
    <w:name w:val="t21"/>
    <w:uiPriority w:val="99"/>
    <w:rPr>
      <w:rFonts w:cs="Times New Roman"/>
      <w:shd w:val="clear" w:color="auto" w:fill="auto"/>
    </w:rPr>
  </w:style>
  <w:style w:type="character" w:customStyle="1" w:styleId="t5">
    <w:name w:val="t5"/>
    <w:uiPriority w:val="99"/>
    <w:rPr>
      <w:rFonts w:cs="Times New Roman"/>
      <w:shd w:val="clear" w:color="auto" w:fill="auto"/>
    </w:rPr>
  </w:style>
  <w:style w:type="character" w:customStyle="1" w:styleId="t4">
    <w:name w:val="t4"/>
    <w:uiPriority w:val="99"/>
    <w:rPr>
      <w:rFonts w:cs="Times New Roman"/>
      <w:shd w:val="clear" w:color="auto" w:fill="auto"/>
    </w:rPr>
  </w:style>
  <w:style w:type="character" w:customStyle="1" w:styleId="t11">
    <w:name w:val="t11"/>
    <w:uiPriority w:val="99"/>
    <w:rPr>
      <w:rFonts w:cs="Times New Roman"/>
      <w:shd w:val="clear" w:color="auto" w:fill="auto"/>
    </w:rPr>
  </w:style>
  <w:style w:type="character" w:customStyle="1" w:styleId="CaptionChar1">
    <w:name w:val="Caption Char1"/>
    <w:uiPriority w:val="99"/>
    <w:locked/>
    <w:rPr>
      <w:rFonts w:ascii="Times New Roman" w:eastAsia="Times New Roman" w:hAnsi="Times New Roman" w:cs="Times New Roman"/>
      <w:b/>
      <w:bCs/>
      <w:sz w:val="20"/>
      <w:szCs w:val="20"/>
      <w:lang w:val="en-GB"/>
    </w:rPr>
  </w:style>
  <w:style w:type="paragraph" w:styleId="TableofFigures">
    <w:name w:val="table of figures"/>
    <w:basedOn w:val="Normal"/>
    <w:next w:val="Normal"/>
    <w:uiPriority w:val="99"/>
    <w:pPr>
      <w:spacing w:before="40" w:after="120" w:line="240" w:lineRule="auto"/>
      <w:ind w:left="482" w:hanging="482"/>
      <w:jc w:val="both"/>
    </w:pPr>
    <w:rPr>
      <w:rFonts w:ascii="Times New Roman" w:eastAsia="Times New Roman" w:hAnsi="Times New Roman"/>
      <w:bCs/>
      <w:sz w:val="24"/>
      <w:szCs w:val="20"/>
    </w:rPr>
  </w:style>
  <w:style w:type="paragraph" w:styleId="ListNumber2">
    <w:name w:val="List Number 2"/>
    <w:basedOn w:val="Normal"/>
    <w:uiPriority w:val="99"/>
    <w:pPr>
      <w:numPr>
        <w:numId w:val="10"/>
      </w:numPr>
      <w:tabs>
        <w:tab w:val="clear" w:pos="926"/>
        <w:tab w:val="num" w:pos="643"/>
        <w:tab w:val="num" w:pos="850"/>
        <w:tab w:val="num" w:pos="1209"/>
      </w:tabs>
      <w:spacing w:before="120" w:after="120" w:line="240" w:lineRule="auto"/>
      <w:ind w:left="643"/>
      <w:jc w:val="both"/>
    </w:pPr>
    <w:rPr>
      <w:rFonts w:ascii="Times New Roman" w:eastAsia="Times New Roman" w:hAnsi="Times New Roman"/>
      <w:sz w:val="24"/>
      <w:szCs w:val="24"/>
    </w:rPr>
  </w:style>
  <w:style w:type="paragraph" w:styleId="ListNumber3">
    <w:name w:val="List Number 3"/>
    <w:basedOn w:val="Normal"/>
    <w:uiPriority w:val="99"/>
    <w:pPr>
      <w:numPr>
        <w:numId w:val="11"/>
      </w:numPr>
      <w:tabs>
        <w:tab w:val="clear" w:pos="1209"/>
        <w:tab w:val="num" w:pos="926"/>
        <w:tab w:val="num" w:pos="1417"/>
      </w:tabs>
      <w:spacing w:before="120" w:after="120" w:line="240" w:lineRule="auto"/>
      <w:ind w:left="926"/>
      <w:jc w:val="both"/>
    </w:pPr>
    <w:rPr>
      <w:rFonts w:ascii="Times New Roman" w:eastAsia="Times New Roman" w:hAnsi="Times New Roman"/>
      <w:sz w:val="24"/>
      <w:szCs w:val="24"/>
    </w:rPr>
  </w:style>
  <w:style w:type="paragraph" w:styleId="ListNumber4">
    <w:name w:val="List Number 4"/>
    <w:basedOn w:val="Normal"/>
    <w:uiPriority w:val="99"/>
    <w:pPr>
      <w:numPr>
        <w:numId w:val="12"/>
      </w:numPr>
      <w:tabs>
        <w:tab w:val="clear" w:pos="360"/>
        <w:tab w:val="num" w:pos="643"/>
        <w:tab w:val="num" w:pos="1209"/>
        <w:tab w:val="num" w:pos="1984"/>
      </w:tabs>
      <w:spacing w:before="120" w:after="120" w:line="240" w:lineRule="auto"/>
      <w:ind w:left="1209"/>
      <w:jc w:val="both"/>
    </w:pPr>
    <w:rPr>
      <w:rFonts w:ascii="Times New Roman" w:eastAsia="Times New Roman" w:hAnsi="Times New Roman"/>
      <w:sz w:val="24"/>
      <w:szCs w:val="24"/>
    </w:rPr>
  </w:style>
  <w:style w:type="paragraph" w:customStyle="1" w:styleId="Nomral">
    <w:name w:val="Nomral"/>
    <w:basedOn w:val="Normal"/>
    <w:uiPriority w:val="99"/>
    <w:pPr>
      <w:spacing w:before="120" w:after="120" w:line="240" w:lineRule="auto"/>
      <w:jc w:val="both"/>
    </w:pPr>
    <w:rPr>
      <w:rFonts w:ascii="Times New Roman" w:eastAsia="Times New Roman" w:hAnsi="Times New Roman"/>
      <w:sz w:val="24"/>
      <w:szCs w:val="24"/>
    </w:rPr>
  </w:style>
  <w:style w:type="paragraph" w:customStyle="1" w:styleId="Heading">
    <w:name w:val="Heading"/>
    <w:basedOn w:val="Heading1"/>
    <w:uiPriority w:val="99"/>
    <w:pPr>
      <w:tabs>
        <w:tab w:val="num" w:pos="643"/>
        <w:tab w:val="num" w:pos="850"/>
      </w:tabs>
      <w:spacing w:before="360" w:after="120" w:line="240" w:lineRule="auto"/>
      <w:ind w:left="850" w:hanging="850"/>
      <w:jc w:val="both"/>
    </w:pPr>
    <w:rPr>
      <w:rFonts w:ascii="Times New Roman" w:hAnsi="Times New Roman"/>
      <w:smallCaps/>
      <w:kern w:val="0"/>
      <w:sz w:val="24"/>
      <w:lang w:eastAsia="x-none"/>
    </w:rPr>
  </w:style>
  <w:style w:type="character" w:styleId="FollowedHyperlink">
    <w:name w:val="FollowedHyperlink"/>
    <w:uiPriority w:val="99"/>
    <w:rPr>
      <w:rFonts w:cs="Times New Roman"/>
      <w:color w:val="800080"/>
      <w:u w:val="single"/>
    </w:rPr>
  </w:style>
  <w:style w:type="paragraph" w:customStyle="1" w:styleId="FootnotesText">
    <w:name w:val="Footnotes Text"/>
    <w:basedOn w:val="Normal"/>
    <w:link w:val="FootnotesTextChar"/>
    <w:uiPriority w:val="99"/>
    <w:pPr>
      <w:autoSpaceDE w:val="0"/>
      <w:autoSpaceDN w:val="0"/>
      <w:adjustRightInd w:val="0"/>
      <w:spacing w:before="40" w:after="0" w:line="240" w:lineRule="auto"/>
      <w:jc w:val="both"/>
    </w:pPr>
    <w:rPr>
      <w:rFonts w:ascii="Times New Roman" w:eastAsia="Times New Roman" w:hAnsi="Times New Roman"/>
      <w:b/>
      <w:bCs/>
      <w:sz w:val="24"/>
      <w:szCs w:val="24"/>
      <w:lang w:eastAsia="en-GB"/>
    </w:rPr>
  </w:style>
  <w:style w:type="character" w:customStyle="1" w:styleId="FootnotesTextChar">
    <w:name w:val="Footnotes Text Char"/>
    <w:link w:val="FootnotesText"/>
    <w:uiPriority w:val="99"/>
    <w:locked/>
    <w:rPr>
      <w:rFonts w:ascii="Times New Roman" w:eastAsia="Times New Roman" w:hAnsi="Times New Roman"/>
      <w:b/>
      <w:bCs/>
      <w:sz w:val="24"/>
      <w:szCs w:val="24"/>
      <w:lang w:val="en-GB" w:eastAsia="en-GB"/>
    </w:rPr>
  </w:style>
  <w:style w:type="character" w:customStyle="1" w:styleId="hps">
    <w:name w:val="hps"/>
    <w:uiPriority w:val="99"/>
    <w:rPr>
      <w:rFonts w:cs="Times New Roman"/>
    </w:rPr>
  </w:style>
  <w:style w:type="paragraph" w:customStyle="1" w:styleId="Default">
    <w:name w:val="Default"/>
    <w:uiPriority w:val="99"/>
    <w:pPr>
      <w:autoSpaceDE w:val="0"/>
      <w:autoSpaceDN w:val="0"/>
      <w:adjustRightInd w:val="0"/>
    </w:pPr>
    <w:rPr>
      <w:rFonts w:ascii="EUAlbertina" w:eastAsia="Times New Roman" w:hAnsi="EUAlbertina" w:cs="EUAlbertina"/>
      <w:color w:val="000000"/>
      <w:sz w:val="24"/>
      <w:szCs w:val="24"/>
    </w:rPr>
  </w:style>
  <w:style w:type="paragraph" w:customStyle="1" w:styleId="CM4">
    <w:name w:val="CM4"/>
    <w:basedOn w:val="Default"/>
    <w:next w:val="Default"/>
    <w:uiPriority w:val="99"/>
    <w:rPr>
      <w:rFonts w:cs="Times New Roman"/>
      <w:color w:val="auto"/>
    </w:rPr>
  </w:style>
  <w:style w:type="character" w:customStyle="1" w:styleId="spiritsinfol">
    <w:name w:val="spirit s_info_l"/>
    <w:uiPriority w:val="99"/>
    <w:rPr>
      <w:rFonts w:cs="Times New Roman"/>
      <w:sz w:val="24"/>
      <w:szCs w:val="24"/>
    </w:rPr>
  </w:style>
  <w:style w:type="character" w:styleId="HTMLCite">
    <w:name w:val="HTML Cite"/>
    <w:uiPriority w:val="99"/>
    <w:rPr>
      <w:rFonts w:cs="Times New Roman"/>
      <w:i/>
      <w:iCs/>
    </w:rPr>
  </w:style>
  <w:style w:type="paragraph" w:customStyle="1" w:styleId="NormalBorderSinglesolidline">
    <w:name w:val="Normal + Border: : (Single solid line"/>
    <w:aliases w:val="Auto,0.5 pt Line width)"/>
    <w:basedOn w:val="Normal"/>
    <w:uiPriority w:val="99"/>
    <w:pPr>
      <w:spacing w:before="120" w:after="120" w:line="240" w:lineRule="auto"/>
      <w:jc w:val="both"/>
    </w:pPr>
    <w:rPr>
      <w:rFonts w:ascii="Times New Roman" w:eastAsia="Times New Roman" w:hAnsi="Times New Roman"/>
      <w:sz w:val="24"/>
      <w:szCs w:val="24"/>
      <w:bdr w:val="single" w:sz="4" w:space="0" w:color="auto"/>
    </w:rPr>
  </w:style>
  <w:style w:type="paragraph" w:customStyle="1" w:styleId="a3520normal">
    <w:name w:val="a___35__20_normal"/>
    <w:basedOn w:val="Normal"/>
    <w:uiPriority w:val="99"/>
    <w:pPr>
      <w:spacing w:before="100" w:beforeAutospacing="1" w:after="100" w:afterAutospacing="1" w:line="240" w:lineRule="auto"/>
      <w:jc w:val="both"/>
    </w:pPr>
    <w:rPr>
      <w:rFonts w:ascii="Times New Roman" w:eastAsia="Times New Roman" w:hAnsi="Times New Roman"/>
      <w:sz w:val="24"/>
      <w:szCs w:val="24"/>
      <w:lang w:eastAsia="en-GB"/>
    </w:rPr>
  </w:style>
  <w:style w:type="paragraph" w:customStyle="1" w:styleId="Noral">
    <w:name w:val="Noral"/>
    <w:basedOn w:val="Normal"/>
    <w:uiPriority w:val="99"/>
    <w:pPr>
      <w:spacing w:before="120" w:after="120" w:line="240" w:lineRule="auto"/>
      <w:jc w:val="both"/>
    </w:pPr>
    <w:rPr>
      <w:rFonts w:ascii="Times New Roman" w:eastAsia="Times New Roman" w:hAnsi="Times New Roman"/>
      <w:color w:val="0000FF"/>
      <w:sz w:val="24"/>
      <w:szCs w:val="24"/>
    </w:rPr>
  </w:style>
  <w:style w:type="character" w:customStyle="1" w:styleId="CharChar3">
    <w:name w:val="Char Char3"/>
    <w:uiPriority w:val="99"/>
    <w:semiHidden/>
    <w:locked/>
    <w:rPr>
      <w:lang w:val="en-GB" w:eastAsia="en-US"/>
    </w:rPr>
  </w:style>
  <w:style w:type="character" w:customStyle="1" w:styleId="CharChar2">
    <w:name w:val="Char Char2"/>
    <w:semiHidden/>
    <w:locked/>
    <w:rPr>
      <w:rFonts w:cs="Times New Roman"/>
      <w:sz w:val="20"/>
      <w:szCs w:val="20"/>
      <w:lang w:eastAsia="en-US"/>
    </w:rPr>
  </w:style>
  <w:style w:type="character" w:customStyle="1" w:styleId="CharChar5">
    <w:name w:val="Char Char5"/>
    <w:semiHidden/>
    <w:locked/>
    <w:rPr>
      <w:rFonts w:cs="Times New Roman"/>
      <w:lang w:val="en-GB" w:eastAsia="en-US" w:bidi="ar-SA"/>
    </w:rPr>
  </w:style>
  <w:style w:type="character" w:customStyle="1" w:styleId="CharChar7">
    <w:name w:val="Char Char7"/>
    <w:semiHidden/>
    <w:locked/>
    <w:rPr>
      <w:rFonts w:cs="Times New Roman"/>
      <w:lang w:val="en-GB" w:eastAsia="en-US" w:bidi="ar-SA"/>
    </w:rPr>
  </w:style>
  <w:style w:type="paragraph" w:styleId="Title">
    <w:name w:val="Title"/>
    <w:basedOn w:val="Normal"/>
    <w:link w:val="TitleChar"/>
    <w:qFormat/>
    <w:pPr>
      <w:spacing w:before="240" w:after="60" w:line="240" w:lineRule="auto"/>
      <w:jc w:val="center"/>
      <w:outlineLvl w:val="0"/>
    </w:pPr>
    <w:rPr>
      <w:rFonts w:ascii="Arial" w:hAnsi="Arial"/>
      <w:b/>
      <w:bCs/>
      <w:kern w:val="28"/>
      <w:sz w:val="32"/>
      <w:szCs w:val="32"/>
      <w:lang w:eastAsia="x-none"/>
    </w:rPr>
  </w:style>
  <w:style w:type="character" w:customStyle="1" w:styleId="TitleChar">
    <w:name w:val="Title Char"/>
    <w:link w:val="Title"/>
    <w:rPr>
      <w:rFonts w:ascii="Arial" w:hAnsi="Arial"/>
      <w:b/>
      <w:bCs/>
      <w:kern w:val="28"/>
      <w:sz w:val="32"/>
      <w:szCs w:val="32"/>
      <w:lang w:val="en-GB" w:eastAsia="x-none"/>
    </w:rPr>
  </w:style>
  <w:style w:type="paragraph" w:customStyle="1" w:styleId="entetepair">
    <w:name w:val="entete_pair"/>
    <w:pPr>
      <w:pBdr>
        <w:bottom w:val="single" w:sz="4" w:space="5" w:color="C00000"/>
      </w:pBdr>
      <w:spacing w:after="300"/>
    </w:pPr>
    <w:rPr>
      <w:rFonts w:ascii="Arial Narrow" w:hAnsi="Arial Narrow" w:cs="Arial"/>
      <w:color w:val="000000"/>
      <w:spacing w:val="20"/>
      <w:sz w:val="18"/>
      <w:lang w:eastAsia="en-US"/>
    </w:rPr>
  </w:style>
  <w:style w:type="paragraph" w:customStyle="1" w:styleId="enteteimpair">
    <w:name w:val="entete_impair"/>
    <w:basedOn w:val="entetepair"/>
    <w:pPr>
      <w:jc w:val="right"/>
    </w:pPr>
    <w:rPr>
      <w:lang w:val="en-US"/>
    </w:rPr>
  </w:style>
  <w:style w:type="paragraph" w:customStyle="1" w:styleId="exemple">
    <w:name w:val="exemple"/>
    <w:pPr>
      <w:spacing w:before="120" w:line="300" w:lineRule="auto"/>
      <w:ind w:left="369"/>
      <w:jc w:val="both"/>
    </w:pPr>
    <w:rPr>
      <w:rFonts w:ascii="Arial Narrow" w:hAnsi="Arial Narrow"/>
      <w:lang w:eastAsia="en-US"/>
    </w:rPr>
  </w:style>
  <w:style w:type="paragraph" w:customStyle="1" w:styleId="H1etiket">
    <w:name w:val="H1_etiket"/>
    <w:basedOn w:val="Heading1"/>
    <w:pPr>
      <w:spacing w:before="0" w:after="600" w:line="300" w:lineRule="auto"/>
      <w:jc w:val="right"/>
    </w:pPr>
    <w:rPr>
      <w:rFonts w:ascii="Verdana" w:eastAsia="Calibri" w:hAnsi="Verdana" w:cs="Arial"/>
      <w:bCs w:val="0"/>
      <w:caps/>
      <w:noProof/>
      <w:color w:val="943634"/>
      <w:kern w:val="0"/>
      <w:sz w:val="52"/>
      <w:szCs w:val="52"/>
      <w:lang w:eastAsia="x-none"/>
    </w:rPr>
  </w:style>
  <w:style w:type="paragraph" w:customStyle="1" w:styleId="H1prelim">
    <w:name w:val="H1_prelim"/>
    <w:pPr>
      <w:pBdr>
        <w:bottom w:val="single" w:sz="8" w:space="31" w:color="auto"/>
      </w:pBdr>
      <w:tabs>
        <w:tab w:val="left" w:pos="2268"/>
      </w:tabs>
      <w:spacing w:before="800" w:after="180"/>
      <w:jc w:val="center"/>
    </w:pPr>
    <w:rPr>
      <w:rFonts w:ascii="Arial" w:hAnsi="Arial" w:cs="Arial"/>
      <w:b/>
      <w:caps/>
      <w:color w:val="000000"/>
      <w:spacing w:val="60"/>
      <w:sz w:val="36"/>
      <w:lang w:val="fr-FR" w:eastAsia="en-US"/>
    </w:rPr>
  </w:style>
  <w:style w:type="paragraph" w:customStyle="1" w:styleId="H1subtitle">
    <w:name w:val="H1_subtitle"/>
    <w:basedOn w:val="Heading1"/>
    <w:pPr>
      <w:widowControl w:val="0"/>
      <w:shd w:val="clear" w:color="auto" w:fill="FFCC99"/>
      <w:spacing w:after="0" w:line="360" w:lineRule="auto"/>
      <w:jc w:val="center"/>
    </w:pPr>
    <w:rPr>
      <w:rFonts w:ascii="Verdana" w:eastAsia="Calibri" w:hAnsi="Verdana" w:cs="Arial"/>
      <w:bCs w:val="0"/>
      <w:caps/>
      <w:noProof/>
      <w:spacing w:val="20"/>
      <w:kern w:val="28"/>
      <w:lang w:eastAsia="x-none"/>
    </w:rPr>
  </w:style>
  <w:style w:type="paragraph" w:customStyle="1" w:styleId="noteexplicative">
    <w:name w:val="note explicative"/>
    <w:pPr>
      <w:spacing w:before="100" w:after="60"/>
    </w:pPr>
    <w:rPr>
      <w:rFonts w:ascii="Arial" w:hAnsi="Arial" w:cs="Arial"/>
      <w:b/>
      <w:bCs/>
      <w:color w:val="C00000"/>
      <w:sz w:val="18"/>
      <w:u w:val="single"/>
      <w:lang w:eastAsia="en-US"/>
    </w:rPr>
  </w:style>
  <w:style w:type="paragraph" w:customStyle="1" w:styleId="pays">
    <w:name w:val="pays"/>
    <w:pPr>
      <w:spacing w:before="200" w:after="100"/>
    </w:pPr>
    <w:rPr>
      <w:rFonts w:ascii="Myriad Pro" w:hAnsi="Myriad Pro"/>
      <w:b/>
      <w:color w:val="993300"/>
      <w:sz w:val="21"/>
      <w:lang w:eastAsia="en-US"/>
    </w:rPr>
  </w:style>
  <w:style w:type="paragraph" w:customStyle="1" w:styleId="tableauougraphique">
    <w:name w:val="tableau ou graphique"/>
    <w:pPr>
      <w:keepNext/>
      <w:numPr>
        <w:numId w:val="18"/>
      </w:numPr>
      <w:spacing w:before="200" w:after="200" w:line="276" w:lineRule="auto"/>
      <w:ind w:hanging="720"/>
    </w:pPr>
    <w:rPr>
      <w:rFonts w:ascii="Arial Narrow" w:eastAsia="Times New Roman" w:hAnsi="Arial Narrow" w:cs="Arial"/>
      <w:b/>
      <w:bCs/>
      <w:noProof/>
      <w:color w:val="943634"/>
      <w:lang w:eastAsia="en-US"/>
    </w:rPr>
  </w:style>
  <w:style w:type="paragraph" w:customStyle="1" w:styleId="texteparbullet">
    <w:name w:val="texte+par+bullet"/>
    <w:basedOn w:val="Normal"/>
    <w:pPr>
      <w:numPr>
        <w:numId w:val="17"/>
      </w:numPr>
      <w:spacing w:before="160" w:after="0" w:line="300" w:lineRule="auto"/>
      <w:jc w:val="both"/>
    </w:pPr>
    <w:rPr>
      <w:rFonts w:ascii="Arial" w:hAnsi="Arial" w:cs="Arial"/>
      <w:noProof/>
      <w:sz w:val="20"/>
      <w:szCs w:val="20"/>
      <w:lang w:eastAsia="de-DE"/>
    </w:rPr>
  </w:style>
  <w:style w:type="paragraph" w:customStyle="1" w:styleId="texteparbulletretrait">
    <w:name w:val="texte+par+bullet+retrait"/>
    <w:basedOn w:val="texteparbullet"/>
    <w:pPr>
      <w:numPr>
        <w:numId w:val="0"/>
      </w:numPr>
      <w:spacing w:before="80"/>
    </w:pPr>
  </w:style>
  <w:style w:type="paragraph" w:customStyle="1" w:styleId="texte1">
    <w:name w:val="texte1"/>
    <w:basedOn w:val="Normal"/>
    <w:pPr>
      <w:spacing w:before="40" w:after="0" w:line="240" w:lineRule="auto"/>
      <w:jc w:val="both"/>
    </w:pPr>
    <w:rPr>
      <w:rFonts w:ascii="Arial" w:hAnsi="Arial" w:cs="Arial"/>
      <w:sz w:val="2"/>
      <w:szCs w:val="17"/>
      <w:lang w:eastAsia="en-GB"/>
    </w:rPr>
  </w:style>
  <w:style w:type="paragraph" w:customStyle="1" w:styleId="texte83ap">
    <w:name w:val="texte8_3ap"/>
    <w:basedOn w:val="Normal"/>
    <w:pPr>
      <w:widowControl w:val="0"/>
      <w:spacing w:before="40" w:after="60" w:line="240" w:lineRule="auto"/>
      <w:jc w:val="both"/>
    </w:pPr>
    <w:rPr>
      <w:rFonts w:ascii="Arial" w:hAnsi="Arial" w:cs="Arial"/>
      <w:sz w:val="16"/>
      <w:szCs w:val="16"/>
    </w:rPr>
  </w:style>
  <w:style w:type="paragraph" w:customStyle="1" w:styleId="texte">
    <w:name w:val="texte"/>
    <w:basedOn w:val="textepar"/>
    <w:pPr>
      <w:spacing w:before="0"/>
      <w:jc w:val="left"/>
    </w:pPr>
    <w:rPr>
      <w:rFonts w:eastAsia="Calibri" w:cs="Arial"/>
      <w:sz w:val="20"/>
      <w:szCs w:val="20"/>
      <w:lang w:eastAsia="en-GB"/>
    </w:rPr>
  </w:style>
  <w:style w:type="character" w:customStyle="1" w:styleId="Caracteresdenotaderodap">
    <w:name w:val="Caracteres de nota de rodapé"/>
    <w:rPr>
      <w:rFonts w:cs="Times New Roman"/>
      <w:vertAlign w:val="superscript"/>
    </w:rPr>
  </w:style>
  <w:style w:type="character" w:customStyle="1" w:styleId="rightside">
    <w:name w:val="right_side"/>
    <w:rPr>
      <w:rFonts w:cs="Times New Roman"/>
    </w:rPr>
  </w:style>
  <w:style w:type="paragraph" w:customStyle="1" w:styleId="CM1">
    <w:name w:val="CM1"/>
    <w:basedOn w:val="Default"/>
    <w:next w:val="Default"/>
    <w:rPr>
      <w:rFonts w:cs="Times New Roman"/>
      <w:color w:val="auto"/>
    </w:rPr>
  </w:style>
  <w:style w:type="paragraph" w:customStyle="1" w:styleId="CM3">
    <w:name w:val="CM3"/>
    <w:basedOn w:val="Default"/>
    <w:next w:val="Default"/>
    <w:rPr>
      <w:rFonts w:cs="Times New Roman"/>
      <w:color w:val="auto"/>
    </w:rPr>
  </w:style>
  <w:style w:type="paragraph" w:customStyle="1" w:styleId="Headin2">
    <w:name w:val="Headin 2"/>
    <w:basedOn w:val="Normal"/>
    <w:pPr>
      <w:keepNext/>
      <w:tabs>
        <w:tab w:val="left" w:pos="540"/>
      </w:tabs>
      <w:spacing w:before="320" w:after="360" w:line="240" w:lineRule="auto"/>
      <w:jc w:val="both"/>
      <w:outlineLvl w:val="1"/>
    </w:pPr>
    <w:rPr>
      <w:rFonts w:ascii="Arial" w:eastAsia="Times New Roman" w:hAnsi="Arial" w:cs="Arial"/>
      <w:b/>
      <w:bCs/>
      <w:color w:val="943634"/>
      <w:spacing w:val="10"/>
      <w:sz w:val="28"/>
      <w:szCs w:val="28"/>
    </w:rPr>
  </w:style>
  <w:style w:type="paragraph" w:customStyle="1" w:styleId="HwSINF">
    <w:name w:val="HwSINF §"/>
    <w:basedOn w:val="Normal"/>
    <w:pPr>
      <w:keepNext/>
      <w:spacing w:before="270" w:after="160" w:line="240" w:lineRule="auto"/>
      <w:jc w:val="both"/>
      <w:outlineLvl w:val="2"/>
    </w:pPr>
    <w:rPr>
      <w:rFonts w:ascii="Verdana" w:eastAsia="Times New Roman" w:hAnsi="Verdana"/>
      <w:b/>
      <w:color w:val="943634"/>
      <w:sz w:val="24"/>
    </w:rPr>
  </w:style>
  <w:style w:type="paragraph" w:styleId="DocumentMap">
    <w:name w:val="Document Map"/>
    <w:basedOn w:val="Normal"/>
    <w:link w:val="DocumentMapChar"/>
    <w:semiHidden/>
    <w:pPr>
      <w:shd w:val="clear" w:color="auto" w:fill="000080"/>
      <w:spacing w:before="120" w:after="120" w:line="240" w:lineRule="auto"/>
      <w:jc w:val="both"/>
    </w:pPr>
    <w:rPr>
      <w:rFonts w:ascii="Tahoma" w:eastAsia="Times New Roman" w:hAnsi="Tahoma"/>
      <w:sz w:val="20"/>
      <w:szCs w:val="20"/>
      <w:lang w:eastAsia="x-none"/>
    </w:rPr>
  </w:style>
  <w:style w:type="character" w:customStyle="1" w:styleId="DocumentMapChar">
    <w:name w:val="Document Map Char"/>
    <w:link w:val="DocumentMap"/>
    <w:semiHidden/>
    <w:rPr>
      <w:rFonts w:ascii="Tahoma" w:eastAsia="Times New Roman" w:hAnsi="Tahoma"/>
      <w:shd w:val="clear" w:color="auto" w:fill="000080"/>
      <w:lang w:val="en-GB" w:eastAsia="x-none"/>
    </w:rPr>
  </w:style>
  <w:style w:type="paragraph" w:customStyle="1" w:styleId="PartTit">
    <w:name w:val="PartTit#"/>
    <w:basedOn w:val="Heading1"/>
    <w:pPr>
      <w:tabs>
        <w:tab w:val="num" w:pos="850"/>
      </w:tabs>
      <w:spacing w:before="360" w:after="120" w:line="240" w:lineRule="auto"/>
      <w:ind w:left="850" w:hanging="850"/>
      <w:jc w:val="both"/>
    </w:pPr>
    <w:rPr>
      <w:rFonts w:ascii="Times New Roman" w:hAnsi="Times New Roman"/>
      <w:smallCaps/>
      <w:kern w:val="0"/>
      <w:sz w:val="24"/>
      <w:lang w:eastAsia="x-none"/>
    </w:rPr>
  </w:style>
  <w:style w:type="paragraph" w:customStyle="1" w:styleId="ManualHeading10">
    <w:name w:val="ManualHeading 1"/>
    <w:basedOn w:val="Normal"/>
    <w:qFormat/>
    <w:pPr>
      <w:spacing w:before="120" w:after="120" w:line="240" w:lineRule="auto"/>
      <w:jc w:val="both"/>
    </w:pPr>
    <w:rPr>
      <w:rFonts w:ascii="Times New Roman" w:eastAsia="Times New Roman" w:hAnsi="Times New Roman"/>
      <w:sz w:val="24"/>
      <w:szCs w:val="24"/>
    </w:rPr>
  </w:style>
  <w:style w:type="paragraph" w:customStyle="1" w:styleId="PartTitel">
    <w:name w:val="PartTitel"/>
    <w:basedOn w:val="Normal"/>
    <w:pPr>
      <w:spacing w:before="120" w:after="120" w:line="240" w:lineRule="auto"/>
      <w:jc w:val="both"/>
    </w:pPr>
    <w:rPr>
      <w:rFonts w:ascii="Times New Roman" w:eastAsia="Times New Roman" w:hAnsi="Times New Roman"/>
      <w:sz w:val="24"/>
      <w:szCs w:val="24"/>
    </w:rPr>
  </w:style>
  <w:style w:type="paragraph" w:customStyle="1" w:styleId="Heading20">
    <w:name w:val="Heading 2#"/>
    <w:basedOn w:val="Normal"/>
    <w:qFormat/>
    <w:pPr>
      <w:spacing w:before="160" w:after="0" w:line="300" w:lineRule="auto"/>
      <w:jc w:val="both"/>
    </w:pPr>
    <w:rPr>
      <w:rFonts w:ascii="Verdana" w:eastAsia="Times New Roman" w:hAnsi="Verdana" w:cs="Arial"/>
      <w:color w:val="632423"/>
      <w:sz w:val="20"/>
      <w:szCs w:val="20"/>
    </w:rPr>
  </w:style>
  <w:style w:type="paragraph" w:customStyle="1" w:styleId="Point00">
    <w:name w:val="Point0"/>
    <w:basedOn w:val="Point1"/>
    <w:pPr>
      <w:tabs>
        <w:tab w:val="left" w:pos="567"/>
      </w:tabs>
      <w:ind w:left="719" w:hanging="435"/>
    </w:pPr>
  </w:style>
  <w:style w:type="paragraph" w:customStyle="1" w:styleId="ManualHeading20">
    <w:name w:val="ManualHeading 2"/>
    <w:basedOn w:val="Normal"/>
    <w:pPr>
      <w:spacing w:before="120" w:after="120" w:line="240" w:lineRule="auto"/>
      <w:jc w:val="both"/>
    </w:pPr>
    <w:rPr>
      <w:rFonts w:ascii="Times New Roman" w:eastAsia="Times New Roman" w:hAnsi="Times New Roman"/>
      <w:sz w:val="24"/>
      <w:szCs w:val="24"/>
    </w:rPr>
  </w:style>
  <w:style w:type="character" w:customStyle="1" w:styleId="at1">
    <w:name w:val="a__t1"/>
  </w:style>
  <w:style w:type="paragraph" w:customStyle="1" w:styleId="Caption0">
    <w:name w:val="Caption#"/>
    <w:basedOn w:val="Normal"/>
    <w:qFormat/>
    <w:pPr>
      <w:spacing w:before="40" w:after="180" w:line="240" w:lineRule="auto"/>
      <w:jc w:val="both"/>
    </w:pPr>
    <w:rPr>
      <w:rFonts w:ascii="Times New Roman" w:eastAsia="Times New Roman" w:hAnsi="Times New Roman"/>
      <w:sz w:val="24"/>
      <w:lang w:val="en-US"/>
    </w:rPr>
  </w:style>
  <w:style w:type="character" w:customStyle="1" w:styleId="Titolodellibro">
    <w:name w:val="Titolo del libro"/>
    <w:uiPriority w:val="33"/>
    <w:qFormat/>
    <w:rPr>
      <w:b/>
      <w:bCs/>
      <w:smallCaps/>
      <w:spacing w:val="5"/>
    </w:rPr>
  </w:style>
  <w:style w:type="paragraph" w:customStyle="1" w:styleId="Reference">
    <w:name w:val="Reference"/>
    <w:basedOn w:val="Normal"/>
    <w:link w:val="ReferenceChar"/>
    <w:qFormat/>
    <w:pPr>
      <w:keepLines/>
      <w:spacing w:before="40" w:after="120" w:line="240" w:lineRule="auto"/>
      <w:ind w:left="720" w:hanging="720"/>
    </w:pPr>
    <w:rPr>
      <w:rFonts w:ascii="Times New Roman" w:eastAsia="Times New Roman" w:hAnsi="Times New Roman"/>
      <w:noProof/>
      <w:lang w:val="en-US"/>
    </w:rPr>
  </w:style>
  <w:style w:type="character" w:customStyle="1" w:styleId="st1">
    <w:name w:val="st1"/>
  </w:style>
  <w:style w:type="character" w:customStyle="1" w:styleId="ReferenceChar">
    <w:name w:val="Reference Char"/>
    <w:link w:val="Reference"/>
    <w:rPr>
      <w:rFonts w:ascii="Times New Roman" w:eastAsia="Times New Roman" w:hAnsi="Times New Roman"/>
      <w:noProof/>
      <w:sz w:val="22"/>
      <w:szCs w:val="22"/>
      <w:lang w:val="en-US"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TitolosommarioCarattere">
    <w:name w:val="Titolo sommario Carattere"/>
    <w:link w:val="Titolosommario"/>
    <w:uiPriority w:val="39"/>
    <w:rPr>
      <w:rFonts w:ascii="Times New Roman" w:eastAsia="Times New Roman" w:hAnsi="Times New Roman"/>
      <w:b/>
      <w:sz w:val="28"/>
      <w:szCs w:val="24"/>
      <w:lang w:val="x-none" w:eastAsia="en-US"/>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customStyle="1" w:styleId="top">
    <w:name w:val="top"/>
    <w:basedOn w:val="Normal"/>
    <w:link w:val="topChar"/>
    <w:qFormat/>
    <w:pPr>
      <w:spacing w:after="0" w:line="240" w:lineRule="auto"/>
      <w:jc w:val="both"/>
    </w:pPr>
    <w:rPr>
      <w:rFonts w:ascii="Times New Roman" w:eastAsia="Times New Roman" w:hAnsi="Times New Roman"/>
      <w:sz w:val="2"/>
      <w:szCs w:val="2"/>
      <w:lang w:val="en-US"/>
    </w:rPr>
  </w:style>
  <w:style w:type="paragraph" w:customStyle="1" w:styleId="Tiop">
    <w:name w:val="Tiop"/>
    <w:basedOn w:val="Normal"/>
    <w:qFormat/>
    <w:pPr>
      <w:spacing w:before="40" w:after="180" w:line="240" w:lineRule="auto"/>
      <w:jc w:val="both"/>
    </w:pPr>
    <w:rPr>
      <w:rFonts w:ascii="Times New Roman" w:eastAsia="Times New Roman" w:hAnsi="Times New Roman"/>
      <w:sz w:val="24"/>
      <w:lang w:val="en-US"/>
    </w:rPr>
  </w:style>
  <w:style w:type="character" w:customStyle="1" w:styleId="topChar">
    <w:name w:val="top Char"/>
    <w:link w:val="top"/>
    <w:rPr>
      <w:rFonts w:ascii="Times New Roman" w:eastAsia="Times New Roman" w:hAnsi="Times New Roman"/>
      <w:sz w:val="2"/>
      <w:szCs w:val="2"/>
      <w:lang w:val="en-US" w:eastAsia="en-US"/>
    </w:rPr>
  </w:style>
  <w:style w:type="paragraph" w:customStyle="1" w:styleId="a75TextbaseTable">
    <w:name w:val="_a7_5_Text_base_Table"/>
    <w:qFormat/>
    <w:pPr>
      <w:tabs>
        <w:tab w:val="left" w:pos="1985"/>
      </w:tabs>
    </w:pPr>
    <w:rPr>
      <w:rFonts w:ascii="Arial" w:eastAsia="Times New Roman" w:hAnsi="Arial" w:cs="Arial"/>
      <w:snapToGrid w:val="0"/>
      <w:color w:val="1F497D"/>
      <w:sz w:val="16"/>
      <w:szCs w:val="16"/>
      <w:lang w:val="en-US" w:eastAsia="en-US"/>
    </w:rPr>
  </w:style>
  <w:style w:type="paragraph" w:customStyle="1" w:styleId="p91Textpara">
    <w:name w:val="_p9_1_Text_para"/>
    <w:pPr>
      <w:tabs>
        <w:tab w:val="left" w:pos="4253"/>
      </w:tabs>
      <w:spacing w:before="160" w:line="300" w:lineRule="auto"/>
      <w:jc w:val="both"/>
    </w:pPr>
    <w:rPr>
      <w:rFonts w:ascii="Arial" w:hAnsi="Arial" w:cs="Arial"/>
      <w:color w:val="1F497D"/>
      <w:lang w:eastAsia="en-US"/>
    </w:rPr>
  </w:style>
  <w:style w:type="paragraph" w:styleId="Revision">
    <w:name w:val="Revision"/>
    <w:hidden/>
    <w:uiPriority w:val="99"/>
    <w:semiHidden/>
    <w:rPr>
      <w:sz w:val="22"/>
      <w:szCs w:val="22"/>
      <w:lang w:eastAsia="en-US"/>
    </w:rPr>
  </w:style>
  <w:style w:type="paragraph" w:customStyle="1" w:styleId="Yo5TextEUYouthTOC">
    <w:name w:val="_Yo_5_Text_EU_Youth_TOC"/>
    <w:pPr>
      <w:keepNext/>
      <w:framePr w:hSpace="180" w:wrap="around" w:vAnchor="text" w:hAnchor="margin" w:x="108" w:y="100"/>
    </w:pPr>
    <w:rPr>
      <w:rFonts w:ascii="Arial Narrow" w:eastAsia="Cambria" w:hAnsi="Arial Narrow" w:cs="Arial"/>
      <w:b/>
      <w:bCs/>
      <w:noProof/>
      <w:color w:val="C00000"/>
      <w:lang w:eastAsia="en-US"/>
    </w:rPr>
  </w:style>
  <w:style w:type="paragraph" w:customStyle="1" w:styleId="Yo5TextEUYouth">
    <w:name w:val="_Yo_5_Text_EU_Youth"/>
    <w:basedOn w:val="Yo5TextNotes"/>
    <w:qFormat/>
    <w:pPr>
      <w:framePr w:hSpace="180" w:wrap="around" w:vAnchor="text" w:hAnchor="margin" w:x="108" w:y="100"/>
    </w:pPr>
    <w:rPr>
      <w:b/>
      <w:color w:val="C00000"/>
      <w:sz w:val="2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Yo0H1Char">
    <w:name w:val="_Yo_0_H1 Char"/>
    <w:link w:val="Yo0H1"/>
    <w:rPr>
      <w:rFonts w:ascii="Verdana" w:eastAsia="Times New Roman" w:hAnsi="Verdana" w:cs="MyriadPro-Bold"/>
      <w:b/>
      <w:bCs w:val="0"/>
      <w:color w:val="DB1E48"/>
      <w:kern w:val="32"/>
      <w:sz w:val="44"/>
      <w:szCs w:val="44"/>
      <w:lang w:val="en-US" w:eastAsia="fr-BE"/>
    </w:rPr>
  </w:style>
  <w:style w:type="character" w:customStyle="1" w:styleId="FooterSensitivityChar">
    <w:name w:val="Footer Sensitivity Char"/>
    <w:link w:val="FooterSensitivity"/>
    <w:rPr>
      <w:rFonts w:ascii="Times New Roman" w:hAnsi="Times New Roman"/>
      <w:b/>
      <w:sz w:val="32"/>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link w:val="HeaderSensitivity"/>
    <w:rPr>
      <w:rFonts w:ascii="Times New Roman" w:hAnsi="Times New Roman"/>
      <w:b/>
      <w:sz w:val="32"/>
      <w:szCs w:val="22"/>
      <w:lang w:eastAsia="en-US"/>
    </w:rPr>
  </w:style>
  <w:style w:type="paragraph" w:styleId="TOCHeading">
    <w:name w:val="TOC Heading"/>
    <w:basedOn w:val="Heading1"/>
    <w:next w:val="Normal"/>
    <w:uiPriority w:val="39"/>
    <w:unhideWhenUsed/>
    <w:qFormat/>
    <w:pPr>
      <w:keepLines/>
      <w:spacing w:after="0" w:line="259" w:lineRule="auto"/>
      <w:outlineLvl w:val="9"/>
    </w:pPr>
    <w:rPr>
      <w:rFonts w:ascii="Calibri Light" w:hAnsi="Calibri Light"/>
      <w:b w:val="0"/>
      <w:bCs w:val="0"/>
      <w:color w:val="2E74B5"/>
      <w:kern w:val="0"/>
      <w:lang w:val="en-US"/>
    </w:rPr>
  </w:style>
  <w:style w:type="paragraph" w:customStyle="1" w:styleId="Yo13YouthIndicator">
    <w:name w:val="_Yo_13_Youth_Indicator"/>
    <w:qFormat/>
    <w:pPr>
      <w:spacing w:line="300" w:lineRule="auto"/>
      <w:ind w:left="113" w:right="113"/>
    </w:pPr>
    <w:rPr>
      <w:b/>
      <w:color w:val="FFFFFF"/>
      <w:sz w:val="16"/>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pPr>
      <w:keepNext/>
      <w:tabs>
        <w:tab w:val="num" w:pos="850"/>
      </w:tabs>
      <w:spacing w:before="120" w:after="120" w:line="240" w:lineRule="auto"/>
      <w:ind w:left="850" w:hanging="850"/>
      <w:jc w:val="both"/>
      <w:outlineLvl w:val="3"/>
    </w:pPr>
    <w:rPr>
      <w:rFonts w:ascii="Times New Roman" w:eastAsia="Times New Roman" w:hAnsi="Times New Roman"/>
      <w:bCs/>
      <w:sz w:val="24"/>
      <w:szCs w:val="28"/>
      <w:lang w:eastAsia="x-none"/>
    </w:rPr>
  </w:style>
  <w:style w:type="paragraph" w:styleId="Heading5">
    <w:name w:val="heading 5"/>
    <w:basedOn w:val="Normal"/>
    <w:next w:val="Normal"/>
    <w:link w:val="Heading5Char"/>
    <w:qFormat/>
    <w:pPr>
      <w:keepNext/>
      <w:spacing w:before="160" w:after="60" w:line="240" w:lineRule="auto"/>
      <w:jc w:val="both"/>
      <w:outlineLvl w:val="4"/>
    </w:pPr>
    <w:rPr>
      <w:rFonts w:ascii="Arial Narrow" w:hAnsi="Arial Narrow"/>
      <w:bCs/>
      <w:spacing w:val="8"/>
      <w:sz w:val="20"/>
      <w:szCs w:val="20"/>
      <w:u w:val="single"/>
      <w:lang w:val="en-IE" w:eastAsia="x-none"/>
    </w:rPr>
  </w:style>
  <w:style w:type="paragraph" w:styleId="Heading6">
    <w:name w:val="heading 6"/>
    <w:basedOn w:val="Normal"/>
    <w:next w:val="Normal"/>
    <w:link w:val="Heading6Char"/>
    <w:qFormat/>
    <w:pPr>
      <w:keepNext/>
      <w:spacing w:before="40" w:after="0" w:line="240" w:lineRule="auto"/>
      <w:ind w:left="57"/>
      <w:jc w:val="both"/>
      <w:outlineLvl w:val="5"/>
    </w:pPr>
    <w:rPr>
      <w:rFonts w:ascii="Myriad Pro SemiExt" w:hAnsi="Myriad Pro SemiExt"/>
      <w:b/>
      <w:bCs/>
      <w:sz w:val="16"/>
      <w:szCs w:val="20"/>
      <w:lang w:val="fr-FR" w:eastAsia="x-none"/>
    </w:rPr>
  </w:style>
  <w:style w:type="paragraph" w:styleId="Heading7">
    <w:name w:val="heading 7"/>
    <w:basedOn w:val="Normal"/>
    <w:next w:val="Normal"/>
    <w:link w:val="Heading7Char"/>
    <w:qFormat/>
    <w:pPr>
      <w:keepNext/>
      <w:spacing w:before="40" w:after="0" w:line="240" w:lineRule="auto"/>
      <w:ind w:left="57"/>
      <w:jc w:val="both"/>
      <w:outlineLvl w:val="6"/>
    </w:pPr>
    <w:rPr>
      <w:rFonts w:ascii="Myriad Pro Light" w:hAnsi="Myriad Pro Light"/>
      <w:b/>
      <w:bCs/>
      <w:sz w:val="16"/>
      <w:szCs w:val="20"/>
      <w:lang w:val="x-none" w:eastAsia="x-none"/>
    </w:rPr>
  </w:style>
  <w:style w:type="paragraph" w:styleId="Heading8">
    <w:name w:val="heading 8"/>
    <w:basedOn w:val="Normal"/>
    <w:next w:val="Normal"/>
    <w:link w:val="Heading8Char"/>
    <w:qFormat/>
    <w:pPr>
      <w:numPr>
        <w:numId w:val="16"/>
      </w:numPr>
      <w:spacing w:before="100" w:after="110" w:line="240" w:lineRule="auto"/>
      <w:jc w:val="both"/>
      <w:outlineLvl w:val="7"/>
    </w:pPr>
    <w:rPr>
      <w:rFonts w:ascii="Helvetica" w:hAnsi="Helvetica"/>
      <w:i/>
      <w:sz w:val="21"/>
      <w:szCs w:val="20"/>
      <w:lang w:val="fr-FR" w:eastAsia="x-none"/>
    </w:rPr>
  </w:style>
  <w:style w:type="paragraph" w:styleId="Heading9">
    <w:name w:val="heading 9"/>
    <w:basedOn w:val="Normal"/>
    <w:next w:val="Normal"/>
    <w:link w:val="Heading9Char"/>
    <w:qFormat/>
    <w:pPr>
      <w:spacing w:before="240" w:after="60" w:line="240" w:lineRule="auto"/>
      <w:jc w:val="both"/>
      <w:outlineLvl w:val="8"/>
    </w:pPr>
    <w:rPr>
      <w:rFonts w:ascii="Myriad Pro Light" w:hAnsi="Myriad Pro Light"/>
      <w:b/>
      <w:bCs/>
      <w:i/>
      <w:iCs/>
      <w:sz w:val="26"/>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36"/>
        <w:tab w:val="right" w:pos="9072"/>
      </w:tabs>
    </w:pPr>
    <w:rPr>
      <w:sz w:val="20"/>
      <w:szCs w:val="20"/>
      <w:lang w:val="x-none" w:eastAsia="x-none"/>
    </w:rPr>
  </w:style>
  <w:style w:type="character" w:customStyle="1" w:styleId="FooterChar">
    <w:name w:val="Footer Char"/>
    <w:link w:val="Footer"/>
    <w:uiPriority w:val="99"/>
    <w:rPr>
      <w:rFonts w:ascii="Calibri" w:eastAsia="Calibri" w:hAnsi="Calibri" w:cs="Times New Roman"/>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lang w:val="x-none" w:eastAsia="x-none"/>
    </w:rPr>
  </w:style>
  <w:style w:type="character" w:customStyle="1" w:styleId="CommentTextChar">
    <w:name w:val="Comment Text Char"/>
    <w:link w:val="CommentText"/>
    <w:uiPriority w:val="99"/>
    <w:rPr>
      <w:rFonts w:ascii="Calibri" w:eastAsia="Calibri" w:hAnsi="Calibri"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Pr>
      <w:rFonts w:ascii="Tahoma" w:eastAsia="Calibri" w:hAnsi="Tahoma" w:cs="Tahoma"/>
      <w:sz w:val="16"/>
      <w:szCs w:val="16"/>
    </w:rPr>
  </w:style>
  <w:style w:type="paragraph" w:styleId="CommentSubject">
    <w:name w:val="annotation subject"/>
    <w:basedOn w:val="CommentText"/>
    <w:next w:val="CommentText"/>
    <w:link w:val="CommentSubjectChar"/>
    <w:uiPriority w:val="99"/>
    <w:semiHidden/>
    <w:unhideWhenUsed/>
    <w:pPr>
      <w:spacing w:line="240" w:lineRule="auto"/>
    </w:pPr>
    <w:rPr>
      <w:b/>
      <w:bCs/>
    </w:rPr>
  </w:style>
  <w:style w:type="character" w:customStyle="1" w:styleId="CommentSubjectChar">
    <w:name w:val="Comment Subject Char"/>
    <w:link w:val="CommentSubject"/>
    <w:uiPriority w:val="99"/>
    <w:semiHidden/>
    <w:rPr>
      <w:rFonts w:ascii="Calibri" w:eastAsia="Calibri" w:hAnsi="Calibri" w:cs="Times New Roman"/>
      <w:b/>
      <w:bCs/>
      <w:sz w:val="20"/>
      <w:szCs w:val="20"/>
    </w:rPr>
  </w:style>
  <w:style w:type="paragraph" w:customStyle="1" w:styleId="p90H2">
    <w:name w:val="_p9_0_H2"/>
    <w:pPr>
      <w:spacing w:before="360" w:after="160"/>
      <w:ind w:left="426" w:hanging="426"/>
    </w:pPr>
    <w:rPr>
      <w:rFonts w:ascii="Arial" w:hAnsi="Arial" w:cs="Arial"/>
      <w:b/>
      <w:bCs/>
      <w:color w:val="C00000"/>
      <w:sz w:val="24"/>
      <w:szCs w:val="24"/>
      <w:lang w:eastAsia="en-US"/>
    </w:rPr>
  </w:style>
  <w:style w:type="paragraph" w:customStyle="1" w:styleId="p92TitleFigure">
    <w:name w:val="_p9_2_Title_Figure"/>
    <w:pPr>
      <w:keepNext/>
      <w:spacing w:before="200" w:after="100" w:line="276" w:lineRule="auto"/>
      <w:ind w:left="142"/>
    </w:pPr>
    <w:rPr>
      <w:rFonts w:ascii="Arial Narrow" w:eastAsia="Cambria" w:hAnsi="Arial Narrow" w:cs="Arial"/>
      <w:b/>
      <w:bCs/>
      <w:noProof/>
      <w:color w:val="C00000"/>
      <w:lang w:eastAsia="en-US"/>
    </w:rPr>
  </w:style>
  <w:style w:type="paragraph" w:customStyle="1" w:styleId="Yo0DocTitle">
    <w:name w:val="_Yo_0_Doc_Title"/>
    <w:qFormat/>
    <w:pPr>
      <w:ind w:left="2694"/>
    </w:pPr>
    <w:rPr>
      <w:rFonts w:ascii="Verdana" w:eastAsia="Times New Roman" w:hAnsi="Verdana" w:cs="Arial"/>
      <w:b/>
      <w:bCs/>
      <w:color w:val="1F497D"/>
      <w:sz w:val="48"/>
      <w:szCs w:val="48"/>
      <w:lang w:val="nl-NL" w:eastAsia="en-US"/>
    </w:rPr>
  </w:style>
  <w:style w:type="paragraph" w:customStyle="1" w:styleId="Yo0DocSubtitle">
    <w:name w:val="_Yo_0_Doc_Subtitle"/>
    <w:basedOn w:val="Yo0DocTitle"/>
    <w:qFormat/>
    <w:pPr>
      <w:spacing w:before="240"/>
    </w:pPr>
    <w:rPr>
      <w:b w:val="0"/>
      <w:sz w:val="36"/>
      <w:szCs w:val="36"/>
    </w:rPr>
  </w:style>
  <w:style w:type="paragraph" w:customStyle="1" w:styleId="Yo0H1">
    <w:name w:val="_Yo_0_H1"/>
    <w:basedOn w:val="Heading1"/>
    <w:link w:val="Yo0H1Char"/>
    <w:pPr>
      <w:spacing w:after="300" w:line="300" w:lineRule="auto"/>
      <w:jc w:val="both"/>
    </w:pPr>
    <w:rPr>
      <w:rFonts w:ascii="Verdana" w:eastAsia="Calibri" w:hAnsi="Verdana" w:cs="MyriadPro-Bold"/>
      <w:bCs w:val="0"/>
      <w:color w:val="DB1E48"/>
      <w:kern w:val="0"/>
      <w:sz w:val="44"/>
      <w:szCs w:val="44"/>
      <w:lang w:val="en-US" w:eastAsia="fr-BE"/>
    </w:rPr>
  </w:style>
  <w:style w:type="character" w:customStyle="1" w:styleId="Heading1Char">
    <w:name w:val="Heading 1 Char"/>
    <w:link w:val="Heading1"/>
    <w:rPr>
      <w:rFonts w:ascii="Cambria" w:eastAsia="Times New Roman" w:hAnsi="Cambria" w:cs="Times New Roman"/>
      <w:b/>
      <w:bCs/>
      <w:kern w:val="32"/>
      <w:sz w:val="32"/>
      <w:szCs w:val="32"/>
      <w:lang w:val="en-GB" w:eastAsia="en-US"/>
    </w:rPr>
  </w:style>
  <w:style w:type="paragraph" w:customStyle="1" w:styleId="Yo0H2">
    <w:name w:val="_Yo_0_H2"/>
    <w:basedOn w:val="Heading2"/>
    <w:pPr>
      <w:spacing w:before="360" w:after="160" w:line="240" w:lineRule="auto"/>
      <w:jc w:val="both"/>
    </w:pPr>
    <w:rPr>
      <w:rFonts w:ascii="Arial Narrow" w:eastAsia="Calibri" w:hAnsi="Arial Narrow" w:cs="Arial"/>
      <w:b w:val="0"/>
      <w:i w:val="0"/>
      <w:iCs w:val="0"/>
      <w:caps/>
      <w:color w:val="DA1E48"/>
      <w:spacing w:val="10"/>
      <w:lang w:val="en-US"/>
    </w:rPr>
  </w:style>
  <w:style w:type="character" w:customStyle="1" w:styleId="Heading2Char">
    <w:name w:val="Heading 2 Char"/>
    <w:link w:val="Heading2"/>
    <w:rPr>
      <w:rFonts w:ascii="Cambria" w:eastAsia="Times New Roman" w:hAnsi="Cambria" w:cs="Times New Roman"/>
      <w:b/>
      <w:bCs/>
      <w:i/>
      <w:iCs/>
      <w:sz w:val="28"/>
      <w:szCs w:val="28"/>
      <w:lang w:val="en-GB" w:eastAsia="en-US"/>
    </w:rPr>
  </w:style>
  <w:style w:type="paragraph" w:customStyle="1" w:styleId="Yo0H3">
    <w:name w:val="_Yo_0_H3"/>
    <w:basedOn w:val="Heading3"/>
    <w:pPr>
      <w:spacing w:before="270" w:after="160" w:line="240" w:lineRule="auto"/>
      <w:jc w:val="both"/>
    </w:pPr>
    <w:rPr>
      <w:rFonts w:ascii="Calibri" w:eastAsia="Calibri" w:hAnsi="Calibri" w:cs="Calibri"/>
      <w:iCs/>
      <w:color w:val="C00000"/>
      <w:lang w:eastAsia="fr-BE"/>
    </w:rPr>
  </w:style>
  <w:style w:type="character" w:customStyle="1" w:styleId="Heading3Char">
    <w:name w:val="Heading 3 Char"/>
    <w:link w:val="Heading3"/>
    <w:rPr>
      <w:rFonts w:ascii="Cambria" w:eastAsia="Times New Roman" w:hAnsi="Cambria" w:cs="Times New Roman"/>
      <w:b/>
      <w:bCs/>
      <w:sz w:val="26"/>
      <w:szCs w:val="26"/>
      <w:lang w:val="en-GB" w:eastAsia="en-US"/>
    </w:rPr>
  </w:style>
  <w:style w:type="paragraph" w:customStyle="1" w:styleId="Yo0H4">
    <w:name w:val="_Yo_0_H4"/>
    <w:pPr>
      <w:suppressAutoHyphens/>
      <w:spacing w:before="240"/>
      <w:ind w:left="1418" w:hanging="1418"/>
      <w:outlineLvl w:val="4"/>
    </w:pPr>
    <w:rPr>
      <w:rFonts w:ascii="Arial Narrow" w:hAnsi="Arial Narrow" w:cs="Arial"/>
      <w:b/>
      <w:bCs/>
      <w:color w:val="C00000"/>
      <w:spacing w:val="30"/>
      <w:sz w:val="22"/>
      <w:szCs w:val="22"/>
      <w:lang w:eastAsia="en-US"/>
    </w:rPr>
  </w:style>
  <w:style w:type="paragraph" w:customStyle="1" w:styleId="Yo0H5">
    <w:name w:val="_Yo_0_H5"/>
    <w:pPr>
      <w:suppressAutoHyphens/>
      <w:spacing w:before="240" w:after="60"/>
      <w:ind w:left="1418" w:hanging="1418"/>
      <w:outlineLvl w:val="5"/>
    </w:pPr>
    <w:rPr>
      <w:rFonts w:ascii="Arial" w:eastAsia="Times New Roman" w:hAnsi="Arial" w:cs="Arial"/>
      <w:bCs/>
      <w:color w:val="C00000"/>
      <w:sz w:val="22"/>
      <w:u w:val="single"/>
      <w:lang w:eastAsia="en-US"/>
    </w:rPr>
  </w:style>
  <w:style w:type="paragraph" w:customStyle="1" w:styleId="Yo0H6">
    <w:name w:val="_Yo_0_H6"/>
    <w:pPr>
      <w:suppressAutoHyphens/>
      <w:spacing w:before="240" w:after="60"/>
      <w:ind w:left="1418" w:hanging="1418"/>
      <w:jc w:val="both"/>
      <w:outlineLvl w:val="6"/>
    </w:pPr>
    <w:rPr>
      <w:rFonts w:ascii="Arial Narrow" w:eastAsia="Times New Roman" w:hAnsi="Arial Narrow" w:cs="Arial"/>
      <w:bCs/>
      <w:i/>
      <w:color w:val="C00000"/>
      <w:spacing w:val="20"/>
      <w:lang w:eastAsia="en-US"/>
    </w:rPr>
  </w:style>
  <w:style w:type="paragraph" w:customStyle="1" w:styleId="Yo0H7">
    <w:name w:val="_Yo_0_H7"/>
    <w:pPr>
      <w:suppressAutoHyphens/>
      <w:spacing w:before="240" w:after="60"/>
      <w:ind w:left="1985" w:hanging="1985"/>
      <w:jc w:val="both"/>
      <w:outlineLvl w:val="6"/>
    </w:pPr>
    <w:rPr>
      <w:rFonts w:ascii="Arial Narrow" w:eastAsia="Times New Roman" w:hAnsi="Arial Narrow" w:cs="Arial"/>
      <w:color w:val="002060"/>
      <w:spacing w:val="20"/>
      <w:u w:val="single"/>
      <w:lang w:val="en-US" w:eastAsia="en-US"/>
    </w:rPr>
  </w:style>
  <w:style w:type="paragraph" w:customStyle="1" w:styleId="Yo0H8">
    <w:name w:val="_Yo_0_H8"/>
    <w:pPr>
      <w:suppressAutoHyphens/>
      <w:spacing w:before="240" w:after="60"/>
      <w:ind w:left="1985" w:hanging="1985"/>
      <w:jc w:val="both"/>
      <w:outlineLvl w:val="6"/>
    </w:pPr>
    <w:rPr>
      <w:rFonts w:ascii="Arial Narrow" w:eastAsia="Times New Roman" w:hAnsi="Arial Narrow" w:cs="Arial"/>
      <w:b/>
      <w:bCs/>
      <w:color w:val="0070C0"/>
      <w:spacing w:val="40"/>
      <w:w w:val="80"/>
      <w:lang w:val="en-US" w:eastAsia="en-US"/>
    </w:rPr>
  </w:style>
  <w:style w:type="paragraph" w:customStyle="1" w:styleId="Yo0H9">
    <w:name w:val="_Yo_0_H9"/>
    <w:pPr>
      <w:suppressAutoHyphens/>
      <w:spacing w:before="240" w:after="60"/>
      <w:ind w:left="1985" w:hanging="1985"/>
      <w:jc w:val="both"/>
      <w:outlineLvl w:val="6"/>
    </w:pPr>
    <w:rPr>
      <w:rFonts w:ascii="Arial Narrow" w:eastAsia="Times New Roman" w:hAnsi="Arial Narrow" w:cs="Arial"/>
      <w:i/>
      <w:iCs/>
      <w:color w:val="C00000"/>
      <w:spacing w:val="20"/>
      <w:lang w:eastAsia="en-US"/>
    </w:rPr>
  </w:style>
  <w:style w:type="paragraph" w:customStyle="1" w:styleId="Yo0Paratitle1">
    <w:name w:val="_Yo_0_Para_title_1"/>
    <w:basedOn w:val="Yo0DocTitle"/>
    <w:pPr>
      <w:spacing w:before="270" w:after="160"/>
      <w:ind w:left="0"/>
      <w:jc w:val="both"/>
    </w:pPr>
    <w:rPr>
      <w:rFonts w:ascii="Arial Narrow" w:hAnsi="Arial Narrow"/>
      <w:sz w:val="24"/>
      <w:szCs w:val="24"/>
    </w:rPr>
  </w:style>
  <w:style w:type="paragraph" w:customStyle="1" w:styleId="Yo0Paratitle2">
    <w:name w:val="_Yo_0_Para_title_2"/>
    <w:pPr>
      <w:keepNext/>
      <w:tabs>
        <w:tab w:val="left" w:pos="993"/>
      </w:tabs>
      <w:suppressAutoHyphens/>
      <w:spacing w:before="120" w:after="120" w:line="300" w:lineRule="auto"/>
      <w:jc w:val="both"/>
    </w:pPr>
    <w:rPr>
      <w:rFonts w:ascii="Verdana" w:hAnsi="Verdana" w:cs="Arial"/>
      <w:b/>
      <w:noProof/>
      <w:sz w:val="18"/>
      <w:szCs w:val="18"/>
      <w:lang w:val="nl-NL" w:eastAsia="nl-NL"/>
    </w:rPr>
  </w:style>
  <w:style w:type="paragraph" w:customStyle="1" w:styleId="Yo0Paratitle3">
    <w:name w:val="_Yo_0_Para_title_3"/>
    <w:pPr>
      <w:spacing w:before="120" w:after="120" w:line="276" w:lineRule="auto"/>
    </w:pPr>
    <w:rPr>
      <w:rFonts w:ascii="Arial Narrow" w:eastAsia="Times New Roman" w:hAnsi="Arial Narrow" w:cs="Arial"/>
      <w:b/>
      <w:i/>
      <w:color w:val="1F497D"/>
      <w:spacing w:val="20"/>
      <w:lang w:eastAsia="en-US"/>
    </w:rPr>
  </w:style>
  <w:style w:type="paragraph" w:customStyle="1" w:styleId="Yo0Paratitle4">
    <w:name w:val="_Yo_0_Para_title_4"/>
    <w:pPr>
      <w:spacing w:before="240" w:after="120"/>
      <w:outlineLvl w:val="0"/>
    </w:pPr>
    <w:rPr>
      <w:rFonts w:ascii="Arial Narrow" w:eastAsia="Times New Roman" w:hAnsi="Arial Narrow" w:cs="Arial"/>
      <w:bCs/>
      <w:color w:val="1F497D"/>
      <w:spacing w:val="20"/>
      <w:w w:val="80"/>
      <w:u w:val="single"/>
      <w:lang w:val="nl-NL" w:eastAsia="en-US"/>
    </w:rPr>
  </w:style>
  <w:style w:type="paragraph" w:customStyle="1" w:styleId="Yo1Textpara">
    <w:name w:val="_Yo_1_Text_para"/>
    <w:pPr>
      <w:tabs>
        <w:tab w:val="left" w:pos="4253"/>
      </w:tabs>
      <w:spacing w:before="160" w:line="300" w:lineRule="auto"/>
      <w:jc w:val="both"/>
    </w:pPr>
    <w:rPr>
      <w:rFonts w:ascii="Times New Roman" w:hAnsi="Times New Roman"/>
      <w:sz w:val="22"/>
      <w:lang w:eastAsia="fr-BE"/>
    </w:rPr>
  </w:style>
  <w:style w:type="paragraph" w:customStyle="1" w:styleId="Yo1Text">
    <w:name w:val="_Yo_1_Text"/>
    <w:basedOn w:val="Yo1Textpara"/>
    <w:qFormat/>
    <w:pPr>
      <w:spacing w:before="0"/>
    </w:pPr>
  </w:style>
  <w:style w:type="paragraph" w:customStyle="1" w:styleId="Yo11Textbulletlvl1">
    <w:name w:val="_Yo_11_Text_bullet_lvl_1"/>
    <w:basedOn w:val="Yo1Textpara"/>
    <w:pPr>
      <w:numPr>
        <w:numId w:val="1"/>
      </w:numPr>
      <w:tabs>
        <w:tab w:val="clear" w:pos="4253"/>
        <w:tab w:val="left" w:pos="426"/>
      </w:tabs>
      <w:spacing w:before="120"/>
    </w:pPr>
    <w:rPr>
      <w:lang w:val="en-US"/>
    </w:rPr>
  </w:style>
  <w:style w:type="paragraph" w:customStyle="1" w:styleId="Yo11Textbulletlvl2">
    <w:name w:val="_Yo_11_Text_bullet_lvl_2"/>
    <w:basedOn w:val="Yo1Textpara"/>
    <w:pPr>
      <w:numPr>
        <w:numId w:val="2"/>
      </w:numPr>
      <w:tabs>
        <w:tab w:val="clear" w:pos="4253"/>
        <w:tab w:val="left" w:pos="709"/>
      </w:tabs>
      <w:spacing w:before="100" w:line="264" w:lineRule="auto"/>
    </w:pPr>
    <w:rPr>
      <w:lang w:val="en-US"/>
    </w:rPr>
  </w:style>
  <w:style w:type="paragraph" w:customStyle="1" w:styleId="Yo11Textbulletlvl3">
    <w:name w:val="_Yo_11_Text_bullet_lvl_3"/>
    <w:basedOn w:val="Yo1Textpara"/>
    <w:pPr>
      <w:numPr>
        <w:numId w:val="3"/>
      </w:numPr>
      <w:tabs>
        <w:tab w:val="clear" w:pos="4253"/>
        <w:tab w:val="left" w:pos="981"/>
      </w:tabs>
      <w:spacing w:before="100" w:after="20"/>
    </w:pPr>
    <w:rPr>
      <w:rFonts w:ascii="Arial Narrow" w:hAnsi="Arial Narrow"/>
    </w:rPr>
  </w:style>
  <w:style w:type="paragraph" w:customStyle="1" w:styleId="Yo11TextNum1">
    <w:name w:val="_Yo_11_Text_Num_1"/>
    <w:basedOn w:val="Yo1Textpara"/>
    <w:next w:val="Normal"/>
    <w:pPr>
      <w:numPr>
        <w:numId w:val="4"/>
      </w:numPr>
      <w:tabs>
        <w:tab w:val="clear" w:pos="4253"/>
        <w:tab w:val="left" w:pos="426"/>
      </w:tabs>
      <w:spacing w:after="120"/>
    </w:pPr>
    <w:rPr>
      <w:rFonts w:eastAsia="Times New Roman"/>
      <w:color w:val="1F497D"/>
      <w:lang w:val="fr-FR"/>
    </w:rPr>
  </w:style>
  <w:style w:type="paragraph" w:customStyle="1" w:styleId="Yo11TextNum2">
    <w:name w:val="_Yo_11_Text_Num_2"/>
    <w:basedOn w:val="Yo1Textpara"/>
    <w:next w:val="Normal"/>
    <w:pPr>
      <w:numPr>
        <w:numId w:val="5"/>
      </w:numPr>
      <w:tabs>
        <w:tab w:val="clear" w:pos="4253"/>
        <w:tab w:val="left" w:pos="709"/>
      </w:tabs>
      <w:spacing w:before="120" w:after="120"/>
    </w:pPr>
    <w:rPr>
      <w:rFonts w:eastAsia="Times New Roman"/>
      <w:color w:val="1F497D"/>
      <w:lang w:val="fr-FR"/>
    </w:rPr>
  </w:style>
  <w:style w:type="paragraph" w:customStyle="1" w:styleId="Yo11TextNum3">
    <w:name w:val="_Yo_11_Text_Num_3"/>
    <w:basedOn w:val="Yo1Textpara"/>
    <w:next w:val="Normal"/>
    <w:pPr>
      <w:numPr>
        <w:numId w:val="6"/>
      </w:numPr>
      <w:tabs>
        <w:tab w:val="clear" w:pos="4253"/>
        <w:tab w:val="left" w:pos="993"/>
      </w:tabs>
      <w:spacing w:before="120" w:after="120"/>
    </w:pPr>
    <w:rPr>
      <w:rFonts w:eastAsia="Times New Roman"/>
      <w:color w:val="1F497D"/>
      <w:lang w:val="fr-FR"/>
    </w:rPr>
  </w:style>
  <w:style w:type="paragraph" w:customStyle="1" w:styleId="Yo12Encart">
    <w:name w:val="_Yo_12_Encart"/>
    <w:qFormat/>
    <w:pPr>
      <w:framePr w:hSpace="180" w:wrap="around" w:vAnchor="text" w:hAnchor="margin" w:xAlign="right" w:y="675"/>
      <w:spacing w:before="60" w:after="60"/>
      <w:ind w:left="142" w:right="108"/>
      <w:suppressOverlap/>
      <w:jc w:val="both"/>
    </w:pPr>
    <w:rPr>
      <w:rFonts w:ascii="Arial Narrow" w:hAnsi="Arial Narrow"/>
      <w:sz w:val="18"/>
      <w:szCs w:val="24"/>
      <w:lang w:eastAsia="en-US"/>
    </w:rPr>
  </w:style>
  <w:style w:type="paragraph" w:customStyle="1" w:styleId="Yo12Example">
    <w:name w:val="_Yo_12_Example"/>
    <w:pPr>
      <w:spacing w:before="120" w:line="300" w:lineRule="auto"/>
      <w:ind w:left="369"/>
      <w:jc w:val="both"/>
    </w:pPr>
    <w:rPr>
      <w:rFonts w:ascii="Arial Narrow" w:hAnsi="Arial Narrow"/>
      <w:color w:val="1F497D"/>
      <w:sz w:val="18"/>
      <w:szCs w:val="24"/>
      <w:lang w:eastAsia="en-US"/>
    </w:rPr>
  </w:style>
  <w:style w:type="paragraph" w:customStyle="1" w:styleId="Yo12TextParaForeword">
    <w:name w:val="_Yo_12_Text_Para_Foreword"/>
    <w:qFormat/>
    <w:pPr>
      <w:spacing w:before="240" w:line="360" w:lineRule="auto"/>
      <w:jc w:val="both"/>
    </w:pPr>
    <w:rPr>
      <w:rFonts w:ascii="Arial" w:eastAsia="Times New Roman" w:hAnsi="Arial" w:cs="Arial"/>
      <w:color w:val="1F497D"/>
      <w:lang w:eastAsia="en-US"/>
    </w:rPr>
  </w:style>
  <w:style w:type="paragraph" w:customStyle="1" w:styleId="Yo4centeredHeader">
    <w:name w:val="_Yo_4_centered_Header"/>
    <w:qFormat/>
    <w:pPr>
      <w:pBdr>
        <w:bottom w:val="single" w:sz="4" w:space="5" w:color="C00000"/>
      </w:pBdr>
      <w:jc w:val="center"/>
    </w:pPr>
    <w:rPr>
      <w:rFonts w:ascii="Arial Narrow" w:hAnsi="Arial Narrow" w:cs="Arial"/>
      <w:color w:val="000000"/>
      <w:spacing w:val="20"/>
      <w:sz w:val="18"/>
      <w:lang w:val="en-US" w:eastAsia="en-US"/>
    </w:rPr>
  </w:style>
  <w:style w:type="paragraph" w:customStyle="1" w:styleId="Yo4FootnoteSeparator">
    <w:name w:val="_Yo_4_Footnote_Separator"/>
    <w:qFormat/>
    <w:rPr>
      <w:color w:val="DA1E48"/>
      <w:sz w:val="22"/>
      <w:szCs w:val="22"/>
      <w:lang w:val="fr-BE" w:eastAsia="en-US"/>
    </w:rPr>
  </w:style>
  <w:style w:type="paragraph" w:customStyle="1" w:styleId="Yo4Headereven">
    <w:name w:val="_Yo_4_Header_even"/>
    <w:pPr>
      <w:spacing w:after="60"/>
    </w:pPr>
    <w:rPr>
      <w:rFonts w:ascii="Arial Narrow" w:hAnsi="Arial Narrow" w:cs="Arial"/>
      <w:color w:val="DA1E48"/>
      <w:spacing w:val="20"/>
      <w:sz w:val="22"/>
      <w:lang w:eastAsia="en-US"/>
    </w:rPr>
  </w:style>
  <w:style w:type="paragraph" w:customStyle="1" w:styleId="Yo4Headerodd">
    <w:name w:val="_Yo_4_Header_odd"/>
    <w:basedOn w:val="Yo4Headereven"/>
    <w:pPr>
      <w:jc w:val="right"/>
    </w:pPr>
    <w:rPr>
      <w:lang w:val="en-US"/>
    </w:rPr>
  </w:style>
  <w:style w:type="paragraph" w:customStyle="1" w:styleId="Yo5TextbaseTable">
    <w:name w:val="_Yo_5_Text_base_Table"/>
    <w:qFormat/>
    <w:pPr>
      <w:tabs>
        <w:tab w:val="left" w:pos="1985"/>
      </w:tabs>
    </w:pPr>
    <w:rPr>
      <w:rFonts w:ascii="Arial" w:eastAsia="Times New Roman" w:hAnsi="Arial" w:cs="Arial"/>
      <w:snapToGrid w:val="0"/>
      <w:sz w:val="16"/>
      <w:szCs w:val="16"/>
      <w:lang w:val="en-US" w:eastAsia="en-US"/>
    </w:rPr>
  </w:style>
  <w:style w:type="paragraph" w:customStyle="1" w:styleId="Yo5TextNotes">
    <w:name w:val="_Yo_5_Text_Notes"/>
    <w:pPr>
      <w:widowControl w:val="0"/>
      <w:tabs>
        <w:tab w:val="left" w:pos="1985"/>
      </w:tabs>
      <w:jc w:val="both"/>
    </w:pPr>
    <w:rPr>
      <w:rFonts w:ascii="Verdana" w:eastAsia="Times New Roman" w:hAnsi="Verdana" w:cs="Arial"/>
      <w:snapToGrid w:val="0"/>
      <w:sz w:val="14"/>
      <w:szCs w:val="16"/>
      <w:lang w:val="fr-FR" w:eastAsia="en-US"/>
    </w:rPr>
  </w:style>
  <w:style w:type="paragraph" w:customStyle="1" w:styleId="Yo5TextNotesafter">
    <w:name w:val="_Yo_5_Text_Notes_after"/>
    <w:basedOn w:val="Yo5TextNotes"/>
    <w:pPr>
      <w:tabs>
        <w:tab w:val="left" w:pos="5103"/>
      </w:tabs>
      <w:spacing w:after="60"/>
    </w:pPr>
    <w:rPr>
      <w:lang w:val="en-US"/>
    </w:rPr>
  </w:style>
  <w:style w:type="paragraph" w:customStyle="1" w:styleId="Yo5TextNotesbefore">
    <w:name w:val="_Yo_5_Text_Notes_before"/>
    <w:basedOn w:val="Yo5TextNotesafter"/>
    <w:pPr>
      <w:spacing w:before="120" w:after="0"/>
    </w:pPr>
  </w:style>
  <w:style w:type="paragraph" w:customStyle="1" w:styleId="Yo5TextNotesbeforeafter">
    <w:name w:val="_Yo_5_Text_Notes_before_after"/>
    <w:basedOn w:val="Yo5TextNotes"/>
    <w:pPr>
      <w:spacing w:before="60" w:after="60"/>
    </w:pPr>
  </w:style>
  <w:style w:type="paragraph" w:customStyle="1" w:styleId="Yo5TitleFigure">
    <w:name w:val="_Yo_5_Title_Figure"/>
    <w:pPr>
      <w:keepNext/>
      <w:spacing w:before="200" w:after="60" w:line="276" w:lineRule="auto"/>
    </w:pPr>
    <w:rPr>
      <w:rFonts w:ascii="Verdana" w:eastAsia="Cambria" w:hAnsi="Verdana" w:cs="Calibri"/>
      <w:bCs/>
      <w:noProof/>
      <w:color w:val="7F7F7F"/>
      <w:w w:val="80"/>
      <w:sz w:val="22"/>
      <w:szCs w:val="22"/>
      <w:lang w:eastAsia="en-US"/>
    </w:rPr>
  </w:style>
  <w:style w:type="paragraph" w:customStyle="1" w:styleId="Yo5TitleFigureend">
    <w:name w:val="_Yo_5_Title_Figure_end"/>
    <w:basedOn w:val="Yo5TitleFigure"/>
    <w:qFormat/>
    <w:pPr>
      <w:pBdr>
        <w:bottom w:val="single" w:sz="8" w:space="1" w:color="C00000"/>
        <w:right w:val="single" w:sz="8" w:space="4" w:color="C00000"/>
      </w:pBdr>
      <w:spacing w:before="0"/>
    </w:pPr>
  </w:style>
  <w:style w:type="paragraph" w:customStyle="1" w:styleId="Yo5TitleNotes">
    <w:name w:val="_Yo_5_Title_Notes"/>
    <w:pPr>
      <w:keepNext/>
      <w:spacing w:before="100" w:after="60"/>
    </w:pPr>
    <w:rPr>
      <w:rFonts w:ascii="Arial" w:eastAsia="Times New Roman" w:hAnsi="Arial" w:cs="Arial"/>
      <w:b/>
      <w:bCs/>
      <w:color w:val="C00000"/>
      <w:sz w:val="18"/>
      <w:u w:val="single"/>
      <w:lang w:val="fr-FR" w:eastAsia="en-US"/>
    </w:rPr>
  </w:style>
  <w:style w:type="paragraph" w:customStyle="1" w:styleId="Yo5TitleNotesbefore">
    <w:name w:val="_Yo_5_Title_Notes_before"/>
    <w:basedOn w:val="Yo5TextNotes"/>
    <w:next w:val="Yo5TextNotes"/>
    <w:pPr>
      <w:widowControl/>
      <w:tabs>
        <w:tab w:val="clear" w:pos="1985"/>
      </w:tabs>
      <w:spacing w:before="60"/>
    </w:pPr>
    <w:rPr>
      <w:snapToGrid/>
      <w:sz w:val="17"/>
      <w:szCs w:val="17"/>
    </w:rPr>
  </w:style>
  <w:style w:type="paragraph" w:customStyle="1" w:styleId="Yo6TOFTextTab">
    <w:name w:val="_Yo_6_TOF_Text_Tab"/>
    <w:qFormat/>
    <w:rPr>
      <w:rFonts w:ascii="Arial Narrow" w:eastAsia="Times New Roman" w:hAnsi="Arial Narrow" w:cs="Arial"/>
      <w:sz w:val="17"/>
      <w:szCs w:val="17"/>
      <w:lang w:eastAsia="en-US"/>
    </w:rPr>
  </w:style>
  <w:style w:type="paragraph" w:customStyle="1" w:styleId="Yo6TOFnumero">
    <w:name w:val="_Yo_6_TOF_numero"/>
    <w:basedOn w:val="Yo6TOFTextTab"/>
    <w:qFormat/>
    <w:pPr>
      <w:jc w:val="center"/>
    </w:pPr>
    <w:rPr>
      <w:sz w:val="16"/>
      <w:szCs w:val="16"/>
    </w:rPr>
  </w:style>
  <w:style w:type="paragraph" w:customStyle="1" w:styleId="Yo7ackCountries">
    <w:name w:val="_Yo_7_ack_Countries"/>
    <w:pPr>
      <w:pBdr>
        <w:top w:val="single" w:sz="4" w:space="3" w:color="C00000"/>
        <w:bottom w:val="single" w:sz="4" w:space="3" w:color="C00000"/>
      </w:pBdr>
      <w:spacing w:before="100" w:after="60"/>
    </w:pPr>
    <w:rPr>
      <w:rFonts w:ascii="Arial Narrow" w:eastAsia="Times New Roman" w:hAnsi="Arial Narrow"/>
      <w:b/>
      <w:color w:val="C00000"/>
      <w:sz w:val="18"/>
      <w:szCs w:val="18"/>
      <w:lang w:val="fr-FR" w:eastAsia="en-US"/>
    </w:rPr>
  </w:style>
  <w:style w:type="paragraph" w:customStyle="1" w:styleId="Yo7ackCountriesaddresses">
    <w:name w:val="_Yo_7_ack_Countries_addresses"/>
    <w:rPr>
      <w:rFonts w:ascii="Arial" w:eastAsia="Times New Roman" w:hAnsi="Arial" w:cs="Arial"/>
      <w:sz w:val="16"/>
      <w:szCs w:val="16"/>
      <w:lang w:val="fr-FR" w:eastAsia="en-US"/>
    </w:rPr>
  </w:style>
  <w:style w:type="paragraph" w:customStyle="1" w:styleId="Yo7ackeurydice">
    <w:name w:val="_Yo_7_ack_eurydice"/>
    <w:qFormat/>
    <w:pPr>
      <w:spacing w:before="240" w:line="300" w:lineRule="auto"/>
      <w:jc w:val="center"/>
    </w:pPr>
    <w:rPr>
      <w:rFonts w:ascii="Arial" w:eastAsia="Times New Roman" w:hAnsi="Arial" w:cs="Arial"/>
      <w:b/>
      <w:bCs/>
      <w:color w:val="C00000"/>
      <w:sz w:val="32"/>
      <w:lang w:eastAsia="en-US"/>
    </w:rPr>
  </w:style>
  <w:style w:type="paragraph" w:customStyle="1" w:styleId="Yo7ackFunctions">
    <w:name w:val="_Yo_7_ack_Functions"/>
    <w:qFormat/>
    <w:pPr>
      <w:spacing w:before="320" w:after="60"/>
      <w:jc w:val="center"/>
    </w:pPr>
    <w:rPr>
      <w:rFonts w:ascii="Arial" w:eastAsia="Times New Roman" w:hAnsi="Arial" w:cs="Arial"/>
      <w:b/>
      <w:bCs/>
      <w:color w:val="C00000"/>
      <w:sz w:val="24"/>
      <w:szCs w:val="24"/>
      <w:lang w:eastAsia="en-US"/>
    </w:rPr>
  </w:style>
  <w:style w:type="paragraph" w:customStyle="1" w:styleId="Yo7ackSubTitle">
    <w:name w:val="_Yo_7_ack_SubTitle"/>
    <w:qFormat/>
    <w:pPr>
      <w:spacing w:before="200" w:after="120"/>
      <w:jc w:val="center"/>
    </w:pPr>
    <w:rPr>
      <w:rFonts w:ascii="Arial" w:eastAsia="Times New Roman" w:hAnsi="Arial" w:cs="Arial"/>
      <w:b/>
      <w:bCs/>
      <w:color w:val="C00000"/>
      <w:sz w:val="28"/>
      <w:szCs w:val="28"/>
      <w:lang w:val="fr-FR" w:eastAsia="en-US"/>
    </w:rPr>
  </w:style>
  <w:style w:type="paragraph" w:customStyle="1" w:styleId="Yo7ackTextParacentered">
    <w:name w:val="_Yo_7_ack_Text_Para_centered"/>
    <w:qFormat/>
    <w:pPr>
      <w:spacing w:before="240" w:line="300" w:lineRule="auto"/>
      <w:jc w:val="center"/>
    </w:pPr>
    <w:rPr>
      <w:rFonts w:ascii="Arial" w:eastAsia="Times New Roman" w:hAnsi="Arial" w:cs="Arial"/>
      <w:lang w:val="fr-FR"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pPr>
      <w:tabs>
        <w:tab w:val="center" w:pos="4536"/>
        <w:tab w:val="right" w:pos="9072"/>
      </w:tabs>
    </w:pPr>
  </w:style>
  <w:style w:type="character" w:customStyle="1" w:styleId="HeaderChar">
    <w:name w:val="Header Char"/>
    <w:link w:val="Header"/>
    <w:rPr>
      <w:sz w:val="22"/>
      <w:szCs w:val="22"/>
      <w:lang w:val="en-GB" w:eastAsia="en-US"/>
    </w:rPr>
  </w:style>
  <w:style w:type="character" w:customStyle="1" w:styleId="Heading4Char">
    <w:name w:val="Heading 4 Char"/>
    <w:link w:val="Heading4"/>
    <w:rPr>
      <w:rFonts w:ascii="Times New Roman" w:eastAsia="Times New Roman" w:hAnsi="Times New Roman"/>
      <w:bCs/>
      <w:sz w:val="24"/>
      <w:szCs w:val="28"/>
      <w:lang w:val="en-GB" w:eastAsia="x-none"/>
    </w:rPr>
  </w:style>
  <w:style w:type="character" w:customStyle="1" w:styleId="Heading5Char">
    <w:name w:val="Heading 5 Char"/>
    <w:link w:val="Heading5"/>
    <w:rPr>
      <w:rFonts w:ascii="Arial Narrow" w:hAnsi="Arial Narrow"/>
      <w:bCs/>
      <w:spacing w:val="8"/>
      <w:u w:val="single"/>
      <w:lang w:val="en-IE" w:eastAsia="x-none"/>
    </w:rPr>
  </w:style>
  <w:style w:type="character" w:customStyle="1" w:styleId="Heading6Char">
    <w:name w:val="Heading 6 Char"/>
    <w:link w:val="Heading6"/>
    <w:rPr>
      <w:rFonts w:ascii="Myriad Pro SemiExt" w:hAnsi="Myriad Pro SemiExt"/>
      <w:b/>
      <w:bCs/>
      <w:sz w:val="16"/>
      <w:lang w:val="fr-FR" w:eastAsia="x-none"/>
    </w:rPr>
  </w:style>
  <w:style w:type="character" w:customStyle="1" w:styleId="Heading7Char">
    <w:name w:val="Heading 7 Char"/>
    <w:link w:val="Heading7"/>
    <w:rPr>
      <w:rFonts w:ascii="Myriad Pro Light" w:hAnsi="Myriad Pro Light"/>
      <w:b/>
      <w:bCs/>
      <w:sz w:val="16"/>
      <w:lang w:val="x-none" w:eastAsia="x-none"/>
    </w:rPr>
  </w:style>
  <w:style w:type="character" w:customStyle="1" w:styleId="Heading8Char">
    <w:name w:val="Heading 8 Char"/>
    <w:link w:val="Heading8"/>
    <w:rPr>
      <w:rFonts w:ascii="Helvetica" w:hAnsi="Helvetica"/>
      <w:i/>
      <w:sz w:val="21"/>
      <w:lang w:val="fr-FR" w:eastAsia="x-none"/>
    </w:rPr>
  </w:style>
  <w:style w:type="character" w:customStyle="1" w:styleId="Heading9Char">
    <w:name w:val="Heading 9 Char"/>
    <w:link w:val="Heading9"/>
    <w:rPr>
      <w:rFonts w:ascii="Myriad Pro Light" w:hAnsi="Myriad Pro Light"/>
      <w:b/>
      <w:bCs/>
      <w:i/>
      <w:iCs/>
      <w:sz w:val="26"/>
      <w:lang w:val="en-GB" w:eastAsia="en-GB"/>
    </w:rPr>
  </w:style>
  <w:style w:type="paragraph" w:styleId="FootnoteText">
    <w:name w:val="footnote text"/>
    <w:aliases w:val="Fußnotentext Char Char,Footnote text,Footnote text Char,Footnote1,Footnote2,Footnote3,Footnote4,Footnote5,Footnote6,Footnote7,Footnote8,Footnote9,Footnote10,Footnote11,Footnote21,Footnote31,Footnote41,Footnote51,Footnote61,Footnote71,fn,st"/>
    <w:basedOn w:val="Normal"/>
    <w:link w:val="FootnoteTextChar"/>
    <w:uiPriority w:val="99"/>
    <w:pPr>
      <w:spacing w:before="40" w:after="0" w:line="240" w:lineRule="auto"/>
      <w:ind w:left="720" w:hanging="720"/>
      <w:jc w:val="both"/>
    </w:pPr>
    <w:rPr>
      <w:rFonts w:ascii="Times New Roman" w:eastAsia="Times New Roman" w:hAnsi="Times New Roman"/>
      <w:sz w:val="20"/>
      <w:szCs w:val="20"/>
      <w:lang w:val="x-none" w:eastAsia="x-none"/>
    </w:rPr>
  </w:style>
  <w:style w:type="character" w:customStyle="1" w:styleId="FootnoteTextChar">
    <w:name w:val="Footnote Text Char"/>
    <w:aliases w:val="Fußnotentext Char Char Char,Footnote text Char1,Footnote text Char Char,Footnote1 Char,Footnote2 Char,Footnote3 Char,Footnote4 Char,Footnote5 Char,Footnote6 Char,Footnote7 Char,Footnote8 Char,Footnote9 Char,Footnote10 Char,fn Char"/>
    <w:link w:val="FootnoteText"/>
    <w:uiPriority w:val="99"/>
    <w:semiHidden/>
    <w:rPr>
      <w:rFonts w:ascii="Times New Roman" w:eastAsia="Times New Roman" w:hAnsi="Times New Roman"/>
      <w:lang w:val="x-none" w:eastAsia="x-none"/>
    </w:rPr>
  </w:style>
  <w:style w:type="character" w:styleId="FootnoteReference">
    <w:name w:val="footnote reference"/>
    <w:aliases w:val="Footnote Reference Superscript,Footnote Reference_LVL6,Footnote Reference_LVL61,Footnote Reference_LVL62,Footnote Reference_LVL63,Footnote Reference_LVL64,Footnote Reference_LVL65,Footnote Reference Number,Footnote Reference/,Footnote"/>
    <w:uiPriority w:val="99"/>
    <w:qFormat/>
    <w:rPr>
      <w:shd w:val="clear" w:color="auto" w:fill="auto"/>
      <w:vertAlign w:val="superscript"/>
    </w:rPr>
  </w:style>
  <w:style w:type="character" w:styleId="Hyperlink">
    <w:name w:val="Hyperlink"/>
    <w:uiPriority w:val="99"/>
    <w:rPr>
      <w:rFonts w:cs="Times New Roman"/>
      <w:color w:val="0000FF"/>
      <w:u w:val="single"/>
      <w:shd w:val="clear" w:color="auto" w:fill="auto"/>
    </w:rPr>
  </w:style>
  <w:style w:type="character" w:styleId="Strong">
    <w:name w:val="Strong"/>
    <w:qFormat/>
    <w:rPr>
      <w:rFonts w:cs="Times New Roman"/>
      <w:b/>
      <w:bCs/>
    </w:rPr>
  </w:style>
  <w:style w:type="paragraph" w:customStyle="1" w:styleId="textepar">
    <w:name w:val="texte+par"/>
    <w:link w:val="texteparChar"/>
    <w:pPr>
      <w:spacing w:before="160" w:line="300" w:lineRule="auto"/>
      <w:jc w:val="both"/>
    </w:pPr>
    <w:rPr>
      <w:rFonts w:ascii="Verdana" w:eastAsia="Times New Roman" w:hAnsi="Verdana"/>
      <w:color w:val="632423"/>
      <w:sz w:val="22"/>
      <w:szCs w:val="22"/>
      <w:lang w:eastAsia="en-US"/>
    </w:rPr>
  </w:style>
  <w:style w:type="character" w:customStyle="1" w:styleId="texteparChar">
    <w:name w:val="texte+par Char"/>
    <w:link w:val="textepar"/>
    <w:rPr>
      <w:rFonts w:ascii="Verdana" w:eastAsia="Times New Roman" w:hAnsi="Verdana"/>
      <w:color w:val="632423"/>
      <w:sz w:val="22"/>
      <w:szCs w:val="22"/>
      <w:lang w:val="en-GB" w:eastAsia="en-US" w:bidi="ar-SA"/>
    </w:rPr>
  </w:style>
  <w:style w:type="paragraph" w:styleId="Caption">
    <w:name w:val="caption"/>
    <w:basedOn w:val="Normal"/>
    <w:next w:val="Normal"/>
    <w:link w:val="CaptionChar"/>
    <w:autoRedefine/>
    <w:uiPriority w:val="99"/>
    <w:qFormat/>
    <w:pPr>
      <w:keepNext/>
      <w:spacing w:before="40" w:after="0" w:line="240" w:lineRule="auto"/>
      <w:jc w:val="both"/>
    </w:pPr>
    <w:rPr>
      <w:rFonts w:ascii="Arial" w:hAnsi="Arial"/>
      <w:b/>
      <w:bCs/>
      <w:noProof/>
      <w:color w:val="FF0000"/>
      <w:sz w:val="18"/>
      <w:szCs w:val="20"/>
      <w:lang w:val="en-US" w:eastAsia="x-none"/>
    </w:rPr>
  </w:style>
  <w:style w:type="character" w:customStyle="1" w:styleId="CaptionChar">
    <w:name w:val="Caption Char"/>
    <w:link w:val="Caption"/>
    <w:uiPriority w:val="99"/>
    <w:locked/>
    <w:rPr>
      <w:rFonts w:ascii="Arial" w:hAnsi="Arial" w:cs="Arial"/>
      <w:b/>
      <w:bCs/>
      <w:noProof/>
      <w:color w:val="FF0000"/>
      <w:sz w:val="18"/>
      <w:lang w:val="en-US" w:eastAsia="x-none"/>
    </w:rPr>
  </w:style>
  <w:style w:type="paragraph" w:customStyle="1" w:styleId="texte8">
    <w:name w:val="texte8"/>
    <w:link w:val="texte8Char"/>
    <w:pPr>
      <w:widowControl w:val="0"/>
    </w:pPr>
    <w:rPr>
      <w:rFonts w:ascii="Arial" w:hAnsi="Arial"/>
      <w:color w:val="632423"/>
      <w:sz w:val="16"/>
      <w:szCs w:val="16"/>
      <w:lang w:val="fr-FR"/>
    </w:rPr>
  </w:style>
  <w:style w:type="character" w:customStyle="1" w:styleId="texte8Char">
    <w:name w:val="texte8 Char"/>
    <w:link w:val="texte8"/>
    <w:locked/>
    <w:rPr>
      <w:rFonts w:ascii="Arial" w:hAnsi="Arial"/>
      <w:color w:val="632423"/>
      <w:sz w:val="16"/>
      <w:szCs w:val="16"/>
      <w:lang w:val="fr-FR" w:eastAsia="en-GB" w:bidi="ar-SA"/>
    </w:rPr>
  </w:style>
  <w:style w:type="paragraph" w:customStyle="1" w:styleId="Source">
    <w:name w:val="Source"/>
    <w:basedOn w:val="Normal"/>
    <w:next w:val="Normal"/>
    <w:qFormat/>
    <w:pPr>
      <w:widowControl w:val="0"/>
      <w:spacing w:before="40" w:after="120" w:line="240" w:lineRule="auto"/>
      <w:contextualSpacing/>
      <w:jc w:val="both"/>
    </w:pPr>
    <w:rPr>
      <w:rFonts w:ascii="Arial" w:eastAsia="Times New Roman" w:hAnsi="Arial"/>
      <w:snapToGrid w:val="0"/>
      <w:sz w:val="16"/>
      <w:szCs w:val="16"/>
    </w:rPr>
  </w:style>
  <w:style w:type="paragraph" w:customStyle="1" w:styleId="texte83av3ap">
    <w:name w:val="texte8_3av_3ap"/>
    <w:basedOn w:val="Normal"/>
    <w:pPr>
      <w:widowControl w:val="0"/>
      <w:spacing w:before="60" w:after="60" w:line="240" w:lineRule="auto"/>
      <w:jc w:val="both"/>
    </w:pPr>
    <w:rPr>
      <w:rFonts w:ascii="Arial" w:eastAsia="Times New Roman" w:hAnsi="Arial" w:cs="Arial"/>
      <w:color w:val="632423"/>
      <w:sz w:val="16"/>
      <w:szCs w:val="16"/>
    </w:rPr>
  </w:style>
  <w:style w:type="paragraph" w:customStyle="1" w:styleId="texte83av">
    <w:name w:val="texte8_3av"/>
    <w:basedOn w:val="Normal"/>
    <w:pPr>
      <w:widowControl w:val="0"/>
      <w:spacing w:before="60" w:after="0" w:line="240" w:lineRule="auto"/>
      <w:jc w:val="both"/>
    </w:pPr>
    <w:rPr>
      <w:rFonts w:ascii="Arial" w:eastAsia="Times New Roman" w:hAnsi="Arial" w:cs="Arial"/>
      <w:sz w:val="16"/>
      <w:szCs w:val="16"/>
    </w:rPr>
  </w:style>
  <w:style w:type="character" w:customStyle="1" w:styleId="Heading1Char1">
    <w:name w:val="Heading 1 Char1"/>
    <w:uiPriority w:val="99"/>
    <w:rPr>
      <w:rFonts w:ascii="Times New Roman" w:eastAsia="Times New Roman" w:hAnsi="Times New Roman" w:cs="Times New Roman"/>
      <w:b/>
      <w:bCs/>
      <w:smallCaps/>
      <w:sz w:val="24"/>
      <w:szCs w:val="32"/>
      <w:lang w:val="en-GB"/>
    </w:rPr>
  </w:style>
  <w:style w:type="character" w:customStyle="1" w:styleId="Heading2Char1">
    <w:name w:val="Heading 2 Char1"/>
    <w:uiPriority w:val="99"/>
    <w:rPr>
      <w:rFonts w:ascii="Times New Roman" w:eastAsia="Times New Roman" w:hAnsi="Times New Roman" w:cs="Times New Roman"/>
      <w:b/>
      <w:bCs/>
      <w:iCs/>
      <w:sz w:val="24"/>
      <w:szCs w:val="28"/>
      <w:lang w:val="en-GB"/>
    </w:rPr>
  </w:style>
  <w:style w:type="character" w:customStyle="1" w:styleId="Heading3Char1">
    <w:name w:val="Heading 3 Char1"/>
    <w:uiPriority w:val="99"/>
    <w:rPr>
      <w:rFonts w:ascii="Times New Roman" w:eastAsia="Times New Roman" w:hAnsi="Times New Roman" w:cs="Times New Roman"/>
      <w:bCs/>
      <w:i/>
      <w:sz w:val="24"/>
      <w:szCs w:val="26"/>
      <w:lang w:val="en-GB"/>
    </w:rPr>
  </w:style>
  <w:style w:type="character" w:customStyle="1" w:styleId="Heading4Char1">
    <w:name w:val="Heading 4 Char1"/>
    <w:uiPriority w:val="99"/>
    <w:rPr>
      <w:rFonts w:ascii="Times New Roman" w:eastAsia="Times New Roman" w:hAnsi="Times New Roman" w:cs="Times New Roman"/>
      <w:bCs/>
      <w:sz w:val="24"/>
      <w:szCs w:val="28"/>
      <w:lang w:val="en-GB"/>
    </w:rPr>
  </w:style>
  <w:style w:type="paragraph" w:customStyle="1" w:styleId="Text1">
    <w:name w:val="Text 1"/>
    <w:basedOn w:val="Normal"/>
    <w:uiPriority w:val="99"/>
    <w:pPr>
      <w:spacing w:before="120" w:after="120" w:line="240" w:lineRule="auto"/>
      <w:ind w:left="850"/>
      <w:jc w:val="both"/>
    </w:pPr>
    <w:rPr>
      <w:rFonts w:ascii="Times New Roman" w:eastAsia="Times New Roman" w:hAnsi="Times New Roman"/>
      <w:sz w:val="24"/>
      <w:szCs w:val="24"/>
    </w:rPr>
  </w:style>
  <w:style w:type="character" w:customStyle="1" w:styleId="HeaderChar1">
    <w:name w:val="Header Char1"/>
    <w:rPr>
      <w:rFonts w:ascii="Times New Roman" w:eastAsia="Times New Roman" w:hAnsi="Times New Roman"/>
      <w:sz w:val="24"/>
      <w:szCs w:val="24"/>
      <w:lang w:eastAsia="x-none"/>
    </w:rPr>
  </w:style>
  <w:style w:type="character" w:customStyle="1" w:styleId="FooterChar1">
    <w:name w:val="Footer Char1"/>
    <w:uiPriority w:val="99"/>
    <w:rPr>
      <w:rFonts w:ascii="Times New Roman" w:eastAsia="Times New Roman" w:hAnsi="Times New Roman"/>
      <w:sz w:val="24"/>
      <w:szCs w:val="24"/>
      <w:lang w:eastAsia="x-none"/>
    </w:rPr>
  </w:style>
  <w:style w:type="character" w:customStyle="1" w:styleId="FootnoteTextChar1">
    <w:name w:val="Footnote Text Char1"/>
    <w:semiHidden/>
    <w:rPr>
      <w:rFonts w:ascii="Times New Roman" w:eastAsia="Times New Roman" w:hAnsi="Times New Roman" w:cs="Times New Roman"/>
      <w:sz w:val="20"/>
      <w:szCs w:val="20"/>
      <w:lang w:val="en-GB"/>
    </w:rPr>
  </w:style>
  <w:style w:type="paragraph" w:styleId="TOC1">
    <w:name w:val="toc 1"/>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2">
    <w:name w:val="toc 2"/>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3">
    <w:name w:val="toc 3"/>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4">
    <w:name w:val="toc 4"/>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5">
    <w:name w:val="toc 5"/>
    <w:basedOn w:val="Normal"/>
    <w:next w:val="Normal"/>
    <w:uiPriority w:val="39"/>
    <w:pPr>
      <w:tabs>
        <w:tab w:val="right" w:leader="dot" w:pos="9071"/>
      </w:tabs>
      <w:spacing w:before="300" w:after="120" w:line="240" w:lineRule="auto"/>
      <w:jc w:val="both"/>
    </w:pPr>
    <w:rPr>
      <w:rFonts w:ascii="Times New Roman" w:eastAsia="Times New Roman" w:hAnsi="Times New Roman"/>
      <w:sz w:val="24"/>
      <w:szCs w:val="24"/>
    </w:rPr>
  </w:style>
  <w:style w:type="paragraph" w:styleId="TOC6">
    <w:name w:val="toc 6"/>
    <w:basedOn w:val="Normal"/>
    <w:next w:val="Normal"/>
    <w:uiPriority w:val="39"/>
    <w:pPr>
      <w:tabs>
        <w:tab w:val="right" w:leader="dot" w:pos="9071"/>
      </w:tabs>
      <w:spacing w:before="240" w:after="120" w:line="240" w:lineRule="auto"/>
      <w:jc w:val="both"/>
    </w:pPr>
    <w:rPr>
      <w:rFonts w:ascii="Times New Roman" w:eastAsia="Times New Roman" w:hAnsi="Times New Roman"/>
      <w:sz w:val="24"/>
      <w:szCs w:val="24"/>
    </w:rPr>
  </w:style>
  <w:style w:type="paragraph" w:styleId="TOC7">
    <w:name w:val="toc 7"/>
    <w:basedOn w:val="Normal"/>
    <w:next w:val="Normal"/>
    <w:uiPriority w:val="39"/>
    <w:pPr>
      <w:tabs>
        <w:tab w:val="right" w:leader="dot" w:pos="9071"/>
      </w:tabs>
      <w:spacing w:before="180" w:after="120" w:line="240" w:lineRule="auto"/>
      <w:jc w:val="both"/>
    </w:pPr>
    <w:rPr>
      <w:rFonts w:ascii="Times New Roman" w:eastAsia="Times New Roman" w:hAnsi="Times New Roman"/>
      <w:sz w:val="24"/>
      <w:szCs w:val="24"/>
    </w:rPr>
  </w:style>
  <w:style w:type="paragraph" w:styleId="TOC8">
    <w:name w:val="toc 8"/>
    <w:basedOn w:val="Normal"/>
    <w:next w:val="Normal"/>
    <w:uiPriority w:val="39"/>
    <w:pPr>
      <w:tabs>
        <w:tab w:val="right" w:leader="dot" w:pos="9071"/>
      </w:tabs>
      <w:spacing w:before="120" w:after="120" w:line="240" w:lineRule="auto"/>
      <w:jc w:val="both"/>
    </w:pPr>
    <w:rPr>
      <w:rFonts w:ascii="Times New Roman" w:eastAsia="Times New Roman" w:hAnsi="Times New Roman"/>
      <w:sz w:val="24"/>
      <w:szCs w:val="24"/>
    </w:rPr>
  </w:style>
  <w:style w:type="paragraph" w:styleId="TOC9">
    <w:name w:val="toc 9"/>
    <w:basedOn w:val="Normal"/>
    <w:next w:val="Normal"/>
    <w:uiPriority w:val="39"/>
    <w:pPr>
      <w:tabs>
        <w:tab w:val="right" w:leader="dot" w:pos="9071"/>
      </w:tabs>
      <w:spacing w:before="120" w:after="120" w:line="240" w:lineRule="auto"/>
      <w:jc w:val="both"/>
    </w:pPr>
    <w:rPr>
      <w:rFonts w:ascii="Times New Roman" w:eastAsia="Times New Roman" w:hAnsi="Times New Roman"/>
      <w:sz w:val="24"/>
      <w:szCs w:val="24"/>
    </w:rPr>
  </w:style>
  <w:style w:type="paragraph" w:customStyle="1" w:styleId="HeaderLandscape">
    <w:name w:val="HeaderLandscape"/>
    <w:basedOn w:val="Normal"/>
    <w:pPr>
      <w:tabs>
        <w:tab w:val="center" w:pos="7285"/>
        <w:tab w:val="right" w:pos="14003"/>
      </w:tabs>
      <w:spacing w:before="120" w:after="120" w:line="240" w:lineRule="auto"/>
      <w:jc w:val="both"/>
    </w:pPr>
    <w:rPr>
      <w:rFonts w:ascii="Times New Roman" w:eastAsia="Times New Roman" w:hAnsi="Times New Roman"/>
      <w:sz w:val="24"/>
      <w:szCs w:val="24"/>
    </w:rPr>
  </w:style>
  <w:style w:type="paragraph" w:customStyle="1" w:styleId="FooterLandscape">
    <w:name w:val="FooterLandscape"/>
    <w:basedOn w:val="Normal"/>
    <w:uiPriority w:val="99"/>
    <w:pPr>
      <w:tabs>
        <w:tab w:val="center" w:pos="7285"/>
        <w:tab w:val="center" w:pos="10913"/>
        <w:tab w:val="right" w:pos="15137"/>
      </w:tabs>
      <w:spacing w:before="360" w:after="0" w:line="240" w:lineRule="auto"/>
      <w:ind w:left="-567" w:right="-567"/>
      <w:jc w:val="both"/>
    </w:pPr>
    <w:rPr>
      <w:rFonts w:ascii="Times New Roman" w:eastAsia="Times New Roman" w:hAnsi="Times New Roman"/>
      <w:sz w:val="24"/>
      <w:szCs w:val="24"/>
    </w:rPr>
  </w:style>
  <w:style w:type="paragraph" w:customStyle="1" w:styleId="Text2">
    <w:name w:val="Text 2"/>
    <w:basedOn w:val="Normal"/>
    <w:uiPriority w:val="99"/>
    <w:pPr>
      <w:spacing w:before="120" w:after="120" w:line="240" w:lineRule="auto"/>
      <w:ind w:left="1417"/>
      <w:jc w:val="both"/>
    </w:pPr>
    <w:rPr>
      <w:rFonts w:ascii="Times New Roman" w:eastAsia="Times New Roman" w:hAnsi="Times New Roman"/>
      <w:sz w:val="24"/>
      <w:szCs w:val="24"/>
    </w:rPr>
  </w:style>
  <w:style w:type="paragraph" w:customStyle="1" w:styleId="Text3">
    <w:name w:val="Text 3"/>
    <w:basedOn w:val="Normal"/>
    <w:uiPriority w:val="99"/>
    <w:pPr>
      <w:spacing w:before="120" w:after="120" w:line="240" w:lineRule="auto"/>
      <w:ind w:left="1984"/>
      <w:jc w:val="both"/>
    </w:pPr>
    <w:rPr>
      <w:rFonts w:ascii="Times New Roman" w:eastAsia="Times New Roman" w:hAnsi="Times New Roman"/>
      <w:sz w:val="24"/>
      <w:szCs w:val="24"/>
    </w:rPr>
  </w:style>
  <w:style w:type="paragraph" w:customStyle="1" w:styleId="Text4">
    <w:name w:val="Text 4"/>
    <w:basedOn w:val="Normal"/>
    <w:uiPriority w:val="99"/>
    <w:pPr>
      <w:spacing w:before="120" w:after="120" w:line="240" w:lineRule="auto"/>
      <w:ind w:left="2551"/>
      <w:jc w:val="both"/>
    </w:pPr>
    <w:rPr>
      <w:rFonts w:ascii="Times New Roman" w:eastAsia="Times New Roman" w:hAnsi="Times New Roman"/>
      <w:sz w:val="24"/>
      <w:szCs w:val="24"/>
    </w:rPr>
  </w:style>
  <w:style w:type="paragraph" w:customStyle="1" w:styleId="NormalCentered">
    <w:name w:val="Normal Centered"/>
    <w:basedOn w:val="Normal"/>
    <w:uiPriority w:val="99"/>
    <w:pPr>
      <w:spacing w:before="120" w:after="120" w:line="240" w:lineRule="auto"/>
      <w:jc w:val="center"/>
    </w:pPr>
    <w:rPr>
      <w:rFonts w:ascii="Times New Roman" w:eastAsia="Times New Roman" w:hAnsi="Times New Roman"/>
      <w:sz w:val="24"/>
      <w:szCs w:val="24"/>
    </w:rPr>
  </w:style>
  <w:style w:type="paragraph" w:customStyle="1" w:styleId="NormalLeft">
    <w:name w:val="Normal Left"/>
    <w:basedOn w:val="Normal"/>
    <w:uiPriority w:val="99"/>
    <w:pPr>
      <w:spacing w:before="120" w:after="120" w:line="240" w:lineRule="auto"/>
      <w:jc w:val="both"/>
    </w:pPr>
    <w:rPr>
      <w:rFonts w:ascii="Times New Roman" w:eastAsia="Times New Roman" w:hAnsi="Times New Roman"/>
      <w:sz w:val="24"/>
      <w:szCs w:val="24"/>
    </w:rPr>
  </w:style>
  <w:style w:type="paragraph" w:customStyle="1" w:styleId="NormalRight">
    <w:name w:val="Normal Right"/>
    <w:basedOn w:val="Normal"/>
    <w:uiPriority w:val="99"/>
    <w:pPr>
      <w:spacing w:before="120" w:after="120" w:line="240" w:lineRule="auto"/>
      <w:jc w:val="right"/>
    </w:pPr>
    <w:rPr>
      <w:rFonts w:ascii="Times New Roman" w:eastAsia="Times New Roman" w:hAnsi="Times New Roman"/>
      <w:sz w:val="24"/>
      <w:szCs w:val="24"/>
    </w:rPr>
  </w:style>
  <w:style w:type="paragraph" w:customStyle="1" w:styleId="QuotedText">
    <w:name w:val="Quoted Text"/>
    <w:basedOn w:val="Normal"/>
    <w:uiPriority w:val="99"/>
    <w:pPr>
      <w:spacing w:before="120" w:after="120" w:line="240" w:lineRule="auto"/>
      <w:ind w:left="1417"/>
      <w:jc w:val="both"/>
    </w:pPr>
    <w:rPr>
      <w:rFonts w:ascii="Times New Roman" w:eastAsia="Times New Roman" w:hAnsi="Times New Roman"/>
      <w:sz w:val="24"/>
      <w:szCs w:val="24"/>
    </w:rPr>
  </w:style>
  <w:style w:type="paragraph" w:customStyle="1" w:styleId="Point0">
    <w:name w:val="Point 0"/>
    <w:basedOn w:val="Normal"/>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Point1">
    <w:name w:val="Point 1"/>
    <w:basedOn w:val="Normal"/>
    <w:pPr>
      <w:spacing w:before="120" w:after="120" w:line="240" w:lineRule="auto"/>
      <w:ind w:left="1417" w:hanging="567"/>
      <w:jc w:val="both"/>
    </w:pPr>
    <w:rPr>
      <w:rFonts w:ascii="Times New Roman" w:eastAsia="Times New Roman" w:hAnsi="Times New Roman"/>
      <w:sz w:val="24"/>
      <w:szCs w:val="24"/>
    </w:rPr>
  </w:style>
  <w:style w:type="paragraph" w:customStyle="1" w:styleId="Point2">
    <w:name w:val="Point 2"/>
    <w:basedOn w:val="Normal"/>
    <w:uiPriority w:val="99"/>
    <w:pPr>
      <w:spacing w:before="120" w:after="120" w:line="240" w:lineRule="auto"/>
      <w:ind w:left="1984" w:hanging="567"/>
      <w:jc w:val="both"/>
    </w:pPr>
    <w:rPr>
      <w:rFonts w:ascii="Times New Roman" w:eastAsia="Times New Roman" w:hAnsi="Times New Roman"/>
      <w:sz w:val="24"/>
      <w:szCs w:val="24"/>
    </w:rPr>
  </w:style>
  <w:style w:type="paragraph" w:customStyle="1" w:styleId="Point3">
    <w:name w:val="Point 3"/>
    <w:basedOn w:val="Normal"/>
    <w:uiPriority w:val="99"/>
    <w:pPr>
      <w:spacing w:before="120" w:after="120" w:line="240" w:lineRule="auto"/>
      <w:ind w:left="2551" w:hanging="567"/>
      <w:jc w:val="both"/>
    </w:pPr>
    <w:rPr>
      <w:rFonts w:ascii="Times New Roman" w:eastAsia="Times New Roman" w:hAnsi="Times New Roman"/>
      <w:sz w:val="24"/>
      <w:szCs w:val="24"/>
    </w:rPr>
  </w:style>
  <w:style w:type="paragraph" w:customStyle="1" w:styleId="Point4">
    <w:name w:val="Point 4"/>
    <w:basedOn w:val="Normal"/>
    <w:uiPriority w:val="99"/>
    <w:pPr>
      <w:spacing w:before="120" w:after="120" w:line="240" w:lineRule="auto"/>
      <w:ind w:left="3118" w:hanging="567"/>
      <w:jc w:val="both"/>
    </w:pPr>
    <w:rPr>
      <w:rFonts w:ascii="Times New Roman" w:eastAsia="Times New Roman" w:hAnsi="Times New Roman"/>
      <w:sz w:val="24"/>
      <w:szCs w:val="24"/>
    </w:rPr>
  </w:style>
  <w:style w:type="paragraph" w:customStyle="1" w:styleId="Tiret0">
    <w:name w:val="Tiret 0"/>
    <w:basedOn w:val="Point0"/>
    <w:pPr>
      <w:numPr>
        <w:numId w:val="19"/>
      </w:numPr>
    </w:pPr>
  </w:style>
  <w:style w:type="paragraph" w:customStyle="1" w:styleId="Tiret1">
    <w:name w:val="Tiret 1"/>
    <w:basedOn w:val="Point1"/>
    <w:pPr>
      <w:numPr>
        <w:numId w:val="20"/>
      </w:numPr>
    </w:pPr>
  </w:style>
  <w:style w:type="paragraph" w:customStyle="1" w:styleId="Tiret2">
    <w:name w:val="Tiret 2"/>
    <w:basedOn w:val="Point2"/>
    <w:pPr>
      <w:numPr>
        <w:numId w:val="21"/>
      </w:numPr>
    </w:pPr>
  </w:style>
  <w:style w:type="paragraph" w:customStyle="1" w:styleId="Tiret3">
    <w:name w:val="Tiret 3"/>
    <w:basedOn w:val="Point3"/>
    <w:pPr>
      <w:numPr>
        <w:numId w:val="22"/>
      </w:numPr>
    </w:pPr>
  </w:style>
  <w:style w:type="paragraph" w:customStyle="1" w:styleId="Tiret4">
    <w:name w:val="Tiret 4"/>
    <w:basedOn w:val="Point4"/>
    <w:pPr>
      <w:numPr>
        <w:numId w:val="23"/>
      </w:numPr>
    </w:pPr>
  </w:style>
  <w:style w:type="paragraph" w:customStyle="1" w:styleId="PointDouble0">
    <w:name w:val="PointDouble 0"/>
    <w:basedOn w:val="Normal"/>
    <w:uiPriority w:val="99"/>
    <w:pPr>
      <w:tabs>
        <w:tab w:val="left" w:pos="850"/>
      </w:tabs>
      <w:spacing w:before="120" w:after="120" w:line="240" w:lineRule="auto"/>
      <w:ind w:left="1417" w:hanging="1417"/>
      <w:jc w:val="both"/>
    </w:pPr>
    <w:rPr>
      <w:rFonts w:ascii="Times New Roman" w:eastAsia="Times New Roman" w:hAnsi="Times New Roman"/>
      <w:sz w:val="24"/>
      <w:szCs w:val="24"/>
    </w:rPr>
  </w:style>
  <w:style w:type="paragraph" w:customStyle="1" w:styleId="PointDouble1">
    <w:name w:val="PointDouble 1"/>
    <w:basedOn w:val="Normal"/>
    <w:uiPriority w:val="99"/>
    <w:pPr>
      <w:tabs>
        <w:tab w:val="left" w:pos="1417"/>
      </w:tabs>
      <w:spacing w:before="120" w:after="120" w:line="240" w:lineRule="auto"/>
      <w:ind w:left="1984" w:hanging="1134"/>
      <w:jc w:val="both"/>
    </w:pPr>
    <w:rPr>
      <w:rFonts w:ascii="Times New Roman" w:eastAsia="Times New Roman" w:hAnsi="Times New Roman"/>
      <w:sz w:val="24"/>
      <w:szCs w:val="24"/>
    </w:rPr>
  </w:style>
  <w:style w:type="paragraph" w:customStyle="1" w:styleId="PointDouble2">
    <w:name w:val="PointDouble 2"/>
    <w:basedOn w:val="Normal"/>
    <w:uiPriority w:val="99"/>
    <w:pPr>
      <w:tabs>
        <w:tab w:val="left" w:pos="1984"/>
      </w:tabs>
      <w:spacing w:before="120" w:after="120" w:line="240" w:lineRule="auto"/>
      <w:ind w:left="2551" w:hanging="1134"/>
      <w:jc w:val="both"/>
    </w:pPr>
    <w:rPr>
      <w:rFonts w:ascii="Times New Roman" w:eastAsia="Times New Roman" w:hAnsi="Times New Roman"/>
      <w:sz w:val="24"/>
      <w:szCs w:val="24"/>
    </w:rPr>
  </w:style>
  <w:style w:type="paragraph" w:customStyle="1" w:styleId="PointDouble3">
    <w:name w:val="PointDouble 3"/>
    <w:basedOn w:val="Normal"/>
    <w:uiPriority w:val="99"/>
    <w:pPr>
      <w:tabs>
        <w:tab w:val="left" w:pos="2551"/>
      </w:tabs>
      <w:spacing w:before="120" w:after="120" w:line="240" w:lineRule="auto"/>
      <w:ind w:left="3118" w:hanging="1134"/>
      <w:jc w:val="both"/>
    </w:pPr>
    <w:rPr>
      <w:rFonts w:ascii="Times New Roman" w:eastAsia="Times New Roman" w:hAnsi="Times New Roman"/>
      <w:sz w:val="24"/>
      <w:szCs w:val="24"/>
    </w:rPr>
  </w:style>
  <w:style w:type="paragraph" w:customStyle="1" w:styleId="PointDouble4">
    <w:name w:val="PointDouble 4"/>
    <w:basedOn w:val="Normal"/>
    <w:uiPriority w:val="99"/>
    <w:pPr>
      <w:tabs>
        <w:tab w:val="left" w:pos="3118"/>
      </w:tabs>
      <w:spacing w:before="120" w:after="120" w:line="240" w:lineRule="auto"/>
      <w:ind w:left="3685" w:hanging="1134"/>
      <w:jc w:val="both"/>
    </w:pPr>
    <w:rPr>
      <w:rFonts w:ascii="Times New Roman" w:eastAsia="Times New Roman" w:hAnsi="Times New Roman"/>
      <w:sz w:val="24"/>
      <w:szCs w:val="24"/>
    </w:rPr>
  </w:style>
  <w:style w:type="paragraph" w:customStyle="1" w:styleId="PointTriple0">
    <w:name w:val="PointTriple 0"/>
    <w:basedOn w:val="Normal"/>
    <w:uiPriority w:val="99"/>
    <w:pPr>
      <w:tabs>
        <w:tab w:val="left" w:pos="850"/>
        <w:tab w:val="left" w:pos="1417"/>
      </w:tabs>
      <w:spacing w:before="120" w:after="120" w:line="240" w:lineRule="auto"/>
      <w:ind w:left="1984" w:hanging="1984"/>
      <w:jc w:val="both"/>
    </w:pPr>
    <w:rPr>
      <w:rFonts w:ascii="Times New Roman" w:eastAsia="Times New Roman" w:hAnsi="Times New Roman"/>
      <w:sz w:val="24"/>
      <w:szCs w:val="24"/>
    </w:rPr>
  </w:style>
  <w:style w:type="paragraph" w:customStyle="1" w:styleId="PointTriple1">
    <w:name w:val="PointTriple 1"/>
    <w:basedOn w:val="Normal"/>
    <w:uiPriority w:val="99"/>
    <w:pPr>
      <w:tabs>
        <w:tab w:val="left" w:pos="1417"/>
        <w:tab w:val="left" w:pos="1984"/>
      </w:tabs>
      <w:spacing w:before="120" w:after="120" w:line="240" w:lineRule="auto"/>
      <w:ind w:left="2551" w:hanging="1701"/>
      <w:jc w:val="both"/>
    </w:pPr>
    <w:rPr>
      <w:rFonts w:ascii="Times New Roman" w:eastAsia="Times New Roman" w:hAnsi="Times New Roman"/>
      <w:sz w:val="24"/>
      <w:szCs w:val="24"/>
    </w:rPr>
  </w:style>
  <w:style w:type="paragraph" w:customStyle="1" w:styleId="PointTriple2">
    <w:name w:val="PointTriple 2"/>
    <w:basedOn w:val="Normal"/>
    <w:uiPriority w:val="99"/>
    <w:pPr>
      <w:tabs>
        <w:tab w:val="left" w:pos="1984"/>
        <w:tab w:val="left" w:pos="2551"/>
      </w:tabs>
      <w:spacing w:before="120" w:after="120" w:line="240" w:lineRule="auto"/>
      <w:ind w:left="3118" w:hanging="1701"/>
      <w:jc w:val="both"/>
    </w:pPr>
    <w:rPr>
      <w:rFonts w:ascii="Times New Roman" w:eastAsia="Times New Roman" w:hAnsi="Times New Roman"/>
      <w:sz w:val="24"/>
      <w:szCs w:val="24"/>
    </w:rPr>
  </w:style>
  <w:style w:type="paragraph" w:customStyle="1" w:styleId="PointTriple3">
    <w:name w:val="PointTriple 3"/>
    <w:basedOn w:val="Normal"/>
    <w:uiPriority w:val="99"/>
    <w:pPr>
      <w:tabs>
        <w:tab w:val="left" w:pos="2551"/>
        <w:tab w:val="left" w:pos="3118"/>
      </w:tabs>
      <w:spacing w:before="120" w:after="120" w:line="240" w:lineRule="auto"/>
      <w:ind w:left="3685" w:hanging="1701"/>
      <w:jc w:val="both"/>
    </w:pPr>
    <w:rPr>
      <w:rFonts w:ascii="Times New Roman" w:eastAsia="Times New Roman" w:hAnsi="Times New Roman"/>
      <w:sz w:val="24"/>
      <w:szCs w:val="24"/>
    </w:rPr>
  </w:style>
  <w:style w:type="paragraph" w:customStyle="1" w:styleId="PointTriple4">
    <w:name w:val="PointTriple 4"/>
    <w:basedOn w:val="Normal"/>
    <w:uiPriority w:val="99"/>
    <w:pPr>
      <w:tabs>
        <w:tab w:val="left" w:pos="3118"/>
        <w:tab w:val="left" w:pos="3685"/>
      </w:tabs>
      <w:spacing w:before="120" w:after="120" w:line="240" w:lineRule="auto"/>
      <w:ind w:left="4252" w:hanging="1701"/>
      <w:jc w:val="both"/>
    </w:pPr>
    <w:rPr>
      <w:rFonts w:ascii="Times New Roman" w:eastAsia="Times New Roman" w:hAnsi="Times New Roman"/>
      <w:sz w:val="24"/>
      <w:szCs w:val="24"/>
    </w:rPr>
  </w:style>
  <w:style w:type="paragraph" w:customStyle="1" w:styleId="NumPar1">
    <w:name w:val="NumPar 1"/>
    <w:basedOn w:val="Normal"/>
    <w:next w:val="Text1"/>
    <w:pPr>
      <w:numPr>
        <w:numId w:val="24"/>
      </w:numPr>
      <w:spacing w:before="120" w:after="120" w:line="240" w:lineRule="auto"/>
      <w:jc w:val="both"/>
    </w:pPr>
    <w:rPr>
      <w:rFonts w:ascii="Times New Roman" w:eastAsia="Times New Roman" w:hAnsi="Times New Roman"/>
      <w:sz w:val="24"/>
      <w:szCs w:val="24"/>
    </w:rPr>
  </w:style>
  <w:style w:type="paragraph" w:customStyle="1" w:styleId="NumPar2">
    <w:name w:val="NumPar 2"/>
    <w:basedOn w:val="Normal"/>
    <w:next w:val="Text1"/>
    <w:pPr>
      <w:numPr>
        <w:ilvl w:val="1"/>
        <w:numId w:val="24"/>
      </w:numPr>
      <w:spacing w:before="120" w:after="120" w:line="240" w:lineRule="auto"/>
      <w:jc w:val="both"/>
    </w:pPr>
    <w:rPr>
      <w:rFonts w:ascii="Times New Roman" w:eastAsia="Times New Roman" w:hAnsi="Times New Roman"/>
      <w:sz w:val="24"/>
      <w:szCs w:val="24"/>
    </w:rPr>
  </w:style>
  <w:style w:type="paragraph" w:customStyle="1" w:styleId="NumPar3">
    <w:name w:val="NumPar 3"/>
    <w:basedOn w:val="Normal"/>
    <w:next w:val="Text1"/>
    <w:pPr>
      <w:numPr>
        <w:ilvl w:val="2"/>
        <w:numId w:val="24"/>
      </w:numPr>
      <w:spacing w:before="120" w:after="120" w:line="240" w:lineRule="auto"/>
      <w:jc w:val="both"/>
    </w:pPr>
    <w:rPr>
      <w:rFonts w:ascii="Times New Roman" w:eastAsia="Times New Roman" w:hAnsi="Times New Roman"/>
      <w:sz w:val="24"/>
      <w:szCs w:val="24"/>
    </w:rPr>
  </w:style>
  <w:style w:type="paragraph" w:customStyle="1" w:styleId="NumPar4">
    <w:name w:val="NumPar 4"/>
    <w:basedOn w:val="Normal"/>
    <w:next w:val="Text1"/>
    <w:pPr>
      <w:numPr>
        <w:ilvl w:val="3"/>
        <w:numId w:val="24"/>
      </w:numPr>
      <w:spacing w:before="120" w:after="120" w:line="240" w:lineRule="auto"/>
      <w:jc w:val="both"/>
    </w:pPr>
    <w:rPr>
      <w:rFonts w:ascii="Times New Roman" w:eastAsia="Times New Roman" w:hAnsi="Times New Roman"/>
      <w:sz w:val="24"/>
      <w:szCs w:val="24"/>
    </w:rPr>
  </w:style>
  <w:style w:type="paragraph" w:customStyle="1" w:styleId="ManualNumPar1">
    <w:name w:val="Manual NumPar 1"/>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2">
    <w:name w:val="Manual NumPar 2"/>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3">
    <w:name w:val="Manual NumPar 3"/>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4">
    <w:name w:val="Manual NumPar 4"/>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QuotedNumPar">
    <w:name w:val="Quoted NumPar"/>
    <w:basedOn w:val="Normal"/>
    <w:uiPriority w:val="99"/>
    <w:pPr>
      <w:spacing w:before="120" w:after="120" w:line="240" w:lineRule="auto"/>
      <w:ind w:left="1417" w:hanging="567"/>
      <w:jc w:val="both"/>
    </w:pPr>
    <w:rPr>
      <w:rFonts w:ascii="Times New Roman" w:eastAsia="Times New Roman" w:hAnsi="Times New Roman"/>
      <w:sz w:val="24"/>
      <w:szCs w:val="24"/>
    </w:rPr>
  </w:style>
  <w:style w:type="paragraph" w:customStyle="1" w:styleId="ManualHeading1">
    <w:name w:val="Manual Heading 1"/>
    <w:basedOn w:val="Normal"/>
    <w:next w:val="Text1"/>
    <w:uiPriority w:val="99"/>
    <w:pPr>
      <w:keepNext/>
      <w:tabs>
        <w:tab w:val="left" w:pos="850"/>
      </w:tabs>
      <w:spacing w:before="360" w:after="120" w:line="240" w:lineRule="auto"/>
      <w:ind w:left="850" w:hanging="850"/>
      <w:jc w:val="both"/>
      <w:outlineLvl w:val="0"/>
    </w:pPr>
    <w:rPr>
      <w:rFonts w:ascii="Times New Roman" w:eastAsia="Times New Roman" w:hAnsi="Times New Roman"/>
      <w:b/>
      <w:smallCaps/>
      <w:sz w:val="24"/>
      <w:szCs w:val="24"/>
    </w:rPr>
  </w:style>
  <w:style w:type="paragraph" w:customStyle="1" w:styleId="ManualHeading2">
    <w:name w:val="Manual Heading 2"/>
    <w:basedOn w:val="Normal"/>
    <w:next w:val="Text1"/>
    <w:uiPriority w:val="99"/>
    <w:pPr>
      <w:keepNext/>
      <w:tabs>
        <w:tab w:val="left" w:pos="850"/>
      </w:tabs>
      <w:spacing w:before="120" w:after="120" w:line="240" w:lineRule="auto"/>
      <w:ind w:left="850" w:hanging="850"/>
      <w:jc w:val="both"/>
      <w:outlineLvl w:val="1"/>
    </w:pPr>
    <w:rPr>
      <w:rFonts w:ascii="Times New Roman" w:eastAsia="Times New Roman" w:hAnsi="Times New Roman"/>
      <w:b/>
      <w:sz w:val="24"/>
      <w:szCs w:val="24"/>
    </w:rPr>
  </w:style>
  <w:style w:type="paragraph" w:customStyle="1" w:styleId="ManualHeading3">
    <w:name w:val="Manual Heading 3"/>
    <w:basedOn w:val="Normal"/>
    <w:next w:val="Text1"/>
    <w:uiPriority w:val="99"/>
    <w:pPr>
      <w:keepNext/>
      <w:tabs>
        <w:tab w:val="left" w:pos="850"/>
      </w:tabs>
      <w:spacing w:before="120" w:after="120" w:line="240" w:lineRule="auto"/>
      <w:ind w:left="850" w:hanging="850"/>
      <w:jc w:val="both"/>
      <w:outlineLvl w:val="2"/>
    </w:pPr>
    <w:rPr>
      <w:rFonts w:ascii="Times New Roman" w:eastAsia="Times New Roman" w:hAnsi="Times New Roman"/>
      <w:i/>
      <w:sz w:val="24"/>
      <w:szCs w:val="24"/>
    </w:rPr>
  </w:style>
  <w:style w:type="paragraph" w:customStyle="1" w:styleId="ManualHeading4">
    <w:name w:val="Manual Heading 4"/>
    <w:basedOn w:val="Normal"/>
    <w:next w:val="Text1"/>
    <w:uiPriority w:val="99"/>
    <w:pPr>
      <w:keepNext/>
      <w:tabs>
        <w:tab w:val="left" w:pos="850"/>
      </w:tabs>
      <w:spacing w:before="120" w:after="120" w:line="240" w:lineRule="auto"/>
      <w:ind w:left="850" w:hanging="850"/>
      <w:jc w:val="both"/>
      <w:outlineLvl w:val="3"/>
    </w:pPr>
    <w:rPr>
      <w:rFonts w:ascii="Times New Roman" w:eastAsia="Times New Roman" w:hAnsi="Times New Roman"/>
      <w:sz w:val="24"/>
      <w:szCs w:val="24"/>
    </w:rPr>
  </w:style>
  <w:style w:type="paragraph" w:customStyle="1" w:styleId="ChapterTitle">
    <w:name w:val="ChapterTitle"/>
    <w:basedOn w:val="Normal"/>
    <w:next w:val="Normal"/>
    <w:uiPriority w:val="99"/>
    <w:pPr>
      <w:keepNext/>
      <w:spacing w:before="120" w:after="360" w:line="240" w:lineRule="auto"/>
      <w:jc w:val="center"/>
    </w:pPr>
    <w:rPr>
      <w:rFonts w:ascii="Times New Roman" w:eastAsia="Times New Roman" w:hAnsi="Times New Roman"/>
      <w:b/>
      <w:sz w:val="32"/>
      <w:szCs w:val="24"/>
    </w:rPr>
  </w:style>
  <w:style w:type="paragraph" w:customStyle="1" w:styleId="PartTitle">
    <w:name w:val="PartTitle"/>
    <w:basedOn w:val="Normal"/>
    <w:next w:val="ChapterTitle"/>
    <w:uiPriority w:val="99"/>
    <w:pPr>
      <w:keepNext/>
      <w:pageBreakBefore/>
      <w:spacing w:before="120" w:after="360" w:line="240" w:lineRule="auto"/>
      <w:jc w:val="center"/>
    </w:pPr>
    <w:rPr>
      <w:rFonts w:ascii="Times New Roman" w:eastAsia="Times New Roman" w:hAnsi="Times New Roman"/>
      <w:b/>
      <w:sz w:val="36"/>
      <w:szCs w:val="24"/>
    </w:rPr>
  </w:style>
  <w:style w:type="paragraph" w:customStyle="1" w:styleId="SectionTitle">
    <w:name w:val="SectionTitle"/>
    <w:basedOn w:val="Normal"/>
    <w:next w:val="Heading1"/>
    <w:uiPriority w:val="99"/>
    <w:pPr>
      <w:keepNext/>
      <w:spacing w:before="120" w:after="360" w:line="240" w:lineRule="auto"/>
      <w:jc w:val="center"/>
    </w:pPr>
    <w:rPr>
      <w:rFonts w:ascii="Times New Roman" w:eastAsia="Times New Roman" w:hAnsi="Times New Roman"/>
      <w:b/>
      <w:smallCaps/>
      <w:sz w:val="28"/>
      <w:szCs w:val="24"/>
    </w:rPr>
  </w:style>
  <w:style w:type="paragraph" w:customStyle="1" w:styleId="TableTitle">
    <w:name w:val="Table Title"/>
    <w:basedOn w:val="Normal"/>
    <w:next w:val="Normal"/>
    <w:uiPriority w:val="99"/>
    <w:pPr>
      <w:spacing w:before="120" w:after="120" w:line="240" w:lineRule="auto"/>
      <w:jc w:val="center"/>
    </w:pPr>
    <w:rPr>
      <w:rFonts w:ascii="Times New Roman" w:eastAsia="Times New Roman" w:hAnsi="Times New Roman"/>
      <w:b/>
      <w:sz w:val="24"/>
      <w:szCs w:val="24"/>
    </w:rPr>
  </w:style>
  <w:style w:type="character" w:customStyle="1" w:styleId="Marker">
    <w:name w:val="Marker"/>
    <w:uiPriority w:val="99"/>
    <w:rPr>
      <w:rFonts w:cs="Times New Roman"/>
      <w:color w:val="0000FF"/>
      <w:shd w:val="clear" w:color="auto" w:fill="auto"/>
    </w:rPr>
  </w:style>
  <w:style w:type="character" w:customStyle="1" w:styleId="Marker1">
    <w:name w:val="Marker1"/>
    <w:uiPriority w:val="99"/>
    <w:rPr>
      <w:rFonts w:cs="Times New Roman"/>
      <w:color w:val="008000"/>
      <w:shd w:val="clear" w:color="auto" w:fill="auto"/>
    </w:rPr>
  </w:style>
  <w:style w:type="character" w:customStyle="1" w:styleId="Marker2">
    <w:name w:val="Marker2"/>
    <w:uiPriority w:val="99"/>
    <w:rPr>
      <w:rFonts w:cs="Times New Roman"/>
      <w:color w:val="FF0000"/>
      <w:shd w:val="clear" w:color="auto" w:fill="auto"/>
    </w:rPr>
  </w:style>
  <w:style w:type="paragraph" w:customStyle="1" w:styleId="Titolosommario">
    <w:name w:val="Titolo sommario"/>
    <w:basedOn w:val="Normal"/>
    <w:next w:val="Normal"/>
    <w:link w:val="TitolosommarioCarattere"/>
    <w:uiPriority w:val="39"/>
    <w:qFormat/>
    <w:pPr>
      <w:spacing w:before="120" w:after="240" w:line="240" w:lineRule="auto"/>
      <w:jc w:val="center"/>
    </w:pPr>
    <w:rPr>
      <w:rFonts w:ascii="Times New Roman" w:eastAsia="Times New Roman" w:hAnsi="Times New Roman"/>
      <w:b/>
      <w:sz w:val="28"/>
      <w:szCs w:val="24"/>
      <w:lang w:val="x-none"/>
    </w:rPr>
  </w:style>
  <w:style w:type="paragraph" w:customStyle="1" w:styleId="Point0number">
    <w:name w:val="Point 0 (number)"/>
    <w:basedOn w:val="Normal"/>
    <w:pPr>
      <w:numPr>
        <w:numId w:val="25"/>
      </w:numPr>
      <w:spacing w:before="120" w:after="120" w:line="240" w:lineRule="auto"/>
      <w:jc w:val="both"/>
    </w:pPr>
    <w:rPr>
      <w:rFonts w:ascii="Times New Roman" w:eastAsia="Times New Roman" w:hAnsi="Times New Roman"/>
      <w:sz w:val="24"/>
      <w:szCs w:val="24"/>
    </w:rPr>
  </w:style>
  <w:style w:type="paragraph" w:customStyle="1" w:styleId="Point1number">
    <w:name w:val="Point 1 (number)"/>
    <w:basedOn w:val="Normal"/>
    <w:pPr>
      <w:numPr>
        <w:ilvl w:val="2"/>
        <w:numId w:val="25"/>
      </w:numPr>
      <w:spacing w:before="120" w:after="120" w:line="240" w:lineRule="auto"/>
      <w:jc w:val="both"/>
    </w:pPr>
    <w:rPr>
      <w:rFonts w:ascii="Times New Roman" w:eastAsia="Times New Roman" w:hAnsi="Times New Roman"/>
      <w:sz w:val="24"/>
      <w:szCs w:val="24"/>
    </w:rPr>
  </w:style>
  <w:style w:type="paragraph" w:customStyle="1" w:styleId="Point2number">
    <w:name w:val="Point 2 (number)"/>
    <w:basedOn w:val="Normal"/>
    <w:pPr>
      <w:numPr>
        <w:ilvl w:val="4"/>
        <w:numId w:val="25"/>
      </w:numPr>
      <w:spacing w:before="120" w:after="120" w:line="240" w:lineRule="auto"/>
      <w:jc w:val="both"/>
    </w:pPr>
    <w:rPr>
      <w:rFonts w:ascii="Times New Roman" w:eastAsia="Times New Roman" w:hAnsi="Times New Roman"/>
      <w:sz w:val="24"/>
      <w:szCs w:val="24"/>
    </w:rPr>
  </w:style>
  <w:style w:type="paragraph" w:customStyle="1" w:styleId="Point3number">
    <w:name w:val="Point 3 (number)"/>
    <w:basedOn w:val="Normal"/>
    <w:pPr>
      <w:numPr>
        <w:ilvl w:val="6"/>
        <w:numId w:val="25"/>
      </w:numPr>
      <w:spacing w:before="120" w:after="120" w:line="240" w:lineRule="auto"/>
      <w:jc w:val="both"/>
    </w:pPr>
    <w:rPr>
      <w:rFonts w:ascii="Times New Roman" w:eastAsia="Times New Roman" w:hAnsi="Times New Roman"/>
      <w:sz w:val="24"/>
      <w:szCs w:val="24"/>
    </w:rPr>
  </w:style>
  <w:style w:type="paragraph" w:customStyle="1" w:styleId="Point0letter">
    <w:name w:val="Point 0 (letter)"/>
    <w:basedOn w:val="Normal"/>
    <w:pPr>
      <w:numPr>
        <w:ilvl w:val="1"/>
        <w:numId w:val="25"/>
      </w:numPr>
      <w:spacing w:before="120" w:after="120" w:line="240" w:lineRule="auto"/>
      <w:jc w:val="both"/>
    </w:pPr>
    <w:rPr>
      <w:rFonts w:ascii="Times New Roman" w:eastAsia="Times New Roman" w:hAnsi="Times New Roman"/>
      <w:sz w:val="24"/>
      <w:szCs w:val="24"/>
    </w:rPr>
  </w:style>
  <w:style w:type="paragraph" w:customStyle="1" w:styleId="Point1letter">
    <w:name w:val="Point 1 (letter)"/>
    <w:basedOn w:val="Normal"/>
    <w:pPr>
      <w:numPr>
        <w:ilvl w:val="3"/>
        <w:numId w:val="25"/>
      </w:numPr>
      <w:spacing w:before="120" w:after="120" w:line="240" w:lineRule="auto"/>
      <w:jc w:val="both"/>
    </w:pPr>
    <w:rPr>
      <w:rFonts w:ascii="Times New Roman" w:eastAsia="Times New Roman" w:hAnsi="Times New Roman"/>
      <w:sz w:val="24"/>
      <w:szCs w:val="24"/>
    </w:rPr>
  </w:style>
  <w:style w:type="paragraph" w:customStyle="1" w:styleId="Point2letter">
    <w:name w:val="Point 2 (letter)"/>
    <w:basedOn w:val="Normal"/>
    <w:pPr>
      <w:numPr>
        <w:ilvl w:val="5"/>
        <w:numId w:val="25"/>
      </w:numPr>
      <w:spacing w:before="120" w:after="120" w:line="240" w:lineRule="auto"/>
      <w:jc w:val="both"/>
    </w:pPr>
    <w:rPr>
      <w:rFonts w:ascii="Times New Roman" w:eastAsia="Times New Roman" w:hAnsi="Times New Roman"/>
      <w:sz w:val="24"/>
      <w:szCs w:val="24"/>
    </w:rPr>
  </w:style>
  <w:style w:type="paragraph" w:customStyle="1" w:styleId="Point3letter">
    <w:name w:val="Point 3 (letter)"/>
    <w:basedOn w:val="Normal"/>
    <w:pPr>
      <w:numPr>
        <w:ilvl w:val="7"/>
        <w:numId w:val="25"/>
      </w:numPr>
      <w:spacing w:before="120" w:after="120" w:line="240" w:lineRule="auto"/>
      <w:jc w:val="both"/>
    </w:pPr>
    <w:rPr>
      <w:rFonts w:ascii="Times New Roman" w:eastAsia="Times New Roman" w:hAnsi="Times New Roman"/>
      <w:sz w:val="24"/>
      <w:szCs w:val="24"/>
    </w:rPr>
  </w:style>
  <w:style w:type="paragraph" w:customStyle="1" w:styleId="Point4letter">
    <w:name w:val="Point 4 (letter)"/>
    <w:basedOn w:val="Normal"/>
    <w:pPr>
      <w:numPr>
        <w:ilvl w:val="8"/>
        <w:numId w:val="25"/>
      </w:numPr>
      <w:spacing w:before="120" w:after="120" w:line="240" w:lineRule="auto"/>
      <w:jc w:val="both"/>
    </w:pPr>
    <w:rPr>
      <w:rFonts w:ascii="Times New Roman" w:eastAsia="Times New Roman" w:hAnsi="Times New Roman"/>
      <w:sz w:val="24"/>
      <w:szCs w:val="24"/>
    </w:rPr>
  </w:style>
  <w:style w:type="paragraph" w:customStyle="1" w:styleId="Bullet0">
    <w:name w:val="Bullet 0"/>
    <w:basedOn w:val="Normal"/>
    <w:pPr>
      <w:numPr>
        <w:numId w:val="26"/>
      </w:numPr>
      <w:spacing w:before="120" w:after="120" w:line="240" w:lineRule="auto"/>
      <w:jc w:val="both"/>
    </w:pPr>
    <w:rPr>
      <w:rFonts w:ascii="Times New Roman" w:eastAsia="Times New Roman" w:hAnsi="Times New Roman"/>
      <w:sz w:val="24"/>
      <w:szCs w:val="24"/>
    </w:rPr>
  </w:style>
  <w:style w:type="paragraph" w:customStyle="1" w:styleId="Bullet1">
    <w:name w:val="Bullet 1"/>
    <w:basedOn w:val="Normal"/>
    <w:pPr>
      <w:numPr>
        <w:numId w:val="27"/>
      </w:numPr>
      <w:spacing w:before="120" w:after="120" w:line="240" w:lineRule="auto"/>
      <w:jc w:val="both"/>
    </w:pPr>
    <w:rPr>
      <w:rFonts w:ascii="Times New Roman" w:eastAsia="Times New Roman" w:hAnsi="Times New Roman"/>
      <w:sz w:val="24"/>
      <w:szCs w:val="24"/>
    </w:rPr>
  </w:style>
  <w:style w:type="paragraph" w:customStyle="1" w:styleId="Bullet2">
    <w:name w:val="Bullet 2"/>
    <w:basedOn w:val="Normal"/>
    <w:pPr>
      <w:numPr>
        <w:numId w:val="28"/>
      </w:numPr>
      <w:spacing w:before="120" w:after="120" w:line="240" w:lineRule="auto"/>
      <w:jc w:val="both"/>
    </w:pPr>
    <w:rPr>
      <w:rFonts w:ascii="Times New Roman" w:eastAsia="Times New Roman" w:hAnsi="Times New Roman"/>
      <w:sz w:val="24"/>
      <w:szCs w:val="24"/>
    </w:rPr>
  </w:style>
  <w:style w:type="paragraph" w:customStyle="1" w:styleId="Bullet3">
    <w:name w:val="Bullet 3"/>
    <w:basedOn w:val="Normal"/>
    <w:pPr>
      <w:numPr>
        <w:numId w:val="29"/>
      </w:numPr>
      <w:spacing w:before="120" w:after="120" w:line="240" w:lineRule="auto"/>
      <w:jc w:val="both"/>
    </w:pPr>
    <w:rPr>
      <w:rFonts w:ascii="Times New Roman" w:eastAsia="Times New Roman" w:hAnsi="Times New Roman"/>
      <w:sz w:val="24"/>
      <w:szCs w:val="24"/>
    </w:rPr>
  </w:style>
  <w:style w:type="paragraph" w:customStyle="1" w:styleId="Bullet4">
    <w:name w:val="Bullet 4"/>
    <w:basedOn w:val="Normal"/>
    <w:pPr>
      <w:numPr>
        <w:numId w:val="30"/>
      </w:numPr>
      <w:spacing w:before="120" w:after="120" w:line="240" w:lineRule="auto"/>
      <w:jc w:val="both"/>
    </w:pPr>
    <w:rPr>
      <w:rFonts w:ascii="Times New Roman" w:eastAsia="Times New Roman" w:hAnsi="Times New Roman"/>
      <w:sz w:val="24"/>
      <w:szCs w:val="24"/>
    </w:rPr>
  </w:style>
  <w:style w:type="paragraph" w:customStyle="1" w:styleId="Annexetitreexpos">
    <w:name w:val="Annexe titre (exposé)"/>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nnexetitre">
    <w:name w:val="Annexe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nnexetitrefichefinancire">
    <w:name w:val="Annexe titre (fiche financiè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pplicationdirecte">
    <w:name w:val="Application directe"/>
    <w:basedOn w:val="Normal"/>
    <w:next w:val="Fait"/>
    <w:uiPriority w:val="99"/>
    <w:pPr>
      <w:spacing w:before="480" w:after="120" w:line="240" w:lineRule="auto"/>
      <w:jc w:val="both"/>
    </w:pPr>
    <w:rPr>
      <w:rFonts w:ascii="Times New Roman" w:eastAsia="Times New Roman" w:hAnsi="Times New Roman"/>
      <w:sz w:val="24"/>
      <w:szCs w:val="24"/>
    </w:rPr>
  </w:style>
  <w:style w:type="paragraph" w:customStyle="1" w:styleId="Fait">
    <w:name w:val="Fait à"/>
    <w:basedOn w:val="Normal"/>
    <w:next w:val="Institutionquisigne"/>
    <w:uiPriority w:val="99"/>
    <w:pPr>
      <w:keepNext/>
      <w:spacing w:before="120" w:after="0" w:line="240" w:lineRule="auto"/>
      <w:jc w:val="both"/>
    </w:pPr>
    <w:rPr>
      <w:rFonts w:ascii="Times New Roman" w:eastAsia="Times New Roman" w:hAnsi="Times New Roman"/>
      <w:sz w:val="24"/>
      <w:szCs w:val="24"/>
    </w:rPr>
  </w:style>
  <w:style w:type="paragraph" w:customStyle="1" w:styleId="Institutionquisigne">
    <w:name w:val="Institution qui signe"/>
    <w:basedOn w:val="Normal"/>
    <w:next w:val="Personnequisigne"/>
    <w:uiPriority w:val="99"/>
    <w:pPr>
      <w:keepNext/>
      <w:tabs>
        <w:tab w:val="left" w:pos="4252"/>
      </w:tabs>
      <w:spacing w:before="720" w:after="0" w:line="240" w:lineRule="auto"/>
      <w:jc w:val="both"/>
    </w:pPr>
    <w:rPr>
      <w:rFonts w:ascii="Times New Roman" w:eastAsia="Times New Roman" w:hAnsi="Times New Roman"/>
      <w:i/>
      <w:sz w:val="24"/>
      <w:szCs w:val="24"/>
    </w:rPr>
  </w:style>
  <w:style w:type="paragraph" w:customStyle="1" w:styleId="Personnequisigne">
    <w:name w:val="Personne qui signe"/>
    <w:basedOn w:val="Normal"/>
    <w:next w:val="Institutionquisigne"/>
    <w:uiPriority w:val="99"/>
    <w:pPr>
      <w:tabs>
        <w:tab w:val="left" w:pos="4252"/>
      </w:tabs>
      <w:spacing w:before="40" w:after="0" w:line="240" w:lineRule="auto"/>
      <w:jc w:val="both"/>
    </w:pPr>
    <w:rPr>
      <w:rFonts w:ascii="Times New Roman" w:eastAsia="Times New Roman" w:hAnsi="Times New Roman"/>
      <w:i/>
      <w:sz w:val="24"/>
      <w:szCs w:val="24"/>
    </w:rPr>
  </w:style>
  <w:style w:type="paragraph" w:customStyle="1" w:styleId="Avertissementtitre">
    <w:name w:val="Avertissement titre"/>
    <w:basedOn w:val="Normal"/>
    <w:next w:val="Normal"/>
    <w:uiPriority w:val="99"/>
    <w:pPr>
      <w:keepNext/>
      <w:spacing w:before="480" w:after="120" w:line="240" w:lineRule="auto"/>
      <w:jc w:val="both"/>
    </w:pPr>
    <w:rPr>
      <w:rFonts w:ascii="Times New Roman" w:eastAsia="Times New Roman" w:hAnsi="Times New Roman"/>
      <w:sz w:val="24"/>
      <w:szCs w:val="24"/>
      <w:u w:val="single"/>
    </w:rPr>
  </w:style>
  <w:style w:type="paragraph" w:customStyle="1" w:styleId="Confidence">
    <w:name w:val="Confidence"/>
    <w:basedOn w:val="Normal"/>
    <w:next w:val="Normal"/>
    <w:uiPriority w:val="99"/>
    <w:pPr>
      <w:spacing w:before="360" w:after="120" w:line="240" w:lineRule="auto"/>
      <w:jc w:val="center"/>
    </w:pPr>
    <w:rPr>
      <w:rFonts w:ascii="Times New Roman" w:eastAsia="Times New Roman" w:hAnsi="Times New Roman"/>
      <w:sz w:val="24"/>
      <w:szCs w:val="24"/>
    </w:rPr>
  </w:style>
  <w:style w:type="paragraph" w:customStyle="1" w:styleId="Confidentialit">
    <w:name w:val="Confidentialité"/>
    <w:basedOn w:val="Normal"/>
    <w:next w:val="TypedudocumentPagedecouverture"/>
    <w:uiPriority w:val="99"/>
    <w:pPr>
      <w:spacing w:before="240" w:after="240" w:line="240" w:lineRule="auto"/>
      <w:ind w:left="5103"/>
      <w:jc w:val="both"/>
    </w:pPr>
    <w:rPr>
      <w:rFonts w:ascii="Times New Roman" w:eastAsia="Times New Roman" w:hAnsi="Times New Roman"/>
      <w:i/>
      <w:sz w:val="32"/>
      <w:szCs w:val="24"/>
    </w:rPr>
  </w:style>
  <w:style w:type="paragraph" w:customStyle="1" w:styleId="TypedudocumentPagedecouverture">
    <w:name w:val="Type du document (Page de couverture)"/>
    <w:basedOn w:val="Typedudocument"/>
    <w:next w:val="TitreobjetPagedecouverture"/>
    <w:uiPriority w:val="99"/>
  </w:style>
  <w:style w:type="paragraph" w:customStyle="1" w:styleId="Typedudocument">
    <w:name w:val="Type du document"/>
    <w:basedOn w:val="Normal"/>
    <w:next w:val="Titreobjet"/>
    <w:uiPriority w:val="99"/>
    <w:pPr>
      <w:spacing w:before="360" w:after="0" w:line="240" w:lineRule="auto"/>
      <w:jc w:val="center"/>
    </w:pPr>
    <w:rPr>
      <w:rFonts w:ascii="Times New Roman" w:eastAsia="Times New Roman" w:hAnsi="Times New Roman"/>
      <w:b/>
      <w:sz w:val="24"/>
      <w:szCs w:val="24"/>
    </w:rPr>
  </w:style>
  <w:style w:type="paragraph" w:customStyle="1" w:styleId="Titreobjet">
    <w:name w:val="Titre objet"/>
    <w:basedOn w:val="Normal"/>
    <w:next w:val="Sous-titreobjet"/>
    <w:uiPriority w:val="99"/>
    <w:pPr>
      <w:spacing w:before="360" w:after="360" w:line="240" w:lineRule="auto"/>
      <w:jc w:val="center"/>
    </w:pPr>
    <w:rPr>
      <w:rFonts w:ascii="Times New Roman" w:eastAsia="Times New Roman" w:hAnsi="Times New Roman"/>
      <w:b/>
      <w:sz w:val="24"/>
      <w:szCs w:val="24"/>
    </w:rPr>
  </w:style>
  <w:style w:type="paragraph" w:customStyle="1" w:styleId="Sous-titreobjet">
    <w:name w:val="Sous-titre objet"/>
    <w:basedOn w:val="Normal"/>
    <w:uiPriority w:val="99"/>
    <w:pPr>
      <w:spacing w:before="40" w:after="0" w:line="240" w:lineRule="auto"/>
      <w:jc w:val="center"/>
    </w:pPr>
    <w:rPr>
      <w:rFonts w:ascii="Times New Roman" w:eastAsia="Times New Roman" w:hAnsi="Times New Roman"/>
      <w:b/>
      <w:sz w:val="24"/>
      <w:szCs w:val="24"/>
    </w:rPr>
  </w:style>
  <w:style w:type="paragraph" w:customStyle="1" w:styleId="TitreobjetPagedecouverture">
    <w:name w:val="Titre objet (Page de couverture)"/>
    <w:basedOn w:val="Titreobjet"/>
    <w:next w:val="Sous-titreobjetPagedecouverture"/>
    <w:uiPriority w:val="99"/>
  </w:style>
  <w:style w:type="paragraph" w:customStyle="1" w:styleId="Sous-titreobjetPagedecouverture">
    <w:name w:val="Sous-titre objet (Page de couverture)"/>
    <w:basedOn w:val="Sous-titreobjet"/>
    <w:uiPriority w:val="99"/>
  </w:style>
  <w:style w:type="paragraph" w:customStyle="1" w:styleId="Considrant">
    <w:name w:val="Considérant"/>
    <w:basedOn w:val="Normal"/>
    <w:pPr>
      <w:numPr>
        <w:numId w:val="31"/>
      </w:numPr>
      <w:spacing w:before="120" w:after="120" w:line="240" w:lineRule="auto"/>
      <w:jc w:val="both"/>
    </w:pPr>
    <w:rPr>
      <w:rFonts w:ascii="Times New Roman" w:eastAsia="Times New Roman" w:hAnsi="Times New Roman"/>
      <w:sz w:val="24"/>
      <w:szCs w:val="24"/>
    </w:rPr>
  </w:style>
  <w:style w:type="paragraph" w:customStyle="1" w:styleId="Corrigendum">
    <w:name w:val="Corrigendum"/>
    <w:basedOn w:val="Normal"/>
    <w:next w:val="Normal"/>
    <w:uiPriority w:val="99"/>
    <w:pPr>
      <w:spacing w:before="40" w:after="240" w:line="240" w:lineRule="auto"/>
      <w:jc w:val="both"/>
    </w:pPr>
    <w:rPr>
      <w:rFonts w:ascii="Times New Roman" w:eastAsia="Times New Roman" w:hAnsi="Times New Roman"/>
      <w:sz w:val="24"/>
      <w:szCs w:val="24"/>
    </w:rPr>
  </w:style>
  <w:style w:type="paragraph" w:customStyle="1" w:styleId="Datedadoption">
    <w:name w:val="Date d'adoption"/>
    <w:basedOn w:val="Normal"/>
    <w:next w:val="Titreobjet"/>
    <w:uiPriority w:val="99"/>
    <w:pPr>
      <w:spacing w:before="360" w:after="0" w:line="240" w:lineRule="auto"/>
      <w:jc w:val="center"/>
    </w:pPr>
    <w:rPr>
      <w:rFonts w:ascii="Times New Roman" w:eastAsia="Times New Roman" w:hAnsi="Times New Roman"/>
      <w:b/>
      <w:sz w:val="24"/>
      <w:szCs w:val="24"/>
    </w:rPr>
  </w:style>
  <w:style w:type="paragraph" w:customStyle="1" w:styleId="Emission">
    <w:name w:val="Emission"/>
    <w:basedOn w:val="Normal"/>
    <w:next w:val="Rfrenceinstitutionnelle"/>
    <w:uiPriority w:val="99"/>
    <w:pPr>
      <w:spacing w:before="40" w:after="0" w:line="240" w:lineRule="auto"/>
      <w:ind w:left="5103"/>
      <w:jc w:val="both"/>
    </w:pPr>
    <w:rPr>
      <w:rFonts w:ascii="Times New Roman" w:eastAsia="Times New Roman" w:hAnsi="Times New Roman"/>
      <w:sz w:val="24"/>
      <w:szCs w:val="24"/>
    </w:rPr>
  </w:style>
  <w:style w:type="paragraph" w:customStyle="1" w:styleId="Rfrenceinstitutionnelle">
    <w:name w:val="Référence institutionnelle"/>
    <w:basedOn w:val="Normal"/>
    <w:next w:val="Confidentialit"/>
    <w:uiPriority w:val="99"/>
    <w:pPr>
      <w:spacing w:before="40" w:after="240" w:line="240" w:lineRule="auto"/>
      <w:ind w:left="5103"/>
      <w:jc w:val="both"/>
    </w:pPr>
    <w:rPr>
      <w:rFonts w:ascii="Times New Roman" w:eastAsia="Times New Roman" w:hAnsi="Times New Roman"/>
      <w:sz w:val="24"/>
      <w:szCs w:val="24"/>
    </w:rPr>
  </w:style>
  <w:style w:type="paragraph" w:customStyle="1" w:styleId="Exposdesmotifstitre">
    <w:name w:val="Exposé des motifs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Formuledadoption">
    <w:name w:val="Formule d'adoption"/>
    <w:basedOn w:val="Normal"/>
    <w:next w:val="Titrearticle"/>
    <w:uiPriority w:val="99"/>
    <w:pPr>
      <w:keepNext/>
      <w:spacing w:before="120" w:after="120" w:line="240" w:lineRule="auto"/>
      <w:jc w:val="both"/>
    </w:pPr>
    <w:rPr>
      <w:rFonts w:ascii="Times New Roman" w:eastAsia="Times New Roman" w:hAnsi="Times New Roman"/>
      <w:sz w:val="24"/>
      <w:szCs w:val="24"/>
    </w:rPr>
  </w:style>
  <w:style w:type="paragraph" w:customStyle="1" w:styleId="Titrearticle">
    <w:name w:val="Titre article"/>
    <w:basedOn w:val="Normal"/>
    <w:next w:val="Normal"/>
    <w:uiPriority w:val="99"/>
    <w:pPr>
      <w:keepNext/>
      <w:spacing w:before="360" w:after="120" w:line="240" w:lineRule="auto"/>
      <w:jc w:val="center"/>
    </w:pPr>
    <w:rPr>
      <w:rFonts w:ascii="Times New Roman" w:eastAsia="Times New Roman" w:hAnsi="Times New Roman"/>
      <w:i/>
      <w:sz w:val="24"/>
      <w:szCs w:val="24"/>
    </w:rPr>
  </w:style>
  <w:style w:type="paragraph" w:customStyle="1" w:styleId="Institutionquiagit">
    <w:name w:val="Institution qui agit"/>
    <w:basedOn w:val="Normal"/>
    <w:next w:val="Normal"/>
    <w:uiPriority w:val="99"/>
    <w:pPr>
      <w:keepNext/>
      <w:spacing w:before="600" w:after="120" w:line="240" w:lineRule="auto"/>
      <w:jc w:val="both"/>
    </w:pPr>
    <w:rPr>
      <w:rFonts w:ascii="Times New Roman" w:eastAsia="Times New Roman" w:hAnsi="Times New Roman"/>
      <w:sz w:val="24"/>
      <w:szCs w:val="24"/>
    </w:rPr>
  </w:style>
  <w:style w:type="paragraph" w:customStyle="1" w:styleId="Langue">
    <w:name w:val="Langue"/>
    <w:basedOn w:val="Normal"/>
    <w:next w:val="Rfrenceinterne"/>
    <w:pPr>
      <w:framePr w:wrap="around" w:vAnchor="page" w:hAnchor="text" w:xAlign="center" w:y="14741"/>
      <w:spacing w:before="40" w:after="600" w:line="240" w:lineRule="auto"/>
      <w:jc w:val="center"/>
    </w:pPr>
    <w:rPr>
      <w:rFonts w:ascii="Times New Roman" w:eastAsia="Times New Roman" w:hAnsi="Times New Roman"/>
      <w:b/>
      <w:caps/>
      <w:sz w:val="24"/>
      <w:szCs w:val="24"/>
    </w:rPr>
  </w:style>
  <w:style w:type="paragraph" w:customStyle="1" w:styleId="Rfrenceinterne">
    <w:name w:val="Référence interne"/>
    <w:basedOn w:val="Normal"/>
    <w:next w:val="Rfrenceinterinstitutionnelle"/>
    <w:uiPriority w:val="99"/>
    <w:pPr>
      <w:spacing w:before="40" w:after="0" w:line="240" w:lineRule="auto"/>
      <w:ind w:left="5103"/>
      <w:jc w:val="both"/>
    </w:pPr>
    <w:rPr>
      <w:rFonts w:ascii="Times New Roman" w:eastAsia="Times New Roman" w:hAnsi="Times New Roman"/>
      <w:sz w:val="24"/>
      <w:szCs w:val="24"/>
    </w:rPr>
  </w:style>
  <w:style w:type="paragraph" w:customStyle="1" w:styleId="Rfrenceinterinstitutionnelle">
    <w:name w:val="Référence interinstitutionnelle"/>
    <w:basedOn w:val="Normal"/>
    <w:next w:val="Statut"/>
    <w:uiPriority w:val="99"/>
    <w:pPr>
      <w:spacing w:before="40" w:after="0" w:line="240" w:lineRule="auto"/>
      <w:ind w:left="5103"/>
      <w:jc w:val="both"/>
    </w:pPr>
    <w:rPr>
      <w:rFonts w:ascii="Times New Roman" w:eastAsia="Times New Roman" w:hAnsi="Times New Roman"/>
      <w:sz w:val="24"/>
      <w:szCs w:val="24"/>
    </w:rPr>
  </w:style>
  <w:style w:type="paragraph" w:customStyle="1" w:styleId="Statut">
    <w:name w:val="Statut"/>
    <w:basedOn w:val="Normal"/>
    <w:next w:val="Typedudocument"/>
    <w:uiPriority w:val="99"/>
    <w:pPr>
      <w:spacing w:before="360" w:after="0" w:line="240" w:lineRule="auto"/>
      <w:jc w:val="center"/>
    </w:pPr>
    <w:rPr>
      <w:rFonts w:ascii="Times New Roman" w:eastAsia="Times New Roman" w:hAnsi="Times New Roman"/>
      <w:sz w:val="24"/>
      <w:szCs w:val="24"/>
    </w:rPr>
  </w:style>
  <w:style w:type="paragraph" w:customStyle="1" w:styleId="ManualConsidrant">
    <w:name w:val="Manual Considérant"/>
    <w:basedOn w:val="Normal"/>
    <w:uiPriority w:val="99"/>
    <w:pPr>
      <w:spacing w:before="120" w:after="120" w:line="240" w:lineRule="auto"/>
      <w:ind w:left="709" w:hanging="709"/>
      <w:jc w:val="both"/>
    </w:pPr>
    <w:rPr>
      <w:rFonts w:ascii="Times New Roman" w:eastAsia="Times New Roman" w:hAnsi="Times New Roman"/>
      <w:sz w:val="24"/>
      <w:szCs w:val="24"/>
    </w:rPr>
  </w:style>
  <w:style w:type="paragraph" w:customStyle="1" w:styleId="Nomdelinstitution">
    <w:name w:val="Nom de l'institution"/>
    <w:basedOn w:val="Normal"/>
    <w:next w:val="Emission"/>
    <w:uiPriority w:val="99"/>
    <w:pPr>
      <w:spacing w:before="40" w:after="0" w:line="240" w:lineRule="auto"/>
      <w:jc w:val="both"/>
    </w:pPr>
    <w:rPr>
      <w:rFonts w:ascii="Arial" w:eastAsia="Times New Roman" w:hAnsi="Arial" w:cs="Arial"/>
      <w:sz w:val="24"/>
      <w:szCs w:val="24"/>
    </w:rPr>
  </w:style>
  <w:style w:type="character" w:customStyle="1" w:styleId="Added">
    <w:name w:val="Added"/>
    <w:uiPriority w:val="99"/>
    <w:rPr>
      <w:rFonts w:cs="Times New Roman"/>
      <w:b/>
      <w:u w:val="single"/>
      <w:shd w:val="clear" w:color="auto" w:fill="auto"/>
    </w:rPr>
  </w:style>
  <w:style w:type="character" w:customStyle="1" w:styleId="Deleted">
    <w:name w:val="Deleted"/>
    <w:uiPriority w:val="99"/>
    <w:rPr>
      <w:rFonts w:cs="Times New Roman"/>
      <w:strike/>
      <w:shd w:val="clear" w:color="auto" w:fill="auto"/>
    </w:rPr>
  </w:style>
  <w:style w:type="paragraph" w:customStyle="1" w:styleId="Address">
    <w:name w:val="Address"/>
    <w:basedOn w:val="Normal"/>
    <w:next w:val="Normal"/>
    <w:uiPriority w:val="99"/>
    <w:pPr>
      <w:keepLines/>
      <w:spacing w:before="120" w:after="120" w:line="360" w:lineRule="auto"/>
      <w:ind w:left="3402"/>
      <w:jc w:val="both"/>
    </w:pPr>
    <w:rPr>
      <w:rFonts w:ascii="Times New Roman" w:eastAsia="Times New Roman" w:hAnsi="Times New Roman"/>
      <w:sz w:val="24"/>
      <w:szCs w:val="24"/>
    </w:rPr>
  </w:style>
  <w:style w:type="paragraph" w:customStyle="1" w:styleId="Objetexterne">
    <w:name w:val="Objet externe"/>
    <w:basedOn w:val="Normal"/>
    <w:next w:val="Normal"/>
    <w:uiPriority w:val="99"/>
    <w:pPr>
      <w:spacing w:before="120" w:after="120" w:line="240" w:lineRule="auto"/>
      <w:jc w:val="both"/>
    </w:pPr>
    <w:rPr>
      <w:rFonts w:ascii="Times New Roman" w:eastAsia="Times New Roman" w:hAnsi="Times New Roman"/>
      <w:i/>
      <w:caps/>
      <w:sz w:val="24"/>
      <w:szCs w:val="24"/>
    </w:rPr>
  </w:style>
  <w:style w:type="paragraph" w:customStyle="1" w:styleId="Pagedecouverture">
    <w:name w:val="Page de couverture"/>
    <w:basedOn w:val="Normal"/>
    <w:next w:val="Normal"/>
    <w:uiPriority w:val="99"/>
    <w:pPr>
      <w:spacing w:before="120" w:after="120" w:line="240" w:lineRule="auto"/>
      <w:jc w:val="both"/>
    </w:pPr>
    <w:rPr>
      <w:rFonts w:ascii="Times New Roman" w:eastAsia="Times New Roman" w:hAnsi="Times New Roman"/>
      <w:sz w:val="24"/>
      <w:szCs w:val="24"/>
    </w:rPr>
  </w:style>
  <w:style w:type="paragraph" w:customStyle="1" w:styleId="Supertitre">
    <w:name w:val="Supertitre"/>
    <w:basedOn w:val="Normal"/>
    <w:next w:val="Normal"/>
    <w:uiPriority w:val="99"/>
    <w:pPr>
      <w:spacing w:before="40" w:after="600" w:line="240" w:lineRule="auto"/>
      <w:jc w:val="center"/>
    </w:pPr>
    <w:rPr>
      <w:rFonts w:ascii="Times New Roman" w:eastAsia="Times New Roman" w:hAnsi="Times New Roman"/>
      <w:b/>
      <w:sz w:val="24"/>
      <w:szCs w:val="24"/>
    </w:rPr>
  </w:style>
  <w:style w:type="paragraph" w:customStyle="1" w:styleId="Languesfaisantfoi">
    <w:name w:val="Langues faisant foi"/>
    <w:basedOn w:val="Normal"/>
    <w:next w:val="Normal"/>
    <w:uiPriority w:val="99"/>
    <w:pPr>
      <w:spacing w:before="360" w:after="0" w:line="240" w:lineRule="auto"/>
      <w:jc w:val="center"/>
    </w:pPr>
    <w:rPr>
      <w:rFonts w:ascii="Times New Roman" w:eastAsia="Times New Roman" w:hAnsi="Times New Roman"/>
      <w:sz w:val="24"/>
      <w:szCs w:val="24"/>
    </w:rPr>
  </w:style>
  <w:style w:type="paragraph" w:customStyle="1" w:styleId="Rfrencecroise">
    <w:name w:val="Référence croisée"/>
    <w:basedOn w:val="Normal"/>
    <w:uiPriority w:val="99"/>
    <w:pPr>
      <w:spacing w:before="40" w:after="0" w:line="240" w:lineRule="auto"/>
      <w:jc w:val="center"/>
    </w:pPr>
    <w:rPr>
      <w:rFonts w:ascii="Times New Roman" w:eastAsia="Times New Roman" w:hAnsi="Times New Roman"/>
      <w:sz w:val="24"/>
      <w:szCs w:val="24"/>
    </w:rPr>
  </w:style>
  <w:style w:type="paragraph" w:customStyle="1" w:styleId="Fichefinanciretitre">
    <w:name w:val="Fiche financière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DatedadoptionPagedecouverture">
    <w:name w:val="Date d'adoption (Page de couverture)"/>
    <w:basedOn w:val="Datedadoption"/>
    <w:next w:val="TitreobjetPagedecouverture"/>
    <w:uiPriority w:val="99"/>
  </w:style>
  <w:style w:type="paragraph" w:customStyle="1" w:styleId="RfrenceinterinstitutionnellePagedecouverture">
    <w:name w:val="Référence interinstitutionnelle (Page de couverture)"/>
    <w:basedOn w:val="Rfrenceinterinstitutionnelle"/>
    <w:next w:val="Confidentialit"/>
    <w:uiPriority w:val="99"/>
  </w:style>
  <w:style w:type="paragraph" w:customStyle="1" w:styleId="StatutPagedecouverture">
    <w:name w:val="Statut (Page de couverture)"/>
    <w:basedOn w:val="Statut"/>
    <w:next w:val="TypedudocumentPagedecouverture"/>
    <w:uiPriority w:val="99"/>
  </w:style>
  <w:style w:type="paragraph" w:customStyle="1" w:styleId="Volume">
    <w:name w:val="Volume"/>
    <w:basedOn w:val="Normal"/>
    <w:next w:val="Confidentialit"/>
    <w:uiPriority w:val="99"/>
    <w:pPr>
      <w:spacing w:before="40" w:after="240" w:line="240" w:lineRule="auto"/>
      <w:ind w:left="5103"/>
      <w:jc w:val="both"/>
    </w:pPr>
    <w:rPr>
      <w:rFonts w:ascii="Times New Roman" w:eastAsia="Times New Roman" w:hAnsi="Times New Roman"/>
      <w:sz w:val="24"/>
      <w:szCs w:val="24"/>
    </w:rPr>
  </w:style>
  <w:style w:type="paragraph" w:customStyle="1" w:styleId="IntrtEEE">
    <w:name w:val="Intérêt EEE"/>
    <w:basedOn w:val="Languesfaisantfoi"/>
    <w:next w:val="Normal"/>
    <w:uiPriority w:val="99"/>
    <w:pPr>
      <w:spacing w:after="240"/>
    </w:pPr>
  </w:style>
  <w:style w:type="paragraph" w:customStyle="1" w:styleId="Accompagnant">
    <w:name w:val="Accompagnant"/>
    <w:basedOn w:val="Normal"/>
    <w:next w:val="Typeacteprincipal"/>
    <w:uiPriority w:val="99"/>
    <w:pPr>
      <w:spacing w:before="40" w:after="240" w:line="240" w:lineRule="auto"/>
      <w:jc w:val="center"/>
    </w:pPr>
    <w:rPr>
      <w:rFonts w:ascii="Times New Roman" w:eastAsia="Times New Roman" w:hAnsi="Times New Roman"/>
      <w:b/>
      <w:i/>
      <w:sz w:val="24"/>
      <w:szCs w:val="24"/>
    </w:rPr>
  </w:style>
  <w:style w:type="paragraph" w:customStyle="1" w:styleId="Typeacteprincipal">
    <w:name w:val="Type acte principal"/>
    <w:basedOn w:val="Normal"/>
    <w:next w:val="Objetacteprincipal"/>
    <w:uiPriority w:val="99"/>
    <w:pPr>
      <w:spacing w:before="40" w:after="240" w:line="240" w:lineRule="auto"/>
      <w:jc w:val="center"/>
    </w:pPr>
    <w:rPr>
      <w:rFonts w:ascii="Times New Roman" w:eastAsia="Times New Roman" w:hAnsi="Times New Roman"/>
      <w:b/>
      <w:sz w:val="24"/>
      <w:szCs w:val="24"/>
    </w:rPr>
  </w:style>
  <w:style w:type="paragraph" w:customStyle="1" w:styleId="Objetacteprincipal">
    <w:name w:val="Objet acte principal"/>
    <w:basedOn w:val="Normal"/>
    <w:next w:val="Titrearticle"/>
    <w:uiPriority w:val="99"/>
    <w:pPr>
      <w:spacing w:before="40" w:after="360" w:line="240" w:lineRule="auto"/>
      <w:jc w:val="center"/>
    </w:pPr>
    <w:rPr>
      <w:rFonts w:ascii="Times New Roman" w:eastAsia="Times New Roman" w:hAnsi="Times New Roman"/>
      <w:b/>
      <w:sz w:val="24"/>
      <w:szCs w:val="24"/>
    </w:rPr>
  </w:style>
  <w:style w:type="paragraph" w:customStyle="1" w:styleId="IntrtEEEPagedecouverture">
    <w:name w:val="Intérêt EEE (Page de couverture)"/>
    <w:basedOn w:val="IntrtEEE"/>
    <w:next w:val="Rfrencecroise"/>
    <w:uiPriority w:val="99"/>
  </w:style>
  <w:style w:type="paragraph" w:customStyle="1" w:styleId="AccompagnantPagedecouverture">
    <w:name w:val="Accompagnant (Page de couverture)"/>
    <w:basedOn w:val="Accompagnant"/>
    <w:next w:val="TypeacteprincipalPagedecouverture"/>
    <w:uiPriority w:val="99"/>
  </w:style>
  <w:style w:type="paragraph" w:customStyle="1" w:styleId="TypeacteprincipalPagedecouverture">
    <w:name w:val="Type acte principal (Page de couverture)"/>
    <w:basedOn w:val="Typeacteprincipal"/>
    <w:next w:val="ObjetacteprincipalPagedecouverture"/>
    <w:uiPriority w:val="99"/>
  </w:style>
  <w:style w:type="paragraph" w:customStyle="1" w:styleId="ObjetacteprincipalPagedecouverture">
    <w:name w:val="Objet acte principal (Page de couverture)"/>
    <w:basedOn w:val="Objetacteprincipal"/>
    <w:next w:val="Rfrencecroise"/>
    <w:uiPriority w:val="99"/>
  </w:style>
  <w:style w:type="paragraph" w:customStyle="1" w:styleId="LanguesfaisantfoiPagedecouverture">
    <w:name w:val="Langues faisant foi (Page de couverture)"/>
    <w:basedOn w:val="Normal"/>
    <w:next w:val="Normal"/>
    <w:uiPriority w:val="99"/>
    <w:pPr>
      <w:spacing w:before="360" w:after="0" w:line="240" w:lineRule="auto"/>
      <w:jc w:val="center"/>
    </w:pPr>
    <w:rPr>
      <w:rFonts w:ascii="Times New Roman" w:eastAsia="Times New Roman" w:hAnsi="Times New Roman"/>
      <w:sz w:val="24"/>
      <w:szCs w:val="24"/>
    </w:rPr>
  </w:style>
  <w:style w:type="paragraph" w:styleId="ListBullet">
    <w:name w:val="List Bullet"/>
    <w:basedOn w:val="Normal"/>
    <w:uiPriority w:val="99"/>
    <w:pPr>
      <w:numPr>
        <w:numId w:val="13"/>
      </w:numPr>
      <w:tabs>
        <w:tab w:val="clear" w:pos="643"/>
        <w:tab w:val="num" w:pos="926"/>
        <w:tab w:val="num" w:pos="1984"/>
      </w:tabs>
      <w:spacing w:before="120" w:after="120" w:line="240" w:lineRule="auto"/>
      <w:ind w:left="360"/>
      <w:jc w:val="both"/>
    </w:pPr>
    <w:rPr>
      <w:rFonts w:ascii="Times New Roman" w:eastAsia="Times New Roman" w:hAnsi="Times New Roman"/>
      <w:sz w:val="24"/>
      <w:szCs w:val="24"/>
    </w:rPr>
  </w:style>
  <w:style w:type="paragraph" w:styleId="ListBullet2">
    <w:name w:val="List Bullet 2"/>
    <w:basedOn w:val="Normal"/>
    <w:uiPriority w:val="99"/>
    <w:pPr>
      <w:numPr>
        <w:numId w:val="14"/>
      </w:numPr>
      <w:tabs>
        <w:tab w:val="clear" w:pos="926"/>
        <w:tab w:val="num" w:pos="643"/>
        <w:tab w:val="num" w:pos="1209"/>
        <w:tab w:val="num" w:pos="2551"/>
      </w:tabs>
      <w:spacing w:before="120" w:after="120" w:line="240" w:lineRule="auto"/>
      <w:ind w:left="643"/>
      <w:jc w:val="both"/>
    </w:pPr>
    <w:rPr>
      <w:rFonts w:ascii="Times New Roman" w:eastAsia="Times New Roman" w:hAnsi="Times New Roman"/>
      <w:sz w:val="24"/>
      <w:szCs w:val="24"/>
    </w:rPr>
  </w:style>
  <w:style w:type="paragraph" w:styleId="ListBullet3">
    <w:name w:val="List Bullet 3"/>
    <w:basedOn w:val="Normal"/>
    <w:uiPriority w:val="99"/>
    <w:pPr>
      <w:numPr>
        <w:numId w:val="8"/>
      </w:numPr>
      <w:tabs>
        <w:tab w:val="clear" w:pos="360"/>
        <w:tab w:val="num" w:pos="926"/>
        <w:tab w:val="num" w:pos="3118"/>
      </w:tabs>
      <w:spacing w:before="120" w:after="120" w:line="240" w:lineRule="auto"/>
      <w:ind w:left="926"/>
      <w:jc w:val="both"/>
    </w:pPr>
    <w:rPr>
      <w:rFonts w:ascii="Times New Roman" w:eastAsia="Times New Roman" w:hAnsi="Times New Roman"/>
      <w:sz w:val="24"/>
      <w:szCs w:val="24"/>
    </w:rPr>
  </w:style>
  <w:style w:type="paragraph" w:styleId="ListBullet4">
    <w:name w:val="List Bullet 4"/>
    <w:basedOn w:val="Normal"/>
    <w:uiPriority w:val="99"/>
    <w:pPr>
      <w:numPr>
        <w:numId w:val="9"/>
      </w:numPr>
      <w:tabs>
        <w:tab w:val="num" w:pos="709"/>
        <w:tab w:val="num" w:pos="1209"/>
      </w:tabs>
      <w:spacing w:before="120" w:after="120" w:line="240" w:lineRule="auto"/>
      <w:ind w:left="1209"/>
      <w:jc w:val="both"/>
    </w:pPr>
    <w:rPr>
      <w:rFonts w:ascii="Times New Roman" w:eastAsia="Times New Roman" w:hAnsi="Times New Roman"/>
      <w:sz w:val="24"/>
      <w:szCs w:val="24"/>
    </w:rPr>
  </w:style>
  <w:style w:type="character" w:styleId="Emphasis">
    <w:name w:val="Emphasis"/>
    <w:uiPriority w:val="20"/>
    <w:qFormat/>
    <w:rPr>
      <w:rFonts w:cs="Times New Roman"/>
      <w:i/>
    </w:rPr>
  </w:style>
  <w:style w:type="paragraph" w:styleId="NormalWeb">
    <w:name w:val="Normal (Web)"/>
    <w:basedOn w:val="Normal"/>
    <w:uiPriority w:val="99"/>
    <w:pPr>
      <w:spacing w:before="100" w:beforeAutospacing="1" w:after="115" w:line="240" w:lineRule="auto"/>
      <w:jc w:val="both"/>
    </w:pPr>
    <w:rPr>
      <w:rFonts w:ascii="Times" w:eastAsia="Times New Roman" w:hAnsi="Times"/>
      <w:sz w:val="20"/>
      <w:szCs w:val="20"/>
      <w:lang w:val="en-US"/>
    </w:rPr>
  </w:style>
  <w:style w:type="paragraph" w:styleId="PlainText">
    <w:name w:val="Plain Text"/>
    <w:basedOn w:val="Normal"/>
    <w:link w:val="PlainTextChar1"/>
    <w:uiPriority w:val="99"/>
    <w:pPr>
      <w:widowControl w:val="0"/>
      <w:suppressAutoHyphens/>
      <w:spacing w:before="40" w:after="0" w:line="240" w:lineRule="auto"/>
      <w:jc w:val="both"/>
    </w:pPr>
    <w:rPr>
      <w:rFonts w:ascii="Arial" w:eastAsia="Arial Unicode MS" w:hAnsi="Arial" w:cs="Arial Unicode MS"/>
      <w:kern w:val="1"/>
      <w:sz w:val="24"/>
      <w:szCs w:val="24"/>
      <w:lang w:eastAsia="hi-IN" w:bidi="hi-IN"/>
    </w:rPr>
  </w:style>
  <w:style w:type="character" w:customStyle="1" w:styleId="PlainTextChar">
    <w:name w:val="Plain Text Char"/>
    <w:rPr>
      <w:rFonts w:ascii="Courier New" w:hAnsi="Courier New" w:cs="Courier New"/>
      <w:lang w:val="en-GB" w:eastAsia="en-US"/>
    </w:rPr>
  </w:style>
  <w:style w:type="character" w:customStyle="1" w:styleId="PlainTextChar1">
    <w:name w:val="Plain Text Char1"/>
    <w:link w:val="PlainText"/>
    <w:uiPriority w:val="99"/>
    <w:rPr>
      <w:rFonts w:ascii="Arial" w:eastAsia="Arial Unicode MS" w:hAnsi="Arial" w:cs="Arial Unicode MS"/>
      <w:kern w:val="1"/>
      <w:sz w:val="24"/>
      <w:szCs w:val="24"/>
      <w:lang w:val="en-GB" w:eastAsia="hi-IN" w:bidi="hi-IN"/>
    </w:rPr>
  </w:style>
  <w:style w:type="paragraph" w:styleId="BodyText">
    <w:name w:val="Body Text"/>
    <w:basedOn w:val="Normal"/>
    <w:link w:val="BodyTextChar1"/>
    <w:uiPriority w:val="99"/>
    <w:pPr>
      <w:widowControl w:val="0"/>
      <w:suppressAutoHyphens/>
      <w:spacing w:before="40" w:after="120" w:line="240" w:lineRule="auto"/>
      <w:jc w:val="both"/>
    </w:pPr>
    <w:rPr>
      <w:rFonts w:ascii="Arial" w:eastAsia="Arial Unicode MS" w:hAnsi="Arial" w:cs="Arial Unicode MS"/>
      <w:kern w:val="1"/>
      <w:sz w:val="24"/>
      <w:szCs w:val="24"/>
      <w:lang w:eastAsia="hi-IN" w:bidi="hi-IN"/>
    </w:rPr>
  </w:style>
  <w:style w:type="character" w:customStyle="1" w:styleId="BodyTextChar">
    <w:name w:val="Body Text Char"/>
    <w:rPr>
      <w:sz w:val="22"/>
      <w:szCs w:val="22"/>
      <w:lang w:val="en-GB" w:eastAsia="en-US"/>
    </w:rPr>
  </w:style>
  <w:style w:type="character" w:customStyle="1" w:styleId="BodyTextChar1">
    <w:name w:val="Body Text Char1"/>
    <w:link w:val="BodyText"/>
    <w:uiPriority w:val="99"/>
    <w:rPr>
      <w:rFonts w:ascii="Arial" w:eastAsia="Arial Unicode MS" w:hAnsi="Arial" w:cs="Arial Unicode MS"/>
      <w:kern w:val="1"/>
      <w:sz w:val="24"/>
      <w:szCs w:val="24"/>
      <w:lang w:val="en-GB" w:eastAsia="hi-IN" w:bidi="hi-IN"/>
    </w:rPr>
  </w:style>
  <w:style w:type="paragraph" w:styleId="ListNumber">
    <w:name w:val="List Number"/>
    <w:basedOn w:val="Normal"/>
    <w:uiPriority w:val="99"/>
    <w:pPr>
      <w:numPr>
        <w:numId w:val="15"/>
      </w:numPr>
      <w:spacing w:before="40" w:after="240" w:line="240" w:lineRule="auto"/>
      <w:jc w:val="both"/>
    </w:pPr>
    <w:rPr>
      <w:rFonts w:ascii="Times New Roman" w:eastAsia="Times New Roman" w:hAnsi="Times New Roman"/>
      <w:sz w:val="24"/>
      <w:szCs w:val="20"/>
    </w:rPr>
  </w:style>
  <w:style w:type="paragraph" w:customStyle="1" w:styleId="ListNumberLevel2">
    <w:name w:val="List Number (Level 2)"/>
    <w:basedOn w:val="Normal"/>
    <w:uiPriority w:val="99"/>
    <w:pPr>
      <w:numPr>
        <w:ilvl w:val="1"/>
        <w:numId w:val="15"/>
      </w:numPr>
      <w:spacing w:before="40"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uiPriority w:val="99"/>
    <w:pPr>
      <w:numPr>
        <w:ilvl w:val="2"/>
        <w:numId w:val="15"/>
      </w:numPr>
      <w:spacing w:before="40"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uiPriority w:val="99"/>
    <w:pPr>
      <w:numPr>
        <w:ilvl w:val="3"/>
        <w:numId w:val="15"/>
      </w:numPr>
      <w:spacing w:before="40" w:after="240" w:line="240" w:lineRule="auto"/>
      <w:jc w:val="both"/>
    </w:pPr>
    <w:rPr>
      <w:rFonts w:ascii="Times New Roman" w:eastAsia="Times New Roman" w:hAnsi="Times New Roman"/>
      <w:sz w:val="24"/>
      <w:szCs w:val="20"/>
    </w:rPr>
  </w:style>
  <w:style w:type="character" w:customStyle="1" w:styleId="CommentTextChar1">
    <w:name w:val="Comment Text Char1"/>
    <w:rPr>
      <w:rFonts w:eastAsia="Times New Roman"/>
      <w:lang w:val="x-none" w:eastAsia="x-none"/>
    </w:rPr>
  </w:style>
  <w:style w:type="paragraph" w:customStyle="1" w:styleId="Not">
    <w:name w:val="Not"/>
    <w:basedOn w:val="FootnoteText"/>
    <w:uiPriority w:val="99"/>
    <w:pPr>
      <w:ind w:left="0" w:firstLine="0"/>
    </w:pPr>
  </w:style>
  <w:style w:type="character" w:customStyle="1" w:styleId="t23">
    <w:name w:val="t23"/>
    <w:uiPriority w:val="99"/>
    <w:rPr>
      <w:rFonts w:cs="Times New Roman"/>
      <w:shd w:val="clear" w:color="auto" w:fill="auto"/>
    </w:rPr>
  </w:style>
  <w:style w:type="character" w:customStyle="1" w:styleId="t25">
    <w:name w:val="t25"/>
    <w:uiPriority w:val="99"/>
    <w:rPr>
      <w:rFonts w:cs="Times New Roman"/>
      <w:shd w:val="clear" w:color="auto" w:fill="auto"/>
    </w:rPr>
  </w:style>
  <w:style w:type="character" w:customStyle="1" w:styleId="Caractresdenotedebasdepage">
    <w:name w:val="Caractères de note de bas de page"/>
    <w:uiPriority w:val="99"/>
    <w:rPr>
      <w:rFonts w:cs="Times New Roman"/>
      <w:shd w:val="clear" w:color="auto" w:fill="auto"/>
      <w:vertAlign w:val="superscript"/>
    </w:rPr>
  </w:style>
  <w:style w:type="character" w:customStyle="1" w:styleId="t9">
    <w:name w:val="t9"/>
    <w:uiPriority w:val="99"/>
    <w:rPr>
      <w:rFonts w:cs="Times New Roman"/>
      <w:shd w:val="clear" w:color="auto" w:fill="auto"/>
    </w:rPr>
  </w:style>
  <w:style w:type="character" w:customStyle="1" w:styleId="t10">
    <w:name w:val="t10"/>
    <w:uiPriority w:val="99"/>
    <w:rPr>
      <w:rFonts w:cs="Times New Roman"/>
      <w:shd w:val="clear" w:color="auto" w:fill="auto"/>
    </w:rPr>
  </w:style>
  <w:style w:type="character" w:customStyle="1" w:styleId="t20">
    <w:name w:val="t20"/>
    <w:uiPriority w:val="99"/>
    <w:rPr>
      <w:rFonts w:cs="Times New Roman"/>
      <w:shd w:val="clear" w:color="auto" w:fill="auto"/>
    </w:rPr>
  </w:style>
  <w:style w:type="character" w:customStyle="1" w:styleId="t21">
    <w:name w:val="t21"/>
    <w:uiPriority w:val="99"/>
    <w:rPr>
      <w:rFonts w:cs="Times New Roman"/>
      <w:shd w:val="clear" w:color="auto" w:fill="auto"/>
    </w:rPr>
  </w:style>
  <w:style w:type="character" w:customStyle="1" w:styleId="t5">
    <w:name w:val="t5"/>
    <w:uiPriority w:val="99"/>
    <w:rPr>
      <w:rFonts w:cs="Times New Roman"/>
      <w:shd w:val="clear" w:color="auto" w:fill="auto"/>
    </w:rPr>
  </w:style>
  <w:style w:type="character" w:customStyle="1" w:styleId="t4">
    <w:name w:val="t4"/>
    <w:uiPriority w:val="99"/>
    <w:rPr>
      <w:rFonts w:cs="Times New Roman"/>
      <w:shd w:val="clear" w:color="auto" w:fill="auto"/>
    </w:rPr>
  </w:style>
  <w:style w:type="character" w:customStyle="1" w:styleId="t11">
    <w:name w:val="t11"/>
    <w:uiPriority w:val="99"/>
    <w:rPr>
      <w:rFonts w:cs="Times New Roman"/>
      <w:shd w:val="clear" w:color="auto" w:fill="auto"/>
    </w:rPr>
  </w:style>
  <w:style w:type="character" w:customStyle="1" w:styleId="CaptionChar1">
    <w:name w:val="Caption Char1"/>
    <w:uiPriority w:val="99"/>
    <w:locked/>
    <w:rPr>
      <w:rFonts w:ascii="Times New Roman" w:eastAsia="Times New Roman" w:hAnsi="Times New Roman" w:cs="Times New Roman"/>
      <w:b/>
      <w:bCs/>
      <w:sz w:val="20"/>
      <w:szCs w:val="20"/>
      <w:lang w:val="en-GB"/>
    </w:rPr>
  </w:style>
  <w:style w:type="paragraph" w:styleId="TableofFigures">
    <w:name w:val="table of figures"/>
    <w:basedOn w:val="Normal"/>
    <w:next w:val="Normal"/>
    <w:uiPriority w:val="99"/>
    <w:pPr>
      <w:spacing w:before="40" w:after="120" w:line="240" w:lineRule="auto"/>
      <w:ind w:left="482" w:hanging="482"/>
      <w:jc w:val="both"/>
    </w:pPr>
    <w:rPr>
      <w:rFonts w:ascii="Times New Roman" w:eastAsia="Times New Roman" w:hAnsi="Times New Roman"/>
      <w:bCs/>
      <w:sz w:val="24"/>
      <w:szCs w:val="20"/>
    </w:rPr>
  </w:style>
  <w:style w:type="paragraph" w:styleId="ListNumber2">
    <w:name w:val="List Number 2"/>
    <w:basedOn w:val="Normal"/>
    <w:uiPriority w:val="99"/>
    <w:pPr>
      <w:numPr>
        <w:numId w:val="10"/>
      </w:numPr>
      <w:tabs>
        <w:tab w:val="clear" w:pos="926"/>
        <w:tab w:val="num" w:pos="643"/>
        <w:tab w:val="num" w:pos="850"/>
        <w:tab w:val="num" w:pos="1209"/>
      </w:tabs>
      <w:spacing w:before="120" w:after="120" w:line="240" w:lineRule="auto"/>
      <w:ind w:left="643"/>
      <w:jc w:val="both"/>
    </w:pPr>
    <w:rPr>
      <w:rFonts w:ascii="Times New Roman" w:eastAsia="Times New Roman" w:hAnsi="Times New Roman"/>
      <w:sz w:val="24"/>
      <w:szCs w:val="24"/>
    </w:rPr>
  </w:style>
  <w:style w:type="paragraph" w:styleId="ListNumber3">
    <w:name w:val="List Number 3"/>
    <w:basedOn w:val="Normal"/>
    <w:uiPriority w:val="99"/>
    <w:pPr>
      <w:numPr>
        <w:numId w:val="11"/>
      </w:numPr>
      <w:tabs>
        <w:tab w:val="clear" w:pos="1209"/>
        <w:tab w:val="num" w:pos="926"/>
        <w:tab w:val="num" w:pos="1417"/>
      </w:tabs>
      <w:spacing w:before="120" w:after="120" w:line="240" w:lineRule="auto"/>
      <w:ind w:left="926"/>
      <w:jc w:val="both"/>
    </w:pPr>
    <w:rPr>
      <w:rFonts w:ascii="Times New Roman" w:eastAsia="Times New Roman" w:hAnsi="Times New Roman"/>
      <w:sz w:val="24"/>
      <w:szCs w:val="24"/>
    </w:rPr>
  </w:style>
  <w:style w:type="paragraph" w:styleId="ListNumber4">
    <w:name w:val="List Number 4"/>
    <w:basedOn w:val="Normal"/>
    <w:uiPriority w:val="99"/>
    <w:pPr>
      <w:numPr>
        <w:numId w:val="12"/>
      </w:numPr>
      <w:tabs>
        <w:tab w:val="clear" w:pos="360"/>
        <w:tab w:val="num" w:pos="643"/>
        <w:tab w:val="num" w:pos="1209"/>
        <w:tab w:val="num" w:pos="1984"/>
      </w:tabs>
      <w:spacing w:before="120" w:after="120" w:line="240" w:lineRule="auto"/>
      <w:ind w:left="1209"/>
      <w:jc w:val="both"/>
    </w:pPr>
    <w:rPr>
      <w:rFonts w:ascii="Times New Roman" w:eastAsia="Times New Roman" w:hAnsi="Times New Roman"/>
      <w:sz w:val="24"/>
      <w:szCs w:val="24"/>
    </w:rPr>
  </w:style>
  <w:style w:type="paragraph" w:customStyle="1" w:styleId="Nomral">
    <w:name w:val="Nomral"/>
    <w:basedOn w:val="Normal"/>
    <w:uiPriority w:val="99"/>
    <w:pPr>
      <w:spacing w:before="120" w:after="120" w:line="240" w:lineRule="auto"/>
      <w:jc w:val="both"/>
    </w:pPr>
    <w:rPr>
      <w:rFonts w:ascii="Times New Roman" w:eastAsia="Times New Roman" w:hAnsi="Times New Roman"/>
      <w:sz w:val="24"/>
      <w:szCs w:val="24"/>
    </w:rPr>
  </w:style>
  <w:style w:type="paragraph" w:customStyle="1" w:styleId="Heading">
    <w:name w:val="Heading"/>
    <w:basedOn w:val="Heading1"/>
    <w:uiPriority w:val="99"/>
    <w:pPr>
      <w:tabs>
        <w:tab w:val="num" w:pos="643"/>
        <w:tab w:val="num" w:pos="850"/>
      </w:tabs>
      <w:spacing w:before="360" w:after="120" w:line="240" w:lineRule="auto"/>
      <w:ind w:left="850" w:hanging="850"/>
      <w:jc w:val="both"/>
    </w:pPr>
    <w:rPr>
      <w:rFonts w:ascii="Times New Roman" w:hAnsi="Times New Roman"/>
      <w:smallCaps/>
      <w:kern w:val="0"/>
      <w:sz w:val="24"/>
      <w:lang w:eastAsia="x-none"/>
    </w:rPr>
  </w:style>
  <w:style w:type="character" w:styleId="FollowedHyperlink">
    <w:name w:val="FollowedHyperlink"/>
    <w:uiPriority w:val="99"/>
    <w:rPr>
      <w:rFonts w:cs="Times New Roman"/>
      <w:color w:val="800080"/>
      <w:u w:val="single"/>
    </w:rPr>
  </w:style>
  <w:style w:type="paragraph" w:customStyle="1" w:styleId="FootnotesText">
    <w:name w:val="Footnotes Text"/>
    <w:basedOn w:val="Normal"/>
    <w:link w:val="FootnotesTextChar"/>
    <w:uiPriority w:val="99"/>
    <w:pPr>
      <w:autoSpaceDE w:val="0"/>
      <w:autoSpaceDN w:val="0"/>
      <w:adjustRightInd w:val="0"/>
      <w:spacing w:before="40" w:after="0" w:line="240" w:lineRule="auto"/>
      <w:jc w:val="both"/>
    </w:pPr>
    <w:rPr>
      <w:rFonts w:ascii="Times New Roman" w:eastAsia="Times New Roman" w:hAnsi="Times New Roman"/>
      <w:b/>
      <w:bCs/>
      <w:sz w:val="24"/>
      <w:szCs w:val="24"/>
      <w:lang w:eastAsia="en-GB"/>
    </w:rPr>
  </w:style>
  <w:style w:type="character" w:customStyle="1" w:styleId="FootnotesTextChar">
    <w:name w:val="Footnotes Text Char"/>
    <w:link w:val="FootnotesText"/>
    <w:uiPriority w:val="99"/>
    <w:locked/>
    <w:rPr>
      <w:rFonts w:ascii="Times New Roman" w:eastAsia="Times New Roman" w:hAnsi="Times New Roman"/>
      <w:b/>
      <w:bCs/>
      <w:sz w:val="24"/>
      <w:szCs w:val="24"/>
      <w:lang w:val="en-GB" w:eastAsia="en-GB"/>
    </w:rPr>
  </w:style>
  <w:style w:type="character" w:customStyle="1" w:styleId="hps">
    <w:name w:val="hps"/>
    <w:uiPriority w:val="99"/>
    <w:rPr>
      <w:rFonts w:cs="Times New Roman"/>
    </w:rPr>
  </w:style>
  <w:style w:type="paragraph" w:customStyle="1" w:styleId="Default">
    <w:name w:val="Default"/>
    <w:uiPriority w:val="99"/>
    <w:pPr>
      <w:autoSpaceDE w:val="0"/>
      <w:autoSpaceDN w:val="0"/>
      <w:adjustRightInd w:val="0"/>
    </w:pPr>
    <w:rPr>
      <w:rFonts w:ascii="EUAlbertina" w:eastAsia="Times New Roman" w:hAnsi="EUAlbertina" w:cs="EUAlbertina"/>
      <w:color w:val="000000"/>
      <w:sz w:val="24"/>
      <w:szCs w:val="24"/>
    </w:rPr>
  </w:style>
  <w:style w:type="paragraph" w:customStyle="1" w:styleId="CM4">
    <w:name w:val="CM4"/>
    <w:basedOn w:val="Default"/>
    <w:next w:val="Default"/>
    <w:uiPriority w:val="99"/>
    <w:rPr>
      <w:rFonts w:cs="Times New Roman"/>
      <w:color w:val="auto"/>
    </w:rPr>
  </w:style>
  <w:style w:type="character" w:customStyle="1" w:styleId="spiritsinfol">
    <w:name w:val="spirit s_info_l"/>
    <w:uiPriority w:val="99"/>
    <w:rPr>
      <w:rFonts w:cs="Times New Roman"/>
      <w:sz w:val="24"/>
      <w:szCs w:val="24"/>
    </w:rPr>
  </w:style>
  <w:style w:type="character" w:styleId="HTMLCite">
    <w:name w:val="HTML Cite"/>
    <w:uiPriority w:val="99"/>
    <w:rPr>
      <w:rFonts w:cs="Times New Roman"/>
      <w:i/>
      <w:iCs/>
    </w:rPr>
  </w:style>
  <w:style w:type="paragraph" w:customStyle="1" w:styleId="NormalBorderSinglesolidline">
    <w:name w:val="Normal + Border: : (Single solid line"/>
    <w:aliases w:val="Auto,0.5 pt Line width)"/>
    <w:basedOn w:val="Normal"/>
    <w:uiPriority w:val="99"/>
    <w:pPr>
      <w:spacing w:before="120" w:after="120" w:line="240" w:lineRule="auto"/>
      <w:jc w:val="both"/>
    </w:pPr>
    <w:rPr>
      <w:rFonts w:ascii="Times New Roman" w:eastAsia="Times New Roman" w:hAnsi="Times New Roman"/>
      <w:sz w:val="24"/>
      <w:szCs w:val="24"/>
      <w:bdr w:val="single" w:sz="4" w:space="0" w:color="auto"/>
    </w:rPr>
  </w:style>
  <w:style w:type="paragraph" w:customStyle="1" w:styleId="a3520normal">
    <w:name w:val="a___35__20_normal"/>
    <w:basedOn w:val="Normal"/>
    <w:uiPriority w:val="99"/>
    <w:pPr>
      <w:spacing w:before="100" w:beforeAutospacing="1" w:after="100" w:afterAutospacing="1" w:line="240" w:lineRule="auto"/>
      <w:jc w:val="both"/>
    </w:pPr>
    <w:rPr>
      <w:rFonts w:ascii="Times New Roman" w:eastAsia="Times New Roman" w:hAnsi="Times New Roman"/>
      <w:sz w:val="24"/>
      <w:szCs w:val="24"/>
      <w:lang w:eastAsia="en-GB"/>
    </w:rPr>
  </w:style>
  <w:style w:type="paragraph" w:customStyle="1" w:styleId="Noral">
    <w:name w:val="Noral"/>
    <w:basedOn w:val="Normal"/>
    <w:uiPriority w:val="99"/>
    <w:pPr>
      <w:spacing w:before="120" w:after="120" w:line="240" w:lineRule="auto"/>
      <w:jc w:val="both"/>
    </w:pPr>
    <w:rPr>
      <w:rFonts w:ascii="Times New Roman" w:eastAsia="Times New Roman" w:hAnsi="Times New Roman"/>
      <w:color w:val="0000FF"/>
      <w:sz w:val="24"/>
      <w:szCs w:val="24"/>
    </w:rPr>
  </w:style>
  <w:style w:type="character" w:customStyle="1" w:styleId="CharChar3">
    <w:name w:val="Char Char3"/>
    <w:uiPriority w:val="99"/>
    <w:semiHidden/>
    <w:locked/>
    <w:rPr>
      <w:lang w:val="en-GB" w:eastAsia="en-US"/>
    </w:rPr>
  </w:style>
  <w:style w:type="character" w:customStyle="1" w:styleId="CharChar2">
    <w:name w:val="Char Char2"/>
    <w:semiHidden/>
    <w:locked/>
    <w:rPr>
      <w:rFonts w:cs="Times New Roman"/>
      <w:sz w:val="20"/>
      <w:szCs w:val="20"/>
      <w:lang w:eastAsia="en-US"/>
    </w:rPr>
  </w:style>
  <w:style w:type="character" w:customStyle="1" w:styleId="CharChar5">
    <w:name w:val="Char Char5"/>
    <w:semiHidden/>
    <w:locked/>
    <w:rPr>
      <w:rFonts w:cs="Times New Roman"/>
      <w:lang w:val="en-GB" w:eastAsia="en-US" w:bidi="ar-SA"/>
    </w:rPr>
  </w:style>
  <w:style w:type="character" w:customStyle="1" w:styleId="CharChar7">
    <w:name w:val="Char Char7"/>
    <w:semiHidden/>
    <w:locked/>
    <w:rPr>
      <w:rFonts w:cs="Times New Roman"/>
      <w:lang w:val="en-GB" w:eastAsia="en-US" w:bidi="ar-SA"/>
    </w:rPr>
  </w:style>
  <w:style w:type="paragraph" w:styleId="Title">
    <w:name w:val="Title"/>
    <w:basedOn w:val="Normal"/>
    <w:link w:val="TitleChar"/>
    <w:qFormat/>
    <w:pPr>
      <w:spacing w:before="240" w:after="60" w:line="240" w:lineRule="auto"/>
      <w:jc w:val="center"/>
      <w:outlineLvl w:val="0"/>
    </w:pPr>
    <w:rPr>
      <w:rFonts w:ascii="Arial" w:hAnsi="Arial"/>
      <w:b/>
      <w:bCs/>
      <w:kern w:val="28"/>
      <w:sz w:val="32"/>
      <w:szCs w:val="32"/>
      <w:lang w:eastAsia="x-none"/>
    </w:rPr>
  </w:style>
  <w:style w:type="character" w:customStyle="1" w:styleId="TitleChar">
    <w:name w:val="Title Char"/>
    <w:link w:val="Title"/>
    <w:rPr>
      <w:rFonts w:ascii="Arial" w:hAnsi="Arial"/>
      <w:b/>
      <w:bCs/>
      <w:kern w:val="28"/>
      <w:sz w:val="32"/>
      <w:szCs w:val="32"/>
      <w:lang w:val="en-GB" w:eastAsia="x-none"/>
    </w:rPr>
  </w:style>
  <w:style w:type="paragraph" w:customStyle="1" w:styleId="entetepair">
    <w:name w:val="entete_pair"/>
    <w:pPr>
      <w:pBdr>
        <w:bottom w:val="single" w:sz="4" w:space="5" w:color="C00000"/>
      </w:pBdr>
      <w:spacing w:after="300"/>
    </w:pPr>
    <w:rPr>
      <w:rFonts w:ascii="Arial Narrow" w:hAnsi="Arial Narrow" w:cs="Arial"/>
      <w:color w:val="000000"/>
      <w:spacing w:val="20"/>
      <w:sz w:val="18"/>
      <w:lang w:eastAsia="en-US"/>
    </w:rPr>
  </w:style>
  <w:style w:type="paragraph" w:customStyle="1" w:styleId="enteteimpair">
    <w:name w:val="entete_impair"/>
    <w:basedOn w:val="entetepair"/>
    <w:pPr>
      <w:jc w:val="right"/>
    </w:pPr>
    <w:rPr>
      <w:lang w:val="en-US"/>
    </w:rPr>
  </w:style>
  <w:style w:type="paragraph" w:customStyle="1" w:styleId="exemple">
    <w:name w:val="exemple"/>
    <w:pPr>
      <w:spacing w:before="120" w:line="300" w:lineRule="auto"/>
      <w:ind w:left="369"/>
      <w:jc w:val="both"/>
    </w:pPr>
    <w:rPr>
      <w:rFonts w:ascii="Arial Narrow" w:hAnsi="Arial Narrow"/>
      <w:lang w:eastAsia="en-US"/>
    </w:rPr>
  </w:style>
  <w:style w:type="paragraph" w:customStyle="1" w:styleId="H1etiket">
    <w:name w:val="H1_etiket"/>
    <w:basedOn w:val="Heading1"/>
    <w:pPr>
      <w:spacing w:before="0" w:after="600" w:line="300" w:lineRule="auto"/>
      <w:jc w:val="right"/>
    </w:pPr>
    <w:rPr>
      <w:rFonts w:ascii="Verdana" w:eastAsia="Calibri" w:hAnsi="Verdana" w:cs="Arial"/>
      <w:bCs w:val="0"/>
      <w:caps/>
      <w:noProof/>
      <w:color w:val="943634"/>
      <w:kern w:val="0"/>
      <w:sz w:val="52"/>
      <w:szCs w:val="52"/>
      <w:lang w:eastAsia="x-none"/>
    </w:rPr>
  </w:style>
  <w:style w:type="paragraph" w:customStyle="1" w:styleId="H1prelim">
    <w:name w:val="H1_prelim"/>
    <w:pPr>
      <w:pBdr>
        <w:bottom w:val="single" w:sz="8" w:space="31" w:color="auto"/>
      </w:pBdr>
      <w:tabs>
        <w:tab w:val="left" w:pos="2268"/>
      </w:tabs>
      <w:spacing w:before="800" w:after="180"/>
      <w:jc w:val="center"/>
    </w:pPr>
    <w:rPr>
      <w:rFonts w:ascii="Arial" w:hAnsi="Arial" w:cs="Arial"/>
      <w:b/>
      <w:caps/>
      <w:color w:val="000000"/>
      <w:spacing w:val="60"/>
      <w:sz w:val="36"/>
      <w:lang w:val="fr-FR" w:eastAsia="en-US"/>
    </w:rPr>
  </w:style>
  <w:style w:type="paragraph" w:customStyle="1" w:styleId="H1subtitle">
    <w:name w:val="H1_subtitle"/>
    <w:basedOn w:val="Heading1"/>
    <w:pPr>
      <w:widowControl w:val="0"/>
      <w:shd w:val="clear" w:color="auto" w:fill="FFCC99"/>
      <w:spacing w:after="0" w:line="360" w:lineRule="auto"/>
      <w:jc w:val="center"/>
    </w:pPr>
    <w:rPr>
      <w:rFonts w:ascii="Verdana" w:eastAsia="Calibri" w:hAnsi="Verdana" w:cs="Arial"/>
      <w:bCs w:val="0"/>
      <w:caps/>
      <w:noProof/>
      <w:spacing w:val="20"/>
      <w:kern w:val="28"/>
      <w:lang w:eastAsia="x-none"/>
    </w:rPr>
  </w:style>
  <w:style w:type="paragraph" w:customStyle="1" w:styleId="noteexplicative">
    <w:name w:val="note explicative"/>
    <w:pPr>
      <w:spacing w:before="100" w:after="60"/>
    </w:pPr>
    <w:rPr>
      <w:rFonts w:ascii="Arial" w:hAnsi="Arial" w:cs="Arial"/>
      <w:b/>
      <w:bCs/>
      <w:color w:val="C00000"/>
      <w:sz w:val="18"/>
      <w:u w:val="single"/>
      <w:lang w:eastAsia="en-US"/>
    </w:rPr>
  </w:style>
  <w:style w:type="paragraph" w:customStyle="1" w:styleId="pays">
    <w:name w:val="pays"/>
    <w:pPr>
      <w:spacing w:before="200" w:after="100"/>
    </w:pPr>
    <w:rPr>
      <w:rFonts w:ascii="Myriad Pro" w:hAnsi="Myriad Pro"/>
      <w:b/>
      <w:color w:val="993300"/>
      <w:sz w:val="21"/>
      <w:lang w:eastAsia="en-US"/>
    </w:rPr>
  </w:style>
  <w:style w:type="paragraph" w:customStyle="1" w:styleId="tableauougraphique">
    <w:name w:val="tableau ou graphique"/>
    <w:pPr>
      <w:keepNext/>
      <w:numPr>
        <w:numId w:val="18"/>
      </w:numPr>
      <w:spacing w:before="200" w:after="200" w:line="276" w:lineRule="auto"/>
      <w:ind w:hanging="720"/>
    </w:pPr>
    <w:rPr>
      <w:rFonts w:ascii="Arial Narrow" w:eastAsia="Times New Roman" w:hAnsi="Arial Narrow" w:cs="Arial"/>
      <w:b/>
      <w:bCs/>
      <w:noProof/>
      <w:color w:val="943634"/>
      <w:lang w:eastAsia="en-US"/>
    </w:rPr>
  </w:style>
  <w:style w:type="paragraph" w:customStyle="1" w:styleId="texteparbullet">
    <w:name w:val="texte+par+bullet"/>
    <w:basedOn w:val="Normal"/>
    <w:pPr>
      <w:numPr>
        <w:numId w:val="17"/>
      </w:numPr>
      <w:spacing w:before="160" w:after="0" w:line="300" w:lineRule="auto"/>
      <w:jc w:val="both"/>
    </w:pPr>
    <w:rPr>
      <w:rFonts w:ascii="Arial" w:hAnsi="Arial" w:cs="Arial"/>
      <w:noProof/>
      <w:sz w:val="20"/>
      <w:szCs w:val="20"/>
      <w:lang w:eastAsia="de-DE"/>
    </w:rPr>
  </w:style>
  <w:style w:type="paragraph" w:customStyle="1" w:styleId="texteparbulletretrait">
    <w:name w:val="texte+par+bullet+retrait"/>
    <w:basedOn w:val="texteparbullet"/>
    <w:pPr>
      <w:numPr>
        <w:numId w:val="0"/>
      </w:numPr>
      <w:spacing w:before="80"/>
    </w:pPr>
  </w:style>
  <w:style w:type="paragraph" w:customStyle="1" w:styleId="texte1">
    <w:name w:val="texte1"/>
    <w:basedOn w:val="Normal"/>
    <w:pPr>
      <w:spacing w:before="40" w:after="0" w:line="240" w:lineRule="auto"/>
      <w:jc w:val="both"/>
    </w:pPr>
    <w:rPr>
      <w:rFonts w:ascii="Arial" w:hAnsi="Arial" w:cs="Arial"/>
      <w:sz w:val="2"/>
      <w:szCs w:val="17"/>
      <w:lang w:eastAsia="en-GB"/>
    </w:rPr>
  </w:style>
  <w:style w:type="paragraph" w:customStyle="1" w:styleId="texte83ap">
    <w:name w:val="texte8_3ap"/>
    <w:basedOn w:val="Normal"/>
    <w:pPr>
      <w:widowControl w:val="0"/>
      <w:spacing w:before="40" w:after="60" w:line="240" w:lineRule="auto"/>
      <w:jc w:val="both"/>
    </w:pPr>
    <w:rPr>
      <w:rFonts w:ascii="Arial" w:hAnsi="Arial" w:cs="Arial"/>
      <w:sz w:val="16"/>
      <w:szCs w:val="16"/>
    </w:rPr>
  </w:style>
  <w:style w:type="paragraph" w:customStyle="1" w:styleId="texte">
    <w:name w:val="texte"/>
    <w:basedOn w:val="textepar"/>
    <w:pPr>
      <w:spacing w:before="0"/>
      <w:jc w:val="left"/>
    </w:pPr>
    <w:rPr>
      <w:rFonts w:eastAsia="Calibri" w:cs="Arial"/>
      <w:sz w:val="20"/>
      <w:szCs w:val="20"/>
      <w:lang w:eastAsia="en-GB"/>
    </w:rPr>
  </w:style>
  <w:style w:type="character" w:customStyle="1" w:styleId="Caracteresdenotaderodap">
    <w:name w:val="Caracteres de nota de rodapé"/>
    <w:rPr>
      <w:rFonts w:cs="Times New Roman"/>
      <w:vertAlign w:val="superscript"/>
    </w:rPr>
  </w:style>
  <w:style w:type="character" w:customStyle="1" w:styleId="rightside">
    <w:name w:val="right_side"/>
    <w:rPr>
      <w:rFonts w:cs="Times New Roman"/>
    </w:rPr>
  </w:style>
  <w:style w:type="paragraph" w:customStyle="1" w:styleId="CM1">
    <w:name w:val="CM1"/>
    <w:basedOn w:val="Default"/>
    <w:next w:val="Default"/>
    <w:rPr>
      <w:rFonts w:cs="Times New Roman"/>
      <w:color w:val="auto"/>
    </w:rPr>
  </w:style>
  <w:style w:type="paragraph" w:customStyle="1" w:styleId="CM3">
    <w:name w:val="CM3"/>
    <w:basedOn w:val="Default"/>
    <w:next w:val="Default"/>
    <w:rPr>
      <w:rFonts w:cs="Times New Roman"/>
      <w:color w:val="auto"/>
    </w:rPr>
  </w:style>
  <w:style w:type="paragraph" w:customStyle="1" w:styleId="Headin2">
    <w:name w:val="Headin 2"/>
    <w:basedOn w:val="Normal"/>
    <w:pPr>
      <w:keepNext/>
      <w:tabs>
        <w:tab w:val="left" w:pos="540"/>
      </w:tabs>
      <w:spacing w:before="320" w:after="360" w:line="240" w:lineRule="auto"/>
      <w:jc w:val="both"/>
      <w:outlineLvl w:val="1"/>
    </w:pPr>
    <w:rPr>
      <w:rFonts w:ascii="Arial" w:eastAsia="Times New Roman" w:hAnsi="Arial" w:cs="Arial"/>
      <w:b/>
      <w:bCs/>
      <w:color w:val="943634"/>
      <w:spacing w:val="10"/>
      <w:sz w:val="28"/>
      <w:szCs w:val="28"/>
    </w:rPr>
  </w:style>
  <w:style w:type="paragraph" w:customStyle="1" w:styleId="HwSINF">
    <w:name w:val="HwSINF §"/>
    <w:basedOn w:val="Normal"/>
    <w:pPr>
      <w:keepNext/>
      <w:spacing w:before="270" w:after="160" w:line="240" w:lineRule="auto"/>
      <w:jc w:val="both"/>
      <w:outlineLvl w:val="2"/>
    </w:pPr>
    <w:rPr>
      <w:rFonts w:ascii="Verdana" w:eastAsia="Times New Roman" w:hAnsi="Verdana"/>
      <w:b/>
      <w:color w:val="943634"/>
      <w:sz w:val="24"/>
    </w:rPr>
  </w:style>
  <w:style w:type="paragraph" w:styleId="DocumentMap">
    <w:name w:val="Document Map"/>
    <w:basedOn w:val="Normal"/>
    <w:link w:val="DocumentMapChar"/>
    <w:semiHidden/>
    <w:pPr>
      <w:shd w:val="clear" w:color="auto" w:fill="000080"/>
      <w:spacing w:before="120" w:after="120" w:line="240" w:lineRule="auto"/>
      <w:jc w:val="both"/>
    </w:pPr>
    <w:rPr>
      <w:rFonts w:ascii="Tahoma" w:eastAsia="Times New Roman" w:hAnsi="Tahoma"/>
      <w:sz w:val="20"/>
      <w:szCs w:val="20"/>
      <w:lang w:eastAsia="x-none"/>
    </w:rPr>
  </w:style>
  <w:style w:type="character" w:customStyle="1" w:styleId="DocumentMapChar">
    <w:name w:val="Document Map Char"/>
    <w:link w:val="DocumentMap"/>
    <w:semiHidden/>
    <w:rPr>
      <w:rFonts w:ascii="Tahoma" w:eastAsia="Times New Roman" w:hAnsi="Tahoma"/>
      <w:shd w:val="clear" w:color="auto" w:fill="000080"/>
      <w:lang w:val="en-GB" w:eastAsia="x-none"/>
    </w:rPr>
  </w:style>
  <w:style w:type="paragraph" w:customStyle="1" w:styleId="PartTit">
    <w:name w:val="PartTit#"/>
    <w:basedOn w:val="Heading1"/>
    <w:pPr>
      <w:tabs>
        <w:tab w:val="num" w:pos="850"/>
      </w:tabs>
      <w:spacing w:before="360" w:after="120" w:line="240" w:lineRule="auto"/>
      <w:ind w:left="850" w:hanging="850"/>
      <w:jc w:val="both"/>
    </w:pPr>
    <w:rPr>
      <w:rFonts w:ascii="Times New Roman" w:hAnsi="Times New Roman"/>
      <w:smallCaps/>
      <w:kern w:val="0"/>
      <w:sz w:val="24"/>
      <w:lang w:eastAsia="x-none"/>
    </w:rPr>
  </w:style>
  <w:style w:type="paragraph" w:customStyle="1" w:styleId="ManualHeading10">
    <w:name w:val="ManualHeading 1"/>
    <w:basedOn w:val="Normal"/>
    <w:qFormat/>
    <w:pPr>
      <w:spacing w:before="120" w:after="120" w:line="240" w:lineRule="auto"/>
      <w:jc w:val="both"/>
    </w:pPr>
    <w:rPr>
      <w:rFonts w:ascii="Times New Roman" w:eastAsia="Times New Roman" w:hAnsi="Times New Roman"/>
      <w:sz w:val="24"/>
      <w:szCs w:val="24"/>
    </w:rPr>
  </w:style>
  <w:style w:type="paragraph" w:customStyle="1" w:styleId="PartTitel">
    <w:name w:val="PartTitel"/>
    <w:basedOn w:val="Normal"/>
    <w:pPr>
      <w:spacing w:before="120" w:after="120" w:line="240" w:lineRule="auto"/>
      <w:jc w:val="both"/>
    </w:pPr>
    <w:rPr>
      <w:rFonts w:ascii="Times New Roman" w:eastAsia="Times New Roman" w:hAnsi="Times New Roman"/>
      <w:sz w:val="24"/>
      <w:szCs w:val="24"/>
    </w:rPr>
  </w:style>
  <w:style w:type="paragraph" w:customStyle="1" w:styleId="Heading20">
    <w:name w:val="Heading 2#"/>
    <w:basedOn w:val="Normal"/>
    <w:qFormat/>
    <w:pPr>
      <w:spacing w:before="160" w:after="0" w:line="300" w:lineRule="auto"/>
      <w:jc w:val="both"/>
    </w:pPr>
    <w:rPr>
      <w:rFonts w:ascii="Verdana" w:eastAsia="Times New Roman" w:hAnsi="Verdana" w:cs="Arial"/>
      <w:color w:val="632423"/>
      <w:sz w:val="20"/>
      <w:szCs w:val="20"/>
    </w:rPr>
  </w:style>
  <w:style w:type="paragraph" w:customStyle="1" w:styleId="Point00">
    <w:name w:val="Point0"/>
    <w:basedOn w:val="Point1"/>
    <w:pPr>
      <w:tabs>
        <w:tab w:val="left" w:pos="567"/>
      </w:tabs>
      <w:ind w:left="719" w:hanging="435"/>
    </w:pPr>
  </w:style>
  <w:style w:type="paragraph" w:customStyle="1" w:styleId="ManualHeading20">
    <w:name w:val="ManualHeading 2"/>
    <w:basedOn w:val="Normal"/>
    <w:pPr>
      <w:spacing w:before="120" w:after="120" w:line="240" w:lineRule="auto"/>
      <w:jc w:val="both"/>
    </w:pPr>
    <w:rPr>
      <w:rFonts w:ascii="Times New Roman" w:eastAsia="Times New Roman" w:hAnsi="Times New Roman"/>
      <w:sz w:val="24"/>
      <w:szCs w:val="24"/>
    </w:rPr>
  </w:style>
  <w:style w:type="character" w:customStyle="1" w:styleId="at1">
    <w:name w:val="a__t1"/>
  </w:style>
  <w:style w:type="paragraph" w:customStyle="1" w:styleId="Caption0">
    <w:name w:val="Caption#"/>
    <w:basedOn w:val="Normal"/>
    <w:qFormat/>
    <w:pPr>
      <w:spacing w:before="40" w:after="180" w:line="240" w:lineRule="auto"/>
      <w:jc w:val="both"/>
    </w:pPr>
    <w:rPr>
      <w:rFonts w:ascii="Times New Roman" w:eastAsia="Times New Roman" w:hAnsi="Times New Roman"/>
      <w:sz w:val="24"/>
      <w:lang w:val="en-US"/>
    </w:rPr>
  </w:style>
  <w:style w:type="character" w:customStyle="1" w:styleId="Titolodellibro">
    <w:name w:val="Titolo del libro"/>
    <w:uiPriority w:val="33"/>
    <w:qFormat/>
    <w:rPr>
      <w:b/>
      <w:bCs/>
      <w:smallCaps/>
      <w:spacing w:val="5"/>
    </w:rPr>
  </w:style>
  <w:style w:type="paragraph" w:customStyle="1" w:styleId="Reference">
    <w:name w:val="Reference"/>
    <w:basedOn w:val="Normal"/>
    <w:link w:val="ReferenceChar"/>
    <w:qFormat/>
    <w:pPr>
      <w:keepLines/>
      <w:spacing w:before="40" w:after="120" w:line="240" w:lineRule="auto"/>
      <w:ind w:left="720" w:hanging="720"/>
    </w:pPr>
    <w:rPr>
      <w:rFonts w:ascii="Times New Roman" w:eastAsia="Times New Roman" w:hAnsi="Times New Roman"/>
      <w:noProof/>
      <w:lang w:val="en-US"/>
    </w:rPr>
  </w:style>
  <w:style w:type="character" w:customStyle="1" w:styleId="st1">
    <w:name w:val="st1"/>
  </w:style>
  <w:style w:type="character" w:customStyle="1" w:styleId="ReferenceChar">
    <w:name w:val="Reference Char"/>
    <w:link w:val="Reference"/>
    <w:rPr>
      <w:rFonts w:ascii="Times New Roman" w:eastAsia="Times New Roman" w:hAnsi="Times New Roman"/>
      <w:noProof/>
      <w:sz w:val="22"/>
      <w:szCs w:val="22"/>
      <w:lang w:val="en-US"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TitolosommarioCarattere">
    <w:name w:val="Titolo sommario Carattere"/>
    <w:link w:val="Titolosommario"/>
    <w:uiPriority w:val="39"/>
    <w:rPr>
      <w:rFonts w:ascii="Times New Roman" w:eastAsia="Times New Roman" w:hAnsi="Times New Roman"/>
      <w:b/>
      <w:sz w:val="28"/>
      <w:szCs w:val="24"/>
      <w:lang w:val="x-none" w:eastAsia="en-US"/>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customStyle="1" w:styleId="top">
    <w:name w:val="top"/>
    <w:basedOn w:val="Normal"/>
    <w:link w:val="topChar"/>
    <w:qFormat/>
    <w:pPr>
      <w:spacing w:after="0" w:line="240" w:lineRule="auto"/>
      <w:jc w:val="both"/>
    </w:pPr>
    <w:rPr>
      <w:rFonts w:ascii="Times New Roman" w:eastAsia="Times New Roman" w:hAnsi="Times New Roman"/>
      <w:sz w:val="2"/>
      <w:szCs w:val="2"/>
      <w:lang w:val="en-US"/>
    </w:rPr>
  </w:style>
  <w:style w:type="paragraph" w:customStyle="1" w:styleId="Tiop">
    <w:name w:val="Tiop"/>
    <w:basedOn w:val="Normal"/>
    <w:qFormat/>
    <w:pPr>
      <w:spacing w:before="40" w:after="180" w:line="240" w:lineRule="auto"/>
      <w:jc w:val="both"/>
    </w:pPr>
    <w:rPr>
      <w:rFonts w:ascii="Times New Roman" w:eastAsia="Times New Roman" w:hAnsi="Times New Roman"/>
      <w:sz w:val="24"/>
      <w:lang w:val="en-US"/>
    </w:rPr>
  </w:style>
  <w:style w:type="character" w:customStyle="1" w:styleId="topChar">
    <w:name w:val="top Char"/>
    <w:link w:val="top"/>
    <w:rPr>
      <w:rFonts w:ascii="Times New Roman" w:eastAsia="Times New Roman" w:hAnsi="Times New Roman"/>
      <w:sz w:val="2"/>
      <w:szCs w:val="2"/>
      <w:lang w:val="en-US" w:eastAsia="en-US"/>
    </w:rPr>
  </w:style>
  <w:style w:type="paragraph" w:customStyle="1" w:styleId="a75TextbaseTable">
    <w:name w:val="_a7_5_Text_base_Table"/>
    <w:qFormat/>
    <w:pPr>
      <w:tabs>
        <w:tab w:val="left" w:pos="1985"/>
      </w:tabs>
    </w:pPr>
    <w:rPr>
      <w:rFonts w:ascii="Arial" w:eastAsia="Times New Roman" w:hAnsi="Arial" w:cs="Arial"/>
      <w:snapToGrid w:val="0"/>
      <w:color w:val="1F497D"/>
      <w:sz w:val="16"/>
      <w:szCs w:val="16"/>
      <w:lang w:val="en-US" w:eastAsia="en-US"/>
    </w:rPr>
  </w:style>
  <w:style w:type="paragraph" w:customStyle="1" w:styleId="p91Textpara">
    <w:name w:val="_p9_1_Text_para"/>
    <w:pPr>
      <w:tabs>
        <w:tab w:val="left" w:pos="4253"/>
      </w:tabs>
      <w:spacing w:before="160" w:line="300" w:lineRule="auto"/>
      <w:jc w:val="both"/>
    </w:pPr>
    <w:rPr>
      <w:rFonts w:ascii="Arial" w:hAnsi="Arial" w:cs="Arial"/>
      <w:color w:val="1F497D"/>
      <w:lang w:eastAsia="en-US"/>
    </w:rPr>
  </w:style>
  <w:style w:type="paragraph" w:styleId="Revision">
    <w:name w:val="Revision"/>
    <w:hidden/>
    <w:uiPriority w:val="99"/>
    <w:semiHidden/>
    <w:rPr>
      <w:sz w:val="22"/>
      <w:szCs w:val="22"/>
      <w:lang w:eastAsia="en-US"/>
    </w:rPr>
  </w:style>
  <w:style w:type="paragraph" w:customStyle="1" w:styleId="Yo5TextEUYouthTOC">
    <w:name w:val="_Yo_5_Text_EU_Youth_TOC"/>
    <w:pPr>
      <w:keepNext/>
      <w:framePr w:hSpace="180" w:wrap="around" w:vAnchor="text" w:hAnchor="margin" w:x="108" w:y="100"/>
    </w:pPr>
    <w:rPr>
      <w:rFonts w:ascii="Arial Narrow" w:eastAsia="Cambria" w:hAnsi="Arial Narrow" w:cs="Arial"/>
      <w:b/>
      <w:bCs/>
      <w:noProof/>
      <w:color w:val="C00000"/>
      <w:lang w:eastAsia="en-US"/>
    </w:rPr>
  </w:style>
  <w:style w:type="paragraph" w:customStyle="1" w:styleId="Yo5TextEUYouth">
    <w:name w:val="_Yo_5_Text_EU_Youth"/>
    <w:basedOn w:val="Yo5TextNotes"/>
    <w:qFormat/>
    <w:pPr>
      <w:framePr w:hSpace="180" w:wrap="around" w:vAnchor="text" w:hAnchor="margin" w:x="108" w:y="100"/>
    </w:pPr>
    <w:rPr>
      <w:b/>
      <w:color w:val="C00000"/>
      <w:sz w:val="2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Yo0H1Char">
    <w:name w:val="_Yo_0_H1 Char"/>
    <w:link w:val="Yo0H1"/>
    <w:rPr>
      <w:rFonts w:ascii="Verdana" w:eastAsia="Times New Roman" w:hAnsi="Verdana" w:cs="MyriadPro-Bold"/>
      <w:b/>
      <w:bCs w:val="0"/>
      <w:color w:val="DB1E48"/>
      <w:kern w:val="32"/>
      <w:sz w:val="44"/>
      <w:szCs w:val="44"/>
      <w:lang w:val="en-US" w:eastAsia="fr-BE"/>
    </w:rPr>
  </w:style>
  <w:style w:type="character" w:customStyle="1" w:styleId="FooterSensitivityChar">
    <w:name w:val="Footer Sensitivity Char"/>
    <w:link w:val="FooterSensitivity"/>
    <w:rPr>
      <w:rFonts w:ascii="Times New Roman" w:hAnsi="Times New Roman"/>
      <w:b/>
      <w:sz w:val="32"/>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link w:val="HeaderSensitivity"/>
    <w:rPr>
      <w:rFonts w:ascii="Times New Roman" w:hAnsi="Times New Roman"/>
      <w:b/>
      <w:sz w:val="32"/>
      <w:szCs w:val="22"/>
      <w:lang w:eastAsia="en-US"/>
    </w:rPr>
  </w:style>
  <w:style w:type="paragraph" w:styleId="TOCHeading">
    <w:name w:val="TOC Heading"/>
    <w:basedOn w:val="Heading1"/>
    <w:next w:val="Normal"/>
    <w:uiPriority w:val="39"/>
    <w:unhideWhenUsed/>
    <w:qFormat/>
    <w:pPr>
      <w:keepLines/>
      <w:spacing w:after="0" w:line="259" w:lineRule="auto"/>
      <w:outlineLvl w:val="9"/>
    </w:pPr>
    <w:rPr>
      <w:rFonts w:ascii="Calibri Light" w:hAnsi="Calibri Light"/>
      <w:b w:val="0"/>
      <w:bCs w:val="0"/>
      <w:color w:val="2E74B5"/>
      <w:kern w:val="0"/>
      <w:lang w:val="en-US"/>
    </w:rPr>
  </w:style>
  <w:style w:type="paragraph" w:customStyle="1" w:styleId="Yo13YouthIndicator">
    <w:name w:val="_Yo_13_Youth_Indicator"/>
    <w:qFormat/>
    <w:pPr>
      <w:spacing w:line="300" w:lineRule="auto"/>
      <w:ind w:left="113" w:right="113"/>
    </w:pPr>
    <w:rPr>
      <w:b/>
      <w:color w:val="FFFFFF"/>
      <w:sz w:val="16"/>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491573">
      <w:bodyDiv w:val="1"/>
      <w:marLeft w:val="0"/>
      <w:marRight w:val="0"/>
      <w:marTop w:val="0"/>
      <w:marBottom w:val="0"/>
      <w:divBdr>
        <w:top w:val="none" w:sz="0" w:space="0" w:color="auto"/>
        <w:left w:val="none" w:sz="0" w:space="0" w:color="auto"/>
        <w:bottom w:val="none" w:sz="0" w:space="0" w:color="auto"/>
        <w:right w:val="none" w:sz="0" w:space="0" w:color="auto"/>
      </w:divBdr>
    </w:div>
    <w:div w:id="1184512386">
      <w:bodyDiv w:val="1"/>
      <w:marLeft w:val="0"/>
      <w:marRight w:val="0"/>
      <w:marTop w:val="0"/>
      <w:marBottom w:val="0"/>
      <w:divBdr>
        <w:top w:val="none" w:sz="0" w:space="0" w:color="auto"/>
        <w:left w:val="none" w:sz="0" w:space="0" w:color="auto"/>
        <w:bottom w:val="none" w:sz="0" w:space="0" w:color="auto"/>
        <w:right w:val="none" w:sz="0" w:space="0" w:color="auto"/>
      </w:divBdr>
    </w:div>
    <w:div w:id="137357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8.png"/><Relationship Id="rId21" Type="http://schemas.openxmlformats.org/officeDocument/2006/relationships/footer" Target="footer6.xml"/><Relationship Id="rId34" Type="http://schemas.openxmlformats.org/officeDocument/2006/relationships/image" Target="file:///G:\TOOLS\Templates_Graphs\Maps\Excel\PNG\C2M.png" TargetMode="External"/><Relationship Id="rId42" Type="http://schemas.openxmlformats.org/officeDocument/2006/relationships/image" Target="file:///\\s-eacea-fs03-p\EACEA.A7\Youth\04_Reports\a_EU_Youth_Reports\2018\03_graph\1_B_youth_MAP.jpg" TargetMode="External"/><Relationship Id="rId47" Type="http://schemas.openxmlformats.org/officeDocument/2006/relationships/image" Target="media/image14.jpeg"/><Relationship Id="rId50" Type="http://schemas.openxmlformats.org/officeDocument/2006/relationships/image" Target="file:///\\s-eacea-fs03-p\EACEA.A7\Youth\04_Reports\a_EU_Youth_Reports\2018\03_graph\1_D_youth_share_trend.jpg" TargetMode="External"/><Relationship Id="rId55" Type="http://schemas.openxmlformats.org/officeDocument/2006/relationships/image" Target="media/image19.jpeg"/><Relationship Id="rId63" Type="http://schemas.openxmlformats.org/officeDocument/2006/relationships/footer" Target="footer1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file:///G:\TOOLS\Templates_Graphs\Maps\Excel\PNG\C2L.png" TargetMode="External"/><Relationship Id="rId37" Type="http://schemas.openxmlformats.org/officeDocument/2006/relationships/image" Target="media/image7.png"/><Relationship Id="rId40" Type="http://schemas.openxmlformats.org/officeDocument/2006/relationships/image" Target="media/image9.png"/><Relationship Id="rId45" Type="http://schemas.openxmlformats.org/officeDocument/2006/relationships/image" Target="file:///C:\Users\paredcr\AppData\Local\Temp\03_graph\1_C_youth_share.jpg" TargetMode="External"/><Relationship Id="rId53" Type="http://schemas.openxmlformats.org/officeDocument/2006/relationships/image" Target="media/image18.jpeg"/><Relationship Id="rId58" Type="http://schemas.openxmlformats.org/officeDocument/2006/relationships/image" Target="media/image21.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image" Target="file:///G:\TOOLS\Templates_Graphs\Maps\Excel\PNG\C2D.png" TargetMode="External"/><Relationship Id="rId49" Type="http://schemas.openxmlformats.org/officeDocument/2006/relationships/image" Target="media/image16.jpeg"/><Relationship Id="rId57" Type="http://schemas.openxmlformats.org/officeDocument/2006/relationships/image" Target="file:///C:\Users\paredcr\AppData\Local\Temp\03_graph\1_G_non_EU.jpg" TargetMode="External"/><Relationship Id="rId61" Type="http://schemas.openxmlformats.org/officeDocument/2006/relationships/header" Target="header1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4.png"/><Relationship Id="rId44" Type="http://schemas.openxmlformats.org/officeDocument/2006/relationships/image" Target="media/image12.jpeg"/><Relationship Id="rId52" Type="http://schemas.openxmlformats.org/officeDocument/2006/relationships/image" Target="file:///\\s-eacea-fs03-p\EACEA.A7\Youth\04_Reports\a_EU_Youth_Reports\2018\03_graph\1_E_projection.jpg" TargetMode="External"/><Relationship Id="rId60" Type="http://schemas.openxmlformats.org/officeDocument/2006/relationships/header" Target="header10.xml"/><Relationship Id="rId65"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file:///\\s-eacea-fs03-p\EACEA.A7\Youth\04_Reports\a_EU_Youth_Reports\2018\03_graph\1_A_children_MAP.jpg" TargetMode="External"/><Relationship Id="rId35" Type="http://schemas.openxmlformats.org/officeDocument/2006/relationships/image" Target="media/image6.png"/><Relationship Id="rId43" Type="http://schemas.openxmlformats.org/officeDocument/2006/relationships/image" Target="media/image11.png"/><Relationship Id="rId48" Type="http://schemas.openxmlformats.org/officeDocument/2006/relationships/image" Target="media/image15.jpeg"/><Relationship Id="rId56" Type="http://schemas.openxmlformats.org/officeDocument/2006/relationships/image" Target="media/image20.png"/><Relationship Id="rId64"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image" Target="media/image5.png"/><Relationship Id="rId38" Type="http://schemas.openxmlformats.org/officeDocument/2006/relationships/image" Target="file:///\\s-eacea-fs03-p\EACEA.A7\TOOLS\Templates_Graphs\Maps\Excel\PNG\dotWhiteBkgDarkBlue_KEY.png" TargetMode="External"/><Relationship Id="rId46" Type="http://schemas.openxmlformats.org/officeDocument/2006/relationships/image" Target="media/image13.jpeg"/><Relationship Id="rId59" Type="http://schemas.openxmlformats.org/officeDocument/2006/relationships/image" Target="file:///\\s-eacea-fs03-p\EACEA.A7\Youth\04_Reports\a_EU_Youth_Reports\2018\03_graph\1_H_EU_mobility.jpg" TargetMode="External"/><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10.jpeg"/><Relationship Id="rId54" Type="http://schemas.openxmlformats.org/officeDocument/2006/relationships/image" Target="file:///\\s-eacea-fs03-p\EACEA.A7\Youth\04_Reports\a_EU_Youth_Reports\2018\03_graph\1_F_crude_rates.jpg" TargetMode="External"/><Relationship Id="rId62" Type="http://schemas.openxmlformats.org/officeDocument/2006/relationships/footer" Target="footer10.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urostat/statistics-explained/index.php/Migration_and_migrant_population_statistics" TargetMode="External"/><Relationship Id="rId2" Type="http://schemas.openxmlformats.org/officeDocument/2006/relationships/hyperlink" Target="http://ec.europa.eu/eurostat/statistics-explained/index.php/Population_and_population_change_statistics" TargetMode="External"/><Relationship Id="rId1" Type="http://schemas.openxmlformats.org/officeDocument/2006/relationships/hyperlink" Target="https://eacea.ec.europa.eu/national-policies/en/content/youthwiki/youthwiki" TargetMode="External"/><Relationship Id="rId4" Type="http://schemas.openxmlformats.org/officeDocument/2006/relationships/hyperlink" Target="http://euonthemove.eu/lessons-learn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07399-9862-4589-93F7-B2ACBC22C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5294</Words>
  <Characters>28168</Characters>
  <Application>Microsoft Office Word</Application>
  <DocSecurity>0</DocSecurity>
  <Lines>552</Lines>
  <Paragraphs>210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33252</CharactersWithSpaces>
  <SharedDoc>false</SharedDoc>
  <HLinks>
    <vt:vector size="120" baseType="variant">
      <vt:variant>
        <vt:i4>7864382</vt:i4>
      </vt:variant>
      <vt:variant>
        <vt:i4>9</vt:i4>
      </vt:variant>
      <vt:variant>
        <vt:i4>0</vt:i4>
      </vt:variant>
      <vt:variant>
        <vt:i4>5</vt:i4>
      </vt:variant>
      <vt:variant>
        <vt:lpwstr>http://euonthemove.eu/lessons-learned/</vt:lpwstr>
      </vt:variant>
      <vt:variant>
        <vt:lpwstr/>
      </vt:variant>
      <vt:variant>
        <vt:i4>720986</vt:i4>
      </vt:variant>
      <vt:variant>
        <vt:i4>6</vt:i4>
      </vt:variant>
      <vt:variant>
        <vt:i4>0</vt:i4>
      </vt:variant>
      <vt:variant>
        <vt:i4>5</vt:i4>
      </vt:variant>
      <vt:variant>
        <vt:lpwstr>http://ec.europa.eu/eurostat/statistics-explained/index.php/Migration_and_migrant_population_statistics</vt:lpwstr>
      </vt:variant>
      <vt:variant>
        <vt:lpwstr/>
      </vt:variant>
      <vt:variant>
        <vt:i4>65627</vt:i4>
      </vt:variant>
      <vt:variant>
        <vt:i4>3</vt:i4>
      </vt:variant>
      <vt:variant>
        <vt:i4>0</vt:i4>
      </vt:variant>
      <vt:variant>
        <vt:i4>5</vt:i4>
      </vt:variant>
      <vt:variant>
        <vt:lpwstr>http://ec.europa.eu/eurostat/statistics-explained/index.php/Population_and_population_change_statistics</vt:lpwstr>
      </vt:variant>
      <vt:variant>
        <vt:lpwstr/>
      </vt:variant>
      <vt:variant>
        <vt:i4>8257657</vt:i4>
      </vt:variant>
      <vt:variant>
        <vt:i4>0</vt:i4>
      </vt:variant>
      <vt:variant>
        <vt:i4>0</vt:i4>
      </vt:variant>
      <vt:variant>
        <vt:i4>5</vt:i4>
      </vt:variant>
      <vt:variant>
        <vt:lpwstr>https://eacea.ec.europa.eu/national-policies/en/content/youthwiki/youthwiki</vt:lpwstr>
      </vt:variant>
      <vt:variant>
        <vt:lpwstr/>
      </vt:variant>
      <vt:variant>
        <vt:i4>5111855</vt:i4>
      </vt:variant>
      <vt:variant>
        <vt:i4>20879</vt:i4>
      </vt:variant>
      <vt:variant>
        <vt:i4>1026</vt:i4>
      </vt:variant>
      <vt:variant>
        <vt:i4>1</vt:i4>
      </vt:variant>
      <vt:variant>
        <vt:lpwstr>\\s-eacea-fs03-p\EACEA.A7\Youth\04_Reports\a_EU_Youth_Reports\2018\03_graph\1_A_children_MAP.jpg</vt:lpwstr>
      </vt:variant>
      <vt:variant>
        <vt:lpwstr/>
      </vt:variant>
      <vt:variant>
        <vt:i4>6619163</vt:i4>
      </vt:variant>
      <vt:variant>
        <vt:i4>20975</vt:i4>
      </vt:variant>
      <vt:variant>
        <vt:i4>1027</vt:i4>
      </vt:variant>
      <vt:variant>
        <vt:i4>1</vt:i4>
      </vt:variant>
      <vt:variant>
        <vt:lpwstr>G:\TOOLS\Templates_Graphs\Maps\Excel\PNG\C2L.png</vt:lpwstr>
      </vt:variant>
      <vt:variant>
        <vt:lpwstr/>
      </vt:variant>
      <vt:variant>
        <vt:i4>6553627</vt:i4>
      </vt:variant>
      <vt:variant>
        <vt:i4>21083</vt:i4>
      </vt:variant>
      <vt:variant>
        <vt:i4>1028</vt:i4>
      </vt:variant>
      <vt:variant>
        <vt:i4>1</vt:i4>
      </vt:variant>
      <vt:variant>
        <vt:lpwstr>G:\TOOLS\Templates_Graphs\Maps\Excel\PNG\C2M.png</vt:lpwstr>
      </vt:variant>
      <vt:variant>
        <vt:lpwstr/>
      </vt:variant>
      <vt:variant>
        <vt:i4>7143451</vt:i4>
      </vt:variant>
      <vt:variant>
        <vt:i4>21207</vt:i4>
      </vt:variant>
      <vt:variant>
        <vt:i4>1029</vt:i4>
      </vt:variant>
      <vt:variant>
        <vt:i4>1</vt:i4>
      </vt:variant>
      <vt:variant>
        <vt:lpwstr>G:\TOOLS\Templates_Graphs\Maps\Excel\PNG\C2D.png</vt:lpwstr>
      </vt:variant>
      <vt:variant>
        <vt:lpwstr/>
      </vt:variant>
      <vt:variant>
        <vt:i4>6553693</vt:i4>
      </vt:variant>
      <vt:variant>
        <vt:i4>21372</vt:i4>
      </vt:variant>
      <vt:variant>
        <vt:i4>1030</vt:i4>
      </vt:variant>
      <vt:variant>
        <vt:i4>1</vt:i4>
      </vt:variant>
      <vt:variant>
        <vt:lpwstr>\\s-eacea-fs03-p\EACEA.A7\TOOLS\Templates_Graphs\Maps\Excel\PNG\dotWhiteBkgDarkBlue_KEY.png</vt:lpwstr>
      </vt:variant>
      <vt:variant>
        <vt:lpwstr/>
      </vt:variant>
      <vt:variant>
        <vt:i4>3997780</vt:i4>
      </vt:variant>
      <vt:variant>
        <vt:i4>22037</vt:i4>
      </vt:variant>
      <vt:variant>
        <vt:i4>1032</vt:i4>
      </vt:variant>
      <vt:variant>
        <vt:i4>1</vt:i4>
      </vt:variant>
      <vt:variant>
        <vt:lpwstr>\\s-eacea-fs03-p\EACEA.A7\Youth\04_Reports\a_EU_Youth_Reports\2018\03_graph\1_B_youth_MAP.jpg</vt:lpwstr>
      </vt:variant>
      <vt:variant>
        <vt:lpwstr/>
      </vt:variant>
      <vt:variant>
        <vt:i4>6619163</vt:i4>
      </vt:variant>
      <vt:variant>
        <vt:i4>22133</vt:i4>
      </vt:variant>
      <vt:variant>
        <vt:i4>1033</vt:i4>
      </vt:variant>
      <vt:variant>
        <vt:i4>1</vt:i4>
      </vt:variant>
      <vt:variant>
        <vt:lpwstr>G:\TOOLS\Templates_Graphs\Maps\Excel\PNG\C2L.png</vt:lpwstr>
      </vt:variant>
      <vt:variant>
        <vt:lpwstr/>
      </vt:variant>
      <vt:variant>
        <vt:i4>6553627</vt:i4>
      </vt:variant>
      <vt:variant>
        <vt:i4>22241</vt:i4>
      </vt:variant>
      <vt:variant>
        <vt:i4>1034</vt:i4>
      </vt:variant>
      <vt:variant>
        <vt:i4>1</vt:i4>
      </vt:variant>
      <vt:variant>
        <vt:lpwstr>G:\TOOLS\Templates_Graphs\Maps\Excel\PNG\C2M.png</vt:lpwstr>
      </vt:variant>
      <vt:variant>
        <vt:lpwstr/>
      </vt:variant>
      <vt:variant>
        <vt:i4>7143451</vt:i4>
      </vt:variant>
      <vt:variant>
        <vt:i4>22365</vt:i4>
      </vt:variant>
      <vt:variant>
        <vt:i4>1035</vt:i4>
      </vt:variant>
      <vt:variant>
        <vt:i4>1</vt:i4>
      </vt:variant>
      <vt:variant>
        <vt:lpwstr>G:\TOOLS\Templates_Graphs\Maps\Excel\PNG\C2D.png</vt:lpwstr>
      </vt:variant>
      <vt:variant>
        <vt:lpwstr/>
      </vt:variant>
      <vt:variant>
        <vt:i4>6553693</vt:i4>
      </vt:variant>
      <vt:variant>
        <vt:i4>22530</vt:i4>
      </vt:variant>
      <vt:variant>
        <vt:i4>1036</vt:i4>
      </vt:variant>
      <vt:variant>
        <vt:i4>1</vt:i4>
      </vt:variant>
      <vt:variant>
        <vt:lpwstr>\\s-eacea-fs03-p\EACEA.A7\TOOLS\Templates_Graphs\Maps\Excel\PNG\dotWhiteBkgDarkBlue_KEY.png</vt:lpwstr>
      </vt:variant>
      <vt:variant>
        <vt:lpwstr/>
      </vt:variant>
      <vt:variant>
        <vt:i4>4587583</vt:i4>
      </vt:variant>
      <vt:variant>
        <vt:i4>23285</vt:i4>
      </vt:variant>
      <vt:variant>
        <vt:i4>1038</vt:i4>
      </vt:variant>
      <vt:variant>
        <vt:i4>1</vt:i4>
      </vt:variant>
      <vt:variant>
        <vt:lpwstr>\\s-eacea-fs03-p\EACEA.A7\Youth\04_Reports\a_EU_Youth_Reports\2018\03_graph\1_C_youth_share.jpg</vt:lpwstr>
      </vt:variant>
      <vt:variant>
        <vt:lpwstr/>
      </vt:variant>
      <vt:variant>
        <vt:i4>327757</vt:i4>
      </vt:variant>
      <vt:variant>
        <vt:i4>24565</vt:i4>
      </vt:variant>
      <vt:variant>
        <vt:i4>1042</vt:i4>
      </vt:variant>
      <vt:variant>
        <vt:i4>1</vt:i4>
      </vt:variant>
      <vt:variant>
        <vt:lpwstr>\\s-eacea-fs03-p\EACEA.A7\Youth\04_Reports\a_EU_Youth_Reports\2018\03_graph\1_D_youth_share_trend.jpg</vt:lpwstr>
      </vt:variant>
      <vt:variant>
        <vt:lpwstr/>
      </vt:variant>
      <vt:variant>
        <vt:i4>3604607</vt:i4>
      </vt:variant>
      <vt:variant>
        <vt:i4>26221</vt:i4>
      </vt:variant>
      <vt:variant>
        <vt:i4>1043</vt:i4>
      </vt:variant>
      <vt:variant>
        <vt:i4>1</vt:i4>
      </vt:variant>
      <vt:variant>
        <vt:lpwstr>\\s-eacea-fs03-p\EACEA.A7\Youth\04_Reports\a_EU_Youth_Reports\2018\03_graph\1_E_projection.jpg</vt:lpwstr>
      </vt:variant>
      <vt:variant>
        <vt:lpwstr/>
      </vt:variant>
      <vt:variant>
        <vt:i4>5570607</vt:i4>
      </vt:variant>
      <vt:variant>
        <vt:i4>27885</vt:i4>
      </vt:variant>
      <vt:variant>
        <vt:i4>1044</vt:i4>
      </vt:variant>
      <vt:variant>
        <vt:i4>1</vt:i4>
      </vt:variant>
      <vt:variant>
        <vt:lpwstr>\\s-eacea-fs03-p\EACEA.A7\Youth\04_Reports\a_EU_Youth_Reports\2018\03_graph\1_F_crude_rates.jpg</vt:lpwstr>
      </vt:variant>
      <vt:variant>
        <vt:lpwstr/>
      </vt:variant>
      <vt:variant>
        <vt:i4>917625</vt:i4>
      </vt:variant>
      <vt:variant>
        <vt:i4>28843</vt:i4>
      </vt:variant>
      <vt:variant>
        <vt:i4>1046</vt:i4>
      </vt:variant>
      <vt:variant>
        <vt:i4>1</vt:i4>
      </vt:variant>
      <vt:variant>
        <vt:lpwstr>\\s-eacea-fs03-p\EACEA.A7\Youth\04_Reports\a_EU_Youth_Reports\2018\03_graph\1_G_non_EU.jpg</vt:lpwstr>
      </vt:variant>
      <vt:variant>
        <vt:lpwstr/>
      </vt:variant>
      <vt:variant>
        <vt:i4>7995403</vt:i4>
      </vt:variant>
      <vt:variant>
        <vt:i4>30933</vt:i4>
      </vt:variant>
      <vt:variant>
        <vt:i4>1047</vt:i4>
      </vt:variant>
      <vt:variant>
        <vt:i4>1</vt:i4>
      </vt:variant>
      <vt:variant>
        <vt:lpwstr>\\s-eacea-fs03-p\EACEA.A7\Youth\04_Reports\a_EU_Youth_Reports\2018\03_graph\1_H_EU_mobility.jpg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18</cp:revision>
  <cp:lastPrinted>2018-04-25T12:37:00Z</cp:lastPrinted>
  <dcterms:created xsi:type="dcterms:W3CDTF">2018-04-27T12:33:00Z</dcterms:created>
  <dcterms:modified xsi:type="dcterms:W3CDTF">2018-05-18T07:27:00Z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7</vt:lpwstr>
  </property>
  <property fmtid="{D5CDD505-2E9C-101B-9397-08002B2CF9AE}" pid="5" name="DocStatus">
    <vt:lpwstr>Green</vt:lpwstr>
  </property>
</Properties>
</file>