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Ref327524630"/>
      <w:bookmarkStart w:id="1" w:name="_Ref327524640"/>
      <w:bookmarkStart w:id="2" w:name="_Ref327524973"/>
      <w:bookmarkStart w:id="3" w:name="_Ref327524992"/>
      <w:bookmarkStart w:id="4" w:name="_Ref327525129"/>
      <w:bookmarkStart w:id="5" w:name="_Ref327525142"/>
      <w:bookmarkStart w:id="6" w:name="_Ref327526754"/>
      <w:bookmarkStart w:id="7" w:name="_Ref327526770"/>
      <w:bookmarkStart w:id="8" w:name="_Toc327875889"/>
      <w:bookmarkStart w:id="9" w:name="_Toc327876181"/>
      <w:bookmarkStart w:id="10" w:name="_Toc328735609"/>
      <w:bookmarkStart w:id="1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alt="B6943442-43EF-4875-BD0D-4FA531F44A0B" style="width:450.6pt;height:496.55pt">
            <v:imagedata r:id="rId9" o:title=""/>
          </v:shape>
        </w:pict>
      </w:r>
    </w:p>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7"/>
          <w:cols w:space="720"/>
          <w:docGrid w:linePitch="360"/>
        </w:sectPr>
      </w:pPr>
      <w:bookmarkStart w:id="12" w:name="_Toc508357714"/>
      <w:bookmarkStart w:id="13" w:name="_Toc508358026"/>
      <w:bookmarkEnd w:id="11"/>
    </w:p>
    <w:p>
      <w:pPr>
        <w:pStyle w:val="Yo0H1"/>
        <w:rPr>
          <w:noProof/>
        </w:rPr>
      </w:pPr>
      <w:bookmarkStart w:id="14" w:name="_Toc508377455"/>
      <w:bookmarkStart w:id="15" w:name="_GoBack"/>
      <w:bookmarkEnd w:id="15"/>
      <w:r>
        <w:rPr>
          <w:noProof/>
        </w:rPr>
        <w:lastRenderedPageBreak/>
        <w:t>2. Education and Training</w:t>
      </w:r>
      <w:bookmarkEnd w:id="0"/>
      <w:bookmarkEnd w:id="1"/>
      <w:bookmarkEnd w:id="2"/>
      <w:bookmarkEnd w:id="3"/>
      <w:bookmarkEnd w:id="4"/>
      <w:bookmarkEnd w:id="5"/>
      <w:bookmarkEnd w:id="6"/>
      <w:bookmarkEnd w:id="7"/>
      <w:bookmarkEnd w:id="8"/>
      <w:bookmarkEnd w:id="9"/>
      <w:bookmarkEnd w:id="10"/>
      <w:bookmarkEnd w:id="12"/>
      <w:bookmarkEnd w:id="13"/>
      <w:bookmarkEnd w:id="14"/>
    </w:p>
    <w:tbl>
      <w:tblPr>
        <w:tblW w:w="5000" w:type="pct"/>
        <w:shd w:val="clear" w:color="auto" w:fill="FBD4B4"/>
        <w:tblLayout w:type="fixed"/>
        <w:tblCellMar>
          <w:top w:w="113" w:type="dxa"/>
          <w:bottom w:w="113" w:type="dxa"/>
        </w:tblCellMar>
        <w:tblLook w:val="04A0" w:firstRow="1" w:lastRow="0" w:firstColumn="1" w:lastColumn="0" w:noHBand="0" w:noVBand="1"/>
      </w:tblPr>
      <w:tblGrid>
        <w:gridCol w:w="7906"/>
        <w:gridCol w:w="2232"/>
      </w:tblGrid>
      <w:tr>
        <w:tc>
          <w:tcPr>
            <w:tcW w:w="3899" w:type="pct"/>
            <w:shd w:val="clear" w:color="auto" w:fill="FBD4B4"/>
            <w:vAlign w:val="center"/>
          </w:tcPr>
          <w:p>
            <w:pPr>
              <w:pStyle w:val="Yo5TextEUYouth"/>
              <w:framePr w:hSpace="0" w:wrap="auto" w:vAnchor="margin" w:hAnchor="text" w:xAlign="left" w:yAlign="inline"/>
              <w:rPr>
                <w:noProof/>
              </w:rPr>
            </w:pPr>
            <w:r>
              <w:rPr>
                <w:noProof/>
              </w:rPr>
              <w:t>EU youth</w:t>
            </w:r>
            <w:r>
              <w:rPr>
                <w:noProof/>
                <w:lang w:val="en-GB"/>
              </w:rPr>
              <w:t xml:space="preserve"> indicators</w:t>
            </w:r>
          </w:p>
        </w:tc>
        <w:tc>
          <w:tcPr>
            <w:tcW w:w="1101" w:type="pct"/>
            <w:shd w:val="clear" w:color="auto" w:fill="FBD4B4"/>
            <w:vAlign w:val="center"/>
          </w:tcPr>
          <w:p>
            <w:pPr>
              <w:pStyle w:val="p90H2"/>
              <w:spacing w:before="0" w:after="0"/>
              <w:ind w:left="0" w:firstLine="0"/>
              <w:rPr>
                <w:noProof/>
                <w:sz w:val="20"/>
              </w:rPr>
            </w:pPr>
          </w:p>
        </w:tc>
      </w:tr>
      <w:tr>
        <w:trPr>
          <w:trHeight w:val="400"/>
        </w:trPr>
        <w:tc>
          <w:tcPr>
            <w:tcW w:w="3899" w:type="pct"/>
            <w:shd w:val="clear" w:color="auto" w:fill="FBD4B4"/>
            <w:vAlign w:val="center"/>
          </w:tcPr>
          <w:p>
            <w:pPr>
              <w:pStyle w:val="Yo5TextEUYouthTOC"/>
              <w:framePr w:hSpace="0" w:wrap="auto" w:vAnchor="margin" w:hAnchor="text" w:xAlign="left" w:yAlign="inline"/>
            </w:pPr>
            <w:r>
              <w:t>Young people (aged 20-24) who have completed at least upper secondary education</w:t>
            </w:r>
          </w:p>
        </w:tc>
        <w:tc>
          <w:tcPr>
            <w:tcW w:w="1101" w:type="pct"/>
            <w:shd w:val="clear" w:color="auto" w:fill="FBD4B4"/>
            <w:vAlign w:val="center"/>
          </w:tcPr>
          <w:p>
            <w:pPr>
              <w:pStyle w:val="Yo5TextEUYouthTOC"/>
              <w:framePr w:hSpace="0" w:wrap="auto" w:vAnchor="margin" w:hAnchor="text" w:xAlign="left" w:yAlign="inline"/>
            </w:pPr>
            <w:r>
              <w:t>Figures 2-A and 2-B</w:t>
            </w:r>
          </w:p>
        </w:tc>
      </w:tr>
      <w:tr>
        <w:trPr>
          <w:trHeight w:val="398"/>
        </w:trPr>
        <w:tc>
          <w:tcPr>
            <w:tcW w:w="3899" w:type="pct"/>
            <w:shd w:val="clear" w:color="auto" w:fill="FBD4B4"/>
            <w:vAlign w:val="center"/>
          </w:tcPr>
          <w:p>
            <w:pPr>
              <w:pStyle w:val="Yo5TextEUYouthTOC"/>
              <w:framePr w:hSpace="0" w:wrap="auto" w:vAnchor="margin" w:hAnchor="text" w:xAlign="left" w:yAlign="inline"/>
            </w:pPr>
            <w:r>
              <w:t>Tertiary educational attainment of people aged 30-34</w:t>
            </w:r>
          </w:p>
        </w:tc>
        <w:tc>
          <w:tcPr>
            <w:tcW w:w="1101" w:type="pct"/>
            <w:shd w:val="clear" w:color="auto" w:fill="FBD4B4"/>
            <w:vAlign w:val="center"/>
          </w:tcPr>
          <w:p>
            <w:pPr>
              <w:pStyle w:val="Yo5TextEUYouthTOC"/>
              <w:framePr w:hSpace="0" w:wrap="auto" w:vAnchor="margin" w:hAnchor="text" w:xAlign="left" w:yAlign="inline"/>
            </w:pPr>
            <w:r>
              <w:t>Figures 2-C and 2-D</w:t>
            </w:r>
          </w:p>
        </w:tc>
      </w:tr>
      <w:tr>
        <w:trPr>
          <w:trHeight w:val="398"/>
        </w:trPr>
        <w:tc>
          <w:tcPr>
            <w:tcW w:w="3899" w:type="pct"/>
            <w:shd w:val="clear" w:color="auto" w:fill="FBD4B4"/>
            <w:vAlign w:val="center"/>
          </w:tcPr>
          <w:p>
            <w:pPr>
              <w:pStyle w:val="Yo5TextEUYouthTOC"/>
              <w:framePr w:hSpace="0" w:wrap="auto" w:vAnchor="margin" w:hAnchor="text" w:xAlign="left" w:yAlign="inline"/>
            </w:pPr>
            <w:r>
              <w:t>Early leavers from education and training</w:t>
            </w:r>
          </w:p>
        </w:tc>
        <w:tc>
          <w:tcPr>
            <w:tcW w:w="1101" w:type="pct"/>
            <w:shd w:val="clear" w:color="auto" w:fill="FBD4B4"/>
            <w:vAlign w:val="center"/>
          </w:tcPr>
          <w:p>
            <w:pPr>
              <w:pStyle w:val="Yo5TextEUYouthTOC"/>
              <w:framePr w:hSpace="0" w:wrap="auto" w:vAnchor="margin" w:hAnchor="text" w:xAlign="left" w:yAlign="inline"/>
            </w:pPr>
            <w:r>
              <w:t>Figures 2-E and 2-F</w:t>
            </w:r>
          </w:p>
        </w:tc>
      </w:tr>
      <w:tr>
        <w:trPr>
          <w:trHeight w:val="398"/>
        </w:trPr>
        <w:tc>
          <w:tcPr>
            <w:tcW w:w="3899" w:type="pct"/>
            <w:shd w:val="clear" w:color="auto" w:fill="FBD4B4"/>
            <w:vAlign w:val="center"/>
          </w:tcPr>
          <w:p>
            <w:pPr>
              <w:pStyle w:val="Yo5TextEUYouthTOC"/>
              <w:framePr w:hSpace="0" w:wrap="auto" w:vAnchor="margin" w:hAnchor="text" w:xAlign="left" w:yAlign="inline"/>
            </w:pPr>
            <w:r>
              <w:t>Low-achieving 15 year-old students in reading, mathematics and science</w:t>
            </w:r>
          </w:p>
        </w:tc>
        <w:tc>
          <w:tcPr>
            <w:tcW w:w="1101" w:type="pct"/>
            <w:shd w:val="clear" w:color="auto" w:fill="FBD4B4"/>
            <w:vAlign w:val="center"/>
          </w:tcPr>
          <w:p>
            <w:pPr>
              <w:pStyle w:val="Yo5TextEUYouthTOC"/>
              <w:framePr w:hSpace="0" w:wrap="auto" w:vAnchor="margin" w:hAnchor="text" w:xAlign="left" w:yAlign="inline"/>
            </w:pPr>
            <w:r>
              <w:t>Figure 2-G</w:t>
            </w:r>
          </w:p>
        </w:tc>
      </w:tr>
      <w:tr>
        <w:trPr>
          <w:trHeight w:val="398"/>
        </w:trPr>
        <w:tc>
          <w:tcPr>
            <w:tcW w:w="3899" w:type="pct"/>
            <w:shd w:val="clear" w:color="auto" w:fill="FBD4B4"/>
            <w:vAlign w:val="center"/>
          </w:tcPr>
          <w:p>
            <w:pPr>
              <w:pStyle w:val="Yo5TextEUYouthTOC"/>
              <w:framePr w:hSpace="0" w:wrap="auto" w:vAnchor="margin" w:hAnchor="text" w:xAlign="left" w:yAlign="inline"/>
            </w:pPr>
            <w:r>
              <w:t>Young people in upper general secondary education learning two or more foreign languages</w:t>
            </w:r>
          </w:p>
        </w:tc>
        <w:tc>
          <w:tcPr>
            <w:tcW w:w="1101" w:type="pct"/>
            <w:shd w:val="clear" w:color="auto" w:fill="FBD4B4"/>
            <w:vAlign w:val="center"/>
          </w:tcPr>
          <w:p>
            <w:pPr>
              <w:pStyle w:val="Yo5TextEUYouthTOC"/>
              <w:framePr w:hSpace="0" w:wrap="auto" w:vAnchor="margin" w:hAnchor="text" w:xAlign="left" w:yAlign="inline"/>
            </w:pPr>
            <w:r>
              <w:t>Figure 2-H</w:t>
            </w:r>
          </w:p>
        </w:tc>
      </w:tr>
    </w:tbl>
    <w:p>
      <w:pPr>
        <w:pStyle w:val="Yo5TextNotes"/>
        <w:rPr>
          <w:noProof/>
          <w:lang w:val="en-GB"/>
        </w:rPr>
      </w:pPr>
    </w:p>
    <w:p>
      <w:pPr>
        <w:pStyle w:val="TOCHeading"/>
        <w:rPr>
          <w:noProof/>
          <w:lang w:val="de-DE"/>
        </w:rPr>
      </w:pPr>
    </w:p>
    <w:p>
      <w:pPr>
        <w:pStyle w:val="Yo0H2"/>
        <w:rPr>
          <w:noProof/>
        </w:rPr>
      </w:pPr>
      <w:bookmarkStart w:id="16" w:name="_Toc326747516"/>
      <w:bookmarkStart w:id="17" w:name="_Toc327875890"/>
      <w:bookmarkStart w:id="18" w:name="_Toc327876182"/>
      <w:bookmarkStart w:id="19" w:name="_Toc328735610"/>
      <w:bookmarkStart w:id="20" w:name="_Toc508357715"/>
      <w:r>
        <w:rPr>
          <w:noProof/>
        </w:rPr>
        <w:br w:type="page"/>
      </w:r>
      <w:bookmarkStart w:id="21" w:name="_Toc508358027"/>
      <w:bookmarkStart w:id="22" w:name="_Toc508377456"/>
      <w:r>
        <w:rPr>
          <w:noProof/>
        </w:rPr>
        <w:lastRenderedPageBreak/>
        <w:t>2.1.</w:t>
      </w:r>
      <w:r>
        <w:rPr>
          <w:noProof/>
        </w:rPr>
        <w:tab/>
        <w:t>Introduction</w:t>
      </w:r>
    </w:p>
    <w:p>
      <w:pPr>
        <w:pStyle w:val="Yo1Textpara"/>
        <w:rPr>
          <w:noProof/>
          <w:szCs w:val="22"/>
        </w:rPr>
      </w:pPr>
      <w:r>
        <w:rPr>
          <w:noProof/>
          <w:szCs w:val="22"/>
        </w:rPr>
        <w:t>The importance of education is unquestioned in today's world. Throughout the years spent in formal education and by means of the opportunities made available through non-formal and informal education and youth work, children and young people have the chance to develop their personal and social potential, acquire basic skills and qualifications, and become integrated into society at large. Indeed, high-quality and inclusive education for all is one of the most effective defences against the risks of social marginalisation, poverty and exclusion, especially at times of crisis (</w:t>
      </w:r>
      <w:r>
        <w:rPr>
          <w:rStyle w:val="FootnoteReference"/>
          <w:noProof/>
          <w:szCs w:val="22"/>
        </w:rPr>
        <w:footnoteReference w:id="2"/>
      </w:r>
      <w:r>
        <w:rPr>
          <w:noProof/>
          <w:szCs w:val="22"/>
        </w:rPr>
        <w:t>).</w:t>
      </w:r>
    </w:p>
    <w:p>
      <w:pPr>
        <w:pStyle w:val="Yo1Textpara"/>
        <w:rPr>
          <w:noProof/>
          <w:szCs w:val="22"/>
        </w:rPr>
      </w:pPr>
      <w:r>
        <w:rPr>
          <w:noProof/>
          <w:szCs w:val="22"/>
        </w:rPr>
        <w:t>Moreover, education is not only a fundamental determinant of individual life chances and social participation, but also of economic development (</w:t>
      </w:r>
      <w:r>
        <w:rPr>
          <w:rStyle w:val="FootnoteReference"/>
          <w:noProof/>
          <w:szCs w:val="22"/>
          <w:lang w:eastAsia="x-none"/>
        </w:rPr>
        <w:footnoteReference w:id="3"/>
      </w:r>
      <w:r>
        <w:rPr>
          <w:noProof/>
          <w:szCs w:val="22"/>
        </w:rPr>
        <w:t>). Accordingly, obtaining a high-quality education gives the opportunity for young people to succeed in the labour market and find meaningful employment, while spurring long-term economic growth.</w:t>
      </w:r>
    </w:p>
    <w:p>
      <w:pPr>
        <w:pStyle w:val="Yo1Textpara"/>
        <w:rPr>
          <w:noProof/>
          <w:szCs w:val="22"/>
        </w:rPr>
      </w:pPr>
      <w:r>
        <w:rPr>
          <w:noProof/>
          <w:szCs w:val="22"/>
        </w:rPr>
        <w:t xml:space="preserve">This chapter discusses the provision of learning opportunities for young people in Europe in both formal and non-formal settings. Taking a brief look first at the average number of years young Europeans spend in formal education, the chapter goes on to examine attainment in terms of the educational level completed and student achievement in reading, mathematics and science. The chapter proceeds to give an insight into the participation of young people in non-formal learning, including youth work activities, and then turns to analysing how many young Europeans have had the opportunity to widen their learning experiences by going abroad during their studies. </w:t>
      </w:r>
    </w:p>
    <w:p>
      <w:pPr>
        <w:pStyle w:val="Yo0H2"/>
        <w:rPr>
          <w:noProof/>
        </w:rPr>
      </w:pPr>
      <w:r>
        <w:rPr>
          <w:noProof/>
        </w:rPr>
        <w:t xml:space="preserve">2.2. Formal education </w:t>
      </w:r>
    </w:p>
    <w:p>
      <w:pPr>
        <w:pStyle w:val="Yo1Textpara"/>
        <w:rPr>
          <w:noProof/>
          <w:szCs w:val="22"/>
        </w:rPr>
      </w:pPr>
      <w:r>
        <w:rPr>
          <w:noProof/>
          <w:szCs w:val="22"/>
        </w:rPr>
        <w:t>Formal education refers to the structured system of education from pre-primary to tertiary level. This section considers some of the aspects most relevant to young people: the qualifications they attain – or fail to attain if they leave school prematurely – and the skills they acquire in the education system.</w:t>
      </w:r>
    </w:p>
    <w:p>
      <w:pPr>
        <w:pStyle w:val="Yo0H3"/>
        <w:rPr>
          <w:noProof/>
        </w:rPr>
      </w:pPr>
      <w:r>
        <w:rPr>
          <w:noProof/>
          <w:lang w:val="en-GB"/>
        </w:rPr>
        <w:t>2</w:t>
      </w:r>
      <w:r>
        <w:rPr>
          <w:noProof/>
        </w:rPr>
        <w:t>.2.1.</w:t>
      </w:r>
      <w:r>
        <w:rPr>
          <w:noProof/>
        </w:rPr>
        <w:tab/>
        <w:t>Participation and attainment</w:t>
      </w:r>
    </w:p>
    <w:p>
      <w:pPr>
        <w:pStyle w:val="Yo1Textpara"/>
        <w:rPr>
          <w:noProof/>
          <w:szCs w:val="22"/>
        </w:rPr>
      </w:pPr>
      <w:r>
        <w:rPr>
          <w:noProof/>
          <w:szCs w:val="22"/>
        </w:rPr>
        <w:t>European children and young people on average spend 17 years in formal education (</w:t>
      </w:r>
      <w:r>
        <w:rPr>
          <w:rStyle w:val="FootnoteReference"/>
          <w:noProof/>
          <w:szCs w:val="22"/>
          <w:lang w:eastAsia="x-none"/>
        </w:rPr>
        <w:footnoteReference w:id="4"/>
      </w:r>
      <w:r>
        <w:rPr>
          <w:noProof/>
          <w:szCs w:val="22"/>
        </w:rPr>
        <w:t>). Variations between countries are, however, quite significant, with the expected time spent in education ranging from 15 years in Luxembourg, to 21 years in Finland (</w:t>
      </w:r>
      <w:r>
        <w:rPr>
          <w:rStyle w:val="FootnoteReference"/>
          <w:noProof/>
          <w:szCs w:val="22"/>
          <w:lang w:eastAsia="x-none"/>
        </w:rPr>
        <w:footnoteReference w:id="5"/>
      </w:r>
      <w:r>
        <w:rPr>
          <w:noProof/>
          <w:szCs w:val="22"/>
        </w:rPr>
        <w:t>). Such differences are partly due to countries setting different starting ages for compulsory education (</w:t>
      </w:r>
      <w:r>
        <w:rPr>
          <w:rStyle w:val="FootnoteReference"/>
          <w:noProof/>
          <w:szCs w:val="22"/>
          <w:lang w:eastAsia="x-none"/>
        </w:rPr>
        <w:footnoteReference w:id="6"/>
      </w:r>
      <w:r>
        <w:rPr>
          <w:noProof/>
          <w:szCs w:val="22"/>
        </w:rPr>
        <w:t>); nevertheless, young people also stay longer in education beyond the compulsory school years to complete upper secondary and tertiary degrees.</w:t>
      </w:r>
    </w:p>
    <w:p>
      <w:pPr>
        <w:pStyle w:val="Yo1Textpara"/>
        <w:rPr>
          <w:noProof/>
          <w:szCs w:val="22"/>
        </w:rPr>
      </w:pPr>
      <w:r>
        <w:rPr>
          <w:noProof/>
        </w:rPr>
        <w:t xml:space="preserve">Upper secondary educational attainment is </w:t>
      </w:r>
      <w:r>
        <w:rPr>
          <w:noProof/>
          <w:szCs w:val="22"/>
        </w:rPr>
        <w:t xml:space="preserve">considered the minimum desirable educational attainment level for EU citizens, as it is </w:t>
      </w:r>
      <w:r>
        <w:rPr>
          <w:noProof/>
        </w:rPr>
        <w:t xml:space="preserve">a prerequisite for better labour </w:t>
      </w:r>
      <w:r>
        <w:rPr>
          <w:noProof/>
          <w:szCs w:val="22"/>
        </w:rPr>
        <w:t>market integration and avoiding poverty and social exclusion (</w:t>
      </w:r>
      <w:r>
        <w:rPr>
          <w:rStyle w:val="FootnoteReference"/>
          <w:noProof/>
          <w:szCs w:val="22"/>
        </w:rPr>
        <w:footnoteReference w:id="7"/>
      </w:r>
      <w:r>
        <w:rPr>
          <w:noProof/>
          <w:szCs w:val="22"/>
        </w:rPr>
        <w:t>). In 2016, an average of 83.2 % of 20- to 24-year-olds in the EU had attained at least upper secondary education (Figure 2-A). Approximately one third of countries reported levels significantly higher, while in Spain, Iceland and Turkey the percentage is equal to or less than 70 %.</w:t>
      </w:r>
    </w:p>
    <w:tbl>
      <w:tblPr>
        <w:tblpPr w:leftFromText="180" w:rightFromText="180" w:vertAnchor="text" w:horzAnchor="margin" w:tblpXSpec="right" w:tblpY="292"/>
        <w:tblOverlap w:val="never"/>
        <w:tblW w:w="0" w:type="auto"/>
        <w:shd w:val="clear" w:color="auto" w:fill="C6D9F1"/>
        <w:tblLook w:val="04A0" w:firstRow="1" w:lastRow="0" w:firstColumn="1" w:lastColumn="0" w:noHBand="0" w:noVBand="1"/>
      </w:tblPr>
      <w:tblGrid>
        <w:gridCol w:w="3106"/>
      </w:tblGrid>
      <w:tr>
        <w:tc>
          <w:tcPr>
            <w:tcW w:w="3106" w:type="dxa"/>
            <w:shd w:val="clear" w:color="auto" w:fill="FFA3A4"/>
          </w:tcPr>
          <w:p>
            <w:pPr>
              <w:pStyle w:val="Yo12Encart"/>
              <w:framePr w:hSpace="0" w:wrap="auto" w:vAnchor="margin" w:hAnchor="text" w:xAlign="left" w:yAlign="inline"/>
              <w:suppressOverlap w:val="0"/>
              <w:rPr>
                <w:noProof/>
                <w:sz w:val="22"/>
                <w:szCs w:val="22"/>
              </w:rPr>
            </w:pPr>
            <w:r>
              <w:rPr>
                <w:noProof/>
                <w:sz w:val="22"/>
                <w:szCs w:val="22"/>
              </w:rPr>
              <w:t>Young people are increasingly highly educated. The proportion of young Europeans attaining upper secondary qualifications continues to increase.</w:t>
            </w:r>
          </w:p>
        </w:tc>
      </w:tr>
    </w:tbl>
    <w:p>
      <w:pPr>
        <w:pStyle w:val="Yo1Textpara"/>
        <w:rPr>
          <w:b/>
          <w:noProof/>
        </w:rPr>
      </w:pPr>
      <w:r>
        <w:rPr>
          <w:noProof/>
          <w:szCs w:val="22"/>
        </w:rPr>
        <w:t>Women generally have higher educational attainment levels than men. As Figure 2-A shows, in the EU-28, on average 85.6 % of women completed at least upper secondary education, while the percentage of men with the same attainment level was 80.8 %. This pattern holds true for all countries, with the exception of Czech Republic, Romania, Slovakia, the former Yugoslav Republic of Macedonia and Turkey where women and men complete upper secondary education at similar rates. Men record the lowest rates of upper secondary attainment in comparison to women in Estonia, Spain, Latvia, Luxembourg, Malta, Portugal and Iceland, with gaps spanning from 9 to 15 percentage points.</w:t>
      </w:r>
    </w:p>
    <w:p>
      <w:pPr>
        <w:pStyle w:val="Yo5TitleFigure"/>
        <w:jc w:val="both"/>
      </w:pPr>
      <w:r>
        <w:rPr>
          <w:b/>
        </w:rPr>
        <w:t>Figure 2-A:</w:t>
      </w:r>
      <w:r>
        <w:t xml:space="preserve"> Share of young people (aged 20-24) who have completed at least upper secondary education, by country and by sex, 2016 </w:t>
      </w:r>
    </w:p>
    <w:tbl>
      <w:tblPr>
        <w:tblpPr w:leftFromText="181" w:rightFromText="181" w:vertAnchor="text" w:tblpX="-42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2735"/>
        <w:gridCol w:w="992"/>
        <w:gridCol w:w="851"/>
        <w:gridCol w:w="850"/>
        <w:gridCol w:w="992"/>
        <w:gridCol w:w="3544"/>
      </w:tblGrid>
      <w:tr>
        <w:trPr>
          <w:cantSplit/>
          <w:trHeight w:val="1134"/>
        </w:trPr>
        <w:tc>
          <w:tcPr>
            <w:tcW w:w="492" w:type="dxa"/>
            <w:vMerge w:val="restart"/>
            <w:shd w:val="clear" w:color="auto" w:fill="FB5F5F"/>
            <w:textDirection w:val="btLr"/>
            <w:vAlign w:val="center"/>
          </w:tcPr>
          <w:p>
            <w:pPr>
              <w:pStyle w:val="Yo13YouthIndicator"/>
              <w:jc w:val="center"/>
              <w:rPr>
                <w:noProof/>
                <w:sz w:val="20"/>
                <w:lang w:eastAsia="fr-BE"/>
              </w:rPr>
            </w:pPr>
            <w:r>
              <w:rPr>
                <w:noProof/>
                <w:sz w:val="20"/>
              </w:rPr>
              <w:t>EU youth indicator</w:t>
            </w:r>
          </w:p>
        </w:tc>
        <w:tc>
          <w:tcPr>
            <w:tcW w:w="9964" w:type="dxa"/>
            <w:gridSpan w:val="6"/>
            <w:tcBorders>
              <w:bottom w:val="nil"/>
            </w:tcBorders>
            <w:shd w:val="clear" w:color="auto" w:fill="auto"/>
          </w:tcPr>
          <w:tbl>
            <w:tblPr>
              <w:tblW w:w="5000" w:type="pct"/>
              <w:tblLayout w:type="fixed"/>
              <w:tblLook w:val="04A0" w:firstRow="1" w:lastRow="0" w:firstColumn="1" w:lastColumn="0" w:noHBand="0" w:noVBand="1"/>
            </w:tblPr>
            <w:tblGrid>
              <w:gridCol w:w="9748"/>
            </w:tblGrid>
            <w:tr>
              <w:trPr>
                <w:trHeight w:val="234"/>
              </w:trPr>
              <w:tc>
                <w:tcPr>
                  <w:tcW w:w="5000" w:type="pct"/>
                  <w:shd w:val="clear" w:color="auto" w:fill="auto"/>
                </w:tcPr>
                <w:p>
                  <w:pPr>
                    <w:pStyle w:val="Yo5TextNotesbeforeafter"/>
                    <w:framePr w:hSpace="181" w:wrap="around" w:vAnchor="text" w:hAnchor="text" w:x="-424" w:y="1"/>
                    <w:spacing w:before="0"/>
                    <w:suppressOverlap/>
                    <w:rPr>
                      <w:noProof/>
                      <w:lang w:eastAsia="en-GB"/>
                    </w:rPr>
                  </w:pPr>
                  <w:r>
                    <w:rPr>
                      <w:noProof/>
                      <w:lang w:eastAsia="en-GB"/>
                    </w:rPr>
                    <w:t xml:space="preserve"> %                                                                                                                                                                                         %</w:t>
                  </w:r>
                </w:p>
              </w:tc>
            </w:tr>
            <w:tr>
              <w:trPr>
                <w:trHeight w:val="3448"/>
              </w:trPr>
              <w:tc>
                <w:tcPr>
                  <w:tcW w:w="5000" w:type="pct"/>
                  <w:shd w:val="clear" w:color="auto" w:fill="auto"/>
                </w:tcPr>
                <w:p>
                  <w:pPr>
                    <w:pStyle w:val="Yo5TextNotesbeforeafter"/>
                    <w:framePr w:hSpace="181" w:wrap="around" w:vAnchor="text" w:hAnchor="text" w:x="-424" w:y="1"/>
                    <w:spacing w:after="0"/>
                    <w:suppressOverlap/>
                    <w:rPr>
                      <w:noProof/>
                      <w:lang w:eastAsia="en-GB"/>
                    </w:rPr>
                  </w:pPr>
                  <w:r>
                    <w:rPr>
                      <w:noProof/>
                      <w:lang w:eastAsia="en-GB"/>
                    </w:rPr>
                    <w:fldChar w:fldCharType="begin"/>
                  </w:r>
                  <w:r>
                    <w:rPr>
                      <w:noProof/>
                      <w:lang w:eastAsia="en-GB"/>
                    </w:rPr>
                    <w:instrText xml:space="preserve"> INCLUDEPICTURE  "C:\\Users\\paredcr\\AppData\\Local\\Temp\\03_graph\\2_A_upper_secondary.jpg"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"C:\\Users\\paredcr\\AppData\\Local\\Temp\\03_graph\\2_A_upper_secondary.jpg"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"C:\\Users\\paredcr\\AppData\\Local\\Temp\\03_graph\\2_A_upper_secondary.jpg"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"C:\\Users\\paredcr\\AppData\\Local\\Temp\\03_graph\\2_A_upper_secondary.jpg" \* MERGEFORMATINET </w:instrText>
                  </w:r>
                  <w:r>
                    <w:rPr>
                      <w:noProof/>
                      <w:lang w:eastAsia="en-GB"/>
                    </w:rPr>
                    <w:fldChar w:fldCharType="separate"/>
                  </w:r>
                  <w:r>
                    <w:rPr>
                      <w:noProof/>
                      <w:lang w:eastAsia="en-GB"/>
                    </w:rPr>
                    <w:pict>
                      <v:shape id="_x0000_i1026" type="#_x0000_t75" style="width:476.5pt;height:162.3pt">
                        <v:imagedata r:id="rId16" r:href="rId17"/>
                      </v:shape>
                    </w:pict>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p>
              </w:tc>
            </w:tr>
          </w:tbl>
          <w:p>
            <w:pPr>
              <w:pStyle w:val="Yo5TextNotesbeforeafter"/>
              <w:rPr>
                <w:noProof/>
              </w:rPr>
            </w:pPr>
          </w:p>
        </w:tc>
      </w:tr>
      <w:tr>
        <w:trPr>
          <w:cantSplit/>
          <w:trHeight w:val="258"/>
        </w:trPr>
        <w:tc>
          <w:tcPr>
            <w:tcW w:w="492" w:type="dxa"/>
            <w:vMerge/>
            <w:tcBorders>
              <w:right w:val="single" w:sz="4" w:space="0" w:color="auto"/>
            </w:tcBorders>
            <w:shd w:val="clear" w:color="auto" w:fill="FB5F5F"/>
            <w:textDirection w:val="btLr"/>
            <w:vAlign w:val="center"/>
          </w:tcPr>
          <w:p>
            <w:pPr>
              <w:pStyle w:val="Yo13YouthIndicator"/>
              <w:jc w:val="center"/>
              <w:rPr>
                <w:noProof/>
                <w:sz w:val="20"/>
              </w:rPr>
            </w:pPr>
          </w:p>
        </w:tc>
        <w:tc>
          <w:tcPr>
            <w:tcW w:w="2735" w:type="dxa"/>
            <w:tcBorders>
              <w:top w:val="nil"/>
              <w:left w:val="single" w:sz="4" w:space="0" w:color="auto"/>
              <w:bottom w:val="single" w:sz="4" w:space="0" w:color="auto"/>
              <w:right w:val="nil"/>
            </w:tcBorders>
            <w:shd w:val="clear" w:color="auto" w:fill="auto"/>
            <w:vAlign w:val="center"/>
          </w:tcPr>
          <w:p>
            <w:pPr>
              <w:pStyle w:val="Yo5TextNotesbeforeafter"/>
              <w:spacing w:before="0"/>
              <w:jc w:val="right"/>
              <w:rPr>
                <w:noProof/>
                <w:lang w:eastAsia="en-GB"/>
              </w:rPr>
            </w:pPr>
            <w:r>
              <w:rPr>
                <w:noProof/>
                <w:snapToGrid/>
                <w:lang w:val="en-US"/>
              </w:rPr>
              <w:drawing>
                <wp:inline distT="0" distB="0" distL="0" distR="0">
                  <wp:extent cx="228600" cy="450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 cy="45085"/>
                          </a:xfrm>
                          <a:prstGeom prst="rect">
                            <a:avLst/>
                          </a:prstGeom>
                          <a:noFill/>
                        </pic:spPr>
                      </pic:pic>
                    </a:graphicData>
                  </a:graphic>
                </wp:inline>
              </w:drawing>
            </w:r>
          </w:p>
        </w:tc>
        <w:tc>
          <w:tcPr>
            <w:tcW w:w="992" w:type="dxa"/>
            <w:tcBorders>
              <w:top w:val="nil"/>
              <w:left w:val="nil"/>
              <w:bottom w:val="single" w:sz="4" w:space="0" w:color="auto"/>
              <w:right w:val="nil"/>
            </w:tcBorders>
            <w:shd w:val="clear" w:color="auto" w:fill="auto"/>
            <w:vAlign w:val="center"/>
          </w:tcPr>
          <w:p>
            <w:pPr>
              <w:pStyle w:val="Yo5TextNotesbeforeafter"/>
              <w:spacing w:before="0"/>
              <w:jc w:val="left"/>
              <w:rPr>
                <w:noProof/>
                <w:lang w:eastAsia="en-GB"/>
              </w:rPr>
            </w:pPr>
            <w:r>
              <w:rPr>
                <w:noProof/>
                <w:lang w:eastAsia="en-GB"/>
              </w:rPr>
              <w:t>Total</w:t>
            </w:r>
          </w:p>
        </w:tc>
        <w:tc>
          <w:tcPr>
            <w:tcW w:w="851" w:type="dxa"/>
            <w:tcBorders>
              <w:top w:val="nil"/>
              <w:left w:val="nil"/>
              <w:bottom w:val="single" w:sz="4" w:space="0" w:color="auto"/>
              <w:right w:val="nil"/>
            </w:tcBorders>
            <w:shd w:val="clear" w:color="auto" w:fill="auto"/>
            <w:vAlign w:val="center"/>
          </w:tcPr>
          <w:p>
            <w:pPr>
              <w:pStyle w:val="Yo5TextNotesbeforeafter"/>
              <w:spacing w:before="0"/>
              <w:jc w:val="right"/>
              <w:rPr>
                <w:noProof/>
                <w:lang w:eastAsia="en-GB"/>
              </w:rPr>
            </w:pPr>
            <w:r>
              <w:rPr>
                <w:noProof/>
                <w:snapToGrid/>
                <w:lang w:val="en-US"/>
              </w:rPr>
              <w:drawing>
                <wp:inline distT="0" distB="0" distL="0" distR="0">
                  <wp:extent cx="163195" cy="17145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195" cy="171450"/>
                          </a:xfrm>
                          <a:prstGeom prst="rect">
                            <a:avLst/>
                          </a:prstGeom>
                          <a:noFill/>
                        </pic:spPr>
                      </pic:pic>
                    </a:graphicData>
                  </a:graphic>
                </wp:inline>
              </w:drawing>
            </w:r>
          </w:p>
        </w:tc>
        <w:tc>
          <w:tcPr>
            <w:tcW w:w="850" w:type="dxa"/>
            <w:tcBorders>
              <w:top w:val="nil"/>
              <w:left w:val="nil"/>
              <w:bottom w:val="single" w:sz="4" w:space="0" w:color="auto"/>
              <w:right w:val="nil"/>
            </w:tcBorders>
            <w:shd w:val="clear" w:color="auto" w:fill="auto"/>
            <w:vAlign w:val="center"/>
          </w:tcPr>
          <w:p>
            <w:pPr>
              <w:pStyle w:val="Yo5TextNotesbeforeafter"/>
              <w:spacing w:before="0"/>
              <w:jc w:val="left"/>
              <w:rPr>
                <w:noProof/>
                <w:lang w:eastAsia="en-GB"/>
              </w:rPr>
            </w:pPr>
            <w:r>
              <w:rPr>
                <w:noProof/>
                <w:lang w:eastAsia="en-GB"/>
              </w:rPr>
              <w:t>Women</w:t>
            </w:r>
          </w:p>
        </w:tc>
        <w:tc>
          <w:tcPr>
            <w:tcW w:w="992" w:type="dxa"/>
            <w:tcBorders>
              <w:top w:val="nil"/>
              <w:left w:val="nil"/>
              <w:bottom w:val="single" w:sz="4" w:space="0" w:color="auto"/>
              <w:right w:val="nil"/>
            </w:tcBorders>
            <w:shd w:val="clear" w:color="auto" w:fill="auto"/>
            <w:vAlign w:val="center"/>
          </w:tcPr>
          <w:p>
            <w:pPr>
              <w:pStyle w:val="Yo5TextNotesbeforeafter"/>
              <w:spacing w:before="0"/>
              <w:jc w:val="right"/>
              <w:rPr>
                <w:noProof/>
                <w:lang w:eastAsia="en-GB"/>
              </w:rPr>
            </w:pPr>
            <w:r>
              <w:rPr>
                <w:noProof/>
                <w:snapToGrid/>
                <w:lang w:val="en-US"/>
              </w:rPr>
              <w:drawing>
                <wp:inline distT="0" distB="0" distL="0" distR="0">
                  <wp:extent cx="161290" cy="171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290" cy="171450"/>
                          </a:xfrm>
                          <a:prstGeom prst="rect">
                            <a:avLst/>
                          </a:prstGeom>
                          <a:noFill/>
                        </pic:spPr>
                      </pic:pic>
                    </a:graphicData>
                  </a:graphic>
                </wp:inline>
              </w:drawing>
            </w:r>
          </w:p>
        </w:tc>
        <w:tc>
          <w:tcPr>
            <w:tcW w:w="3544" w:type="dxa"/>
            <w:tcBorders>
              <w:top w:val="nil"/>
              <w:left w:val="nil"/>
              <w:bottom w:val="single" w:sz="4" w:space="0" w:color="auto"/>
              <w:right w:val="single" w:sz="4" w:space="0" w:color="auto"/>
            </w:tcBorders>
            <w:shd w:val="clear" w:color="auto" w:fill="auto"/>
            <w:vAlign w:val="center"/>
          </w:tcPr>
          <w:p>
            <w:pPr>
              <w:pStyle w:val="Yo5TextNotesbeforeafter"/>
              <w:spacing w:before="0"/>
              <w:jc w:val="left"/>
              <w:rPr>
                <w:noProof/>
                <w:lang w:eastAsia="en-GB"/>
              </w:rPr>
            </w:pPr>
            <w:r>
              <w:rPr>
                <w:noProof/>
                <w:lang w:eastAsia="en-GB"/>
              </w:rPr>
              <w:t>Men</w:t>
            </w:r>
          </w:p>
        </w:tc>
      </w:tr>
    </w:tbl>
    <w:p>
      <w:pPr>
        <w:widowControl w:val="0"/>
        <w:spacing w:before="60" w:after="60" w:line="240" w:lineRule="auto"/>
        <w:jc w:val="both"/>
        <w:rPr>
          <w:rFonts w:ascii="Verdana" w:eastAsia="Times New Roman" w:hAnsi="Verdana" w:cs="Arial"/>
          <w:noProof/>
          <w:snapToGrid w:val="0"/>
          <w:sz w:val="14"/>
          <w:szCs w:val="14"/>
          <w:lang w:val="fr-BE"/>
        </w:rPr>
      </w:pPr>
      <w:r>
        <w:rPr>
          <w:rFonts w:ascii="Verdana" w:eastAsia="Times New Roman" w:hAnsi="Verdana" w:cs="Arial"/>
          <w:i/>
          <w:noProof/>
          <w:snapToGrid w:val="0"/>
          <w:sz w:val="14"/>
          <w:szCs w:val="14"/>
          <w:lang w:val="fr-BE"/>
        </w:rPr>
        <w:t>Source:</w:t>
      </w:r>
      <w:r>
        <w:rPr>
          <w:rFonts w:ascii="Verdana" w:eastAsia="Times New Roman" w:hAnsi="Verdana" w:cs="Arial"/>
          <w:noProof/>
          <w:snapToGrid w:val="0"/>
          <w:sz w:val="14"/>
          <w:szCs w:val="14"/>
          <w:lang w:val="fr-BE"/>
        </w:rPr>
        <w:t xml:space="preserve"> Eurostat LFS [edat_lfse_03].</w:t>
      </w:r>
    </w:p>
    <w:p>
      <w:pPr>
        <w:widowControl w:val="0"/>
        <w:spacing w:before="60" w:after="60" w:line="240" w:lineRule="auto"/>
        <w:jc w:val="both"/>
        <w:rPr>
          <w:rFonts w:ascii="Verdana" w:eastAsia="Times New Roman" w:hAnsi="Verdana" w:cs="Arial"/>
          <w:noProof/>
          <w:snapToGrid w:val="0"/>
          <w:sz w:val="14"/>
          <w:szCs w:val="14"/>
        </w:rPr>
      </w:pPr>
      <w:r>
        <w:rPr>
          <w:rFonts w:ascii="Verdana" w:eastAsia="Times New Roman" w:hAnsi="Verdana" w:cs="Arial"/>
          <w:i/>
          <w:noProof/>
          <w:snapToGrid w:val="0"/>
          <w:sz w:val="14"/>
          <w:szCs w:val="14"/>
        </w:rPr>
        <w:t>Notes</w:t>
      </w:r>
      <w:r>
        <w:rPr>
          <w:rFonts w:ascii="Verdana" w:eastAsia="Times New Roman" w:hAnsi="Verdana" w:cs="Arial"/>
          <w:noProof/>
          <w:snapToGrid w:val="0"/>
          <w:sz w:val="14"/>
          <w:szCs w:val="14"/>
        </w:rPr>
        <w:t>: Data refer to upper secondary and post-secondary non-tertiary education, corresponding to levels 3 and 4 of the International Standard Classification of Education (ISCED 2011).</w:t>
      </w:r>
    </w:p>
    <w:p>
      <w:pPr>
        <w:pStyle w:val="Yo1Textpara"/>
        <w:rPr>
          <w:noProof/>
          <w:szCs w:val="22"/>
        </w:rPr>
      </w:pPr>
      <w:r>
        <w:rPr>
          <w:noProof/>
          <w:szCs w:val="22"/>
        </w:rPr>
        <w:t>Over time, young people have become increasingly qualified:</w:t>
      </w:r>
      <w:r>
        <w:rPr>
          <w:rFonts w:ascii="Calibri" w:hAnsi="Calibri"/>
          <w:noProof/>
          <w:sz w:val="18"/>
          <w:szCs w:val="18"/>
          <w:lang w:eastAsia="en-US"/>
        </w:rPr>
        <w:t xml:space="preserve"> </w:t>
      </w:r>
      <w:r>
        <w:rPr>
          <w:noProof/>
          <w:szCs w:val="22"/>
        </w:rPr>
        <w:t>in 2016, only 69 % of people aged 55 to 64 had attained upper secondary qualifications, in comparison with over 83 % of 20-24 year-olds (</w:t>
      </w:r>
      <w:r>
        <w:rPr>
          <w:rStyle w:val="FootnoteReference"/>
          <w:noProof/>
          <w:szCs w:val="22"/>
          <w:lang w:eastAsia="x-none"/>
        </w:rPr>
        <w:footnoteReference w:id="8"/>
      </w:r>
      <w:r>
        <w:rPr>
          <w:noProof/>
          <w:szCs w:val="22"/>
        </w:rPr>
        <w:t xml:space="preserve">). Progress has continued in recent years. Indeed, the proportion of young people aged 20 to 24 with upper secondary or higher educational attainment has increased continuously since 2010 (Figure 2-B). On average, an increase of almost four percentage points was registered in the European Union. Two-thirds of countries have witnessed an increase in the rates of upper secondary attainment. Among them, a few have showed impressive improvements: Spain, Iceland and Portugal have respectively seen increases of 9.4, 11.8 and 18.4 percentage points since 2010. </w:t>
      </w:r>
    </w:p>
    <w:p>
      <w:pPr>
        <w:pStyle w:val="Yo1Textpara"/>
        <w:rPr>
          <w:noProof/>
          <w:szCs w:val="22"/>
        </w:rPr>
      </w:pPr>
      <w:r>
        <w:rPr>
          <w:noProof/>
          <w:szCs w:val="22"/>
        </w:rPr>
        <w:t>A few countries have remained stable over the years, while only two – Czech Republic and Slovakia – have recorded slight decreases. They remain nonetheless amongst the countries with the highest proportion of young people between 20 and 24 having completed at least upper secondary education.</w:t>
      </w:r>
    </w:p>
    <w:p>
      <w:pPr>
        <w:pStyle w:val="Yo5TitleFigure"/>
        <w:spacing w:before="0"/>
        <w:jc w:val="both"/>
        <w:rPr>
          <w:b/>
        </w:rPr>
      </w:pPr>
    </w:p>
    <w:p>
      <w:pPr>
        <w:pStyle w:val="Yo5TitleFigure"/>
        <w:spacing w:before="0"/>
        <w:jc w:val="both"/>
      </w:pPr>
      <w:r>
        <w:rPr>
          <w:b/>
        </w:rPr>
        <w:t>Figure 2-B:</w:t>
      </w:r>
      <w:r>
        <w:t xml:space="preserve"> Changes in the share of young people (aged 20-24) who have completed at least upper secondary education, EU-28 average and by country, 2010-2016 </w:t>
      </w:r>
    </w:p>
    <w:tbl>
      <w:tblPr>
        <w:tblpPr w:leftFromText="181" w:rightFromText="181" w:vertAnchor="text" w:tblpX="-424" w:tblpY="1"/>
        <w:tblOverlap w:val="never"/>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0023"/>
      </w:tblGrid>
      <w:tr>
        <w:trPr>
          <w:cantSplit/>
          <w:trHeight w:val="5661"/>
        </w:trPr>
        <w:tc>
          <w:tcPr>
            <w:tcW w:w="535" w:type="dxa"/>
            <w:shd w:val="clear" w:color="auto" w:fill="FB5F5F"/>
            <w:textDirection w:val="btLr"/>
            <w:vAlign w:val="center"/>
          </w:tcPr>
          <w:p>
            <w:pPr>
              <w:pStyle w:val="Yo13YouthIndicator"/>
              <w:jc w:val="center"/>
              <w:rPr>
                <w:noProof/>
                <w:sz w:val="20"/>
                <w:lang w:eastAsia="fr-BE"/>
              </w:rPr>
            </w:pPr>
            <w:r>
              <w:rPr>
                <w:noProof/>
                <w:sz w:val="20"/>
              </w:rPr>
              <w:t>EU youth indicator</w:t>
            </w:r>
          </w:p>
        </w:tc>
        <w:tc>
          <w:tcPr>
            <w:tcW w:w="10023" w:type="dxa"/>
            <w:shd w:val="clear" w:color="auto" w:fill="auto"/>
          </w:tcPr>
          <w:tbl>
            <w:tblPr>
              <w:tblW w:w="0" w:type="auto"/>
              <w:tblLook w:val="04A0" w:firstRow="1" w:lastRow="0" w:firstColumn="1" w:lastColumn="0" w:noHBand="0" w:noVBand="1"/>
            </w:tblPr>
            <w:tblGrid>
              <w:gridCol w:w="7276"/>
              <w:gridCol w:w="546"/>
              <w:gridCol w:w="1985"/>
            </w:tblGrid>
            <w:tr>
              <w:trPr>
                <w:trHeight w:val="693"/>
              </w:trPr>
              <w:tc>
                <w:tcPr>
                  <w:tcW w:w="0" w:type="auto"/>
                  <w:vMerge w:val="restart"/>
                  <w:shd w:val="clear" w:color="auto" w:fill="auto"/>
                </w:tcPr>
                <w:p>
                  <w:pPr>
                    <w:pStyle w:val="Yo5TextNotesbeforeafter"/>
                    <w:framePr w:hSpace="181" w:wrap="around" w:vAnchor="text" w:hAnchor="text" w:x="-424" w:y="1"/>
                    <w:suppressOverlap/>
                    <w:rPr>
                      <w:noProof/>
                    </w:rPr>
                  </w:pPr>
                  <w:r>
                    <w:rPr>
                      <w:noProof/>
                      <w:snapToGrid/>
                      <w:lang w:val="en-US"/>
                    </w:rPr>
                    <mc:AlternateContent>
                      <mc:Choice Requires="wps">
                        <w:drawing>
                          <wp:anchor distT="0" distB="0" distL="114300" distR="114300" simplePos="0" relativeHeight="251648512" behindDoc="0" locked="0" layoutInCell="1" allowOverlap="1">
                            <wp:simplePos x="0" y="0"/>
                            <wp:positionH relativeFrom="column">
                              <wp:posOffset>2791460</wp:posOffset>
                            </wp:positionH>
                            <wp:positionV relativeFrom="paragraph">
                              <wp:posOffset>489585</wp:posOffset>
                            </wp:positionV>
                            <wp:extent cx="1619250" cy="1067435"/>
                            <wp:effectExtent l="5080" t="12065" r="1397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67435"/>
                                    </a:xfrm>
                                    <a:prstGeom prst="rect">
                                      <a:avLst/>
                                    </a:prstGeom>
                                    <a:solidFill>
                                      <a:srgbClr val="FFFFFF"/>
                                    </a:solidFill>
                                    <a:ln w="9525">
                                      <a:solidFill>
                                        <a:srgbClr val="FFFFFF"/>
                                      </a:solidFill>
                                      <a:miter lim="800000"/>
                                      <a:headEnd/>
                                      <a:tailEnd/>
                                    </a:ln>
                                  </wps:spPr>
                                  <wps:txbx>
                                    <w:txbxContent>
                                      <w:p>
                                        <w:pPr>
                                          <w:spacing w:after="0"/>
                                          <w:jc w:val="center"/>
                                        </w:pPr>
                                        <w:r>
                                          <w:rPr>
                                            <w:noProof/>
                                            <w:lang w:val="en-US"/>
                                          </w:rPr>
                                          <w:drawing>
                                            <wp:inline distT="0" distB="0" distL="0" distR="0">
                                              <wp:extent cx="1426210" cy="941705"/>
                                              <wp:effectExtent l="0" t="0" r="2540" b="0"/>
                                              <wp:docPr id="296" name="Picture 296" descr="\\s-eacea-fs03-p\EACEA.A7\Youth\04_Reports\a_EU_Youth_Reports\2018\03_graph\2_B_at_least_upper_change_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eacea-fs03-p\EACEA.A7\Youth\04_Reports\a_EU_Youth_Reports\2018\03_graph\2_B_at_least_upper_change_TREND.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426210" cy="9417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9.8pt;margin-top:38.55pt;width:127.5pt;height:84.05pt;z-index:25164851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" strokecolor="white">
                            <v:textbox style="mso-fit-shape-to-text:t">
                              <w:txbxContent>
                                <w:p>
                                  <w:pPr>
                                    <w:spacing w:after="0"/>
                                    <w:jc w:val="center"/>
                                  </w:pPr>
                                  <w:r>
                                    <w:rPr>
                                      <w:noProof/>
                                      <w:lang w:val="en-US"/>
                                    </w:rPr>
                                    <w:drawing>
                                      <wp:inline distT="0" distB="0" distL="0" distR="0">
                                        <wp:extent cx="1426210" cy="941705"/>
                                        <wp:effectExtent l="0" t="0" r="2540" b="0"/>
                                        <wp:docPr id="296" name="Picture 296" descr="\\s-eacea-fs03-p\EACEA.A7\Youth\04_Reports\a_EU_Youth_Reports\2018\03_graph\2_B_at_least_upper_change_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eacea-fs03-p\EACEA.A7\Youth\04_Reports\a_EU_Youth_Reports\2018\03_graph\2_B_at_least_upper_change_TREND.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426210" cy="941705"/>
                                                </a:xfrm>
                                                <a:prstGeom prst="rect">
                                                  <a:avLst/>
                                                </a:prstGeom>
                                                <a:noFill/>
                                                <a:ln>
                                                  <a:noFill/>
                                                </a:ln>
                                              </pic:spPr>
                                            </pic:pic>
                                          </a:graphicData>
                                        </a:graphic>
                                      </wp:inline>
                                    </w:drawing>
                                  </w:r>
                                </w:p>
                              </w:txbxContent>
                            </v:textbox>
                          </v:shape>
                        </w:pict>
                      </mc:Fallback>
                    </mc:AlternateContent>
                  </w:r>
                  <w:r>
                    <w:rPr>
                      <w:noProof/>
                      <w:snapToGrid/>
                      <w:szCs w:val="22"/>
                      <w:lang w:val="en-US"/>
                    </w:rPr>
                    <w:drawing>
                      <wp:inline distT="0" distB="0" distL="0" distR="0">
                        <wp:extent cx="4483100" cy="3357245"/>
                        <wp:effectExtent l="0" t="0" r="0" b="0"/>
                        <wp:docPr id="257" name="Picture 257" descr="\\s-eacea-fs03-p\EACEA.A7\Youth\04_Reports\a_EU_Youth_Reports\2018\03_graph\2_B_at_least_upper_change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s-eacea-fs03-p\EACEA.A7\Youth\04_Reports\a_EU_Youth_Reports\2018\03_graph\2_B_at_least_upper_change_MAP.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483100" cy="3357245"/>
                                </a:xfrm>
                                <a:prstGeom prst="rect">
                                  <a:avLst/>
                                </a:prstGeom>
                                <a:noFill/>
                                <a:ln>
                                  <a:noFill/>
                                </a:ln>
                              </pic:spPr>
                            </pic:pic>
                          </a:graphicData>
                        </a:graphic>
                      </wp:inline>
                    </w:drawing>
                  </w:r>
                </w:p>
              </w:tc>
              <w:tc>
                <w:tcPr>
                  <w:tcW w:w="0" w:type="auto"/>
                </w:tcPr>
                <w:p>
                  <w:pPr>
                    <w:pStyle w:val="Yo5TextNotesbeforeafter"/>
                    <w:framePr w:hSpace="181" w:wrap="around" w:vAnchor="text" w:hAnchor="text" w:x="-424" w:y="1"/>
                    <w:suppressOverlap/>
                    <w:rPr>
                      <w:noProof/>
                      <w:szCs w:val="22"/>
                    </w:rPr>
                  </w:pPr>
                </w:p>
              </w:tc>
              <w:tc>
                <w:tcPr>
                  <w:tcW w:w="0" w:type="auto"/>
                  <w:vAlign w:val="bottom"/>
                </w:tcPr>
                <w:p>
                  <w:pPr>
                    <w:pStyle w:val="Yo5TextNotesbeforeafter"/>
                    <w:framePr w:hSpace="181" w:wrap="around" w:vAnchor="text" w:hAnchor="text" w:x="-424" w:y="1"/>
                    <w:suppressOverlap/>
                    <w:jc w:val="left"/>
                    <w:rPr>
                      <w:noProof/>
                      <w:szCs w:val="22"/>
                    </w:rPr>
                  </w:pPr>
                </w:p>
              </w:tc>
            </w:tr>
            <w:tr>
              <w:trPr>
                <w:trHeight w:val="688"/>
              </w:trPr>
              <w:tc>
                <w:tcPr>
                  <w:tcW w:w="0" w:type="auto"/>
                  <w:vMerge/>
                  <w:shd w:val="clear" w:color="auto" w:fill="auto"/>
                </w:tcPr>
                <w:p>
                  <w:pPr>
                    <w:pStyle w:val="Yo5TextNotesbeforeafter"/>
                    <w:framePr w:hSpace="181" w:wrap="around" w:vAnchor="text" w:hAnchor="text" w:x="-424" w:y="1"/>
                    <w:suppressOverlap/>
                    <w:rPr>
                      <w:noProof/>
                      <w:szCs w:val="22"/>
                    </w:rPr>
                  </w:pPr>
                </w:p>
              </w:tc>
              <w:tc>
                <w:tcPr>
                  <w:tcW w:w="0" w:type="auto"/>
                </w:tcPr>
                <w:p>
                  <w:pPr>
                    <w:pStyle w:val="Yo5TextNotesbeforeafter"/>
                    <w:framePr w:hSpace="181" w:wrap="around" w:vAnchor="text" w:hAnchor="text" w:x="-424" w:y="1"/>
                    <w:suppressOverlap/>
                    <w:rPr>
                      <w:noProof/>
                      <w:szCs w:val="22"/>
                    </w:rPr>
                  </w:pPr>
                  <w:r>
                    <w:rPr>
                      <w:noProof/>
                      <w:snapToGrid/>
                      <w:lang w:val="en-US"/>
                    </w:rPr>
                    <w:drawing>
                      <wp:inline distT="0" distB="0" distL="0" distR="0">
                        <wp:extent cx="187960" cy="17462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960" cy="174625"/>
                                </a:xfrm>
                                <a:prstGeom prst="rect">
                                  <a:avLst/>
                                </a:prstGeom>
                                <a:noFill/>
                              </pic:spPr>
                            </pic:pic>
                          </a:graphicData>
                        </a:graphic>
                      </wp:inline>
                    </w:drawing>
                  </w:r>
                </w:p>
              </w:tc>
              <w:tc>
                <w:tcPr>
                  <w:tcW w:w="0" w:type="auto"/>
                </w:tcPr>
                <w:p>
                  <w:pPr>
                    <w:pStyle w:val="Yo5TextNotesbeforeafter"/>
                    <w:framePr w:hSpace="181" w:wrap="around" w:vAnchor="text" w:hAnchor="text" w:x="-424" w:y="1"/>
                    <w:suppressOverlap/>
                    <w:jc w:val="left"/>
                    <w:rPr>
                      <w:noProof/>
                      <w:szCs w:val="22"/>
                      <w:lang w:val="en-GB"/>
                    </w:rPr>
                  </w:pPr>
                  <w:r>
                    <w:rPr>
                      <w:noProof/>
                      <w:lang w:val="en-GB"/>
                    </w:rPr>
                    <w:t>Increase between 2 and 5 p.p.</w:t>
                  </w:r>
                </w:p>
              </w:tc>
            </w:tr>
            <w:tr>
              <w:trPr>
                <w:trHeight w:val="688"/>
              </w:trPr>
              <w:tc>
                <w:tcPr>
                  <w:tcW w:w="0" w:type="auto"/>
                  <w:vMerge/>
                  <w:shd w:val="clear" w:color="auto" w:fill="auto"/>
                </w:tcPr>
                <w:p>
                  <w:pPr>
                    <w:pStyle w:val="Yo5TextNotesbeforeafter"/>
                    <w:framePr w:hSpace="181" w:wrap="around" w:vAnchor="text" w:hAnchor="text" w:x="-424" w:y="1"/>
                    <w:suppressOverlap/>
                    <w:rPr>
                      <w:noProof/>
                      <w:szCs w:val="22"/>
                      <w:lang w:val="en-GB"/>
                    </w:rPr>
                  </w:pPr>
                </w:p>
              </w:tc>
              <w:tc>
                <w:tcPr>
                  <w:tcW w:w="0" w:type="auto"/>
                </w:tcPr>
                <w:p>
                  <w:pPr>
                    <w:pStyle w:val="Yo5TextNotesbeforeafter"/>
                    <w:framePr w:hSpace="181" w:wrap="around" w:vAnchor="text" w:hAnchor="text" w:x="-424" w:y="1"/>
                    <w:suppressOverlap/>
                    <w:rPr>
                      <w:noProof/>
                      <w:szCs w:val="22"/>
                    </w:rPr>
                  </w:pPr>
                  <w:r>
                    <w:rPr>
                      <w:noProof/>
                      <w:snapToGrid/>
                      <w:lang w:val="en-US"/>
                    </w:rPr>
                    <w:drawing>
                      <wp:inline distT="0" distB="0" distL="0" distR="0">
                        <wp:extent cx="187960" cy="17462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960" cy="174625"/>
                                </a:xfrm>
                                <a:prstGeom prst="rect">
                                  <a:avLst/>
                                </a:prstGeom>
                                <a:noFill/>
                              </pic:spPr>
                            </pic:pic>
                          </a:graphicData>
                        </a:graphic>
                      </wp:inline>
                    </w:drawing>
                  </w:r>
                </w:p>
              </w:tc>
              <w:tc>
                <w:tcPr>
                  <w:tcW w:w="0" w:type="auto"/>
                </w:tcPr>
                <w:p>
                  <w:pPr>
                    <w:pStyle w:val="Yo5TextNotesbeforeafter"/>
                    <w:framePr w:hSpace="181" w:wrap="around" w:vAnchor="text" w:hAnchor="text" w:x="-424" w:y="1"/>
                    <w:suppressOverlap/>
                    <w:jc w:val="left"/>
                    <w:rPr>
                      <w:noProof/>
                      <w:szCs w:val="22"/>
                      <w:lang w:val="en-GB"/>
                    </w:rPr>
                  </w:pPr>
                  <w:r>
                    <w:rPr>
                      <w:noProof/>
                      <w:lang w:val="en-GB"/>
                    </w:rPr>
                    <w:t>Increased between 6 and 9 p.p.</w:t>
                  </w:r>
                </w:p>
              </w:tc>
            </w:tr>
            <w:tr>
              <w:trPr>
                <w:trHeight w:val="688"/>
              </w:trPr>
              <w:tc>
                <w:tcPr>
                  <w:tcW w:w="0" w:type="auto"/>
                  <w:vMerge/>
                  <w:shd w:val="clear" w:color="auto" w:fill="auto"/>
                </w:tcPr>
                <w:p>
                  <w:pPr>
                    <w:pStyle w:val="Yo5TextNotesbeforeafter"/>
                    <w:framePr w:hSpace="181" w:wrap="around" w:vAnchor="text" w:hAnchor="text" w:x="-424" w:y="1"/>
                    <w:suppressOverlap/>
                    <w:rPr>
                      <w:noProof/>
                      <w:szCs w:val="22"/>
                      <w:lang w:val="en-GB"/>
                    </w:rPr>
                  </w:pPr>
                </w:p>
              </w:tc>
              <w:tc>
                <w:tcPr>
                  <w:tcW w:w="0" w:type="auto"/>
                </w:tcPr>
                <w:p>
                  <w:pPr>
                    <w:pStyle w:val="Yo5TextNotesbeforeafter"/>
                    <w:framePr w:hSpace="181" w:wrap="around" w:vAnchor="text" w:hAnchor="text" w:x="-424" w:y="1"/>
                    <w:suppressOverlap/>
                    <w:rPr>
                      <w:noProof/>
                      <w:szCs w:val="22"/>
                    </w:rPr>
                  </w:pPr>
                  <w:r>
                    <w:rPr>
                      <w:noProof/>
                      <w:snapToGrid/>
                      <w:lang w:val="en-US"/>
                    </w:rPr>
                    <w:drawing>
                      <wp:inline distT="0" distB="0" distL="0" distR="0">
                        <wp:extent cx="191135" cy="204470"/>
                        <wp:effectExtent l="0" t="0" r="0" b="508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 cy="204470"/>
                                </a:xfrm>
                                <a:prstGeom prst="rect">
                                  <a:avLst/>
                                </a:prstGeom>
                                <a:noFill/>
                                <a:ln>
                                  <a:noFill/>
                                </a:ln>
                              </pic:spPr>
                            </pic:pic>
                          </a:graphicData>
                        </a:graphic>
                      </wp:inline>
                    </w:drawing>
                  </w:r>
                </w:p>
              </w:tc>
              <w:tc>
                <w:tcPr>
                  <w:tcW w:w="0" w:type="auto"/>
                </w:tcPr>
                <w:p>
                  <w:pPr>
                    <w:pStyle w:val="Yo5TextNotesbeforeafter"/>
                    <w:framePr w:hSpace="181" w:wrap="around" w:vAnchor="text" w:hAnchor="text" w:x="-424" w:y="1"/>
                    <w:suppressOverlap/>
                    <w:jc w:val="left"/>
                    <w:rPr>
                      <w:noProof/>
                      <w:szCs w:val="22"/>
                    </w:rPr>
                  </w:pPr>
                  <w:r>
                    <w:rPr>
                      <w:noProof/>
                      <w:lang w:val="en-GB"/>
                    </w:rPr>
                    <w:t>Increase over 9 p.p.</w:t>
                  </w:r>
                </w:p>
              </w:tc>
            </w:tr>
            <w:tr>
              <w:trPr>
                <w:trHeight w:val="688"/>
              </w:trPr>
              <w:tc>
                <w:tcPr>
                  <w:tcW w:w="0" w:type="auto"/>
                  <w:vMerge/>
                  <w:shd w:val="clear" w:color="auto" w:fill="auto"/>
                </w:tcPr>
                <w:p>
                  <w:pPr>
                    <w:pStyle w:val="Yo5TextNotesbeforeafter"/>
                    <w:framePr w:hSpace="181" w:wrap="around" w:vAnchor="text" w:hAnchor="text" w:x="-424" w:y="1"/>
                    <w:suppressOverlap/>
                    <w:rPr>
                      <w:noProof/>
                      <w:szCs w:val="22"/>
                    </w:rPr>
                  </w:pPr>
                </w:p>
              </w:tc>
              <w:tc>
                <w:tcPr>
                  <w:tcW w:w="0" w:type="auto"/>
                </w:tcPr>
                <w:p>
                  <w:pPr>
                    <w:pStyle w:val="Yo5TextNotesbeforeafter"/>
                    <w:framePr w:hSpace="181" w:wrap="around" w:vAnchor="text" w:hAnchor="text" w:x="-424" w:y="1"/>
                    <w:suppressOverlap/>
                    <w:rPr>
                      <w:noProof/>
                      <w:szCs w:val="22"/>
                    </w:rPr>
                  </w:pPr>
                  <w:r>
                    <w:rPr>
                      <w:noProof/>
                      <w:snapToGrid/>
                      <w:lang w:val="en-US"/>
                    </w:rPr>
                    <w:drawing>
                      <wp:inline distT="0" distB="0" distL="0" distR="0">
                        <wp:extent cx="184150" cy="163830"/>
                        <wp:effectExtent l="0" t="0" r="6350" b="762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p>
              </w:tc>
              <w:tc>
                <w:tcPr>
                  <w:tcW w:w="0" w:type="auto"/>
                </w:tcPr>
                <w:p>
                  <w:pPr>
                    <w:pStyle w:val="Yo5TextNotesbeforeafter"/>
                    <w:framePr w:hSpace="181" w:wrap="around" w:vAnchor="text" w:hAnchor="text" w:x="-424" w:y="1"/>
                    <w:suppressOverlap/>
                    <w:rPr>
                      <w:noProof/>
                      <w:szCs w:val="22"/>
                    </w:rPr>
                  </w:pPr>
                  <w:r>
                    <w:rPr>
                      <w:noProof/>
                      <w:lang w:val="en-GB"/>
                    </w:rPr>
                    <w:t>Stable</w:t>
                  </w:r>
                </w:p>
              </w:tc>
            </w:tr>
            <w:tr>
              <w:trPr>
                <w:trHeight w:val="688"/>
              </w:trPr>
              <w:tc>
                <w:tcPr>
                  <w:tcW w:w="0" w:type="auto"/>
                  <w:vMerge/>
                  <w:shd w:val="clear" w:color="auto" w:fill="auto"/>
                </w:tcPr>
                <w:p>
                  <w:pPr>
                    <w:pStyle w:val="Yo5TextNotesbeforeafter"/>
                    <w:framePr w:hSpace="181" w:wrap="around" w:vAnchor="text" w:hAnchor="text" w:x="-424" w:y="1"/>
                    <w:suppressOverlap/>
                    <w:rPr>
                      <w:noProof/>
                      <w:szCs w:val="22"/>
                    </w:rPr>
                  </w:pPr>
                </w:p>
              </w:tc>
              <w:tc>
                <w:tcPr>
                  <w:tcW w:w="0" w:type="auto"/>
                </w:tcPr>
                <w:p>
                  <w:pPr>
                    <w:pStyle w:val="Yo5TextNotesbeforeafter"/>
                    <w:framePr w:hSpace="181" w:wrap="around" w:vAnchor="text" w:hAnchor="text" w:x="-424" w:y="1"/>
                    <w:suppressOverlap/>
                    <w:rPr>
                      <w:noProof/>
                      <w:szCs w:val="22"/>
                    </w:rPr>
                  </w:pPr>
                  <w:r>
                    <w:rPr>
                      <w:noProof/>
                      <w:snapToGrid/>
                      <w:lang w:val="en-US"/>
                    </w:rPr>
                    <w:drawing>
                      <wp:inline distT="0" distB="0" distL="0" distR="0">
                        <wp:extent cx="204470" cy="170815"/>
                        <wp:effectExtent l="0" t="0" r="5080" b="635"/>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70" cy="170815"/>
                                </a:xfrm>
                                <a:prstGeom prst="rect">
                                  <a:avLst/>
                                </a:prstGeom>
                                <a:noFill/>
                                <a:ln>
                                  <a:noFill/>
                                </a:ln>
                              </pic:spPr>
                            </pic:pic>
                          </a:graphicData>
                        </a:graphic>
                      </wp:inline>
                    </w:drawing>
                  </w:r>
                </w:p>
              </w:tc>
              <w:tc>
                <w:tcPr>
                  <w:tcW w:w="0" w:type="auto"/>
                </w:tcPr>
                <w:p>
                  <w:pPr>
                    <w:pStyle w:val="Yo5TextNotesbeforeafter"/>
                    <w:framePr w:hSpace="181" w:wrap="around" w:vAnchor="text" w:hAnchor="text" w:x="-424" w:y="1"/>
                    <w:suppressOverlap/>
                    <w:rPr>
                      <w:noProof/>
                      <w:szCs w:val="22"/>
                    </w:rPr>
                  </w:pPr>
                  <w:r>
                    <w:rPr>
                      <w:noProof/>
                      <w:lang w:val="en-GB"/>
                    </w:rPr>
                    <w:t>Decrease</w:t>
                  </w:r>
                </w:p>
              </w:tc>
            </w:tr>
            <w:tr>
              <w:trPr>
                <w:trHeight w:val="688"/>
              </w:trPr>
              <w:tc>
                <w:tcPr>
                  <w:tcW w:w="0" w:type="auto"/>
                  <w:vMerge/>
                  <w:shd w:val="clear" w:color="auto" w:fill="auto"/>
                </w:tcPr>
                <w:p>
                  <w:pPr>
                    <w:pStyle w:val="Yo5TextNotesbeforeafter"/>
                    <w:framePr w:hSpace="181" w:wrap="around" w:vAnchor="text" w:hAnchor="text" w:x="-424" w:y="1"/>
                    <w:suppressOverlap/>
                    <w:rPr>
                      <w:noProof/>
                      <w:szCs w:val="22"/>
                    </w:rPr>
                  </w:pPr>
                </w:p>
              </w:tc>
              <w:tc>
                <w:tcPr>
                  <w:tcW w:w="0" w:type="auto"/>
                </w:tcPr>
                <w:p>
                  <w:pPr>
                    <w:pStyle w:val="Yo5TextNotesbeforeafter"/>
                    <w:framePr w:hSpace="181" w:wrap="around" w:vAnchor="text" w:hAnchor="text" w:x="-424" w:y="1"/>
                    <w:suppressOverlap/>
                    <w:rPr>
                      <w:noProof/>
                      <w:szCs w:val="22"/>
                    </w:rPr>
                  </w:pPr>
                  <w:r>
                    <w:rPr>
                      <w:noProof/>
                      <w:snapToGrid/>
                      <w:lang w:val="en-US"/>
                    </w:rPr>
                    <w:drawing>
                      <wp:inline distT="0" distB="0" distL="0" distR="0">
                        <wp:extent cx="191135" cy="163830"/>
                        <wp:effectExtent l="0" t="0" r="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p>
              </w:tc>
              <w:tc>
                <w:tcPr>
                  <w:tcW w:w="0" w:type="auto"/>
                </w:tcPr>
                <w:p>
                  <w:pPr>
                    <w:pStyle w:val="Yo5TextNotesbeforeafter"/>
                    <w:framePr w:hSpace="181" w:wrap="around" w:vAnchor="text" w:hAnchor="text" w:x="-424" w:y="1"/>
                    <w:suppressOverlap/>
                    <w:jc w:val="left"/>
                    <w:rPr>
                      <w:noProof/>
                      <w:szCs w:val="22"/>
                    </w:rPr>
                  </w:pPr>
                  <w:r>
                    <w:rPr>
                      <w:noProof/>
                      <w:lang w:val="en-GB"/>
                    </w:rPr>
                    <w:t>Data not collected</w:t>
                  </w:r>
                </w:p>
              </w:tc>
            </w:tr>
          </w:tbl>
          <w:p>
            <w:pPr>
              <w:pStyle w:val="Yo5TextNotesbeforeafter"/>
              <w:rPr>
                <w:noProof/>
                <w:lang w:val="en-GB"/>
              </w:rPr>
            </w:pPr>
          </w:p>
        </w:tc>
      </w:tr>
    </w:tbl>
    <w:p>
      <w:pPr>
        <w:widowControl w:val="0"/>
        <w:spacing w:before="60" w:after="60" w:line="240" w:lineRule="auto"/>
        <w:jc w:val="both"/>
        <w:rPr>
          <w:rFonts w:ascii="Verdana" w:eastAsia="Times New Roman" w:hAnsi="Verdana" w:cs="Arial"/>
          <w:noProof/>
          <w:snapToGrid w:val="0"/>
          <w:sz w:val="14"/>
          <w:szCs w:val="14"/>
        </w:rPr>
      </w:pPr>
      <w:r>
        <w:rPr>
          <w:rFonts w:ascii="Verdana" w:eastAsia="Times New Roman" w:hAnsi="Verdana" w:cs="Arial"/>
          <w:i/>
          <w:noProof/>
          <w:snapToGrid w:val="0"/>
          <w:sz w:val="14"/>
          <w:szCs w:val="14"/>
        </w:rPr>
        <w:t>Notes:</w:t>
      </w:r>
      <w:r>
        <w:rPr>
          <w:rFonts w:ascii="Verdana" w:eastAsia="Times New Roman" w:hAnsi="Verdana" w:cs="Arial"/>
          <w:i/>
          <w:noProof/>
          <w:sz w:val="14"/>
          <w:szCs w:val="14"/>
        </w:rPr>
        <w:t xml:space="preserve"> </w:t>
      </w:r>
      <w:r>
        <w:rPr>
          <w:rFonts w:ascii="Verdana" w:eastAsia="Times New Roman" w:hAnsi="Verdana" w:cs="Arial"/>
          <w:noProof/>
          <w:sz w:val="14"/>
          <w:szCs w:val="14"/>
        </w:rPr>
        <w:t xml:space="preserve">For data on educational attainment based on the EU Labour Force Survey (EU-LFS) the International Standard Classification of Education 2011 (ISCED 2011) is applied as from 2014. Up to 2013, ISCED 1997 is used. Nevertheless, data are comparable over time for all available countries. </w:t>
      </w:r>
    </w:p>
    <w:p>
      <w:pPr>
        <w:widowControl w:val="0"/>
        <w:spacing w:before="60" w:after="60" w:line="240" w:lineRule="auto"/>
        <w:jc w:val="both"/>
        <w:rPr>
          <w:rFonts w:ascii="Verdana" w:eastAsia="Times New Roman" w:hAnsi="Verdana" w:cs="Arial"/>
          <w:noProof/>
          <w:snapToGrid w:val="0"/>
          <w:sz w:val="14"/>
          <w:szCs w:val="14"/>
        </w:rPr>
      </w:pPr>
      <w:r>
        <w:rPr>
          <w:rFonts w:ascii="Verdana" w:eastAsia="Times New Roman" w:hAnsi="Verdana" w:cs="Arial"/>
          <w:i/>
          <w:noProof/>
          <w:snapToGrid w:val="0"/>
          <w:sz w:val="14"/>
          <w:szCs w:val="14"/>
        </w:rPr>
        <w:t>Source:</w:t>
      </w:r>
      <w:r>
        <w:rPr>
          <w:rFonts w:ascii="Verdana" w:eastAsia="Times New Roman" w:hAnsi="Verdana" w:cs="Arial"/>
          <w:noProof/>
          <w:snapToGrid w:val="0"/>
          <w:sz w:val="14"/>
          <w:szCs w:val="14"/>
        </w:rPr>
        <w:t xml:space="preserve"> Own calculation based on Eurostat LFS [edat_lfse_03].</w:t>
      </w:r>
    </w:p>
    <w:p>
      <w:pPr>
        <w:pStyle w:val="Yo1Textpara"/>
        <w:rPr>
          <w:noProof/>
          <w:szCs w:val="22"/>
        </w:rPr>
      </w:pPr>
      <w:r>
        <w:rPr>
          <w:noProof/>
          <w:szCs w:val="22"/>
        </w:rPr>
        <w:t xml:space="preserve">Looking at higher qualifications than upper secondary level, a tertiary education degree helps young people the most in securing a job in a high-skilled labour market (as illustrated in the chapter on Employment and Entrepreneurship, Figure 3-I). </w:t>
      </w:r>
    </w:p>
    <w:p>
      <w:pPr>
        <w:pStyle w:val="Yo1Textpara"/>
        <w:rPr>
          <w:noProof/>
          <w:szCs w:val="22"/>
        </w:rPr>
      </w:pPr>
      <w:r>
        <w:rPr>
          <w:noProof/>
          <w:szCs w:val="22"/>
        </w:rPr>
        <w:t xml:space="preserve">In 2016, an average of 4 out of 10 Europeans between 30 and 34 years of age had achieved a tertiary degree </w:t>
      </w:r>
      <w:r>
        <w:rPr>
          <w:noProof/>
          <w:szCs w:val="22"/>
        </w:rPr>
        <w:br/>
        <w:t>(Figure 2-C) indicating that the target set in the Europe 2020 strategy was reached earlier than expected (</w:t>
      </w:r>
      <w:r>
        <w:rPr>
          <w:rStyle w:val="FootnoteReference"/>
          <w:noProof/>
          <w:szCs w:val="22"/>
          <w:lang w:eastAsia="x-none"/>
        </w:rPr>
        <w:footnoteReference w:id="9"/>
      </w:r>
      <w:r>
        <w:rPr>
          <w:noProof/>
          <w:szCs w:val="22"/>
        </w:rPr>
        <w:t>). A few countries are well above the average, with as many as half of 30- to 34-year-olds having attained a tertiary degree (Ireland, Cyprus, Lithuania, Luxembourg, Sweden, Iceland and Norway). On the other hand, this percentage is significantly lower (equal to or below 30 %) in Croatia, Italy, Malta, Romania, the former Yugoslav Republic of Macedonia and Turkey. The reasons behind the country variations are multiple and stem from the cultural, historical and social circumstances of each country. Yet, several characteristics of national education systems, such as the existence of multiple secondary education pathways leading to higher studies, the extent to which tertiary institutions select students, and the availability of guidance and information on higher education options (for both prospective and tertiary students) are recognised as important factors influencing tertiary attainment (</w:t>
      </w:r>
      <w:r>
        <w:rPr>
          <w:rStyle w:val="FootnoteReference"/>
          <w:noProof/>
          <w:szCs w:val="22"/>
        </w:rPr>
        <w:footnoteReference w:id="10"/>
      </w:r>
      <w:r>
        <w:rPr>
          <w:noProof/>
          <w:szCs w:val="22"/>
        </w:rPr>
        <w:t>).</w:t>
      </w:r>
    </w:p>
    <w:p>
      <w:pPr>
        <w:pStyle w:val="Yo5TitleFigure"/>
        <w:jc w:val="both"/>
      </w:pPr>
      <w:r>
        <w:rPr>
          <w:b/>
        </w:rPr>
        <w:t>Figure 2-C:</w:t>
      </w:r>
      <w:r>
        <w:t xml:space="preserve"> Share of population aged 30-34 with tertiary education attainment, by country and by sex, 2016</w:t>
      </w:r>
    </w:p>
    <w:tbl>
      <w:tblPr>
        <w:tblpPr w:leftFromText="181" w:rightFromText="181" w:vertAnchor="text" w:tblpX="-42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2735"/>
        <w:gridCol w:w="992"/>
        <w:gridCol w:w="851"/>
        <w:gridCol w:w="850"/>
        <w:gridCol w:w="992"/>
        <w:gridCol w:w="3544"/>
      </w:tblGrid>
      <w:tr>
        <w:trPr>
          <w:cantSplit/>
          <w:trHeight w:val="3528"/>
        </w:trPr>
        <w:tc>
          <w:tcPr>
            <w:tcW w:w="492" w:type="dxa"/>
            <w:vMerge w:val="restart"/>
            <w:shd w:val="clear" w:color="auto" w:fill="FB5F5F"/>
            <w:textDirection w:val="btLr"/>
            <w:vAlign w:val="center"/>
          </w:tcPr>
          <w:p>
            <w:pPr>
              <w:pStyle w:val="Yo13YouthIndicator"/>
              <w:jc w:val="center"/>
              <w:rPr>
                <w:noProof/>
                <w:sz w:val="20"/>
                <w:lang w:eastAsia="fr-BE"/>
              </w:rPr>
            </w:pPr>
            <w:r>
              <w:rPr>
                <w:noProof/>
                <w:sz w:val="20"/>
              </w:rPr>
              <w:t>EU youth indicator</w:t>
            </w:r>
          </w:p>
        </w:tc>
        <w:tc>
          <w:tcPr>
            <w:tcW w:w="9964" w:type="dxa"/>
            <w:gridSpan w:val="6"/>
            <w:tcBorders>
              <w:bottom w:val="nil"/>
            </w:tcBorders>
            <w:shd w:val="clear" w:color="auto" w:fill="auto"/>
          </w:tcPr>
          <w:tbl>
            <w:tblPr>
              <w:tblW w:w="5000" w:type="pct"/>
              <w:tblLayout w:type="fixed"/>
              <w:tblLook w:val="04A0" w:firstRow="1" w:lastRow="0" w:firstColumn="1" w:lastColumn="0" w:noHBand="0" w:noVBand="1"/>
            </w:tblPr>
            <w:tblGrid>
              <w:gridCol w:w="9748"/>
            </w:tblGrid>
            <w:tr>
              <w:trPr>
                <w:trHeight w:val="143"/>
              </w:trPr>
              <w:tc>
                <w:tcPr>
                  <w:tcW w:w="5000" w:type="pct"/>
                  <w:shd w:val="clear" w:color="auto" w:fill="auto"/>
                  <w:vAlign w:val="bottom"/>
                </w:tcPr>
                <w:p>
                  <w:pPr>
                    <w:pStyle w:val="Yo5TextNotesbeforeafter"/>
                    <w:framePr w:hSpace="181" w:wrap="around" w:vAnchor="text" w:hAnchor="text" w:x="-424" w:y="1"/>
                    <w:spacing w:before="0" w:after="0"/>
                    <w:suppressOverlap/>
                    <w:jc w:val="left"/>
                    <w:rPr>
                      <w:noProof/>
                      <w:lang w:eastAsia="en-GB"/>
                    </w:rPr>
                  </w:pPr>
                  <w:r>
                    <w:rPr>
                      <w:noProof/>
                      <w:lang w:eastAsia="en-GB"/>
                    </w:rPr>
                    <w:t xml:space="preserve"> %                                                                                                                                                                                         %</w:t>
                  </w:r>
                </w:p>
              </w:tc>
            </w:tr>
            <w:tr>
              <w:trPr>
                <w:trHeight w:val="3371"/>
              </w:trPr>
              <w:tc>
                <w:tcPr>
                  <w:tcW w:w="5000" w:type="pct"/>
                  <w:shd w:val="clear" w:color="auto" w:fill="auto"/>
                </w:tcPr>
                <w:p>
                  <w:pPr>
                    <w:pStyle w:val="Yo5TextNotesbeforeafter"/>
                    <w:framePr w:hSpace="181" w:wrap="around" w:vAnchor="text" w:hAnchor="text" w:x="-424" w:y="1"/>
                    <w:spacing w:after="0"/>
                    <w:suppressOverlap/>
                    <w:rPr>
                      <w:noProof/>
                      <w:lang w:eastAsia="en-GB"/>
                    </w:rPr>
                  </w:pPr>
                  <w:r>
                    <w:rPr>
                      <w:noProof/>
                      <w:lang w:eastAsia="en-GB"/>
                    </w:rPr>
                    <w:fldChar w:fldCharType="begin"/>
                  </w:r>
                  <w:r>
                    <w:rPr>
                      <w:noProof/>
                      <w:lang w:eastAsia="en-GB"/>
                    </w:rPr>
                    <w:instrText xml:space="preserve"> INCLUDEPICTURE  "C:\\Users\\paredcr\\AppData\\Local\\Temp\\03_graph\\2_C_tertiary.jpg"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"C:\\Users\\paredcr\\AppData\\Local\\Temp\\03_graph\\2_C_tertiary.jpg"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"C:\\Users\\paredcr\\AppData\\Local\\Temp\\03_graph\\2_C_tertiary.jpg"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"C:\\Users\\paredcr\\AppData\\Local\\Temp\\03_graph\\2_C_tertiary.jpg" \* MERGEFORMATINET </w:instrText>
                  </w:r>
                  <w:r>
                    <w:rPr>
                      <w:noProof/>
                      <w:lang w:eastAsia="en-GB"/>
                    </w:rPr>
                    <w:fldChar w:fldCharType="separate"/>
                  </w:r>
                  <w:r>
                    <w:rPr>
                      <w:noProof/>
                      <w:lang w:eastAsia="en-GB"/>
                    </w:rPr>
                    <w:pict>
                      <v:shape id="_x0000_i1027" type="#_x0000_t75" style="width:476.5pt;height:162.3pt">
                        <v:imagedata r:id="rId31" r:href="rId32"/>
                      </v:shape>
                    </w:pict>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p>
              </w:tc>
            </w:tr>
          </w:tbl>
          <w:p>
            <w:pPr>
              <w:pStyle w:val="Yo5TextNotesbeforeafter"/>
              <w:rPr>
                <w:noProof/>
              </w:rPr>
            </w:pPr>
          </w:p>
        </w:tc>
      </w:tr>
      <w:tr>
        <w:trPr>
          <w:cantSplit/>
          <w:trHeight w:val="258"/>
        </w:trPr>
        <w:tc>
          <w:tcPr>
            <w:tcW w:w="492" w:type="dxa"/>
            <w:vMerge/>
            <w:tcBorders>
              <w:right w:val="single" w:sz="4" w:space="0" w:color="auto"/>
            </w:tcBorders>
            <w:shd w:val="clear" w:color="auto" w:fill="FB5F5F"/>
            <w:textDirection w:val="btLr"/>
            <w:vAlign w:val="center"/>
          </w:tcPr>
          <w:p>
            <w:pPr>
              <w:pStyle w:val="Yo13YouthIndicator"/>
              <w:jc w:val="center"/>
              <w:rPr>
                <w:noProof/>
                <w:sz w:val="20"/>
              </w:rPr>
            </w:pPr>
          </w:p>
        </w:tc>
        <w:tc>
          <w:tcPr>
            <w:tcW w:w="2735" w:type="dxa"/>
            <w:tcBorders>
              <w:top w:val="nil"/>
              <w:left w:val="single" w:sz="4" w:space="0" w:color="auto"/>
              <w:bottom w:val="single" w:sz="4" w:space="0" w:color="auto"/>
              <w:right w:val="nil"/>
            </w:tcBorders>
            <w:shd w:val="clear" w:color="auto" w:fill="auto"/>
            <w:vAlign w:val="center"/>
          </w:tcPr>
          <w:p>
            <w:pPr>
              <w:pStyle w:val="Yo5TextNotesbeforeafter"/>
              <w:spacing w:before="0"/>
              <w:jc w:val="right"/>
              <w:rPr>
                <w:noProof/>
                <w:lang w:eastAsia="en-GB"/>
              </w:rPr>
            </w:pPr>
            <w:r>
              <w:rPr>
                <w:noProof/>
                <w:snapToGrid/>
                <w:lang w:val="en-US"/>
              </w:rPr>
              <w:drawing>
                <wp:inline distT="0" distB="0" distL="0" distR="0">
                  <wp:extent cx="228600" cy="450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 cy="45085"/>
                          </a:xfrm>
                          <a:prstGeom prst="rect">
                            <a:avLst/>
                          </a:prstGeom>
                          <a:noFill/>
                        </pic:spPr>
                      </pic:pic>
                    </a:graphicData>
                  </a:graphic>
                </wp:inline>
              </w:drawing>
            </w:r>
          </w:p>
        </w:tc>
        <w:tc>
          <w:tcPr>
            <w:tcW w:w="992" w:type="dxa"/>
            <w:tcBorders>
              <w:top w:val="nil"/>
              <w:left w:val="nil"/>
              <w:bottom w:val="single" w:sz="4" w:space="0" w:color="auto"/>
              <w:right w:val="nil"/>
            </w:tcBorders>
            <w:shd w:val="clear" w:color="auto" w:fill="auto"/>
            <w:vAlign w:val="center"/>
          </w:tcPr>
          <w:p>
            <w:pPr>
              <w:pStyle w:val="Yo5TextNotesbeforeafter"/>
              <w:spacing w:before="0"/>
              <w:jc w:val="left"/>
              <w:rPr>
                <w:noProof/>
                <w:lang w:eastAsia="en-GB"/>
              </w:rPr>
            </w:pPr>
            <w:r>
              <w:rPr>
                <w:noProof/>
                <w:lang w:eastAsia="en-GB"/>
              </w:rPr>
              <w:t>Total</w:t>
            </w:r>
          </w:p>
        </w:tc>
        <w:tc>
          <w:tcPr>
            <w:tcW w:w="851" w:type="dxa"/>
            <w:tcBorders>
              <w:top w:val="nil"/>
              <w:left w:val="nil"/>
              <w:bottom w:val="single" w:sz="4" w:space="0" w:color="auto"/>
              <w:right w:val="nil"/>
            </w:tcBorders>
            <w:shd w:val="clear" w:color="auto" w:fill="auto"/>
            <w:vAlign w:val="center"/>
          </w:tcPr>
          <w:p>
            <w:pPr>
              <w:pStyle w:val="Yo5TextNotesbeforeafter"/>
              <w:spacing w:before="0"/>
              <w:jc w:val="right"/>
              <w:rPr>
                <w:noProof/>
                <w:lang w:eastAsia="en-GB"/>
              </w:rPr>
            </w:pPr>
            <w:r>
              <w:rPr>
                <w:noProof/>
                <w:snapToGrid/>
                <w:lang w:val="en-US"/>
              </w:rPr>
              <w:drawing>
                <wp:inline distT="0" distB="0" distL="0" distR="0">
                  <wp:extent cx="163195" cy="17145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195" cy="171450"/>
                          </a:xfrm>
                          <a:prstGeom prst="rect">
                            <a:avLst/>
                          </a:prstGeom>
                          <a:noFill/>
                        </pic:spPr>
                      </pic:pic>
                    </a:graphicData>
                  </a:graphic>
                </wp:inline>
              </w:drawing>
            </w:r>
          </w:p>
        </w:tc>
        <w:tc>
          <w:tcPr>
            <w:tcW w:w="850" w:type="dxa"/>
            <w:tcBorders>
              <w:top w:val="nil"/>
              <w:left w:val="nil"/>
              <w:bottom w:val="single" w:sz="4" w:space="0" w:color="auto"/>
              <w:right w:val="nil"/>
            </w:tcBorders>
            <w:shd w:val="clear" w:color="auto" w:fill="auto"/>
            <w:vAlign w:val="center"/>
          </w:tcPr>
          <w:p>
            <w:pPr>
              <w:pStyle w:val="Yo5TextNotesbeforeafter"/>
              <w:spacing w:before="0"/>
              <w:jc w:val="left"/>
              <w:rPr>
                <w:noProof/>
                <w:lang w:eastAsia="en-GB"/>
              </w:rPr>
            </w:pPr>
            <w:r>
              <w:rPr>
                <w:noProof/>
                <w:lang w:eastAsia="en-GB"/>
              </w:rPr>
              <w:t>Women</w:t>
            </w:r>
          </w:p>
        </w:tc>
        <w:tc>
          <w:tcPr>
            <w:tcW w:w="992" w:type="dxa"/>
            <w:tcBorders>
              <w:top w:val="nil"/>
              <w:left w:val="nil"/>
              <w:bottom w:val="single" w:sz="4" w:space="0" w:color="auto"/>
              <w:right w:val="nil"/>
            </w:tcBorders>
            <w:shd w:val="clear" w:color="auto" w:fill="auto"/>
            <w:vAlign w:val="center"/>
          </w:tcPr>
          <w:p>
            <w:pPr>
              <w:pStyle w:val="Yo5TextNotesbeforeafter"/>
              <w:spacing w:before="0"/>
              <w:jc w:val="right"/>
              <w:rPr>
                <w:noProof/>
                <w:lang w:eastAsia="en-GB"/>
              </w:rPr>
            </w:pPr>
            <w:r>
              <w:rPr>
                <w:noProof/>
                <w:snapToGrid/>
                <w:lang w:val="en-US"/>
              </w:rPr>
              <w:drawing>
                <wp:inline distT="0" distB="0" distL="0" distR="0">
                  <wp:extent cx="161290" cy="171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290" cy="171450"/>
                          </a:xfrm>
                          <a:prstGeom prst="rect">
                            <a:avLst/>
                          </a:prstGeom>
                          <a:noFill/>
                        </pic:spPr>
                      </pic:pic>
                    </a:graphicData>
                  </a:graphic>
                </wp:inline>
              </w:drawing>
            </w:r>
          </w:p>
        </w:tc>
        <w:tc>
          <w:tcPr>
            <w:tcW w:w="3544" w:type="dxa"/>
            <w:tcBorders>
              <w:top w:val="nil"/>
              <w:left w:val="nil"/>
              <w:bottom w:val="single" w:sz="4" w:space="0" w:color="auto"/>
              <w:right w:val="single" w:sz="4" w:space="0" w:color="auto"/>
            </w:tcBorders>
            <w:shd w:val="clear" w:color="auto" w:fill="auto"/>
            <w:vAlign w:val="center"/>
          </w:tcPr>
          <w:p>
            <w:pPr>
              <w:pStyle w:val="Yo5TextNotesbeforeafter"/>
              <w:spacing w:before="0"/>
              <w:jc w:val="left"/>
              <w:rPr>
                <w:noProof/>
                <w:lang w:eastAsia="en-GB"/>
              </w:rPr>
            </w:pPr>
            <w:r>
              <w:rPr>
                <w:noProof/>
                <w:lang w:eastAsia="en-GB"/>
              </w:rPr>
              <w:t>Men</w:t>
            </w:r>
          </w:p>
        </w:tc>
      </w:tr>
    </w:tbl>
    <w:p>
      <w:pPr>
        <w:widowControl w:val="0"/>
        <w:spacing w:before="60" w:after="60" w:line="240" w:lineRule="auto"/>
        <w:jc w:val="both"/>
        <w:rPr>
          <w:rFonts w:ascii="Verdana" w:eastAsia="Times New Roman" w:hAnsi="Verdana" w:cs="Arial"/>
          <w:noProof/>
          <w:snapToGrid w:val="0"/>
          <w:sz w:val="14"/>
          <w:szCs w:val="14"/>
        </w:rPr>
      </w:pPr>
      <w:r>
        <w:rPr>
          <w:rFonts w:ascii="Verdana" w:eastAsia="Times New Roman" w:hAnsi="Verdana" w:cs="Arial"/>
          <w:i/>
          <w:noProof/>
          <w:snapToGrid w:val="0"/>
          <w:sz w:val="14"/>
          <w:szCs w:val="14"/>
        </w:rPr>
        <w:t>Notes:</w:t>
      </w:r>
      <w:r>
        <w:rPr>
          <w:rFonts w:ascii="Verdana" w:eastAsia="Times New Roman" w:hAnsi="Verdana" w:cs="Arial"/>
          <w:noProof/>
          <w:snapToGrid w:val="0"/>
          <w:sz w:val="14"/>
          <w:szCs w:val="14"/>
        </w:rPr>
        <w:t xml:space="preserve"> Data for Luxembourg have low reliability.</w:t>
      </w:r>
    </w:p>
    <w:p>
      <w:pPr>
        <w:widowControl w:val="0"/>
        <w:spacing w:before="60" w:after="60" w:line="240" w:lineRule="auto"/>
        <w:jc w:val="both"/>
        <w:rPr>
          <w:b/>
          <w:noProof/>
          <w:highlight w:val="yellow"/>
        </w:rPr>
      </w:pPr>
      <w:r>
        <w:rPr>
          <w:rFonts w:ascii="Verdana" w:eastAsia="Times New Roman" w:hAnsi="Verdana" w:cs="Arial"/>
          <w:i/>
          <w:noProof/>
          <w:snapToGrid w:val="0"/>
          <w:sz w:val="14"/>
          <w:szCs w:val="14"/>
        </w:rPr>
        <w:t xml:space="preserve">Source: </w:t>
      </w:r>
      <w:r>
        <w:rPr>
          <w:rFonts w:ascii="Verdana" w:eastAsia="Times New Roman" w:hAnsi="Verdana" w:cs="Arial"/>
          <w:noProof/>
          <w:snapToGrid w:val="0"/>
          <w:sz w:val="14"/>
          <w:szCs w:val="14"/>
        </w:rPr>
        <w:t>Eurostat LFS [yth_educ_020].</w:t>
      </w:r>
    </w:p>
    <w:p>
      <w:pPr>
        <w:pStyle w:val="Yo1Textpara"/>
        <w:rPr>
          <w:noProof/>
          <w:szCs w:val="22"/>
        </w:rPr>
      </w:pPr>
      <w:r>
        <w:rPr>
          <w:noProof/>
          <w:szCs w:val="22"/>
        </w:rPr>
        <w:t>In accordance with the general educational attainment trends described above, the proportion of women attaining tertiary education is higher than men. On average, the gender gap amounts to 10 percentage points in the European Union. Men are furthest behind in Latvia, Lithuania and Slovenia (where the gap is twice the EU average). In Turkey the trend is the opposite as fewer women than men complete tertiary degrees.</w:t>
      </w:r>
    </w:p>
    <w:tbl>
      <w:tblPr>
        <w:tblpPr w:leftFromText="180" w:rightFromText="180" w:vertAnchor="text" w:horzAnchor="margin" w:tblpXSpec="right" w:tblpY="145"/>
        <w:tblOverlap w:val="never"/>
        <w:tblW w:w="0" w:type="auto"/>
        <w:shd w:val="clear" w:color="auto" w:fill="C6D9F1"/>
        <w:tblLook w:val="04A0" w:firstRow="1" w:lastRow="0" w:firstColumn="1" w:lastColumn="0" w:noHBand="0" w:noVBand="1"/>
      </w:tblPr>
      <w:tblGrid>
        <w:gridCol w:w="2584"/>
      </w:tblGrid>
      <w:tr>
        <w:tc>
          <w:tcPr>
            <w:tcW w:w="2584" w:type="dxa"/>
            <w:shd w:val="clear" w:color="auto" w:fill="FFA3A4"/>
          </w:tcPr>
          <w:p>
            <w:pPr>
              <w:pStyle w:val="Yo12Encart"/>
              <w:framePr w:hSpace="0" w:wrap="auto" w:vAnchor="margin" w:hAnchor="text" w:xAlign="left" w:yAlign="inline"/>
              <w:suppressOverlap w:val="0"/>
              <w:rPr>
                <w:noProof/>
                <w:sz w:val="22"/>
                <w:szCs w:val="22"/>
              </w:rPr>
            </w:pPr>
            <w:r>
              <w:rPr>
                <w:noProof/>
                <w:sz w:val="22"/>
                <w:szCs w:val="22"/>
              </w:rPr>
              <w:t>Increasing proportions of young Europeans gain tertiary degrees. Women complete tertiary studies at higher rates than men.</w:t>
            </w:r>
          </w:p>
        </w:tc>
      </w:tr>
    </w:tbl>
    <w:p>
      <w:pPr>
        <w:pStyle w:val="Yo1Textpara"/>
        <w:rPr>
          <w:noProof/>
          <w:szCs w:val="22"/>
        </w:rPr>
      </w:pPr>
      <w:r>
        <w:rPr>
          <w:noProof/>
          <w:szCs w:val="22"/>
        </w:rPr>
        <w:t>Since 2010, tertiary attainment has increased across Europe (Figure 2-D). On average in the European Union, the proportion of people aged between 30 and 34 having a tertiary degree has augmented by five percentage points. Lithuania and Austria have seen the most significant growth, followed by Czech Republic, Greece, Latvia, Portugal, Turkey and the former Yugoslav Republic of Macedonia. The only decrease – although quite limited, around two percentage points – has been registered in Spain.</w:t>
      </w:r>
    </w:p>
    <w:p>
      <w:pPr>
        <w:rPr>
          <w:noProof/>
        </w:rPr>
      </w:pPr>
    </w:p>
    <w:p>
      <w:pPr>
        <w:rPr>
          <w:noProof/>
        </w:rPr>
      </w:pPr>
    </w:p>
    <w:p>
      <w:pPr>
        <w:rPr>
          <w:noProof/>
        </w:rPr>
      </w:pPr>
    </w:p>
    <w:p>
      <w:pPr>
        <w:rPr>
          <w:noProof/>
        </w:rPr>
      </w:pPr>
    </w:p>
    <w:p>
      <w:pPr>
        <w:rPr>
          <w:noProof/>
        </w:rPr>
      </w:pPr>
    </w:p>
    <w:p>
      <w:pPr>
        <w:rPr>
          <w:noProof/>
        </w:rPr>
      </w:pPr>
    </w:p>
    <w:p>
      <w:pPr>
        <w:rPr>
          <w:noProof/>
        </w:rPr>
      </w:pPr>
    </w:p>
    <w:p>
      <w:pPr>
        <w:pStyle w:val="Yo5TitleFigure"/>
        <w:jc w:val="both"/>
      </w:pPr>
      <w:r>
        <w:rPr>
          <w:b/>
        </w:rPr>
        <w:br w:type="page"/>
        <w:t>Figure 2-D:</w:t>
      </w:r>
      <w:r>
        <w:t xml:space="preserve"> Changes in the share of population aged 30-34 with tertiary education attainment, by country, 2010-2016</w:t>
      </w:r>
    </w:p>
    <w:tbl>
      <w:tblPr>
        <w:tblpPr w:leftFromText="181" w:rightFromText="181" w:vertAnchor="text" w:tblpX="-42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9964"/>
      </w:tblGrid>
      <w:tr>
        <w:trPr>
          <w:trHeight w:val="520"/>
        </w:trPr>
        <w:tc>
          <w:tcPr>
            <w:tcW w:w="492" w:type="dxa"/>
            <w:shd w:val="clear" w:color="auto" w:fill="FB5F5F"/>
            <w:textDirection w:val="btLr"/>
            <w:vAlign w:val="bottom"/>
          </w:tcPr>
          <w:p>
            <w:pPr>
              <w:pStyle w:val="Yo13YouthIndicator"/>
              <w:jc w:val="center"/>
              <w:rPr>
                <w:noProof/>
                <w:lang w:eastAsia="fr-BE"/>
              </w:rPr>
            </w:pPr>
            <w:r>
              <w:rPr>
                <w:noProof/>
              </w:rPr>
              <w:t>EU youth indicator</w:t>
            </w:r>
          </w:p>
        </w:tc>
        <w:tc>
          <w:tcPr>
            <w:tcW w:w="9964" w:type="dxa"/>
            <w:shd w:val="clear" w:color="auto" w:fill="auto"/>
            <w:tcMar>
              <w:bottom w:w="113" w:type="dxa"/>
            </w:tcMar>
          </w:tcPr>
          <w:p>
            <w:pPr>
              <w:pStyle w:val="Yo5TextNotesbeforeafter"/>
              <w:spacing w:before="0"/>
              <w:rPr>
                <w:noProof/>
              </w:rPr>
            </w:pPr>
          </w:p>
          <w:tbl>
            <w:tblPr>
              <w:tblW w:w="0" w:type="auto"/>
              <w:tblLook w:val="04A0" w:firstRow="1" w:lastRow="0" w:firstColumn="1" w:lastColumn="0" w:noHBand="0" w:noVBand="1"/>
            </w:tblPr>
            <w:tblGrid>
              <w:gridCol w:w="7427"/>
              <w:gridCol w:w="528"/>
              <w:gridCol w:w="1793"/>
            </w:tblGrid>
            <w:tr>
              <w:trPr>
                <w:trHeight w:val="320"/>
              </w:trPr>
              <w:tc>
                <w:tcPr>
                  <w:tcW w:w="0" w:type="auto"/>
                  <w:vMerge w:val="restart"/>
                  <w:shd w:val="clear" w:color="auto" w:fill="auto"/>
                </w:tcPr>
                <w:p>
                  <w:pPr>
                    <w:pStyle w:val="Yo5TextNotesbeforeafter"/>
                    <w:framePr w:hSpace="181" w:wrap="around" w:vAnchor="text" w:hAnchor="text" w:x="-424" w:y="1"/>
                    <w:spacing w:before="0" w:after="0"/>
                    <w:suppressOverlap/>
                    <w:jc w:val="left"/>
                    <w:rPr>
                      <w:noProof/>
                    </w:rPr>
                  </w:pPr>
                  <w:r>
                    <w:rPr>
                      <w:noProof/>
                      <w:snapToGrid/>
                      <w:lang w:val="en-US"/>
                    </w:rPr>
                    <mc:AlternateContent>
                      <mc:Choice Requires="wps">
                        <w:drawing>
                          <wp:anchor distT="0" distB="0" distL="114300" distR="114300" simplePos="0" relativeHeight="251649536" behindDoc="0" locked="0" layoutInCell="1" allowOverlap="1">
                            <wp:simplePos x="0" y="0"/>
                            <wp:positionH relativeFrom="column">
                              <wp:posOffset>2870835</wp:posOffset>
                            </wp:positionH>
                            <wp:positionV relativeFrom="paragraph">
                              <wp:posOffset>451485</wp:posOffset>
                            </wp:positionV>
                            <wp:extent cx="1591945" cy="1105535"/>
                            <wp:effectExtent l="7620" t="9525" r="1016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105535"/>
                                    </a:xfrm>
                                    <a:prstGeom prst="rect">
                                      <a:avLst/>
                                    </a:prstGeom>
                                    <a:solidFill>
                                      <a:srgbClr val="FFFFFF"/>
                                    </a:solidFill>
                                    <a:ln w="9525">
                                      <a:solidFill>
                                        <a:srgbClr val="FFFFFF"/>
                                      </a:solidFill>
                                      <a:miter lim="800000"/>
                                      <a:headEnd/>
                                      <a:tailEnd/>
                                    </a:ln>
                                  </wps:spPr>
                                  <wps:txbx>
                                    <w:txbxContent>
                                      <w:p>
                                        <w:pPr>
                                          <w:spacing w:after="0"/>
                                          <w:jc w:val="center"/>
                                        </w:pPr>
                                        <w:r>
                                          <w:rPr>
                                            <w:noProof/>
                                            <w:lang w:val="en-US"/>
                                          </w:rPr>
                                          <w:drawing>
                                            <wp:inline distT="0" distB="0" distL="0" distR="0">
                                              <wp:extent cx="1398905" cy="982345"/>
                                              <wp:effectExtent l="0" t="0" r="0" b="8255"/>
                                              <wp:docPr id="297" name="Picture 297" descr="\\s-eacea-fs03-p\EACEA.A7\Youth\04_Reports\a_EU_Youth_Reports\2018\03_graph\2_D_tertiary_attainment_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eacea-fs03-p\EACEA.A7\Youth\04_Reports\a_EU_Youth_Reports\2018\03_graph\2_D_tertiary_attainment_TREND.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398905" cy="9823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26.05pt;margin-top:35.55pt;width:125.35pt;height:87.05pt;z-index:25164953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" strokecolor="white">
                            <v:textbox style="mso-fit-shape-to-text:t">
                              <w:txbxContent>
                                <w:p>
                                  <w:pPr>
                                    <w:spacing w:after="0"/>
                                    <w:jc w:val="center"/>
                                  </w:pPr>
                                  <w:r>
                                    <w:rPr>
                                      <w:noProof/>
                                      <w:lang w:val="en-US"/>
                                    </w:rPr>
                                    <w:drawing>
                                      <wp:inline distT="0" distB="0" distL="0" distR="0">
                                        <wp:extent cx="1398905" cy="982345"/>
                                        <wp:effectExtent l="0" t="0" r="0" b="8255"/>
                                        <wp:docPr id="297" name="Picture 297" descr="\\s-eacea-fs03-p\EACEA.A7\Youth\04_Reports\a_EU_Youth_Reports\2018\03_graph\2_D_tertiary_attainment_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eacea-fs03-p\EACEA.A7\Youth\04_Reports\a_EU_Youth_Reports\2018\03_graph\2_D_tertiary_attainment_TREND.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398905" cy="982345"/>
                                                </a:xfrm>
                                                <a:prstGeom prst="rect">
                                                  <a:avLst/>
                                                </a:prstGeom>
                                                <a:noFill/>
                                                <a:ln>
                                                  <a:noFill/>
                                                </a:ln>
                                              </pic:spPr>
                                            </pic:pic>
                                          </a:graphicData>
                                        </a:graphic>
                                      </wp:inline>
                                    </w:drawing>
                                  </w:r>
                                </w:p>
                              </w:txbxContent>
                            </v:textbox>
                          </v:shape>
                        </w:pict>
                      </mc:Fallback>
                    </mc:AlternateContent>
                  </w:r>
                  <w:r>
                    <w:rPr>
                      <w:noProof/>
                      <w:snapToGrid/>
                      <w:lang w:val="en-US"/>
                    </w:rPr>
                    <w:drawing>
                      <wp:inline distT="0" distB="0" distL="0" distR="0">
                        <wp:extent cx="4578985" cy="3432175"/>
                        <wp:effectExtent l="0" t="0" r="0" b="0"/>
                        <wp:docPr id="268" name="Picture 268" descr="\\s-eacea-fs03-p\EACEA.A7\Youth\04_Reports\a_EU_Youth_Reports\2018\03_graph\2_D_tertiary_attainmen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eacea-fs03-p\EACEA.A7\Youth\04_Reports\a_EU_Youth_Reports\2018\03_graph\2_D_tertiary_attainment_MAP.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4578985" cy="3432175"/>
                                </a:xfrm>
                                <a:prstGeom prst="rect">
                                  <a:avLst/>
                                </a:prstGeom>
                                <a:noFill/>
                                <a:ln>
                                  <a:noFill/>
                                </a:ln>
                              </pic:spPr>
                            </pic:pic>
                          </a:graphicData>
                        </a:graphic>
                      </wp:inline>
                    </w:drawing>
                  </w:r>
                </w:p>
              </w:tc>
              <w:tc>
                <w:tcPr>
                  <w:tcW w:w="0" w:type="auto"/>
                </w:tcPr>
                <w:p>
                  <w:pPr>
                    <w:pStyle w:val="Yo5TextNotesbeforeafter"/>
                    <w:framePr w:hSpace="181" w:wrap="around" w:vAnchor="text" w:hAnchor="text" w:x="-424" w:y="1"/>
                    <w:spacing w:before="0" w:after="0"/>
                    <w:suppressOverlap/>
                    <w:jc w:val="left"/>
                    <w:rPr>
                      <w:noProof/>
                    </w:rPr>
                  </w:pPr>
                </w:p>
              </w:tc>
              <w:tc>
                <w:tcPr>
                  <w:tcW w:w="1832" w:type="dxa"/>
                </w:tcPr>
                <w:p>
                  <w:pPr>
                    <w:pStyle w:val="Yo5TextNotesbeforeafter"/>
                    <w:framePr w:hSpace="181" w:wrap="around" w:vAnchor="text" w:hAnchor="text" w:x="-424" w:y="1"/>
                    <w:tabs>
                      <w:tab w:val="left" w:pos="1194"/>
                    </w:tabs>
                    <w:spacing w:before="0" w:after="0"/>
                    <w:ind w:right="881"/>
                    <w:suppressOverlap/>
                    <w:jc w:val="left"/>
                    <w:rPr>
                      <w:noProof/>
                      <w:lang w:val="en-GB"/>
                    </w:rPr>
                  </w:pPr>
                </w:p>
                <w:p>
                  <w:pPr>
                    <w:pStyle w:val="Yo5TextNotesbeforeafter"/>
                    <w:framePr w:hSpace="181" w:wrap="around" w:vAnchor="text" w:hAnchor="text" w:x="-424" w:y="1"/>
                    <w:tabs>
                      <w:tab w:val="left" w:pos="1194"/>
                    </w:tabs>
                    <w:spacing w:before="0" w:after="0"/>
                    <w:ind w:right="881"/>
                    <w:suppressOverlap/>
                    <w:jc w:val="left"/>
                    <w:rPr>
                      <w:noProof/>
                      <w:lang w:val="en-GB"/>
                    </w:rPr>
                  </w:pPr>
                </w:p>
                <w:p>
                  <w:pPr>
                    <w:pStyle w:val="Yo5TextNotesbeforeafter"/>
                    <w:framePr w:hSpace="181" w:wrap="around" w:vAnchor="text" w:hAnchor="text" w:x="-424" w:y="1"/>
                    <w:tabs>
                      <w:tab w:val="left" w:pos="1194"/>
                    </w:tabs>
                    <w:spacing w:before="0" w:after="0"/>
                    <w:ind w:right="881"/>
                    <w:suppressOverlap/>
                    <w:jc w:val="left"/>
                    <w:rPr>
                      <w:noProof/>
                      <w:lang w:val="en-GB"/>
                    </w:rPr>
                  </w:pPr>
                </w:p>
                <w:p>
                  <w:pPr>
                    <w:pStyle w:val="Yo5TextNotesbeforeafter"/>
                    <w:framePr w:hSpace="181" w:wrap="around" w:vAnchor="text" w:hAnchor="text" w:x="-424" w:y="1"/>
                    <w:tabs>
                      <w:tab w:val="left" w:pos="1194"/>
                    </w:tabs>
                    <w:spacing w:before="0" w:after="0"/>
                    <w:ind w:right="881"/>
                    <w:suppressOverlap/>
                    <w:jc w:val="left"/>
                    <w:rPr>
                      <w:noProof/>
                      <w:lang w:val="en-GB"/>
                    </w:rPr>
                  </w:pPr>
                </w:p>
              </w:tc>
            </w:tr>
            <w:tr>
              <w:trPr>
                <w:trHeight w:val="319"/>
              </w:trPr>
              <w:tc>
                <w:tcPr>
                  <w:tcW w:w="0" w:type="auto"/>
                  <w:vMerge/>
                  <w:shd w:val="clear" w:color="auto" w:fill="auto"/>
                </w:tcPr>
                <w:p>
                  <w:pPr>
                    <w:pStyle w:val="Yo5TextNotesbeforeafter"/>
                    <w:framePr w:hSpace="181" w:wrap="around" w:vAnchor="text" w:hAnchor="text" w:x="-424" w:y="1"/>
                    <w:spacing w:before="0" w:after="0"/>
                    <w:suppressOverlap/>
                    <w:jc w:val="left"/>
                    <w:rPr>
                      <w:noProof/>
                    </w:rPr>
                  </w:pPr>
                </w:p>
              </w:tc>
              <w:tc>
                <w:tcPr>
                  <w:tcW w:w="0" w:type="auto"/>
                </w:tcPr>
                <w:p>
                  <w:pPr>
                    <w:pStyle w:val="Yo5TextNotesbeforeafter"/>
                    <w:framePr w:hSpace="181" w:wrap="around" w:vAnchor="text" w:hAnchor="text" w:x="-424" w:y="1"/>
                    <w:spacing w:before="0" w:after="0"/>
                    <w:suppressOverlap/>
                    <w:jc w:val="left"/>
                    <w:rPr>
                      <w:noProof/>
                      <w:lang w:val="en-GB"/>
                    </w:rPr>
                  </w:pPr>
                  <w:r>
                    <w:rPr>
                      <w:noProof/>
                      <w:snapToGrid/>
                      <w:lang w:val="en-US"/>
                    </w:rPr>
                    <w:drawing>
                      <wp:inline distT="0" distB="0" distL="0" distR="0">
                        <wp:extent cx="184150" cy="198120"/>
                        <wp:effectExtent l="0" t="0" r="635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150" cy="198120"/>
                                </a:xfrm>
                                <a:prstGeom prst="rect">
                                  <a:avLst/>
                                </a:prstGeom>
                                <a:noFill/>
                                <a:ln>
                                  <a:noFill/>
                                </a:ln>
                              </pic:spPr>
                            </pic:pic>
                          </a:graphicData>
                        </a:graphic>
                      </wp:inline>
                    </w:drawing>
                  </w:r>
                </w:p>
              </w:tc>
              <w:tc>
                <w:tcPr>
                  <w:tcW w:w="1832" w:type="dxa"/>
                </w:tcPr>
                <w:p>
                  <w:pPr>
                    <w:pStyle w:val="Yo5TextNotesbeforeafter"/>
                    <w:framePr w:hSpace="181" w:wrap="around" w:vAnchor="text" w:hAnchor="text" w:x="-424" w:y="1"/>
                    <w:tabs>
                      <w:tab w:val="left" w:pos="1194"/>
                    </w:tabs>
                    <w:spacing w:before="0" w:after="0"/>
                    <w:ind w:right="209"/>
                    <w:suppressOverlap/>
                    <w:jc w:val="left"/>
                    <w:rPr>
                      <w:noProof/>
                      <w:lang w:val="en-GB"/>
                    </w:rPr>
                  </w:pPr>
                  <w:r>
                    <w:rPr>
                      <w:noProof/>
                      <w:lang w:val="en-GB"/>
                    </w:rPr>
                    <w:t>Increase between 2 and 5 p.p.</w:t>
                  </w:r>
                </w:p>
                <w:p>
                  <w:pPr>
                    <w:pStyle w:val="Yo5TextNotesbeforeafter"/>
                    <w:framePr w:hSpace="181" w:wrap="around" w:vAnchor="text" w:hAnchor="text" w:x="-424" w:y="1"/>
                    <w:tabs>
                      <w:tab w:val="left" w:pos="1194"/>
                    </w:tabs>
                    <w:spacing w:before="0" w:after="0"/>
                    <w:ind w:right="209"/>
                    <w:suppressOverlap/>
                    <w:jc w:val="left"/>
                    <w:rPr>
                      <w:noProof/>
                      <w:lang w:val="en-GB"/>
                    </w:rPr>
                  </w:pPr>
                </w:p>
              </w:tc>
            </w:tr>
            <w:tr>
              <w:trPr>
                <w:trHeight w:val="763"/>
              </w:trPr>
              <w:tc>
                <w:tcPr>
                  <w:tcW w:w="0" w:type="auto"/>
                  <w:vMerge/>
                  <w:shd w:val="clear" w:color="auto" w:fill="auto"/>
                </w:tcPr>
                <w:p>
                  <w:pPr>
                    <w:pStyle w:val="Yo5TextNotesbeforeafter"/>
                    <w:framePr w:hSpace="181" w:wrap="around" w:vAnchor="text" w:hAnchor="text" w:x="-424" w:y="1"/>
                    <w:spacing w:before="0" w:after="0"/>
                    <w:suppressOverlap/>
                    <w:jc w:val="left"/>
                    <w:rPr>
                      <w:noProof/>
                      <w:lang w:val="en-GB"/>
                    </w:rPr>
                  </w:pPr>
                </w:p>
              </w:tc>
              <w:tc>
                <w:tcPr>
                  <w:tcW w:w="0" w:type="auto"/>
                </w:tcPr>
                <w:p>
                  <w:pPr>
                    <w:pStyle w:val="Yo5TextNotesbeforeafter"/>
                    <w:framePr w:hSpace="181" w:wrap="around" w:vAnchor="text" w:hAnchor="text" w:x="-424" w:y="1"/>
                    <w:spacing w:before="0" w:after="0"/>
                    <w:suppressOverlap/>
                    <w:jc w:val="left"/>
                    <w:rPr>
                      <w:noProof/>
                      <w:lang w:val="en-GB"/>
                    </w:rPr>
                  </w:pPr>
                  <w:r>
                    <w:rPr>
                      <w:noProof/>
                      <w:snapToGrid/>
                      <w:lang w:val="en-US"/>
                    </w:rPr>
                    <w:drawing>
                      <wp:inline distT="0" distB="0" distL="0" distR="0">
                        <wp:extent cx="198120" cy="204470"/>
                        <wp:effectExtent l="0" t="0" r="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120" cy="204470"/>
                                </a:xfrm>
                                <a:prstGeom prst="rect">
                                  <a:avLst/>
                                </a:prstGeom>
                                <a:noFill/>
                                <a:ln>
                                  <a:noFill/>
                                </a:ln>
                              </pic:spPr>
                            </pic:pic>
                          </a:graphicData>
                        </a:graphic>
                      </wp:inline>
                    </w:drawing>
                  </w:r>
                </w:p>
              </w:tc>
              <w:tc>
                <w:tcPr>
                  <w:tcW w:w="1832" w:type="dxa"/>
                </w:tcPr>
                <w:p>
                  <w:pPr>
                    <w:pStyle w:val="Yo5TextNotesbeforeafter"/>
                    <w:framePr w:hSpace="181" w:wrap="around" w:vAnchor="text" w:hAnchor="text" w:x="-424" w:y="1"/>
                    <w:tabs>
                      <w:tab w:val="left" w:pos="2045"/>
                    </w:tabs>
                    <w:spacing w:before="0" w:after="0"/>
                    <w:ind w:right="209"/>
                    <w:suppressOverlap/>
                    <w:jc w:val="left"/>
                    <w:rPr>
                      <w:noProof/>
                      <w:lang w:val="en-GB"/>
                    </w:rPr>
                  </w:pPr>
                  <w:r>
                    <w:rPr>
                      <w:noProof/>
                      <w:lang w:val="en-GB"/>
                    </w:rPr>
                    <w:t>Increase between 6 and 9 p.p.</w:t>
                  </w:r>
                </w:p>
              </w:tc>
            </w:tr>
            <w:tr>
              <w:trPr>
                <w:trHeight w:val="763"/>
              </w:trPr>
              <w:tc>
                <w:tcPr>
                  <w:tcW w:w="0" w:type="auto"/>
                  <w:vMerge/>
                  <w:shd w:val="clear" w:color="auto" w:fill="auto"/>
                </w:tcPr>
                <w:p>
                  <w:pPr>
                    <w:pStyle w:val="Yo5TextNotesbeforeafter"/>
                    <w:framePr w:hSpace="181" w:wrap="around" w:vAnchor="text" w:hAnchor="text" w:x="-424" w:y="1"/>
                    <w:spacing w:before="0" w:after="0"/>
                    <w:suppressOverlap/>
                    <w:jc w:val="left"/>
                    <w:rPr>
                      <w:noProof/>
                      <w:lang w:val="en-GB"/>
                    </w:rPr>
                  </w:pPr>
                </w:p>
              </w:tc>
              <w:tc>
                <w:tcPr>
                  <w:tcW w:w="0" w:type="auto"/>
                </w:tcPr>
                <w:p>
                  <w:pPr>
                    <w:pStyle w:val="Yo5TextNotesbeforeafter"/>
                    <w:framePr w:hSpace="181" w:wrap="around" w:vAnchor="text" w:hAnchor="text" w:x="-424" w:y="1"/>
                    <w:spacing w:before="0" w:after="0"/>
                    <w:suppressOverlap/>
                    <w:jc w:val="left"/>
                    <w:rPr>
                      <w:noProof/>
                      <w:lang w:val="en-GB"/>
                    </w:rPr>
                  </w:pPr>
                  <w:r>
                    <w:rPr>
                      <w:noProof/>
                      <w:snapToGrid/>
                      <w:lang w:val="en-US"/>
                    </w:rPr>
                    <w:drawing>
                      <wp:inline distT="0" distB="0" distL="0" distR="0">
                        <wp:extent cx="191135" cy="204470"/>
                        <wp:effectExtent l="0" t="0" r="0" b="508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 cy="204470"/>
                                </a:xfrm>
                                <a:prstGeom prst="rect">
                                  <a:avLst/>
                                </a:prstGeom>
                                <a:noFill/>
                                <a:ln>
                                  <a:noFill/>
                                </a:ln>
                              </pic:spPr>
                            </pic:pic>
                          </a:graphicData>
                        </a:graphic>
                      </wp:inline>
                    </w:drawing>
                  </w:r>
                </w:p>
              </w:tc>
              <w:tc>
                <w:tcPr>
                  <w:tcW w:w="1832" w:type="dxa"/>
                </w:tcPr>
                <w:p>
                  <w:pPr>
                    <w:pStyle w:val="Yo5TextNotesbeforeafter"/>
                    <w:framePr w:hSpace="181" w:wrap="around" w:vAnchor="text" w:hAnchor="text" w:x="-424" w:y="1"/>
                    <w:tabs>
                      <w:tab w:val="left" w:pos="1855"/>
                    </w:tabs>
                    <w:spacing w:before="0" w:after="0"/>
                    <w:ind w:right="209"/>
                    <w:suppressOverlap/>
                    <w:jc w:val="left"/>
                    <w:rPr>
                      <w:noProof/>
                      <w:lang w:val="en-GB"/>
                    </w:rPr>
                  </w:pPr>
                  <w:r>
                    <w:rPr>
                      <w:noProof/>
                      <w:lang w:val="en-GB"/>
                    </w:rPr>
                    <w:t>Increase of 10 p.p. or more</w:t>
                  </w:r>
                </w:p>
              </w:tc>
            </w:tr>
            <w:tr>
              <w:trPr>
                <w:trHeight w:val="763"/>
              </w:trPr>
              <w:tc>
                <w:tcPr>
                  <w:tcW w:w="0" w:type="auto"/>
                  <w:vMerge/>
                  <w:shd w:val="clear" w:color="auto" w:fill="auto"/>
                </w:tcPr>
                <w:p>
                  <w:pPr>
                    <w:pStyle w:val="Yo5TextNotesbeforeafter"/>
                    <w:framePr w:hSpace="181" w:wrap="around" w:vAnchor="text" w:hAnchor="text" w:x="-424" w:y="1"/>
                    <w:spacing w:before="0" w:after="0"/>
                    <w:suppressOverlap/>
                    <w:jc w:val="left"/>
                    <w:rPr>
                      <w:noProof/>
                      <w:lang w:val="en-GB"/>
                    </w:rPr>
                  </w:pPr>
                </w:p>
              </w:tc>
              <w:tc>
                <w:tcPr>
                  <w:tcW w:w="0" w:type="auto"/>
                </w:tcPr>
                <w:p>
                  <w:pPr>
                    <w:pStyle w:val="Yo5TextNotesbeforeafter"/>
                    <w:framePr w:hSpace="181" w:wrap="around" w:vAnchor="text" w:hAnchor="text" w:x="-424" w:y="1"/>
                    <w:spacing w:before="0" w:after="0"/>
                    <w:suppressOverlap/>
                    <w:jc w:val="left"/>
                    <w:rPr>
                      <w:noProof/>
                      <w:lang w:val="en-GB"/>
                    </w:rPr>
                  </w:pPr>
                  <w:r>
                    <w:rPr>
                      <w:noProof/>
                      <w:snapToGrid/>
                      <w:lang w:val="en-US"/>
                    </w:rPr>
                    <w:drawing>
                      <wp:inline distT="0" distB="0" distL="0" distR="0">
                        <wp:extent cx="184150" cy="211455"/>
                        <wp:effectExtent l="0" t="0" r="635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150" cy="211455"/>
                                </a:xfrm>
                                <a:prstGeom prst="rect">
                                  <a:avLst/>
                                </a:prstGeom>
                                <a:noFill/>
                                <a:ln>
                                  <a:noFill/>
                                </a:ln>
                              </pic:spPr>
                            </pic:pic>
                          </a:graphicData>
                        </a:graphic>
                      </wp:inline>
                    </w:drawing>
                  </w:r>
                </w:p>
              </w:tc>
              <w:tc>
                <w:tcPr>
                  <w:tcW w:w="1832" w:type="dxa"/>
                </w:tcPr>
                <w:p>
                  <w:pPr>
                    <w:pStyle w:val="Yo5TextNotesbeforeafter"/>
                    <w:framePr w:hSpace="181" w:wrap="around" w:vAnchor="text" w:hAnchor="text" w:x="-424" w:y="1"/>
                    <w:tabs>
                      <w:tab w:val="left" w:pos="1855"/>
                    </w:tabs>
                    <w:spacing w:before="0" w:after="0"/>
                    <w:ind w:right="209"/>
                    <w:suppressOverlap/>
                    <w:jc w:val="left"/>
                    <w:rPr>
                      <w:noProof/>
                      <w:lang w:val="en-GB"/>
                    </w:rPr>
                  </w:pPr>
                  <w:r>
                    <w:rPr>
                      <w:noProof/>
                      <w:lang w:val="en-GB"/>
                    </w:rPr>
                    <w:t>Stable</w:t>
                  </w:r>
                </w:p>
              </w:tc>
            </w:tr>
            <w:tr>
              <w:trPr>
                <w:trHeight w:val="763"/>
              </w:trPr>
              <w:tc>
                <w:tcPr>
                  <w:tcW w:w="0" w:type="auto"/>
                  <w:vMerge/>
                  <w:shd w:val="clear" w:color="auto" w:fill="auto"/>
                </w:tcPr>
                <w:p>
                  <w:pPr>
                    <w:pStyle w:val="Yo5TextNotesbeforeafter"/>
                    <w:framePr w:hSpace="181" w:wrap="around" w:vAnchor="text" w:hAnchor="text" w:x="-424" w:y="1"/>
                    <w:spacing w:before="0" w:after="0"/>
                    <w:suppressOverlap/>
                    <w:jc w:val="left"/>
                    <w:rPr>
                      <w:noProof/>
                      <w:lang w:val="en-GB"/>
                    </w:rPr>
                  </w:pPr>
                </w:p>
              </w:tc>
              <w:tc>
                <w:tcPr>
                  <w:tcW w:w="0" w:type="auto"/>
                </w:tcPr>
                <w:p>
                  <w:pPr>
                    <w:pStyle w:val="Yo5TextNotesbeforeafter"/>
                    <w:framePr w:hSpace="181" w:wrap="around" w:vAnchor="text" w:hAnchor="text" w:x="-424" w:y="1"/>
                    <w:spacing w:before="0" w:after="0"/>
                    <w:suppressOverlap/>
                    <w:jc w:val="left"/>
                    <w:rPr>
                      <w:noProof/>
                      <w:lang w:val="en-GB"/>
                    </w:rPr>
                  </w:pPr>
                  <w:r>
                    <w:rPr>
                      <w:noProof/>
                      <w:snapToGrid/>
                      <w:lang w:val="en-US"/>
                    </w:rPr>
                    <w:drawing>
                      <wp:inline distT="0" distB="0" distL="0" distR="0">
                        <wp:extent cx="198120" cy="19812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832" w:type="dxa"/>
                </w:tcPr>
                <w:p>
                  <w:pPr>
                    <w:pStyle w:val="Yo5TextNotesbeforeafter"/>
                    <w:framePr w:hSpace="181" w:wrap="around" w:vAnchor="text" w:hAnchor="text" w:x="-424" w:y="1"/>
                    <w:tabs>
                      <w:tab w:val="clear" w:pos="1985"/>
                      <w:tab w:val="left" w:pos="1855"/>
                      <w:tab w:val="left" w:pos="2328"/>
                    </w:tabs>
                    <w:spacing w:before="0" w:after="0"/>
                    <w:ind w:right="209"/>
                    <w:suppressOverlap/>
                    <w:jc w:val="left"/>
                    <w:rPr>
                      <w:noProof/>
                      <w:lang w:val="en-GB"/>
                    </w:rPr>
                  </w:pPr>
                  <w:r>
                    <w:rPr>
                      <w:noProof/>
                      <w:lang w:val="en-GB"/>
                    </w:rPr>
                    <w:t>Decrease</w:t>
                  </w:r>
                </w:p>
              </w:tc>
            </w:tr>
            <w:tr>
              <w:trPr>
                <w:trHeight w:val="695"/>
              </w:trPr>
              <w:tc>
                <w:tcPr>
                  <w:tcW w:w="0" w:type="auto"/>
                  <w:vMerge/>
                  <w:shd w:val="clear" w:color="auto" w:fill="auto"/>
                </w:tcPr>
                <w:p>
                  <w:pPr>
                    <w:pStyle w:val="Yo5TextNotesbeforeafter"/>
                    <w:framePr w:hSpace="181" w:wrap="around" w:vAnchor="text" w:hAnchor="text" w:x="-424" w:y="1"/>
                    <w:spacing w:before="0" w:after="0"/>
                    <w:suppressOverlap/>
                    <w:jc w:val="left"/>
                    <w:rPr>
                      <w:noProof/>
                      <w:lang w:val="en-GB"/>
                    </w:rPr>
                  </w:pPr>
                </w:p>
              </w:tc>
              <w:tc>
                <w:tcPr>
                  <w:tcW w:w="0" w:type="auto"/>
                </w:tcPr>
                <w:p>
                  <w:pPr>
                    <w:pStyle w:val="Yo5TextNotesbeforeafter"/>
                    <w:framePr w:hSpace="181" w:wrap="around" w:vAnchor="text" w:hAnchor="text" w:x="-424" w:y="1"/>
                    <w:spacing w:before="0" w:after="0"/>
                    <w:suppressOverlap/>
                    <w:jc w:val="left"/>
                    <w:rPr>
                      <w:noProof/>
                      <w:lang w:val="en-GB"/>
                    </w:rPr>
                  </w:pPr>
                  <w:r>
                    <w:rPr>
                      <w:noProof/>
                      <w:snapToGrid/>
                      <w:lang w:val="en-US"/>
                    </w:rPr>
                    <w:drawing>
                      <wp:inline distT="0" distB="0" distL="0" distR="0">
                        <wp:extent cx="191135" cy="204470"/>
                        <wp:effectExtent l="0" t="0" r="0" b="508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135" cy="204470"/>
                                </a:xfrm>
                                <a:prstGeom prst="rect">
                                  <a:avLst/>
                                </a:prstGeom>
                                <a:noFill/>
                                <a:ln>
                                  <a:noFill/>
                                </a:ln>
                              </pic:spPr>
                            </pic:pic>
                          </a:graphicData>
                        </a:graphic>
                      </wp:inline>
                    </w:drawing>
                  </w:r>
                </w:p>
              </w:tc>
              <w:tc>
                <w:tcPr>
                  <w:tcW w:w="1832" w:type="dxa"/>
                </w:tcPr>
                <w:p>
                  <w:pPr>
                    <w:pStyle w:val="Yo5TextNotesbeforeafter"/>
                    <w:framePr w:hSpace="181" w:wrap="around" w:vAnchor="text" w:hAnchor="text" w:x="-424" w:y="1"/>
                    <w:tabs>
                      <w:tab w:val="left" w:pos="1855"/>
                    </w:tabs>
                    <w:spacing w:before="0" w:after="0"/>
                    <w:ind w:right="209"/>
                    <w:suppressOverlap/>
                    <w:jc w:val="left"/>
                    <w:rPr>
                      <w:noProof/>
                      <w:lang w:val="en-GB"/>
                    </w:rPr>
                  </w:pPr>
                  <w:r>
                    <w:rPr>
                      <w:noProof/>
                      <w:lang w:val="en-GB"/>
                    </w:rPr>
                    <w:t>Data not collected</w:t>
                  </w:r>
                </w:p>
              </w:tc>
            </w:tr>
            <w:tr>
              <w:trPr>
                <w:trHeight w:val="695"/>
              </w:trPr>
              <w:tc>
                <w:tcPr>
                  <w:tcW w:w="0" w:type="auto"/>
                  <w:vMerge/>
                  <w:shd w:val="clear" w:color="auto" w:fill="auto"/>
                </w:tcPr>
                <w:p>
                  <w:pPr>
                    <w:pStyle w:val="Yo5TextNotesbeforeafter"/>
                    <w:framePr w:hSpace="181" w:wrap="around" w:vAnchor="text" w:hAnchor="text" w:x="-424" w:y="1"/>
                    <w:spacing w:before="0" w:after="0"/>
                    <w:suppressOverlap/>
                    <w:jc w:val="left"/>
                    <w:rPr>
                      <w:noProof/>
                      <w:lang w:val="en-GB"/>
                    </w:rPr>
                  </w:pPr>
                </w:p>
              </w:tc>
              <w:tc>
                <w:tcPr>
                  <w:tcW w:w="0" w:type="auto"/>
                </w:tcPr>
                <w:p>
                  <w:pPr>
                    <w:pStyle w:val="Yo5TextNotesbeforeafter"/>
                    <w:framePr w:hSpace="181" w:wrap="around" w:vAnchor="text" w:hAnchor="text" w:x="-424" w:y="1"/>
                    <w:spacing w:before="0" w:after="0"/>
                    <w:suppressOverlap/>
                    <w:jc w:val="left"/>
                    <w:rPr>
                      <w:noProof/>
                      <w:lang w:val="en-GB"/>
                    </w:rPr>
                  </w:pPr>
                </w:p>
              </w:tc>
              <w:tc>
                <w:tcPr>
                  <w:tcW w:w="1832" w:type="dxa"/>
                </w:tcPr>
                <w:p>
                  <w:pPr>
                    <w:pStyle w:val="Yo5TextNotesbeforeafter"/>
                    <w:framePr w:hSpace="181" w:wrap="around" w:vAnchor="text" w:hAnchor="text" w:x="-424" w:y="1"/>
                    <w:tabs>
                      <w:tab w:val="left" w:pos="1855"/>
                    </w:tabs>
                    <w:spacing w:before="0" w:after="0"/>
                    <w:ind w:right="881"/>
                    <w:suppressOverlap/>
                    <w:jc w:val="left"/>
                    <w:rPr>
                      <w:noProof/>
                      <w:lang w:val="en-GB"/>
                    </w:rPr>
                  </w:pPr>
                </w:p>
              </w:tc>
            </w:tr>
          </w:tbl>
          <w:p>
            <w:pPr>
              <w:pStyle w:val="Yo5TextNotesbeforeafter"/>
              <w:spacing w:after="0"/>
              <w:rPr>
                <w:noProof/>
              </w:rPr>
            </w:pPr>
          </w:p>
        </w:tc>
      </w:tr>
    </w:tbl>
    <w:p>
      <w:pPr>
        <w:pStyle w:val="p91Textpara"/>
        <w:tabs>
          <w:tab w:val="left" w:pos="709"/>
        </w:tabs>
        <w:spacing w:before="120"/>
        <w:rPr>
          <w:rFonts w:ascii="Verdana" w:eastAsia="Times New Roman" w:hAnsi="Verdana"/>
          <w:noProof/>
          <w:color w:val="auto"/>
          <w:sz w:val="14"/>
          <w:szCs w:val="14"/>
        </w:rPr>
      </w:pPr>
      <w:r>
        <w:rPr>
          <w:rFonts w:ascii="Verdana" w:eastAsia="Times New Roman" w:hAnsi="Verdana"/>
          <w:i/>
          <w:noProof/>
          <w:snapToGrid w:val="0"/>
          <w:color w:val="auto"/>
          <w:sz w:val="14"/>
          <w:szCs w:val="14"/>
        </w:rPr>
        <w:t xml:space="preserve">Notes: </w:t>
      </w:r>
      <w:r>
        <w:rPr>
          <w:rFonts w:ascii="Verdana" w:eastAsia="Times New Roman" w:hAnsi="Verdana"/>
          <w:noProof/>
          <w:color w:val="auto"/>
          <w:sz w:val="14"/>
          <w:szCs w:val="14"/>
        </w:rPr>
        <w:t>For data on educational attainment based on the EU Labour Force Survey (EU-LFS) the International Standard Classification of Education 2011 (ISCED 2011) is applied as from 2014. Up to 2013 ISCED 1997 is used. Nevertheless, data are comparable over time for all available countries except Austria due to the reclassification of higher technical and vocational colleges.</w:t>
      </w:r>
      <w:r>
        <w:rPr>
          <w:rFonts w:ascii="Verdana" w:eastAsia="Times New Roman" w:hAnsi="Verdana"/>
          <w:noProof/>
          <w:snapToGrid w:val="0"/>
          <w:color w:val="auto"/>
          <w:sz w:val="14"/>
          <w:szCs w:val="14"/>
        </w:rPr>
        <w:t xml:space="preserve"> </w:t>
      </w:r>
      <w:r>
        <w:rPr>
          <w:rFonts w:ascii="Verdana" w:eastAsia="Times New Roman" w:hAnsi="Verdana"/>
          <w:noProof/>
          <w:color w:val="auto"/>
          <w:sz w:val="14"/>
          <w:szCs w:val="14"/>
        </w:rPr>
        <w:t xml:space="preserve">Data for Luxembourg for 2016 have low reliability. A break in the time series for Denmark occurred in 2016. </w:t>
      </w:r>
    </w:p>
    <w:p>
      <w:pPr>
        <w:widowControl w:val="0"/>
        <w:spacing w:before="60" w:after="60" w:line="240" w:lineRule="auto"/>
        <w:jc w:val="both"/>
        <w:rPr>
          <w:rFonts w:ascii="Verdana" w:eastAsia="Times New Roman" w:hAnsi="Verdana" w:cs="Arial"/>
          <w:noProof/>
          <w:snapToGrid w:val="0"/>
          <w:sz w:val="14"/>
          <w:szCs w:val="14"/>
        </w:rPr>
      </w:pPr>
      <w:r>
        <w:rPr>
          <w:rFonts w:ascii="Verdana" w:eastAsia="Times New Roman" w:hAnsi="Verdana" w:cs="Arial"/>
          <w:i/>
          <w:noProof/>
          <w:snapToGrid w:val="0"/>
          <w:sz w:val="14"/>
          <w:szCs w:val="14"/>
        </w:rPr>
        <w:t xml:space="preserve">Source: </w:t>
      </w:r>
      <w:r>
        <w:rPr>
          <w:rFonts w:ascii="Verdana" w:eastAsia="Times New Roman" w:hAnsi="Verdana" w:cs="Arial"/>
          <w:noProof/>
          <w:snapToGrid w:val="0"/>
          <w:sz w:val="14"/>
          <w:szCs w:val="14"/>
        </w:rPr>
        <w:t>Own calculation based on Eurostat LFS [yth_educ_020].</w:t>
      </w:r>
    </w:p>
    <w:p>
      <w:pPr>
        <w:pStyle w:val="Yo5TextNotes"/>
        <w:rPr>
          <w:noProof/>
          <w:lang w:val="en-GB"/>
        </w:rPr>
      </w:pPr>
    </w:p>
    <w:p>
      <w:pPr>
        <w:pStyle w:val="Yo1Textpara"/>
        <w:rPr>
          <w:noProof/>
          <w:szCs w:val="22"/>
        </w:rPr>
      </w:pPr>
      <w:r>
        <w:rPr>
          <w:noProof/>
          <w:szCs w:val="22"/>
        </w:rPr>
        <w:t>Despite this positive trend in educational attainment, a significant share of young Europeans still face significant difficulties in the education system and feel compelled to leave prematurely without having gained relevant qualifications or a school certificate. This is the case with early leavers from education and training (also referred to as 'early school leavers') – people aged 18-24 with at most lower secondary education and who were not in further education or training during the four weeks preceding the survey. Of the factors contributing to young people leaving education early, socio-economic status proves to have significant weight (</w:t>
      </w:r>
      <w:r>
        <w:rPr>
          <w:rStyle w:val="FootnoteReference"/>
          <w:noProof/>
          <w:szCs w:val="22"/>
          <w:lang w:eastAsia="x-none"/>
        </w:rPr>
        <w:footnoteReference w:id="11"/>
      </w:r>
      <w:r>
        <w:rPr>
          <w:noProof/>
          <w:szCs w:val="22"/>
        </w:rPr>
        <w:t>). Indeed, early school leavers are much more likely to come from families with a low socio-economic status (i.e. where parents are unemployed, have low incomes and low levels of education), or from vulnerable social groups such as migrants (</w:t>
      </w:r>
      <w:r>
        <w:rPr>
          <w:rStyle w:val="FootnoteReference"/>
          <w:noProof/>
          <w:szCs w:val="22"/>
          <w:lang w:eastAsia="x-none"/>
        </w:rPr>
        <w:footnoteReference w:id="12"/>
      </w:r>
      <w:r>
        <w:rPr>
          <w:noProof/>
          <w:szCs w:val="22"/>
        </w:rPr>
        <w:t xml:space="preserve">). Early school leavers are exposed to a particularly high risk of deprivation and social exclusion. In addition, not only does leaving school and training early result in longer and more frequent spells of unemployment, </w:t>
      </w:r>
      <w:r>
        <w:rPr>
          <w:noProof/>
        </w:rPr>
        <w:t xml:space="preserve">but even when integrated into the labour market, early school leavers have fewer opportunities for personal development and to participate actively in </w:t>
      </w:r>
      <w:r>
        <w:rPr>
          <w:noProof/>
          <w:szCs w:val="22"/>
        </w:rPr>
        <w:t>society (</w:t>
      </w:r>
      <w:r>
        <w:rPr>
          <w:rStyle w:val="FootnoteReference"/>
          <w:noProof/>
          <w:szCs w:val="22"/>
          <w:lang w:eastAsia="x-none"/>
        </w:rPr>
        <w:footnoteReference w:id="13"/>
      </w:r>
      <w:r>
        <w:rPr>
          <w:noProof/>
          <w:szCs w:val="22"/>
        </w:rPr>
        <w:t>).</w:t>
      </w:r>
    </w:p>
    <w:p>
      <w:pPr>
        <w:pStyle w:val="Yo1Textpara"/>
        <w:rPr>
          <w:noProof/>
          <w:szCs w:val="22"/>
        </w:rPr>
      </w:pPr>
      <w:r>
        <w:rPr>
          <w:noProof/>
          <w:szCs w:val="22"/>
        </w:rPr>
        <w:t>On average, 10.7 % of Europeans aged 18-24 in 2016 left school having completed lower secondary education at most (Figure 2-E) (</w:t>
      </w:r>
      <w:r>
        <w:rPr>
          <w:rStyle w:val="FootnoteReference"/>
          <w:noProof/>
          <w:szCs w:val="22"/>
          <w:lang w:eastAsia="x-none"/>
        </w:rPr>
        <w:footnoteReference w:id="14"/>
      </w:r>
      <w:r>
        <w:rPr>
          <w:noProof/>
          <w:szCs w:val="22"/>
        </w:rPr>
        <w:t>). Several countries report much higher percentages (especially Spain, Malta, Portugal, Romania, Iceland and Turkey), while the lowest proportions are registered in Croatia, Lithuania and Slovenia, all with levels below 5 %.</w:t>
      </w:r>
    </w:p>
    <w:p>
      <w:pPr>
        <w:pStyle w:val="Yo1Textpara"/>
        <w:rPr>
          <w:noProof/>
          <w:szCs w:val="22"/>
        </w:rPr>
      </w:pPr>
      <w:r>
        <w:rPr>
          <w:noProof/>
          <w:szCs w:val="22"/>
        </w:rPr>
        <w:t xml:space="preserve">The risk of leaving formal education prematurely and with low qualification levels is higher amongst men than women. This gender gap applies to most European countries, and is widest in Estonia, Spain, Cyprus, Latvia, Malta, Portugal and Iceland. Only in the former Yugoslav Republic of Macedonia and in Turkey are there more young women than men leaving formal education early. </w:t>
      </w:r>
    </w:p>
    <w:p>
      <w:pPr>
        <w:pStyle w:val="Yo5TitleFigure"/>
        <w:jc w:val="both"/>
      </w:pPr>
      <w:r>
        <w:rPr>
          <w:b/>
        </w:rPr>
        <w:t>Figure 2-E:</w:t>
      </w:r>
      <w:r>
        <w:t xml:space="preserve"> Early leavers from education and training (population aged 18-24 with lower secondary education at most and not in further education or training), by country and by sex, 2016</w:t>
      </w:r>
    </w:p>
    <w:tbl>
      <w:tblPr>
        <w:tblpPr w:leftFromText="181" w:rightFromText="181" w:vertAnchor="text" w:tblpX="-42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2735"/>
        <w:gridCol w:w="992"/>
        <w:gridCol w:w="851"/>
        <w:gridCol w:w="850"/>
        <w:gridCol w:w="992"/>
        <w:gridCol w:w="3544"/>
      </w:tblGrid>
      <w:tr>
        <w:trPr>
          <w:cantSplit/>
          <w:trHeight w:val="1134"/>
        </w:trPr>
        <w:tc>
          <w:tcPr>
            <w:tcW w:w="492" w:type="dxa"/>
            <w:vMerge w:val="restart"/>
            <w:shd w:val="clear" w:color="auto" w:fill="FB5F5F"/>
            <w:textDirection w:val="btLr"/>
            <w:vAlign w:val="center"/>
          </w:tcPr>
          <w:p>
            <w:pPr>
              <w:pStyle w:val="Yo13YouthIndicator"/>
              <w:jc w:val="center"/>
              <w:rPr>
                <w:noProof/>
                <w:sz w:val="20"/>
                <w:lang w:eastAsia="fr-BE"/>
              </w:rPr>
            </w:pPr>
            <w:r>
              <w:rPr>
                <w:noProof/>
                <w:sz w:val="20"/>
              </w:rPr>
              <w:t>EU youth indicator</w:t>
            </w:r>
          </w:p>
        </w:tc>
        <w:tc>
          <w:tcPr>
            <w:tcW w:w="9964" w:type="dxa"/>
            <w:gridSpan w:val="6"/>
            <w:tcBorders>
              <w:bottom w:val="nil"/>
            </w:tcBorders>
            <w:shd w:val="clear" w:color="auto" w:fill="auto"/>
          </w:tcPr>
          <w:tbl>
            <w:tblPr>
              <w:tblW w:w="5000" w:type="pct"/>
              <w:tblLayout w:type="fixed"/>
              <w:tblLook w:val="04A0" w:firstRow="1" w:lastRow="0" w:firstColumn="1" w:lastColumn="0" w:noHBand="0" w:noVBand="1"/>
            </w:tblPr>
            <w:tblGrid>
              <w:gridCol w:w="9748"/>
            </w:tblGrid>
            <w:tr>
              <w:trPr>
                <w:trHeight w:val="143"/>
              </w:trPr>
              <w:tc>
                <w:tcPr>
                  <w:tcW w:w="5000" w:type="pct"/>
                  <w:shd w:val="clear" w:color="auto" w:fill="auto"/>
                  <w:vAlign w:val="bottom"/>
                </w:tcPr>
                <w:p>
                  <w:pPr>
                    <w:pStyle w:val="Yo5TextNotesbeforeafter"/>
                    <w:framePr w:hSpace="181" w:wrap="around" w:vAnchor="text" w:hAnchor="text" w:x="-424" w:y="1"/>
                    <w:spacing w:before="0" w:after="0"/>
                    <w:suppressOverlap/>
                    <w:jc w:val="left"/>
                    <w:rPr>
                      <w:noProof/>
                      <w:lang w:eastAsia="en-GB"/>
                    </w:rPr>
                  </w:pPr>
                  <w:r>
                    <w:rPr>
                      <w:noProof/>
                      <w:lang w:eastAsia="en-GB"/>
                    </w:rPr>
                    <w:t xml:space="preserve"> %                                                                                                                                                                                         %</w:t>
                  </w:r>
                </w:p>
              </w:tc>
            </w:tr>
            <w:tr>
              <w:trPr>
                <w:trHeight w:val="3364"/>
              </w:trPr>
              <w:tc>
                <w:tcPr>
                  <w:tcW w:w="5000" w:type="pct"/>
                  <w:shd w:val="clear" w:color="auto" w:fill="auto"/>
                </w:tcPr>
                <w:p>
                  <w:pPr>
                    <w:pStyle w:val="Yo5TextNotesbeforeafter"/>
                    <w:framePr w:hSpace="181" w:wrap="around" w:vAnchor="text" w:hAnchor="text" w:x="-424" w:y="1"/>
                    <w:spacing w:after="0"/>
                    <w:suppressOverlap/>
                    <w:rPr>
                      <w:noProof/>
                      <w:lang w:eastAsia="en-GB"/>
                    </w:rPr>
                  </w:pPr>
                  <w:r>
                    <w:rPr>
                      <w:noProof/>
                      <w:lang w:eastAsia="en-GB"/>
                    </w:rPr>
                    <w:fldChar w:fldCharType="begin"/>
                  </w:r>
                  <w:r>
                    <w:rPr>
                      <w:noProof/>
                      <w:lang w:eastAsia="en-GB"/>
                    </w:rPr>
                    <w:instrText xml:space="preserve"> INCLUDEPICTURE  "C:\\Users\\paredcr\\AppData\\Local\\Temp\\03_graph\\2_E_early_leavers.jpg"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"C:\\Users\\paredcr\\AppData\\Local\\Temp\\03_graph\\2_E_early_leavers.jpg"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"C:\\Users\\paredcr\\AppData\\Local\\Temp\\03_graph\\2_E_early_leavers.jpg" \* MERGEFORMATINET </w:instrText>
                  </w:r>
                  <w:r>
                    <w:rPr>
                      <w:noProof/>
                      <w:lang w:eastAsia="en-GB"/>
                    </w:rPr>
                    <w:fldChar w:fldCharType="separate"/>
                  </w:r>
                  <w:r>
                    <w:rPr>
                      <w:noProof/>
                      <w:lang w:eastAsia="en-GB"/>
                    </w:rPr>
                    <w:fldChar w:fldCharType="begin"/>
                  </w:r>
                  <w:r>
                    <w:rPr>
                      <w:noProof/>
                      <w:lang w:eastAsia="en-GB"/>
                    </w:rPr>
                    <w:instrText xml:space="preserve"> INCLUDEPICTURE  "C:\\Users\\paredcr\\AppData\\Local\\Temp\\03_graph\\2_E_early_leavers.jpg" \* MERGEFORMATINET </w:instrText>
                  </w:r>
                  <w:r>
                    <w:rPr>
                      <w:noProof/>
                      <w:lang w:eastAsia="en-GB"/>
                    </w:rPr>
                    <w:fldChar w:fldCharType="separate"/>
                  </w:r>
                  <w:r>
                    <w:rPr>
                      <w:noProof/>
                      <w:lang w:eastAsia="en-GB"/>
                    </w:rPr>
                    <w:pict>
                      <v:shape id="_x0000_i1028" type="#_x0000_t75" style="width:476.55pt;height:163.05pt">
                        <v:imagedata r:id="rId42" r:href="rId43"/>
                      </v:shape>
                    </w:pict>
                  </w:r>
                  <w:r>
                    <w:rPr>
                      <w:noProof/>
                      <w:lang w:eastAsia="en-GB"/>
                    </w:rPr>
                    <w:fldChar w:fldCharType="end"/>
                  </w:r>
                  <w:r>
                    <w:rPr>
                      <w:noProof/>
                      <w:lang w:eastAsia="en-GB"/>
                    </w:rPr>
                    <w:fldChar w:fldCharType="end"/>
                  </w:r>
                  <w:r>
                    <w:rPr>
                      <w:noProof/>
                      <w:lang w:eastAsia="en-GB"/>
                    </w:rPr>
                    <w:fldChar w:fldCharType="end"/>
                  </w:r>
                  <w:r>
                    <w:rPr>
                      <w:noProof/>
                      <w:lang w:eastAsia="en-GB"/>
                    </w:rPr>
                    <w:fldChar w:fldCharType="end"/>
                  </w:r>
                </w:p>
              </w:tc>
            </w:tr>
          </w:tbl>
          <w:p>
            <w:pPr>
              <w:pStyle w:val="Yo5TextNotesbeforeafter"/>
              <w:rPr>
                <w:noProof/>
              </w:rPr>
            </w:pPr>
          </w:p>
        </w:tc>
      </w:tr>
      <w:tr>
        <w:trPr>
          <w:cantSplit/>
          <w:trHeight w:val="258"/>
        </w:trPr>
        <w:tc>
          <w:tcPr>
            <w:tcW w:w="492" w:type="dxa"/>
            <w:vMerge/>
            <w:tcBorders>
              <w:right w:val="single" w:sz="4" w:space="0" w:color="auto"/>
            </w:tcBorders>
            <w:shd w:val="clear" w:color="auto" w:fill="FB5F5F"/>
            <w:textDirection w:val="btLr"/>
            <w:vAlign w:val="center"/>
          </w:tcPr>
          <w:p>
            <w:pPr>
              <w:pStyle w:val="Yo13YouthIndicator"/>
              <w:jc w:val="center"/>
              <w:rPr>
                <w:noProof/>
                <w:sz w:val="20"/>
              </w:rPr>
            </w:pPr>
          </w:p>
        </w:tc>
        <w:tc>
          <w:tcPr>
            <w:tcW w:w="2735" w:type="dxa"/>
            <w:tcBorders>
              <w:top w:val="nil"/>
              <w:left w:val="single" w:sz="4" w:space="0" w:color="auto"/>
              <w:bottom w:val="single" w:sz="4" w:space="0" w:color="auto"/>
              <w:right w:val="nil"/>
            </w:tcBorders>
            <w:shd w:val="clear" w:color="auto" w:fill="auto"/>
            <w:vAlign w:val="center"/>
          </w:tcPr>
          <w:p>
            <w:pPr>
              <w:pStyle w:val="Yo5TextNotesbeforeafter"/>
              <w:spacing w:before="0"/>
              <w:jc w:val="right"/>
              <w:rPr>
                <w:noProof/>
                <w:lang w:eastAsia="en-GB"/>
              </w:rPr>
            </w:pPr>
            <w:r>
              <w:rPr>
                <w:noProof/>
                <w:snapToGrid/>
                <w:lang w:val="en-US"/>
              </w:rPr>
              <w:drawing>
                <wp:inline distT="0" distB="0" distL="0" distR="0">
                  <wp:extent cx="228600" cy="450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 cy="45085"/>
                          </a:xfrm>
                          <a:prstGeom prst="rect">
                            <a:avLst/>
                          </a:prstGeom>
                          <a:noFill/>
                        </pic:spPr>
                      </pic:pic>
                    </a:graphicData>
                  </a:graphic>
                </wp:inline>
              </w:drawing>
            </w:r>
          </w:p>
        </w:tc>
        <w:tc>
          <w:tcPr>
            <w:tcW w:w="992" w:type="dxa"/>
            <w:tcBorders>
              <w:top w:val="nil"/>
              <w:left w:val="nil"/>
              <w:bottom w:val="single" w:sz="4" w:space="0" w:color="auto"/>
              <w:right w:val="nil"/>
            </w:tcBorders>
            <w:shd w:val="clear" w:color="auto" w:fill="auto"/>
            <w:vAlign w:val="center"/>
          </w:tcPr>
          <w:p>
            <w:pPr>
              <w:pStyle w:val="Yo5TextNotesbeforeafter"/>
              <w:spacing w:before="0"/>
              <w:jc w:val="left"/>
              <w:rPr>
                <w:noProof/>
                <w:lang w:eastAsia="en-GB"/>
              </w:rPr>
            </w:pPr>
            <w:r>
              <w:rPr>
                <w:noProof/>
                <w:lang w:eastAsia="en-GB"/>
              </w:rPr>
              <w:t>Total</w:t>
            </w:r>
          </w:p>
        </w:tc>
        <w:tc>
          <w:tcPr>
            <w:tcW w:w="851" w:type="dxa"/>
            <w:tcBorders>
              <w:top w:val="nil"/>
              <w:left w:val="nil"/>
              <w:bottom w:val="single" w:sz="4" w:space="0" w:color="auto"/>
              <w:right w:val="nil"/>
            </w:tcBorders>
            <w:shd w:val="clear" w:color="auto" w:fill="auto"/>
            <w:vAlign w:val="center"/>
          </w:tcPr>
          <w:p>
            <w:pPr>
              <w:pStyle w:val="Yo5TextNotesbeforeafter"/>
              <w:spacing w:before="0"/>
              <w:jc w:val="right"/>
              <w:rPr>
                <w:noProof/>
                <w:lang w:eastAsia="en-GB"/>
              </w:rPr>
            </w:pPr>
            <w:r>
              <w:rPr>
                <w:noProof/>
                <w:snapToGrid/>
                <w:lang w:val="en-US"/>
              </w:rPr>
              <w:drawing>
                <wp:inline distT="0" distB="0" distL="0" distR="0">
                  <wp:extent cx="163195" cy="17145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195" cy="171450"/>
                          </a:xfrm>
                          <a:prstGeom prst="rect">
                            <a:avLst/>
                          </a:prstGeom>
                          <a:noFill/>
                        </pic:spPr>
                      </pic:pic>
                    </a:graphicData>
                  </a:graphic>
                </wp:inline>
              </w:drawing>
            </w:r>
          </w:p>
        </w:tc>
        <w:tc>
          <w:tcPr>
            <w:tcW w:w="850" w:type="dxa"/>
            <w:tcBorders>
              <w:top w:val="nil"/>
              <w:left w:val="nil"/>
              <w:bottom w:val="single" w:sz="4" w:space="0" w:color="auto"/>
              <w:right w:val="nil"/>
            </w:tcBorders>
            <w:shd w:val="clear" w:color="auto" w:fill="auto"/>
            <w:vAlign w:val="center"/>
          </w:tcPr>
          <w:p>
            <w:pPr>
              <w:pStyle w:val="Yo5TextNotesbeforeafter"/>
              <w:spacing w:before="0"/>
              <w:jc w:val="left"/>
              <w:rPr>
                <w:noProof/>
                <w:lang w:eastAsia="en-GB"/>
              </w:rPr>
            </w:pPr>
            <w:r>
              <w:rPr>
                <w:noProof/>
                <w:lang w:eastAsia="en-GB"/>
              </w:rPr>
              <w:t>Women</w:t>
            </w:r>
          </w:p>
        </w:tc>
        <w:tc>
          <w:tcPr>
            <w:tcW w:w="992" w:type="dxa"/>
            <w:tcBorders>
              <w:top w:val="nil"/>
              <w:left w:val="nil"/>
              <w:bottom w:val="single" w:sz="4" w:space="0" w:color="auto"/>
              <w:right w:val="nil"/>
            </w:tcBorders>
            <w:shd w:val="clear" w:color="auto" w:fill="auto"/>
            <w:vAlign w:val="center"/>
          </w:tcPr>
          <w:p>
            <w:pPr>
              <w:pStyle w:val="Yo5TextNotesbeforeafter"/>
              <w:spacing w:before="0"/>
              <w:jc w:val="right"/>
              <w:rPr>
                <w:noProof/>
                <w:lang w:eastAsia="en-GB"/>
              </w:rPr>
            </w:pPr>
            <w:r>
              <w:rPr>
                <w:noProof/>
                <w:snapToGrid/>
                <w:lang w:val="en-US"/>
              </w:rPr>
              <w:drawing>
                <wp:inline distT="0" distB="0" distL="0" distR="0">
                  <wp:extent cx="161290" cy="171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290" cy="171450"/>
                          </a:xfrm>
                          <a:prstGeom prst="rect">
                            <a:avLst/>
                          </a:prstGeom>
                          <a:noFill/>
                        </pic:spPr>
                      </pic:pic>
                    </a:graphicData>
                  </a:graphic>
                </wp:inline>
              </w:drawing>
            </w:r>
          </w:p>
        </w:tc>
        <w:tc>
          <w:tcPr>
            <w:tcW w:w="3544" w:type="dxa"/>
            <w:tcBorders>
              <w:top w:val="nil"/>
              <w:left w:val="nil"/>
              <w:bottom w:val="single" w:sz="4" w:space="0" w:color="auto"/>
              <w:right w:val="single" w:sz="4" w:space="0" w:color="auto"/>
            </w:tcBorders>
            <w:shd w:val="clear" w:color="auto" w:fill="auto"/>
            <w:vAlign w:val="center"/>
          </w:tcPr>
          <w:p>
            <w:pPr>
              <w:pStyle w:val="Yo5TextNotesbeforeafter"/>
              <w:spacing w:before="0"/>
              <w:jc w:val="left"/>
              <w:rPr>
                <w:noProof/>
                <w:lang w:eastAsia="en-GB"/>
              </w:rPr>
            </w:pPr>
            <w:r>
              <w:rPr>
                <w:noProof/>
                <w:lang w:eastAsia="en-GB"/>
              </w:rPr>
              <w:t>Men</w:t>
            </w:r>
          </w:p>
        </w:tc>
      </w:tr>
    </w:tbl>
    <w:p>
      <w:pPr>
        <w:pStyle w:val="Yo5TextNotesbeforeafter"/>
        <w:spacing w:before="120" w:after="0"/>
        <w:rPr>
          <w:noProof/>
          <w:szCs w:val="14"/>
          <w:lang w:val="en-GB"/>
        </w:rPr>
      </w:pPr>
      <w:r>
        <w:rPr>
          <w:i/>
          <w:noProof/>
          <w:szCs w:val="14"/>
          <w:lang w:val="en-GB"/>
        </w:rPr>
        <w:t>Notes</w:t>
      </w:r>
      <w:r>
        <w:rPr>
          <w:noProof/>
          <w:szCs w:val="14"/>
          <w:lang w:val="en-GB"/>
        </w:rPr>
        <w:t>: Data for Croatia for 2016 have low reliability.</w:t>
      </w:r>
    </w:p>
    <w:p>
      <w:pPr>
        <w:pStyle w:val="Yo5TextNotesbeforeafter"/>
        <w:spacing w:before="0"/>
        <w:rPr>
          <w:noProof/>
          <w:lang w:val="fr-BE"/>
        </w:rPr>
      </w:pPr>
      <w:r>
        <w:rPr>
          <w:i/>
          <w:noProof/>
          <w:lang w:val="fr-BE"/>
        </w:rPr>
        <w:t>Source:</w:t>
      </w:r>
      <w:r>
        <w:rPr>
          <w:noProof/>
          <w:lang w:val="fr-BE"/>
        </w:rPr>
        <w:t xml:space="preserve"> Eurostat LFS [edat_lfse_14].</w:t>
      </w:r>
    </w:p>
    <w:tbl>
      <w:tblPr>
        <w:tblpPr w:leftFromText="180" w:rightFromText="180" w:vertAnchor="text" w:horzAnchor="margin" w:tblpXSpec="right" w:tblpY="468"/>
        <w:tblOverlap w:val="never"/>
        <w:tblW w:w="0" w:type="auto"/>
        <w:shd w:val="clear" w:color="auto" w:fill="FFA3A4"/>
        <w:tblLook w:val="04A0" w:firstRow="1" w:lastRow="0" w:firstColumn="1" w:lastColumn="0" w:noHBand="0" w:noVBand="1"/>
      </w:tblPr>
      <w:tblGrid>
        <w:gridCol w:w="2635"/>
      </w:tblGrid>
      <w:tr>
        <w:trPr>
          <w:trHeight w:val="645"/>
        </w:trPr>
        <w:tc>
          <w:tcPr>
            <w:tcW w:w="2635" w:type="dxa"/>
            <w:shd w:val="clear" w:color="auto" w:fill="FFA3A4"/>
          </w:tcPr>
          <w:p>
            <w:pPr>
              <w:pStyle w:val="Yo12Encart"/>
              <w:framePr w:hSpace="0" w:wrap="auto" w:vAnchor="margin" w:hAnchor="text" w:xAlign="left" w:yAlign="inline"/>
              <w:suppressOverlap w:val="0"/>
              <w:rPr>
                <w:noProof/>
                <w:sz w:val="22"/>
                <w:szCs w:val="22"/>
              </w:rPr>
            </w:pPr>
            <w:r>
              <w:rPr>
                <w:noProof/>
                <w:sz w:val="22"/>
                <w:szCs w:val="22"/>
              </w:rPr>
              <w:t>Across the EU, the proportion of early school leavers is declining.</w:t>
            </w:r>
          </w:p>
        </w:tc>
      </w:tr>
    </w:tbl>
    <w:p>
      <w:pPr>
        <w:jc w:val="both"/>
        <w:rPr>
          <w:noProof/>
        </w:rPr>
      </w:pPr>
    </w:p>
    <w:p>
      <w:pPr>
        <w:pStyle w:val="Yo1Textpara"/>
        <w:rPr>
          <w:noProof/>
          <w:szCs w:val="22"/>
        </w:rPr>
      </w:pPr>
      <w:r>
        <w:rPr>
          <w:noProof/>
          <w:szCs w:val="22"/>
        </w:rPr>
        <w:t>Since 2010 – in conjunction with reforms in most countries to support young people at risk of dropping out of school and increase the flexibility and permeability of educational pathways (</w:t>
      </w:r>
      <w:r>
        <w:rPr>
          <w:noProof/>
          <w:szCs w:val="22"/>
          <w:vertAlign w:val="superscript"/>
        </w:rPr>
        <w:footnoteReference w:id="15"/>
      </w:r>
      <w:r>
        <w:rPr>
          <w:noProof/>
          <w:szCs w:val="22"/>
        </w:rPr>
        <w:t xml:space="preserve">) – there has been a general decline in the proportion of young people leaving school early in Europe (Figure 2-F). The most significant decrease has taken place in Portugal, where the proportion of early school leavers has fallen by about 14 percentage points. Ireland, Greece, Spain, Norway, Turkey and the former Yugoslav Republic of Macedonia have also experienced a sizeable reduction. Increases have taken place in Hungary, as well as in Czech Republic and Slovakia, which nonetheless remain below the EU benchmark of 10 %. </w:t>
      </w:r>
    </w:p>
    <w:p>
      <w:pPr>
        <w:rPr>
          <w:noProof/>
        </w:rPr>
      </w:pPr>
    </w:p>
    <w:p>
      <w:pPr>
        <w:rPr>
          <w:noProof/>
        </w:rPr>
      </w:pPr>
    </w:p>
    <w:p>
      <w:pPr>
        <w:pStyle w:val="Yo5TitleFigure"/>
        <w:jc w:val="both"/>
      </w:pPr>
      <w:r>
        <w:rPr>
          <w:b/>
        </w:rPr>
        <w:t>Figure 2-F:</w:t>
      </w:r>
      <w:r>
        <w:t xml:space="preserve"> Changes in the share of early school leavers (population aged 18-24 with lower secondary education at most and not in further education or training), by country, 2010-2016</w:t>
      </w:r>
    </w:p>
    <w:tbl>
      <w:tblPr>
        <w:tblpPr w:leftFromText="181" w:rightFromText="181" w:vertAnchor="text" w:tblpX="-42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9964"/>
      </w:tblGrid>
      <w:tr>
        <w:trPr>
          <w:trHeight w:val="520"/>
        </w:trPr>
        <w:tc>
          <w:tcPr>
            <w:tcW w:w="492" w:type="dxa"/>
            <w:shd w:val="clear" w:color="auto" w:fill="FB5F5F"/>
            <w:textDirection w:val="btLr"/>
            <w:vAlign w:val="bottom"/>
          </w:tcPr>
          <w:p>
            <w:pPr>
              <w:pStyle w:val="Yo13YouthIndicator"/>
              <w:jc w:val="center"/>
              <w:rPr>
                <w:noProof/>
                <w:lang w:eastAsia="fr-BE"/>
              </w:rPr>
            </w:pPr>
            <w:r>
              <w:rPr>
                <w:noProof/>
              </w:rPr>
              <w:t>EU youth indicator</w:t>
            </w:r>
          </w:p>
        </w:tc>
        <w:tc>
          <w:tcPr>
            <w:tcW w:w="9964" w:type="dxa"/>
            <w:shd w:val="clear" w:color="auto" w:fill="auto"/>
            <w:tcMar>
              <w:bottom w:w="113" w:type="dxa"/>
            </w:tcMar>
          </w:tcPr>
          <w:p>
            <w:pPr>
              <w:pStyle w:val="Yo5TextNotesbeforeafter"/>
              <w:spacing w:before="0"/>
              <w:rPr>
                <w:noProof/>
              </w:rPr>
            </w:pPr>
          </w:p>
          <w:tbl>
            <w:tblPr>
              <w:tblW w:w="0" w:type="auto"/>
              <w:tblLook w:val="04A0" w:firstRow="1" w:lastRow="0" w:firstColumn="1" w:lastColumn="0" w:noHBand="0" w:noVBand="1"/>
            </w:tblPr>
            <w:tblGrid>
              <w:gridCol w:w="7427"/>
              <w:gridCol w:w="528"/>
              <w:gridCol w:w="1793"/>
            </w:tblGrid>
            <w:tr>
              <w:trPr>
                <w:trHeight w:val="320"/>
              </w:trPr>
              <w:tc>
                <w:tcPr>
                  <w:tcW w:w="0" w:type="auto"/>
                  <w:vMerge w:val="restart"/>
                  <w:shd w:val="clear" w:color="auto" w:fill="auto"/>
                </w:tcPr>
                <w:p>
                  <w:pPr>
                    <w:pStyle w:val="Yo5TextNotesbeforeafter"/>
                    <w:framePr w:hSpace="181" w:wrap="around" w:vAnchor="text" w:hAnchor="text" w:x="-424" w:y="1"/>
                    <w:spacing w:before="0" w:after="0"/>
                    <w:suppressOverlap/>
                    <w:jc w:val="left"/>
                    <w:rPr>
                      <w:noProof/>
                    </w:rPr>
                  </w:pPr>
                  <w:r>
                    <w:rPr>
                      <w:noProof/>
                      <w:snapToGrid/>
                      <w:lang w:val="en-US"/>
                    </w:rPr>
                    <mc:AlternateContent>
                      <mc:Choice Requires="wps">
                        <w:drawing>
                          <wp:anchor distT="0" distB="0" distL="114300" distR="114300" simplePos="0" relativeHeight="251650560" behindDoc="0" locked="0" layoutInCell="1" allowOverlap="1">
                            <wp:simplePos x="0" y="0"/>
                            <wp:positionH relativeFrom="column">
                              <wp:posOffset>2945130</wp:posOffset>
                            </wp:positionH>
                            <wp:positionV relativeFrom="paragraph">
                              <wp:posOffset>617855</wp:posOffset>
                            </wp:positionV>
                            <wp:extent cx="1493520" cy="1031240"/>
                            <wp:effectExtent l="9525" t="12065" r="1143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031240"/>
                                    </a:xfrm>
                                    <a:prstGeom prst="rect">
                                      <a:avLst/>
                                    </a:prstGeom>
                                    <a:solidFill>
                                      <a:srgbClr val="FFFFFF"/>
                                    </a:solidFill>
                                    <a:ln w="9525">
                                      <a:solidFill>
                                        <a:srgbClr val="FFFFFF"/>
                                      </a:solidFill>
                                      <a:miter lim="800000"/>
                                      <a:headEnd/>
                                      <a:tailEnd/>
                                    </a:ln>
                                  </wps:spPr>
                                  <wps:txbx>
                                    <w:txbxContent>
                                      <w:p>
                                        <w:pPr>
                                          <w:jc w:val="center"/>
                                        </w:pPr>
                                        <w:r>
                                          <w:rPr>
                                            <w:noProof/>
                                            <w:lang w:val="en-US"/>
                                          </w:rPr>
                                          <w:drawing>
                                            <wp:inline distT="0" distB="0" distL="0" distR="0">
                                              <wp:extent cx="1303655" cy="777875"/>
                                              <wp:effectExtent l="0" t="0" r="0" b="3175"/>
                                              <wp:docPr id="298" name="Picture 298" descr="\\s-eacea-fs03-p\EACEA.A7\Youth\04_Reports\a_EU_Youth_Reports\2018\03_graph\2_F_early_leavers_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eacea-fs03-p\EACEA.A7\Youth\04_Reports\a_EU_Youth_Reports\2018\03_graph\2_F_early_leavers_TREND.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303655" cy="77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1.9pt;margin-top:48.65pt;width:117.6pt;height:81.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" strokecolor="white">
                            <v:textbox style="mso-fit-shape-to-text:t">
                              <w:txbxContent>
                                <w:p>
                                  <w:pPr>
                                    <w:jc w:val="center"/>
                                  </w:pPr>
                                  <w:r>
                                    <w:rPr>
                                      <w:noProof/>
                                      <w:lang w:val="en-US"/>
                                    </w:rPr>
                                    <w:drawing>
                                      <wp:inline distT="0" distB="0" distL="0" distR="0">
                                        <wp:extent cx="1303655" cy="777875"/>
                                        <wp:effectExtent l="0" t="0" r="0" b="3175"/>
                                        <wp:docPr id="298" name="Picture 298" descr="\\s-eacea-fs03-p\EACEA.A7\Youth\04_Reports\a_EU_Youth_Reports\2018\03_graph\2_F_early_leavers_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eacea-fs03-p\EACEA.A7\Youth\04_Reports\a_EU_Youth_Reports\2018\03_graph\2_F_early_leavers_TREND.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303655" cy="777875"/>
                                                </a:xfrm>
                                                <a:prstGeom prst="rect">
                                                  <a:avLst/>
                                                </a:prstGeom>
                                                <a:noFill/>
                                                <a:ln>
                                                  <a:noFill/>
                                                </a:ln>
                                              </pic:spPr>
                                            </pic:pic>
                                          </a:graphicData>
                                        </a:graphic>
                                      </wp:inline>
                                    </w:drawing>
                                  </w:r>
                                </w:p>
                              </w:txbxContent>
                            </v:textbox>
                          </v:shape>
                        </w:pict>
                      </mc:Fallback>
                    </mc:AlternateContent>
                  </w:r>
                  <w:r>
                    <w:rPr>
                      <w:noProof/>
                      <w:snapToGrid/>
                      <w:lang w:val="en-US"/>
                    </w:rPr>
                    <w:drawing>
                      <wp:inline distT="0" distB="0" distL="0" distR="0">
                        <wp:extent cx="4578985" cy="3432175"/>
                        <wp:effectExtent l="0" t="0" r="0" b="0"/>
                        <wp:docPr id="279" name="Picture 279" descr="\\s-eacea-fs03-p\EACEA.A7\Youth\04_Reports\a_EU_Youth_Reports\2018\03_graph\2_F_early_leaver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eacea-fs03-p\EACEA.A7\Youth\04_Reports\a_EU_Youth_Reports\2018\03_graph\2_F_early_leavers_MAP.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4578985" cy="3432175"/>
                                </a:xfrm>
                                <a:prstGeom prst="rect">
                                  <a:avLst/>
                                </a:prstGeom>
                                <a:noFill/>
                                <a:ln>
                                  <a:noFill/>
                                </a:ln>
                              </pic:spPr>
                            </pic:pic>
                          </a:graphicData>
                        </a:graphic>
                      </wp:inline>
                    </w:drawing>
                  </w:r>
                </w:p>
              </w:tc>
              <w:tc>
                <w:tcPr>
                  <w:tcW w:w="0" w:type="auto"/>
                </w:tcPr>
                <w:p>
                  <w:pPr>
                    <w:pStyle w:val="Yo5TextNotesbeforeafter"/>
                    <w:framePr w:hSpace="181" w:wrap="around" w:vAnchor="text" w:hAnchor="text" w:x="-424" w:y="1"/>
                    <w:spacing w:before="0" w:after="0"/>
                    <w:suppressOverlap/>
                    <w:jc w:val="left"/>
                    <w:rPr>
                      <w:noProof/>
                    </w:rPr>
                  </w:pPr>
                </w:p>
              </w:tc>
              <w:tc>
                <w:tcPr>
                  <w:tcW w:w="1832" w:type="dxa"/>
                </w:tcPr>
                <w:p>
                  <w:pPr>
                    <w:pStyle w:val="Yo5TextNotesbeforeafter"/>
                    <w:framePr w:hSpace="181" w:wrap="around" w:vAnchor="text" w:hAnchor="text" w:x="-424" w:y="1"/>
                    <w:tabs>
                      <w:tab w:val="left" w:pos="1194"/>
                    </w:tabs>
                    <w:spacing w:before="0" w:after="0"/>
                    <w:ind w:right="881"/>
                    <w:suppressOverlap/>
                    <w:jc w:val="left"/>
                    <w:rPr>
                      <w:noProof/>
                      <w:lang w:val="en-GB"/>
                    </w:rPr>
                  </w:pPr>
                </w:p>
                <w:p>
                  <w:pPr>
                    <w:pStyle w:val="Yo5TextNotesbeforeafter"/>
                    <w:framePr w:hSpace="181" w:wrap="around" w:vAnchor="text" w:hAnchor="text" w:x="-424" w:y="1"/>
                    <w:tabs>
                      <w:tab w:val="left" w:pos="1194"/>
                    </w:tabs>
                    <w:spacing w:before="0" w:after="0"/>
                    <w:ind w:right="881"/>
                    <w:suppressOverlap/>
                    <w:jc w:val="left"/>
                    <w:rPr>
                      <w:noProof/>
                      <w:lang w:val="en-GB"/>
                    </w:rPr>
                  </w:pPr>
                </w:p>
                <w:p>
                  <w:pPr>
                    <w:pStyle w:val="Yo5TextNotesbeforeafter"/>
                    <w:framePr w:hSpace="181" w:wrap="around" w:vAnchor="text" w:hAnchor="text" w:x="-424" w:y="1"/>
                    <w:tabs>
                      <w:tab w:val="left" w:pos="1194"/>
                    </w:tabs>
                    <w:spacing w:before="0" w:after="0"/>
                    <w:ind w:right="881"/>
                    <w:suppressOverlap/>
                    <w:jc w:val="left"/>
                    <w:rPr>
                      <w:noProof/>
                      <w:lang w:val="en-GB"/>
                    </w:rPr>
                  </w:pPr>
                </w:p>
                <w:p>
                  <w:pPr>
                    <w:pStyle w:val="Yo5TextNotesbeforeafter"/>
                    <w:framePr w:hSpace="181" w:wrap="around" w:vAnchor="text" w:hAnchor="text" w:x="-424" w:y="1"/>
                    <w:tabs>
                      <w:tab w:val="left" w:pos="1194"/>
                    </w:tabs>
                    <w:spacing w:before="0" w:after="0"/>
                    <w:ind w:right="881"/>
                    <w:suppressOverlap/>
                    <w:jc w:val="left"/>
                    <w:rPr>
                      <w:noProof/>
                      <w:lang w:val="en-GB"/>
                    </w:rPr>
                  </w:pPr>
                </w:p>
              </w:tc>
            </w:tr>
            <w:tr>
              <w:trPr>
                <w:trHeight w:val="319"/>
              </w:trPr>
              <w:tc>
                <w:tcPr>
                  <w:tcW w:w="0" w:type="auto"/>
                  <w:vMerge/>
                  <w:shd w:val="clear" w:color="auto" w:fill="auto"/>
                </w:tcPr>
                <w:p>
                  <w:pPr>
                    <w:pStyle w:val="Yo5TextNotesbeforeafter"/>
                    <w:framePr w:hSpace="181" w:wrap="around" w:vAnchor="text" w:hAnchor="text" w:x="-424" w:y="1"/>
                    <w:spacing w:before="0" w:after="0"/>
                    <w:suppressOverlap/>
                    <w:jc w:val="left"/>
                    <w:rPr>
                      <w:noProof/>
                    </w:rPr>
                  </w:pPr>
                </w:p>
              </w:tc>
              <w:tc>
                <w:tcPr>
                  <w:tcW w:w="0" w:type="auto"/>
                </w:tcPr>
                <w:p>
                  <w:pPr>
                    <w:pStyle w:val="Yo5TextNotesbeforeafter"/>
                    <w:framePr w:hSpace="181" w:wrap="around" w:vAnchor="text" w:hAnchor="text" w:x="-424" w:y="1"/>
                    <w:spacing w:before="0" w:after="0"/>
                    <w:suppressOverlap/>
                    <w:jc w:val="left"/>
                    <w:rPr>
                      <w:noProof/>
                      <w:lang w:val="en-GB"/>
                    </w:rPr>
                  </w:pPr>
                  <w:r>
                    <w:rPr>
                      <w:noProof/>
                      <w:snapToGrid/>
                      <w:lang w:val="en-US"/>
                    </w:rPr>
                    <w:drawing>
                      <wp:inline distT="0" distB="0" distL="0" distR="0">
                        <wp:extent cx="184150" cy="198120"/>
                        <wp:effectExtent l="0" t="0" r="635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150" cy="198120"/>
                                </a:xfrm>
                                <a:prstGeom prst="rect">
                                  <a:avLst/>
                                </a:prstGeom>
                                <a:noFill/>
                                <a:ln>
                                  <a:noFill/>
                                </a:ln>
                              </pic:spPr>
                            </pic:pic>
                          </a:graphicData>
                        </a:graphic>
                      </wp:inline>
                    </w:drawing>
                  </w:r>
                </w:p>
              </w:tc>
              <w:tc>
                <w:tcPr>
                  <w:tcW w:w="1832" w:type="dxa"/>
                </w:tcPr>
                <w:p>
                  <w:pPr>
                    <w:pStyle w:val="Yo5TextNotesbeforeafter"/>
                    <w:framePr w:hSpace="181" w:wrap="around" w:vAnchor="text" w:hAnchor="text" w:x="-424" w:y="1"/>
                    <w:tabs>
                      <w:tab w:val="left" w:pos="1194"/>
                    </w:tabs>
                    <w:spacing w:before="0" w:after="0"/>
                    <w:ind w:right="209"/>
                    <w:suppressOverlap/>
                    <w:jc w:val="left"/>
                    <w:rPr>
                      <w:noProof/>
                      <w:lang w:val="en-GB"/>
                    </w:rPr>
                  </w:pPr>
                  <w:r>
                    <w:rPr>
                      <w:noProof/>
                      <w:lang w:val="en-GB"/>
                    </w:rPr>
                    <w:t>Decrease between 1 and 4 p.p.</w:t>
                  </w:r>
                </w:p>
                <w:p>
                  <w:pPr>
                    <w:pStyle w:val="Yo5TextNotesbeforeafter"/>
                    <w:framePr w:hSpace="181" w:wrap="around" w:vAnchor="text" w:hAnchor="text" w:x="-424" w:y="1"/>
                    <w:tabs>
                      <w:tab w:val="left" w:pos="1194"/>
                    </w:tabs>
                    <w:spacing w:before="0" w:after="0"/>
                    <w:ind w:right="209"/>
                    <w:suppressOverlap/>
                    <w:jc w:val="left"/>
                    <w:rPr>
                      <w:noProof/>
                      <w:lang w:val="en-GB"/>
                    </w:rPr>
                  </w:pPr>
                </w:p>
              </w:tc>
            </w:tr>
            <w:tr>
              <w:trPr>
                <w:trHeight w:val="763"/>
              </w:trPr>
              <w:tc>
                <w:tcPr>
                  <w:tcW w:w="0" w:type="auto"/>
                  <w:vMerge/>
                  <w:shd w:val="clear" w:color="auto" w:fill="auto"/>
                </w:tcPr>
                <w:p>
                  <w:pPr>
                    <w:pStyle w:val="Yo5TextNotesbeforeafter"/>
                    <w:framePr w:hSpace="181" w:wrap="around" w:vAnchor="text" w:hAnchor="text" w:x="-424" w:y="1"/>
                    <w:spacing w:before="0" w:after="0"/>
                    <w:suppressOverlap/>
                    <w:jc w:val="left"/>
                    <w:rPr>
                      <w:noProof/>
                      <w:lang w:val="en-GB"/>
                    </w:rPr>
                  </w:pPr>
                </w:p>
              </w:tc>
              <w:tc>
                <w:tcPr>
                  <w:tcW w:w="0" w:type="auto"/>
                </w:tcPr>
                <w:p>
                  <w:pPr>
                    <w:pStyle w:val="Yo5TextNotesbeforeafter"/>
                    <w:framePr w:hSpace="181" w:wrap="around" w:vAnchor="text" w:hAnchor="text" w:x="-424" w:y="1"/>
                    <w:spacing w:before="0" w:after="0"/>
                    <w:suppressOverlap/>
                    <w:jc w:val="left"/>
                    <w:rPr>
                      <w:noProof/>
                      <w:lang w:val="en-GB"/>
                    </w:rPr>
                  </w:pPr>
                  <w:r>
                    <w:rPr>
                      <w:noProof/>
                      <w:snapToGrid/>
                      <w:lang w:val="en-US"/>
                    </w:rPr>
                    <w:drawing>
                      <wp:inline distT="0" distB="0" distL="0" distR="0">
                        <wp:extent cx="198120" cy="204470"/>
                        <wp:effectExtent l="0" t="0" r="0" b="508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120" cy="204470"/>
                                </a:xfrm>
                                <a:prstGeom prst="rect">
                                  <a:avLst/>
                                </a:prstGeom>
                                <a:noFill/>
                                <a:ln>
                                  <a:noFill/>
                                </a:ln>
                              </pic:spPr>
                            </pic:pic>
                          </a:graphicData>
                        </a:graphic>
                      </wp:inline>
                    </w:drawing>
                  </w:r>
                </w:p>
              </w:tc>
              <w:tc>
                <w:tcPr>
                  <w:tcW w:w="1832" w:type="dxa"/>
                </w:tcPr>
                <w:p>
                  <w:pPr>
                    <w:pStyle w:val="Yo5TextNotesbeforeafter"/>
                    <w:framePr w:hSpace="181" w:wrap="around" w:vAnchor="text" w:hAnchor="text" w:x="-424" w:y="1"/>
                    <w:tabs>
                      <w:tab w:val="left" w:pos="2045"/>
                    </w:tabs>
                    <w:spacing w:before="0" w:after="0"/>
                    <w:ind w:right="209"/>
                    <w:suppressOverlap/>
                    <w:jc w:val="left"/>
                    <w:rPr>
                      <w:noProof/>
                      <w:lang w:val="en-GB"/>
                    </w:rPr>
                  </w:pPr>
                  <w:r>
                    <w:rPr>
                      <w:noProof/>
                      <w:lang w:val="en-GB"/>
                    </w:rPr>
                    <w:t>Decrease between 5 and 9 p.p.</w:t>
                  </w:r>
                </w:p>
              </w:tc>
            </w:tr>
            <w:tr>
              <w:trPr>
                <w:trHeight w:val="763"/>
              </w:trPr>
              <w:tc>
                <w:tcPr>
                  <w:tcW w:w="0" w:type="auto"/>
                  <w:vMerge/>
                  <w:shd w:val="clear" w:color="auto" w:fill="auto"/>
                </w:tcPr>
                <w:p>
                  <w:pPr>
                    <w:pStyle w:val="Yo5TextNotesbeforeafter"/>
                    <w:framePr w:hSpace="181" w:wrap="around" w:vAnchor="text" w:hAnchor="text" w:x="-424" w:y="1"/>
                    <w:spacing w:before="0" w:after="0"/>
                    <w:suppressOverlap/>
                    <w:jc w:val="left"/>
                    <w:rPr>
                      <w:noProof/>
                      <w:lang w:val="en-GB"/>
                    </w:rPr>
                  </w:pPr>
                </w:p>
              </w:tc>
              <w:tc>
                <w:tcPr>
                  <w:tcW w:w="0" w:type="auto"/>
                </w:tcPr>
                <w:p>
                  <w:pPr>
                    <w:pStyle w:val="Yo5TextNotesbeforeafter"/>
                    <w:framePr w:hSpace="181" w:wrap="around" w:vAnchor="text" w:hAnchor="text" w:x="-424" w:y="1"/>
                    <w:spacing w:before="0" w:after="0"/>
                    <w:suppressOverlap/>
                    <w:jc w:val="left"/>
                    <w:rPr>
                      <w:noProof/>
                      <w:lang w:val="en-GB"/>
                    </w:rPr>
                  </w:pPr>
                  <w:r>
                    <w:rPr>
                      <w:noProof/>
                      <w:snapToGrid/>
                      <w:lang w:val="en-US"/>
                    </w:rPr>
                    <w:drawing>
                      <wp:inline distT="0" distB="0" distL="0" distR="0">
                        <wp:extent cx="191135" cy="204470"/>
                        <wp:effectExtent l="0" t="0" r="0" b="508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 cy="204470"/>
                                </a:xfrm>
                                <a:prstGeom prst="rect">
                                  <a:avLst/>
                                </a:prstGeom>
                                <a:noFill/>
                                <a:ln>
                                  <a:noFill/>
                                </a:ln>
                              </pic:spPr>
                            </pic:pic>
                          </a:graphicData>
                        </a:graphic>
                      </wp:inline>
                    </w:drawing>
                  </w:r>
                </w:p>
              </w:tc>
              <w:tc>
                <w:tcPr>
                  <w:tcW w:w="1832" w:type="dxa"/>
                </w:tcPr>
                <w:p>
                  <w:pPr>
                    <w:pStyle w:val="Yo5TextNotesbeforeafter"/>
                    <w:framePr w:hSpace="181" w:wrap="around" w:vAnchor="text" w:hAnchor="text" w:x="-424" w:y="1"/>
                    <w:tabs>
                      <w:tab w:val="left" w:pos="1855"/>
                    </w:tabs>
                    <w:spacing w:before="0" w:after="0"/>
                    <w:ind w:right="209"/>
                    <w:suppressOverlap/>
                    <w:jc w:val="left"/>
                    <w:rPr>
                      <w:noProof/>
                      <w:lang w:val="en-GB"/>
                    </w:rPr>
                  </w:pPr>
                  <w:r>
                    <w:rPr>
                      <w:noProof/>
                      <w:lang w:val="en-GB"/>
                    </w:rPr>
                    <w:t xml:space="preserve">Decrease of 10 p.p. or more </w:t>
                  </w:r>
                </w:p>
              </w:tc>
            </w:tr>
            <w:tr>
              <w:trPr>
                <w:trHeight w:val="763"/>
              </w:trPr>
              <w:tc>
                <w:tcPr>
                  <w:tcW w:w="0" w:type="auto"/>
                  <w:vMerge/>
                  <w:shd w:val="clear" w:color="auto" w:fill="auto"/>
                </w:tcPr>
                <w:p>
                  <w:pPr>
                    <w:pStyle w:val="Yo5TextNotesbeforeafter"/>
                    <w:framePr w:hSpace="181" w:wrap="around" w:vAnchor="text" w:hAnchor="text" w:x="-424" w:y="1"/>
                    <w:spacing w:before="0" w:after="0"/>
                    <w:suppressOverlap/>
                    <w:jc w:val="left"/>
                    <w:rPr>
                      <w:noProof/>
                      <w:lang w:val="en-GB"/>
                    </w:rPr>
                  </w:pPr>
                </w:p>
              </w:tc>
              <w:tc>
                <w:tcPr>
                  <w:tcW w:w="0" w:type="auto"/>
                </w:tcPr>
                <w:p>
                  <w:pPr>
                    <w:pStyle w:val="Yo5TextNotesbeforeafter"/>
                    <w:framePr w:hSpace="181" w:wrap="around" w:vAnchor="text" w:hAnchor="text" w:x="-424" w:y="1"/>
                    <w:spacing w:before="0" w:after="0"/>
                    <w:suppressOverlap/>
                    <w:jc w:val="left"/>
                    <w:rPr>
                      <w:noProof/>
                      <w:lang w:val="en-GB"/>
                    </w:rPr>
                  </w:pPr>
                  <w:r>
                    <w:rPr>
                      <w:noProof/>
                      <w:snapToGrid/>
                      <w:lang w:val="en-US"/>
                    </w:rPr>
                    <w:drawing>
                      <wp:inline distT="0" distB="0" distL="0" distR="0">
                        <wp:extent cx="184150" cy="211455"/>
                        <wp:effectExtent l="0" t="0" r="635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150" cy="211455"/>
                                </a:xfrm>
                                <a:prstGeom prst="rect">
                                  <a:avLst/>
                                </a:prstGeom>
                                <a:noFill/>
                                <a:ln>
                                  <a:noFill/>
                                </a:ln>
                              </pic:spPr>
                            </pic:pic>
                          </a:graphicData>
                        </a:graphic>
                      </wp:inline>
                    </w:drawing>
                  </w:r>
                </w:p>
              </w:tc>
              <w:tc>
                <w:tcPr>
                  <w:tcW w:w="1832" w:type="dxa"/>
                </w:tcPr>
                <w:p>
                  <w:pPr>
                    <w:pStyle w:val="Yo5TextNotesbeforeafter"/>
                    <w:framePr w:hSpace="181" w:wrap="around" w:vAnchor="text" w:hAnchor="text" w:x="-424" w:y="1"/>
                    <w:tabs>
                      <w:tab w:val="left" w:pos="1855"/>
                    </w:tabs>
                    <w:spacing w:before="0" w:after="0"/>
                    <w:ind w:right="209"/>
                    <w:suppressOverlap/>
                    <w:jc w:val="left"/>
                    <w:rPr>
                      <w:noProof/>
                      <w:lang w:val="en-GB"/>
                    </w:rPr>
                  </w:pPr>
                  <w:r>
                    <w:rPr>
                      <w:noProof/>
                      <w:lang w:val="en-GB"/>
                    </w:rPr>
                    <w:t>Stable</w:t>
                  </w:r>
                </w:p>
              </w:tc>
            </w:tr>
            <w:tr>
              <w:trPr>
                <w:trHeight w:val="763"/>
              </w:trPr>
              <w:tc>
                <w:tcPr>
                  <w:tcW w:w="0" w:type="auto"/>
                  <w:vMerge/>
                  <w:shd w:val="clear" w:color="auto" w:fill="auto"/>
                </w:tcPr>
                <w:p>
                  <w:pPr>
                    <w:pStyle w:val="Yo5TextNotesbeforeafter"/>
                    <w:framePr w:hSpace="181" w:wrap="around" w:vAnchor="text" w:hAnchor="text" w:x="-424" w:y="1"/>
                    <w:spacing w:before="0" w:after="0"/>
                    <w:suppressOverlap/>
                    <w:jc w:val="left"/>
                    <w:rPr>
                      <w:noProof/>
                      <w:lang w:val="en-GB"/>
                    </w:rPr>
                  </w:pPr>
                </w:p>
              </w:tc>
              <w:tc>
                <w:tcPr>
                  <w:tcW w:w="0" w:type="auto"/>
                </w:tcPr>
                <w:p>
                  <w:pPr>
                    <w:pStyle w:val="Yo5TextNotesbeforeafter"/>
                    <w:framePr w:hSpace="181" w:wrap="around" w:vAnchor="text" w:hAnchor="text" w:x="-424" w:y="1"/>
                    <w:spacing w:before="0" w:after="0"/>
                    <w:suppressOverlap/>
                    <w:jc w:val="left"/>
                    <w:rPr>
                      <w:noProof/>
                      <w:lang w:val="en-GB"/>
                    </w:rPr>
                  </w:pPr>
                  <w:r>
                    <w:rPr>
                      <w:noProof/>
                      <w:snapToGrid/>
                      <w:lang w:val="en-US"/>
                    </w:rPr>
                    <w:drawing>
                      <wp:inline distT="0" distB="0" distL="0" distR="0">
                        <wp:extent cx="198120" cy="19812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832" w:type="dxa"/>
                </w:tcPr>
                <w:p>
                  <w:pPr>
                    <w:pStyle w:val="Yo5TextNotesbeforeafter"/>
                    <w:framePr w:hSpace="181" w:wrap="around" w:vAnchor="text" w:hAnchor="text" w:x="-424" w:y="1"/>
                    <w:tabs>
                      <w:tab w:val="clear" w:pos="1985"/>
                      <w:tab w:val="left" w:pos="1855"/>
                      <w:tab w:val="left" w:pos="2328"/>
                    </w:tabs>
                    <w:spacing w:before="0" w:after="0"/>
                    <w:ind w:right="209"/>
                    <w:suppressOverlap/>
                    <w:jc w:val="left"/>
                    <w:rPr>
                      <w:noProof/>
                      <w:lang w:val="en-GB"/>
                    </w:rPr>
                  </w:pPr>
                  <w:r>
                    <w:rPr>
                      <w:noProof/>
                      <w:lang w:val="en-GB"/>
                    </w:rPr>
                    <w:t>Increase</w:t>
                  </w:r>
                </w:p>
              </w:tc>
            </w:tr>
            <w:tr>
              <w:trPr>
                <w:trHeight w:val="695"/>
              </w:trPr>
              <w:tc>
                <w:tcPr>
                  <w:tcW w:w="0" w:type="auto"/>
                  <w:vMerge/>
                  <w:shd w:val="clear" w:color="auto" w:fill="auto"/>
                </w:tcPr>
                <w:p>
                  <w:pPr>
                    <w:pStyle w:val="Yo5TextNotesbeforeafter"/>
                    <w:framePr w:hSpace="181" w:wrap="around" w:vAnchor="text" w:hAnchor="text" w:x="-424" w:y="1"/>
                    <w:spacing w:before="0" w:after="0"/>
                    <w:suppressOverlap/>
                    <w:jc w:val="left"/>
                    <w:rPr>
                      <w:noProof/>
                      <w:lang w:val="en-GB"/>
                    </w:rPr>
                  </w:pPr>
                </w:p>
              </w:tc>
              <w:tc>
                <w:tcPr>
                  <w:tcW w:w="0" w:type="auto"/>
                </w:tcPr>
                <w:p>
                  <w:pPr>
                    <w:pStyle w:val="Yo5TextNotesbeforeafter"/>
                    <w:framePr w:hSpace="181" w:wrap="around" w:vAnchor="text" w:hAnchor="text" w:x="-424" w:y="1"/>
                    <w:spacing w:before="0" w:after="0"/>
                    <w:suppressOverlap/>
                    <w:jc w:val="left"/>
                    <w:rPr>
                      <w:noProof/>
                      <w:lang w:val="en-GB"/>
                    </w:rPr>
                  </w:pPr>
                  <w:r>
                    <w:rPr>
                      <w:noProof/>
                      <w:snapToGrid/>
                      <w:lang w:val="en-US"/>
                    </w:rPr>
                    <w:drawing>
                      <wp:inline distT="0" distB="0" distL="0" distR="0">
                        <wp:extent cx="191135" cy="204470"/>
                        <wp:effectExtent l="0" t="0" r="0" b="508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135" cy="204470"/>
                                </a:xfrm>
                                <a:prstGeom prst="rect">
                                  <a:avLst/>
                                </a:prstGeom>
                                <a:noFill/>
                                <a:ln>
                                  <a:noFill/>
                                </a:ln>
                              </pic:spPr>
                            </pic:pic>
                          </a:graphicData>
                        </a:graphic>
                      </wp:inline>
                    </w:drawing>
                  </w:r>
                </w:p>
              </w:tc>
              <w:tc>
                <w:tcPr>
                  <w:tcW w:w="1832" w:type="dxa"/>
                </w:tcPr>
                <w:p>
                  <w:pPr>
                    <w:pStyle w:val="Yo5TextNotesbeforeafter"/>
                    <w:framePr w:hSpace="181" w:wrap="around" w:vAnchor="text" w:hAnchor="text" w:x="-424" w:y="1"/>
                    <w:tabs>
                      <w:tab w:val="left" w:pos="1855"/>
                    </w:tabs>
                    <w:spacing w:before="0" w:after="0"/>
                    <w:ind w:right="209"/>
                    <w:suppressOverlap/>
                    <w:jc w:val="left"/>
                    <w:rPr>
                      <w:noProof/>
                      <w:lang w:val="en-GB"/>
                    </w:rPr>
                  </w:pPr>
                  <w:r>
                    <w:rPr>
                      <w:noProof/>
                      <w:lang w:val="en-GB"/>
                    </w:rPr>
                    <w:t>Data not collected</w:t>
                  </w:r>
                </w:p>
              </w:tc>
            </w:tr>
            <w:tr>
              <w:trPr>
                <w:trHeight w:val="695"/>
              </w:trPr>
              <w:tc>
                <w:tcPr>
                  <w:tcW w:w="0" w:type="auto"/>
                  <w:vMerge/>
                  <w:shd w:val="clear" w:color="auto" w:fill="auto"/>
                </w:tcPr>
                <w:p>
                  <w:pPr>
                    <w:pStyle w:val="Yo5TextNotesbeforeafter"/>
                    <w:framePr w:hSpace="181" w:wrap="around" w:vAnchor="text" w:hAnchor="text" w:x="-424" w:y="1"/>
                    <w:spacing w:before="0" w:after="0"/>
                    <w:suppressOverlap/>
                    <w:jc w:val="left"/>
                    <w:rPr>
                      <w:noProof/>
                      <w:lang w:val="en-GB"/>
                    </w:rPr>
                  </w:pPr>
                </w:p>
              </w:tc>
              <w:tc>
                <w:tcPr>
                  <w:tcW w:w="0" w:type="auto"/>
                </w:tcPr>
                <w:p>
                  <w:pPr>
                    <w:pStyle w:val="Yo5TextNotesbeforeafter"/>
                    <w:framePr w:hSpace="181" w:wrap="around" w:vAnchor="text" w:hAnchor="text" w:x="-424" w:y="1"/>
                    <w:spacing w:before="0" w:after="0"/>
                    <w:suppressOverlap/>
                    <w:jc w:val="left"/>
                    <w:rPr>
                      <w:noProof/>
                      <w:lang w:val="en-GB"/>
                    </w:rPr>
                  </w:pPr>
                </w:p>
              </w:tc>
              <w:tc>
                <w:tcPr>
                  <w:tcW w:w="1832" w:type="dxa"/>
                </w:tcPr>
                <w:p>
                  <w:pPr>
                    <w:pStyle w:val="Yo5TextNotesbeforeafter"/>
                    <w:framePr w:hSpace="181" w:wrap="around" w:vAnchor="text" w:hAnchor="text" w:x="-424" w:y="1"/>
                    <w:tabs>
                      <w:tab w:val="left" w:pos="1855"/>
                    </w:tabs>
                    <w:spacing w:before="0" w:after="0"/>
                    <w:ind w:right="881"/>
                    <w:suppressOverlap/>
                    <w:jc w:val="left"/>
                    <w:rPr>
                      <w:noProof/>
                      <w:lang w:val="en-GB"/>
                    </w:rPr>
                  </w:pPr>
                </w:p>
              </w:tc>
            </w:tr>
          </w:tbl>
          <w:p>
            <w:pPr>
              <w:pStyle w:val="Yo5TextNotesbeforeafter"/>
              <w:spacing w:after="0"/>
              <w:rPr>
                <w:noProof/>
              </w:rPr>
            </w:pPr>
          </w:p>
        </w:tc>
      </w:tr>
    </w:tbl>
    <w:p>
      <w:pPr>
        <w:pStyle w:val="Yo5TextNotesbeforeafter"/>
        <w:spacing w:before="120"/>
        <w:rPr>
          <w:noProof/>
          <w:lang w:val="en-GB"/>
        </w:rPr>
      </w:pPr>
      <w:r>
        <w:rPr>
          <w:i/>
          <w:noProof/>
          <w:szCs w:val="14"/>
          <w:lang w:val="en-GB"/>
        </w:rPr>
        <w:t xml:space="preserve">Notes: </w:t>
      </w:r>
      <w:r>
        <w:rPr>
          <w:noProof/>
          <w:szCs w:val="14"/>
          <w:lang w:val="en-GB"/>
        </w:rPr>
        <w:t>For data on educational attainment based on the EU Labour Force Survey (EU-LFS), the International Standard Classification of Education 2011 (ISCED 2011) is applied as from 2014. Up to 2013, ISCED 1997 is used. Nevertheless, data are comparable over time for all available countries except Austria due to the reclassification of higher technical and vocational colleges.</w:t>
      </w:r>
      <w:r>
        <w:rPr>
          <w:rFonts w:cs="Times New Roman"/>
          <w:noProof/>
          <w:snapToGrid/>
          <w:szCs w:val="14"/>
          <w:lang w:val="en-GB"/>
        </w:rPr>
        <w:t xml:space="preserve"> </w:t>
      </w:r>
      <w:r>
        <w:rPr>
          <w:noProof/>
          <w:szCs w:val="14"/>
          <w:lang w:val="en-GB"/>
        </w:rPr>
        <w:t>Data for Croatia for 2016 have low reliability.</w:t>
      </w:r>
      <w:r>
        <w:rPr>
          <w:rFonts w:cs="Times New Roman"/>
          <w:noProof/>
          <w:snapToGrid/>
          <w:szCs w:val="14"/>
          <w:lang w:val="en-GB"/>
        </w:rPr>
        <w:t xml:space="preserve"> A </w:t>
      </w:r>
      <w:r>
        <w:rPr>
          <w:noProof/>
          <w:szCs w:val="14"/>
          <w:lang w:val="en-GB"/>
        </w:rPr>
        <w:t>break in the time series for Denmark occurred in 2016.</w:t>
      </w:r>
    </w:p>
    <w:p>
      <w:pPr>
        <w:pStyle w:val="Yo5TextNotesbeforeafter"/>
        <w:rPr>
          <w:noProof/>
          <w:lang w:val="en-GB"/>
        </w:rPr>
      </w:pPr>
      <w:r>
        <w:rPr>
          <w:i/>
          <w:noProof/>
          <w:lang w:val="en-GB"/>
        </w:rPr>
        <w:t>Source:</w:t>
      </w:r>
      <w:r>
        <w:rPr>
          <w:noProof/>
          <w:lang w:val="en-GB"/>
        </w:rPr>
        <w:t xml:space="preserve"> O</w:t>
      </w:r>
      <w:r>
        <w:rPr>
          <w:noProof/>
          <w:szCs w:val="14"/>
          <w:lang w:val="en-GB"/>
        </w:rPr>
        <w:t>wn calculation based on</w:t>
      </w:r>
      <w:r>
        <w:rPr>
          <w:noProof/>
          <w:lang w:val="en-GB"/>
        </w:rPr>
        <w:t xml:space="preserve"> Eurostat LFS [edat_lfse_14].</w:t>
      </w:r>
    </w:p>
    <w:p>
      <w:pPr>
        <w:pStyle w:val="Yo1Textpara"/>
        <w:rPr>
          <w:noProof/>
          <w:szCs w:val="22"/>
        </w:rPr>
      </w:pPr>
      <w:r>
        <w:rPr>
          <w:noProof/>
          <w:szCs w:val="22"/>
        </w:rPr>
        <w:t>Young people who have left school prematurely can be helped to re-enter education and subsequently to gain higher qualifications through second chance education (</w:t>
      </w:r>
      <w:r>
        <w:rPr>
          <w:rStyle w:val="FootnoteReference"/>
          <w:noProof/>
          <w:szCs w:val="22"/>
        </w:rPr>
        <w:footnoteReference w:id="16"/>
      </w:r>
      <w:r>
        <w:rPr>
          <w:noProof/>
          <w:szCs w:val="22"/>
        </w:rPr>
        <w:t>) which combines learning with social and emotional support, or through the validation of learning outcomes achieved by means of non-formal and informal learning (</w:t>
      </w:r>
      <w:r>
        <w:rPr>
          <w:rStyle w:val="FootnoteReference"/>
          <w:noProof/>
          <w:szCs w:val="22"/>
        </w:rPr>
        <w:footnoteReference w:id="17"/>
      </w:r>
      <w:r>
        <w:rPr>
          <w:noProof/>
          <w:szCs w:val="22"/>
        </w:rPr>
        <w:t xml:space="preserve">). </w:t>
      </w:r>
    </w:p>
    <w:p>
      <w:pPr>
        <w:pStyle w:val="Yo0H3"/>
        <w:spacing w:before="120"/>
        <w:rPr>
          <w:noProof/>
          <w:lang w:val="en-GB"/>
        </w:rPr>
      </w:pPr>
      <w:r>
        <w:rPr>
          <w:noProof/>
          <w:lang w:val="en-GB"/>
        </w:rPr>
        <w:t>2</w:t>
      </w:r>
      <w:r>
        <w:rPr>
          <w:noProof/>
        </w:rPr>
        <w:t>.2.2.</w:t>
      </w:r>
      <w:r>
        <w:rPr>
          <w:noProof/>
        </w:rPr>
        <w:tab/>
      </w:r>
      <w:r>
        <w:rPr>
          <w:noProof/>
          <w:lang w:val="en-GB"/>
        </w:rPr>
        <w:t>Achievement of young people: key competences</w:t>
      </w:r>
    </w:p>
    <w:p>
      <w:pPr>
        <w:pStyle w:val="Yo1Textpara"/>
        <w:rPr>
          <w:noProof/>
          <w:szCs w:val="22"/>
          <w:lang w:val="x-none"/>
        </w:rPr>
      </w:pPr>
      <w:r>
        <w:rPr>
          <w:noProof/>
          <w:szCs w:val="22"/>
        </w:rPr>
        <w:t>During the years spent in formal education, young people are expected to acquire the key competences that are essential if they are to achieve their full potential and be successful in their personal and social lives as well as in their career (</w:t>
      </w:r>
      <w:r>
        <w:rPr>
          <w:rStyle w:val="FootnoteReference"/>
          <w:noProof/>
          <w:szCs w:val="22"/>
        </w:rPr>
        <w:footnoteReference w:id="18"/>
      </w:r>
      <w:r>
        <w:rPr>
          <w:noProof/>
          <w:szCs w:val="22"/>
        </w:rPr>
        <w:t xml:space="preserve">). </w:t>
      </w:r>
      <w:r>
        <w:rPr>
          <w:noProof/>
          <w:color w:val="000000"/>
          <w:sz w:val="23"/>
          <w:szCs w:val="23"/>
          <w:lang w:eastAsia="en-GB"/>
        </w:rPr>
        <w:t xml:space="preserve">Amongst these key competences, literacy, mathematics, science and </w:t>
      </w:r>
      <w:r>
        <w:rPr>
          <w:noProof/>
          <w:szCs w:val="22"/>
        </w:rPr>
        <w:t xml:space="preserve">foreign languages also figure as EU youth indicators. </w:t>
      </w:r>
    </w:p>
    <w:tbl>
      <w:tblPr>
        <w:tblpPr w:leftFromText="180" w:rightFromText="180" w:vertAnchor="text" w:horzAnchor="margin" w:tblpXSpec="right" w:tblpY="261"/>
        <w:tblOverlap w:val="never"/>
        <w:tblW w:w="0" w:type="auto"/>
        <w:shd w:val="clear" w:color="auto" w:fill="C6D9F1"/>
        <w:tblLook w:val="04A0" w:firstRow="1" w:lastRow="0" w:firstColumn="1" w:lastColumn="0" w:noHBand="0" w:noVBand="1"/>
      </w:tblPr>
      <w:tblGrid>
        <w:gridCol w:w="3259"/>
      </w:tblGrid>
      <w:tr>
        <w:trPr>
          <w:trHeight w:val="993"/>
        </w:trPr>
        <w:tc>
          <w:tcPr>
            <w:tcW w:w="3259" w:type="dxa"/>
            <w:shd w:val="clear" w:color="auto" w:fill="FFA3A4"/>
          </w:tcPr>
          <w:p>
            <w:pPr>
              <w:pStyle w:val="Yo12Encart"/>
              <w:framePr w:hSpace="0" w:wrap="auto" w:vAnchor="margin" w:hAnchor="text" w:xAlign="left" w:yAlign="inline"/>
              <w:suppressOverlap w:val="0"/>
              <w:rPr>
                <w:noProof/>
                <w:sz w:val="22"/>
                <w:szCs w:val="22"/>
              </w:rPr>
            </w:pPr>
            <w:r>
              <w:rPr>
                <w:noProof/>
                <w:sz w:val="22"/>
                <w:szCs w:val="22"/>
              </w:rPr>
              <w:t>Further effort to reduce the rate of under achievement in reading, mathematics and science is still needed.</w:t>
            </w:r>
          </w:p>
        </w:tc>
      </w:tr>
    </w:tbl>
    <w:p>
      <w:pPr>
        <w:pStyle w:val="Yo1Textpara"/>
        <w:rPr>
          <w:noProof/>
          <w:szCs w:val="22"/>
        </w:rPr>
      </w:pPr>
      <w:r>
        <w:rPr>
          <w:noProof/>
          <w:szCs w:val="22"/>
        </w:rPr>
        <w:t xml:space="preserve">In 2015, on average, about one in five young people aged 15 demonstrated low levels of proficiency in literacy, numeracy and science (Figure 2-G). </w:t>
      </w:r>
    </w:p>
    <w:p>
      <w:pPr>
        <w:pStyle w:val="Yo5TitleFigure"/>
        <w:jc w:val="both"/>
      </w:pPr>
      <w:r>
        <w:rPr>
          <w:b/>
        </w:rPr>
        <w:t>Figure 2-G:</w:t>
      </w:r>
      <w:r>
        <w:t xml:space="preserve"> Low-achieving 15 year-old students in reading, mathematics and science, by country, 2009-2015</w:t>
      </w:r>
    </w:p>
    <w:tbl>
      <w:tblPr>
        <w:tblpPr w:leftFromText="181" w:rightFromText="181" w:vertAnchor="text" w:tblpX="-42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9964"/>
      </w:tblGrid>
      <w:tr>
        <w:trPr>
          <w:trHeight w:val="520"/>
        </w:trPr>
        <w:tc>
          <w:tcPr>
            <w:tcW w:w="492" w:type="dxa"/>
            <w:shd w:val="clear" w:color="auto" w:fill="FB5F5F"/>
            <w:textDirection w:val="btLr"/>
            <w:vAlign w:val="bottom"/>
          </w:tcPr>
          <w:p>
            <w:pPr>
              <w:pStyle w:val="Yo13YouthIndicator"/>
              <w:jc w:val="center"/>
              <w:rPr>
                <w:noProof/>
                <w:lang w:eastAsia="fr-BE"/>
              </w:rPr>
            </w:pPr>
            <w:r>
              <w:rPr>
                <w:noProof/>
              </w:rPr>
              <w:t>EU youth indicator</w:t>
            </w:r>
          </w:p>
        </w:tc>
        <w:tc>
          <w:tcPr>
            <w:tcW w:w="9964" w:type="dxa"/>
            <w:shd w:val="clear" w:color="auto" w:fill="auto"/>
          </w:tcPr>
          <w:p>
            <w:pPr>
              <w:pStyle w:val="Yo5TextNotesbeforeafter"/>
              <w:rPr>
                <w:noProof/>
              </w:rPr>
            </w:pPr>
          </w:p>
          <w:tbl>
            <w:tblPr>
              <w:tblW w:w="9822" w:type="dxa"/>
              <w:tblLayout w:type="fixed"/>
              <w:tblLook w:val="04A0" w:firstRow="1" w:lastRow="0" w:firstColumn="1" w:lastColumn="0" w:noHBand="0" w:noVBand="1"/>
            </w:tblPr>
            <w:tblGrid>
              <w:gridCol w:w="3274"/>
              <w:gridCol w:w="3274"/>
              <w:gridCol w:w="3274"/>
            </w:tblGrid>
            <w:tr>
              <w:tc>
                <w:tcPr>
                  <w:tcW w:w="3274" w:type="dxa"/>
                  <w:shd w:val="clear" w:color="auto" w:fill="auto"/>
                  <w:vAlign w:val="bottom"/>
                </w:tcPr>
                <w:p>
                  <w:pPr>
                    <w:pStyle w:val="Yo5TextNotesbeforeafter"/>
                    <w:framePr w:hSpace="181" w:wrap="around" w:vAnchor="text" w:hAnchor="text" w:x="-424" w:y="1"/>
                    <w:spacing w:before="100" w:beforeAutospacing="1" w:after="0"/>
                    <w:suppressOverlap/>
                    <w:jc w:val="left"/>
                    <w:rPr>
                      <w:noProof/>
                      <w:lang w:eastAsia="en-GB"/>
                    </w:rPr>
                  </w:pPr>
                  <w:r>
                    <w:rPr>
                      <w:noProof/>
                      <w:lang w:eastAsia="en-GB"/>
                    </w:rPr>
                    <w:t xml:space="preserve">%    </w:t>
                  </w:r>
                  <w:r>
                    <w:rPr>
                      <w:noProof/>
                      <w:sz w:val="16"/>
                      <w:lang w:eastAsia="en-GB"/>
                    </w:rPr>
                    <w:t xml:space="preserve">                                                                                                                                     </w:t>
                  </w:r>
                </w:p>
              </w:tc>
              <w:tc>
                <w:tcPr>
                  <w:tcW w:w="3274" w:type="dxa"/>
                  <w:shd w:val="clear" w:color="auto" w:fill="auto"/>
                  <w:vAlign w:val="bottom"/>
                </w:tcPr>
                <w:p>
                  <w:pPr>
                    <w:pStyle w:val="Yo5TextNotesbeforeafter"/>
                    <w:framePr w:hSpace="181" w:wrap="around" w:vAnchor="text" w:hAnchor="text" w:x="-424" w:y="1"/>
                    <w:spacing w:before="100" w:beforeAutospacing="1" w:after="0"/>
                    <w:suppressOverlap/>
                    <w:jc w:val="center"/>
                    <w:rPr>
                      <w:noProof/>
                      <w:lang w:eastAsia="en-GB"/>
                    </w:rPr>
                  </w:pPr>
                  <w:r>
                    <w:rPr>
                      <w:noProof/>
                      <w:sz w:val="16"/>
                      <w:lang w:eastAsia="en-GB"/>
                    </w:rPr>
                    <w:t>Reading</w:t>
                  </w:r>
                </w:p>
              </w:tc>
              <w:tc>
                <w:tcPr>
                  <w:tcW w:w="3274" w:type="dxa"/>
                  <w:shd w:val="clear" w:color="auto" w:fill="auto"/>
                  <w:vAlign w:val="bottom"/>
                </w:tcPr>
                <w:p>
                  <w:pPr>
                    <w:pStyle w:val="Yo5TextNotesbeforeafter"/>
                    <w:framePr w:hSpace="181" w:wrap="around" w:vAnchor="text" w:hAnchor="text" w:x="-424" w:y="1"/>
                    <w:spacing w:before="100" w:beforeAutospacing="1" w:after="0"/>
                    <w:suppressOverlap/>
                    <w:jc w:val="right"/>
                    <w:rPr>
                      <w:noProof/>
                      <w:lang w:eastAsia="en-GB"/>
                    </w:rPr>
                  </w:pPr>
                  <w:r>
                    <w:rPr>
                      <w:noProof/>
                      <w:lang w:eastAsia="en-GB"/>
                    </w:rPr>
                    <w:t>%</w:t>
                  </w:r>
                </w:p>
              </w:tc>
            </w:tr>
            <w:tr>
              <w:tc>
                <w:tcPr>
                  <w:tcW w:w="9822" w:type="dxa"/>
                  <w:gridSpan w:val="3"/>
                  <w:shd w:val="clear" w:color="auto" w:fill="auto"/>
                </w:tcPr>
                <w:p>
                  <w:pPr>
                    <w:pStyle w:val="Yo5TextNotesbeforeafter"/>
                    <w:framePr w:hSpace="181" w:wrap="around" w:vAnchor="text" w:hAnchor="text" w:x="-424" w:y="1"/>
                    <w:spacing w:before="100" w:beforeAutospacing="1" w:line="360" w:lineRule="auto"/>
                    <w:suppressOverlap/>
                    <w:rPr>
                      <w:noProof/>
                      <w:lang w:eastAsia="en-GB"/>
                    </w:rPr>
                  </w:pPr>
                  <w:r>
                    <w:rPr>
                      <w:noProof/>
                      <w:snapToGrid/>
                      <w:lang w:val="en-US"/>
                    </w:rPr>
                    <w:drawing>
                      <wp:inline distT="0" distB="0" distL="0" distR="0">
                        <wp:extent cx="6093460" cy="2094865"/>
                        <wp:effectExtent l="0" t="0" r="2540" b="635"/>
                        <wp:docPr id="286" name="Picture 286" descr="\\s-eacea-fs03-p\EACEA.A7\Youth\04_Reports\a_EU_Youth_Reports\2018\03_graph\2_G_Low_achievers_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eacea-fs03-p\EACEA.A7\Youth\04_Reports\a_EU_Youth_Reports\2018\03_graph\2_G_Low_achievers_reading.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6093460" cy="2094865"/>
                                </a:xfrm>
                                <a:prstGeom prst="rect">
                                  <a:avLst/>
                                </a:prstGeom>
                                <a:noFill/>
                                <a:ln>
                                  <a:noFill/>
                                </a:ln>
                              </pic:spPr>
                            </pic:pic>
                          </a:graphicData>
                        </a:graphic>
                      </wp:inline>
                    </w:drawing>
                  </w:r>
                </w:p>
              </w:tc>
            </w:tr>
            <w:tr>
              <w:tc>
                <w:tcPr>
                  <w:tcW w:w="3274" w:type="dxa"/>
                  <w:shd w:val="clear" w:color="auto" w:fill="auto"/>
                  <w:vAlign w:val="bottom"/>
                </w:tcPr>
                <w:p>
                  <w:pPr>
                    <w:pStyle w:val="Yo5TextNotesbeforeafter"/>
                    <w:framePr w:hSpace="181" w:wrap="around" w:vAnchor="text" w:hAnchor="text" w:x="-424" w:y="1"/>
                    <w:spacing w:before="100" w:beforeAutospacing="1" w:after="0"/>
                    <w:suppressOverlap/>
                    <w:jc w:val="left"/>
                    <w:rPr>
                      <w:noProof/>
                      <w:lang w:eastAsia="en-GB"/>
                    </w:rPr>
                  </w:pPr>
                  <w:r>
                    <w:rPr>
                      <w:noProof/>
                      <w:lang w:eastAsia="en-GB"/>
                    </w:rPr>
                    <w:t xml:space="preserve">%    </w:t>
                  </w:r>
                  <w:r>
                    <w:rPr>
                      <w:noProof/>
                      <w:sz w:val="16"/>
                      <w:lang w:eastAsia="en-GB"/>
                    </w:rPr>
                    <w:t xml:space="preserve">                                                                                                                                </w:t>
                  </w:r>
                </w:p>
              </w:tc>
              <w:tc>
                <w:tcPr>
                  <w:tcW w:w="3274" w:type="dxa"/>
                  <w:shd w:val="clear" w:color="auto" w:fill="auto"/>
                  <w:vAlign w:val="bottom"/>
                </w:tcPr>
                <w:p>
                  <w:pPr>
                    <w:pStyle w:val="Yo5TextNotesbeforeafter"/>
                    <w:framePr w:hSpace="181" w:wrap="around" w:vAnchor="text" w:hAnchor="text" w:x="-424" w:y="1"/>
                    <w:spacing w:before="100" w:beforeAutospacing="1" w:after="0"/>
                    <w:suppressOverlap/>
                    <w:jc w:val="center"/>
                    <w:rPr>
                      <w:noProof/>
                      <w:lang w:eastAsia="en-GB"/>
                    </w:rPr>
                  </w:pPr>
                  <w:r>
                    <w:rPr>
                      <w:noProof/>
                      <w:sz w:val="16"/>
                      <w:lang w:eastAsia="en-GB"/>
                    </w:rPr>
                    <w:t>Mathematics</w:t>
                  </w:r>
                </w:p>
              </w:tc>
              <w:tc>
                <w:tcPr>
                  <w:tcW w:w="3274" w:type="dxa"/>
                  <w:shd w:val="clear" w:color="auto" w:fill="auto"/>
                  <w:vAlign w:val="bottom"/>
                </w:tcPr>
                <w:p>
                  <w:pPr>
                    <w:pStyle w:val="Yo5TextNotesbeforeafter"/>
                    <w:framePr w:hSpace="181" w:wrap="around" w:vAnchor="text" w:hAnchor="text" w:x="-424" w:y="1"/>
                    <w:spacing w:before="100" w:beforeAutospacing="1" w:after="0"/>
                    <w:suppressOverlap/>
                    <w:jc w:val="right"/>
                    <w:rPr>
                      <w:noProof/>
                      <w:lang w:eastAsia="en-GB"/>
                    </w:rPr>
                  </w:pPr>
                  <w:r>
                    <w:rPr>
                      <w:noProof/>
                      <w:lang w:eastAsia="en-GB"/>
                    </w:rPr>
                    <w:t>%</w:t>
                  </w:r>
                </w:p>
              </w:tc>
            </w:tr>
            <w:tr>
              <w:tc>
                <w:tcPr>
                  <w:tcW w:w="9822" w:type="dxa"/>
                  <w:gridSpan w:val="3"/>
                  <w:shd w:val="clear" w:color="auto" w:fill="auto"/>
                </w:tcPr>
                <w:p>
                  <w:pPr>
                    <w:pStyle w:val="Yo5TextNotesbeforeafter"/>
                    <w:framePr w:hSpace="181" w:wrap="around" w:vAnchor="text" w:hAnchor="text" w:x="-424" w:y="1"/>
                    <w:spacing w:before="100" w:beforeAutospacing="1" w:line="360" w:lineRule="auto"/>
                    <w:suppressOverlap/>
                    <w:rPr>
                      <w:noProof/>
                      <w:lang w:eastAsia="en-GB"/>
                    </w:rPr>
                  </w:pPr>
                  <w:r>
                    <w:rPr>
                      <w:noProof/>
                      <w:snapToGrid/>
                      <w:lang w:val="en-US"/>
                    </w:rPr>
                    <w:drawing>
                      <wp:inline distT="0" distB="0" distL="0" distR="0">
                        <wp:extent cx="6087110" cy="2108835"/>
                        <wp:effectExtent l="0" t="0" r="8890" b="5715"/>
                        <wp:docPr id="287" name="Picture 287" descr="\\s-eacea-fs03-p\EACEA.A7\Youth\04_Reports\a_EU_Youth_Reports\2018\03_graph\2_G_Low_achievers_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s-eacea-fs03-p\EACEA.A7\Youth\04_Reports\a_EU_Youth_Reports\2018\03_graph\2_G_Low_achievers_math.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6087110" cy="2108835"/>
                                </a:xfrm>
                                <a:prstGeom prst="rect">
                                  <a:avLst/>
                                </a:prstGeom>
                                <a:noFill/>
                                <a:ln>
                                  <a:noFill/>
                                </a:ln>
                              </pic:spPr>
                            </pic:pic>
                          </a:graphicData>
                        </a:graphic>
                      </wp:inline>
                    </w:drawing>
                  </w:r>
                </w:p>
              </w:tc>
            </w:tr>
            <w:tr>
              <w:tc>
                <w:tcPr>
                  <w:tcW w:w="3274" w:type="dxa"/>
                  <w:shd w:val="clear" w:color="auto" w:fill="auto"/>
                  <w:vAlign w:val="bottom"/>
                </w:tcPr>
                <w:p>
                  <w:pPr>
                    <w:pStyle w:val="Yo5TextNotesbeforeafter"/>
                    <w:framePr w:hSpace="181" w:wrap="around" w:vAnchor="text" w:hAnchor="text" w:x="-424" w:y="1"/>
                    <w:spacing w:before="100" w:beforeAutospacing="1" w:after="0"/>
                    <w:suppressOverlap/>
                    <w:jc w:val="left"/>
                    <w:rPr>
                      <w:noProof/>
                      <w:lang w:eastAsia="en-GB"/>
                    </w:rPr>
                  </w:pPr>
                  <w:r>
                    <w:rPr>
                      <w:noProof/>
                      <w:lang w:eastAsia="en-GB"/>
                    </w:rPr>
                    <w:t xml:space="preserve">%    </w:t>
                  </w:r>
                  <w:r>
                    <w:rPr>
                      <w:noProof/>
                      <w:sz w:val="16"/>
                      <w:lang w:eastAsia="en-GB"/>
                    </w:rPr>
                    <w:t xml:space="preserve">                                                                                                                                                      </w:t>
                  </w:r>
                </w:p>
              </w:tc>
              <w:tc>
                <w:tcPr>
                  <w:tcW w:w="3274" w:type="dxa"/>
                  <w:shd w:val="clear" w:color="auto" w:fill="auto"/>
                  <w:vAlign w:val="bottom"/>
                </w:tcPr>
                <w:p>
                  <w:pPr>
                    <w:pStyle w:val="Yo5TextNotesbeforeafter"/>
                    <w:framePr w:hSpace="181" w:wrap="around" w:vAnchor="text" w:hAnchor="text" w:x="-424" w:y="1"/>
                    <w:spacing w:before="100" w:beforeAutospacing="1" w:after="0"/>
                    <w:suppressOverlap/>
                    <w:jc w:val="center"/>
                    <w:rPr>
                      <w:noProof/>
                      <w:lang w:eastAsia="en-GB"/>
                    </w:rPr>
                  </w:pPr>
                  <w:r>
                    <w:rPr>
                      <w:noProof/>
                      <w:sz w:val="16"/>
                      <w:lang w:eastAsia="en-GB"/>
                    </w:rPr>
                    <w:t>Science</w:t>
                  </w:r>
                </w:p>
              </w:tc>
              <w:tc>
                <w:tcPr>
                  <w:tcW w:w="3274" w:type="dxa"/>
                  <w:shd w:val="clear" w:color="auto" w:fill="auto"/>
                  <w:vAlign w:val="bottom"/>
                </w:tcPr>
                <w:p>
                  <w:pPr>
                    <w:pStyle w:val="Yo5TextNotesbeforeafter"/>
                    <w:framePr w:hSpace="181" w:wrap="around" w:vAnchor="text" w:hAnchor="text" w:x="-424" w:y="1"/>
                    <w:spacing w:before="100" w:beforeAutospacing="1" w:after="0"/>
                    <w:suppressOverlap/>
                    <w:jc w:val="left"/>
                    <w:rPr>
                      <w:noProof/>
                      <w:lang w:eastAsia="en-GB"/>
                    </w:rPr>
                  </w:pPr>
                  <w:r>
                    <w:rPr>
                      <w:noProof/>
                      <w:lang w:eastAsia="en-GB"/>
                    </w:rPr>
                    <w:t>%</w:t>
                  </w:r>
                </w:p>
              </w:tc>
            </w:tr>
            <w:tr>
              <w:tc>
                <w:tcPr>
                  <w:tcW w:w="9822" w:type="dxa"/>
                  <w:gridSpan w:val="3"/>
                  <w:shd w:val="clear" w:color="auto" w:fill="auto"/>
                </w:tcPr>
                <w:p>
                  <w:pPr>
                    <w:pStyle w:val="Yo5TextNotesbeforeafter"/>
                    <w:framePr w:hSpace="181" w:wrap="around" w:vAnchor="text" w:hAnchor="text" w:x="-424" w:y="1"/>
                    <w:spacing w:before="100" w:beforeAutospacing="1" w:line="360" w:lineRule="auto"/>
                    <w:suppressOverlap/>
                    <w:rPr>
                      <w:noProof/>
                      <w:lang w:eastAsia="en-GB"/>
                    </w:rPr>
                  </w:pPr>
                  <w:r>
                    <w:rPr>
                      <w:noProof/>
                      <w:snapToGrid/>
                      <w:lang w:val="en-US"/>
                    </w:rPr>
                    <w:drawing>
                      <wp:inline distT="0" distB="0" distL="0" distR="0">
                        <wp:extent cx="6087110" cy="2108835"/>
                        <wp:effectExtent l="0" t="0" r="8890" b="5715"/>
                        <wp:docPr id="288" name="Picture 288" descr="\\s-eacea-fs03-p\EACEA.A7\Youth\04_Reports\a_EU_Youth_Reports\2018\03_graph\2_G_Low_achievers_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s-eacea-fs03-p\EACEA.A7\Youth\04_Reports\a_EU_Youth_Reports\2018\03_graph\2_G_Low_achievers_science.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6087110" cy="2108835"/>
                                </a:xfrm>
                                <a:prstGeom prst="rect">
                                  <a:avLst/>
                                </a:prstGeom>
                                <a:noFill/>
                                <a:ln>
                                  <a:noFill/>
                                </a:ln>
                              </pic:spPr>
                            </pic:pic>
                          </a:graphicData>
                        </a:graphic>
                      </wp:inline>
                    </w:drawing>
                  </w:r>
                </w:p>
              </w:tc>
            </w:tr>
          </w:tbl>
          <w:p>
            <w:pPr>
              <w:pStyle w:val="Yo5TextNotesbeforeafter"/>
              <w:rPr>
                <w:noProof/>
              </w:rPr>
            </w:pPr>
          </w:p>
        </w:tc>
      </w:tr>
    </w:tbl>
    <w:p>
      <w:pPr>
        <w:pStyle w:val="Yo5TextNotesbeforeafter"/>
        <w:rPr>
          <w:noProof/>
          <w:lang w:val="en-GB"/>
        </w:rPr>
      </w:pPr>
      <w:r>
        <w:rPr>
          <w:i/>
          <w:noProof/>
          <w:lang w:val="en-GB"/>
        </w:rPr>
        <w:t>Notes:</w:t>
      </w:r>
      <w:r>
        <w:rPr>
          <w:noProof/>
          <w:lang w:val="en-GB"/>
        </w:rPr>
        <w:t xml:space="preserve"> For Malta, the change between PISA 2009 and PISA 2015 represents an effective change from 2010 because it only implemented the PISA 2009 assessment in 2010 as part of PISA 2009+. </w:t>
      </w:r>
    </w:p>
    <w:p>
      <w:pPr>
        <w:pStyle w:val="Yo5TextNotesbeforeafter"/>
        <w:rPr>
          <w:noProof/>
          <w:lang w:val="en-GB"/>
        </w:rPr>
      </w:pPr>
      <w:r>
        <w:rPr>
          <w:i/>
          <w:noProof/>
          <w:lang w:val="en-GB"/>
        </w:rPr>
        <w:t>Source:</w:t>
      </w:r>
      <w:r>
        <w:rPr>
          <w:noProof/>
          <w:lang w:val="en-GB"/>
        </w:rPr>
        <w:t xml:space="preserve"> OECD, PISA.</w:t>
      </w:r>
    </w:p>
    <w:p>
      <w:pPr>
        <w:pStyle w:val="Yo5TextNotesbeforeafter"/>
        <w:rPr>
          <w:noProof/>
          <w:lang w:val="en-GB"/>
        </w:rPr>
      </w:pPr>
    </w:p>
    <w:p>
      <w:pPr>
        <w:pStyle w:val="Yo1Textpara"/>
        <w:rPr>
          <w:noProof/>
          <w:szCs w:val="22"/>
        </w:rPr>
      </w:pPr>
      <w:r>
        <w:rPr>
          <w:noProof/>
          <w:szCs w:val="22"/>
        </w:rPr>
        <w:t xml:space="preserve">The figures clearly indicate a similar pattern in pupil performance in all three skills: countries that show a certain level of performance in one of these basic skills tend to perform similarly in the others. Cross-country variations are noticeable. Bulgaria, Cyprus, Malta, Romania and Slovakia registered proportions of low achievers about twice as high as the EU average. Albania, the former Yugoslav Republic of Macedonia Montenegro and Turkey showed much higher percentages </w:t>
      </w:r>
      <w:r>
        <w:rPr>
          <w:noProof/>
          <w:szCs w:val="22"/>
        </w:rPr>
        <w:sym w:font="Symbol" w:char="F02D"/>
      </w:r>
      <w:r>
        <w:rPr>
          <w:noProof/>
          <w:szCs w:val="22"/>
        </w:rPr>
        <w:t xml:space="preserve"> between 40 % and 70 %. Conversely, Estonia and Finland reported the lowest proportions of students with low levels of proficiency in all three competences.</w:t>
      </w:r>
    </w:p>
    <w:p>
      <w:pPr>
        <w:pStyle w:val="Yo1Textpara"/>
        <w:spacing w:before="120"/>
        <w:rPr>
          <w:noProof/>
          <w:szCs w:val="22"/>
        </w:rPr>
      </w:pPr>
      <w:r>
        <w:rPr>
          <w:noProof/>
          <w:szCs w:val="22"/>
        </w:rPr>
        <w:t>Gender differences (not shown in Figure 2-H), while negligible for mathematics and science, are pronounced in reading proficiency: on average, 10 % more boys than girls revealed low achievement, and the gap is even wider in Bulgaria, Greece, Cyprus, Malta, Albania and the former Yugoslav Republic of Macedonia (</w:t>
      </w:r>
      <w:r>
        <w:rPr>
          <w:rStyle w:val="FootnoteReference"/>
          <w:noProof/>
          <w:szCs w:val="22"/>
        </w:rPr>
        <w:footnoteReference w:id="19"/>
      </w:r>
      <w:r>
        <w:rPr>
          <w:noProof/>
          <w:szCs w:val="22"/>
        </w:rPr>
        <w:t xml:space="preserve">). </w:t>
      </w:r>
    </w:p>
    <w:p>
      <w:pPr>
        <w:pStyle w:val="Yo1Textpara"/>
        <w:spacing w:before="120" w:line="288" w:lineRule="auto"/>
        <w:rPr>
          <w:noProof/>
          <w:szCs w:val="22"/>
        </w:rPr>
      </w:pPr>
      <w:r>
        <w:rPr>
          <w:noProof/>
          <w:szCs w:val="22"/>
        </w:rPr>
        <w:t>Further effort to reduce the rate of underachievement in literacy, numeracy and science is still needed. Europe still counts a worrying number of pupils with very low basic skills and progress towards achieving the target of reducing this proportion to below 15 % has been slow (</w:t>
      </w:r>
      <w:r>
        <w:rPr>
          <w:rStyle w:val="FootnoteReference"/>
          <w:noProof/>
          <w:szCs w:val="22"/>
          <w:lang w:eastAsia="x-none"/>
        </w:rPr>
        <w:footnoteReference w:id="20"/>
      </w:r>
      <w:r>
        <w:rPr>
          <w:noProof/>
          <w:szCs w:val="22"/>
        </w:rPr>
        <w:t xml:space="preserve">). Since 2009, the average proportions of low achievers have either stagnated – as in the case of reading and mathematics – or increased – as in science. In particular, Greece, Hungary, Slovakia, Iceland and Turkey have seen the proportion of pupils with poor performance in all three core competences surge upwards with percentage increases of between 6 and 15 points.  </w:t>
      </w:r>
    </w:p>
    <w:p>
      <w:pPr>
        <w:pStyle w:val="Yo1Textpara"/>
        <w:spacing w:before="120" w:line="288" w:lineRule="auto"/>
        <w:rPr>
          <w:noProof/>
          <w:szCs w:val="22"/>
        </w:rPr>
      </w:pPr>
      <w:r>
        <w:rPr>
          <w:noProof/>
          <w:szCs w:val="22"/>
        </w:rPr>
        <w:t xml:space="preserve">Knowledge of foreign languages is a significant advantage for young people. It enables them to discover and understand different cultures, and expand their educational and professional prospects by opening up opportunities to study and work abroad. </w:t>
      </w:r>
    </w:p>
    <w:p>
      <w:pPr>
        <w:pStyle w:val="Yo1Textpara"/>
        <w:spacing w:before="120" w:line="288" w:lineRule="auto"/>
        <w:rPr>
          <w:noProof/>
          <w:szCs w:val="22"/>
        </w:rPr>
      </w:pPr>
      <w:r>
        <w:rPr>
          <w:noProof/>
          <w:szCs w:val="22"/>
        </w:rPr>
        <w:t>One in two students enrolled in general secondary education learns two or more foreign languages in the European Union (Figure 2-H). In about one third of countries, the proportion is much higher, approaching or reaching 100 %. Conversely, Ireland, the United Kingdom and some southern European Member States show particularly low proportions of young people learning at least two foreign languages.</w:t>
      </w:r>
    </w:p>
    <w:p>
      <w:pPr>
        <w:pStyle w:val="Yo1Textpara"/>
        <w:rPr>
          <w:rFonts w:ascii="Verdana" w:eastAsia="Cambria" w:hAnsi="Verdana" w:cs="Calibri"/>
          <w:bCs/>
          <w:noProof/>
          <w:color w:val="7F7F7F"/>
          <w:w w:val="80"/>
          <w:szCs w:val="22"/>
          <w:lang w:eastAsia="en-US"/>
        </w:rPr>
      </w:pPr>
      <w:r>
        <w:rPr>
          <w:rFonts w:ascii="Verdana" w:eastAsia="Cambria" w:hAnsi="Verdana" w:cs="Calibri"/>
          <w:b/>
          <w:bCs/>
          <w:noProof/>
          <w:color w:val="7F7F7F"/>
          <w:w w:val="80"/>
          <w:szCs w:val="22"/>
          <w:lang w:eastAsia="en-US"/>
        </w:rPr>
        <w:t>Figure 2-H</w:t>
      </w:r>
      <w:r>
        <w:rPr>
          <w:rFonts w:ascii="Verdana" w:eastAsia="Cambria" w:hAnsi="Verdana" w:cs="Calibri"/>
          <w:bCs/>
          <w:noProof/>
          <w:color w:val="7F7F7F"/>
          <w:w w:val="80"/>
          <w:szCs w:val="22"/>
          <w:lang w:eastAsia="en-US"/>
        </w:rPr>
        <w:t xml:space="preserve">: Share of young people in upper general secondary education (ISCED 3gen) learning two or more foreign languages, by country, 2013 and 2015 </w:t>
      </w:r>
    </w:p>
    <w:tbl>
      <w:tblPr>
        <w:tblpPr w:leftFromText="181" w:rightFromText="181" w:vertAnchor="text" w:tblpX="-42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3160"/>
        <w:gridCol w:w="992"/>
        <w:gridCol w:w="1985"/>
        <w:gridCol w:w="3827"/>
      </w:tblGrid>
      <w:tr>
        <w:trPr>
          <w:trHeight w:val="520"/>
        </w:trPr>
        <w:tc>
          <w:tcPr>
            <w:tcW w:w="492"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9964" w:type="dxa"/>
            <w:gridSpan w:val="4"/>
            <w:tcBorders>
              <w:bottom w:val="nil"/>
            </w:tcBorders>
            <w:shd w:val="clear" w:color="auto" w:fill="auto"/>
          </w:tcPr>
          <w:p>
            <w:pPr>
              <w:pStyle w:val="Yo5TextNotesbefore"/>
              <w:tabs>
                <w:tab w:val="clear" w:pos="1985"/>
                <w:tab w:val="clear" w:pos="5103"/>
                <w:tab w:val="right" w:pos="9573"/>
              </w:tabs>
              <w:spacing w:before="60"/>
              <w:ind w:left="217"/>
              <w:rPr>
                <w:noProof/>
                <w:lang w:eastAsia="en-GB"/>
              </w:rPr>
            </w:pPr>
            <w:r>
              <w:rPr>
                <w:noProof/>
                <w:lang w:eastAsia="en-GB"/>
              </w:rPr>
              <w:t>%</w:t>
            </w:r>
            <w:r>
              <w:rPr>
                <w:noProof/>
                <w:lang w:eastAsia="en-GB"/>
              </w:rPr>
              <w:tab/>
              <w:t>%</w:t>
            </w:r>
          </w:p>
          <w:p>
            <w:pPr>
              <w:pStyle w:val="Yo5TextNotes"/>
              <w:jc w:val="center"/>
              <w:rPr>
                <w:noProof/>
              </w:rPr>
            </w:pPr>
            <w:r>
              <w:rPr>
                <w:noProof/>
                <w:snapToGrid/>
                <w:lang w:val="en-US"/>
              </w:rPr>
              <w:drawing>
                <wp:inline distT="0" distB="0" distL="0" distR="0">
                  <wp:extent cx="6182360" cy="2136140"/>
                  <wp:effectExtent l="0" t="0" r="8890" b="0"/>
                  <wp:docPr id="289" name="Picture 289" descr="\\s-eacea-fs03-p\EACEA.A7\Youth\04_Reports\a_EU_Youth_Reports\2018\03_graph\2_H_Langu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eacea-fs03-p\EACEA.A7\Youth\04_Reports\a_EU_Youth_Reports\2018\03_graph\2_H_Languages.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6182360" cy="2136140"/>
                          </a:xfrm>
                          <a:prstGeom prst="rect">
                            <a:avLst/>
                          </a:prstGeom>
                          <a:noFill/>
                          <a:ln>
                            <a:noFill/>
                          </a:ln>
                        </pic:spPr>
                      </pic:pic>
                    </a:graphicData>
                  </a:graphic>
                </wp:inline>
              </w:drawing>
            </w:r>
          </w:p>
        </w:tc>
      </w:tr>
      <w:tr>
        <w:trPr>
          <w:trHeight w:val="213"/>
        </w:trPr>
        <w:tc>
          <w:tcPr>
            <w:tcW w:w="492" w:type="dxa"/>
            <w:vMerge/>
            <w:tcBorders>
              <w:right w:val="single" w:sz="4" w:space="0" w:color="auto"/>
            </w:tcBorders>
            <w:shd w:val="clear" w:color="auto" w:fill="FB5F5F"/>
            <w:textDirection w:val="btLr"/>
            <w:vAlign w:val="bottom"/>
          </w:tcPr>
          <w:p>
            <w:pPr>
              <w:pStyle w:val="Yo13YouthIndicator"/>
              <w:rPr>
                <w:noProof/>
              </w:rPr>
            </w:pPr>
          </w:p>
        </w:tc>
        <w:tc>
          <w:tcPr>
            <w:tcW w:w="3160" w:type="dxa"/>
            <w:tcBorders>
              <w:top w:val="nil"/>
              <w:left w:val="single" w:sz="4" w:space="0" w:color="auto"/>
              <w:bottom w:val="single" w:sz="4" w:space="0" w:color="auto"/>
              <w:right w:val="nil"/>
            </w:tcBorders>
            <w:shd w:val="clear" w:color="auto" w:fill="auto"/>
          </w:tcPr>
          <w:p>
            <w:pPr>
              <w:pStyle w:val="Yo5TextNotesbefore"/>
              <w:tabs>
                <w:tab w:val="clear" w:pos="1985"/>
                <w:tab w:val="clear" w:pos="5103"/>
                <w:tab w:val="right" w:pos="9573"/>
              </w:tabs>
              <w:spacing w:before="0"/>
              <w:ind w:left="217"/>
              <w:jc w:val="right"/>
              <w:rPr>
                <w:noProof/>
                <w:lang w:eastAsia="en-GB"/>
              </w:rPr>
            </w:pPr>
            <w:r>
              <w:rPr>
                <w:noProof/>
                <w:snapToGrid/>
              </w:rPr>
              <w:drawing>
                <wp:inline distT="0" distB="0" distL="0" distR="0">
                  <wp:extent cx="111760" cy="111760"/>
                  <wp:effectExtent l="0" t="0" r="254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inline>
              </w:drawing>
            </w:r>
          </w:p>
        </w:tc>
        <w:tc>
          <w:tcPr>
            <w:tcW w:w="992" w:type="dxa"/>
            <w:tcBorders>
              <w:top w:val="nil"/>
              <w:left w:val="nil"/>
              <w:bottom w:val="single" w:sz="4" w:space="0" w:color="auto"/>
              <w:right w:val="nil"/>
            </w:tcBorders>
            <w:shd w:val="clear" w:color="auto" w:fill="auto"/>
          </w:tcPr>
          <w:p>
            <w:pPr>
              <w:pStyle w:val="Yo5TextNotesbefore"/>
              <w:tabs>
                <w:tab w:val="clear" w:pos="1985"/>
                <w:tab w:val="clear" w:pos="5103"/>
                <w:tab w:val="right" w:pos="9573"/>
              </w:tabs>
              <w:spacing w:before="0"/>
              <w:jc w:val="left"/>
              <w:rPr>
                <w:noProof/>
                <w:lang w:eastAsia="en-GB"/>
              </w:rPr>
            </w:pPr>
            <w:r>
              <w:rPr>
                <w:noProof/>
                <w:lang w:eastAsia="en-GB"/>
              </w:rPr>
              <w:t>2013</w:t>
            </w:r>
          </w:p>
        </w:tc>
        <w:tc>
          <w:tcPr>
            <w:tcW w:w="1985" w:type="dxa"/>
            <w:tcBorders>
              <w:top w:val="nil"/>
              <w:left w:val="nil"/>
              <w:bottom w:val="single" w:sz="4" w:space="0" w:color="auto"/>
              <w:right w:val="nil"/>
            </w:tcBorders>
            <w:shd w:val="clear" w:color="auto" w:fill="auto"/>
          </w:tcPr>
          <w:p>
            <w:pPr>
              <w:pStyle w:val="Yo5TextNotesbefore"/>
              <w:tabs>
                <w:tab w:val="clear" w:pos="1985"/>
                <w:tab w:val="clear" w:pos="5103"/>
                <w:tab w:val="right" w:pos="9573"/>
              </w:tabs>
              <w:spacing w:before="0"/>
              <w:ind w:left="217"/>
              <w:jc w:val="right"/>
              <w:rPr>
                <w:noProof/>
                <w:lang w:eastAsia="en-GB"/>
              </w:rPr>
            </w:pPr>
            <w:r>
              <w:rPr>
                <w:noProof/>
                <w:snapToGrid/>
              </w:rPr>
              <w:drawing>
                <wp:inline distT="0" distB="0" distL="0" distR="0">
                  <wp:extent cx="153670" cy="1460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pic:spPr>
                      </pic:pic>
                    </a:graphicData>
                  </a:graphic>
                </wp:inline>
              </w:drawing>
            </w:r>
          </w:p>
        </w:tc>
        <w:tc>
          <w:tcPr>
            <w:tcW w:w="3827" w:type="dxa"/>
            <w:tcBorders>
              <w:top w:val="nil"/>
              <w:left w:val="nil"/>
              <w:bottom w:val="single" w:sz="4" w:space="0" w:color="auto"/>
              <w:right w:val="single" w:sz="4" w:space="0" w:color="auto"/>
            </w:tcBorders>
            <w:shd w:val="clear" w:color="auto" w:fill="auto"/>
          </w:tcPr>
          <w:p>
            <w:pPr>
              <w:pStyle w:val="Yo5TextNotesbefore"/>
              <w:tabs>
                <w:tab w:val="clear" w:pos="1985"/>
                <w:tab w:val="clear" w:pos="5103"/>
                <w:tab w:val="right" w:pos="9573"/>
              </w:tabs>
              <w:spacing w:before="0"/>
              <w:ind w:left="-27"/>
              <w:jc w:val="left"/>
              <w:rPr>
                <w:noProof/>
                <w:lang w:eastAsia="en-GB"/>
              </w:rPr>
            </w:pPr>
            <w:r>
              <w:rPr>
                <w:noProof/>
                <w:lang w:eastAsia="en-GB"/>
              </w:rPr>
              <w:t>2015</w:t>
            </w:r>
          </w:p>
        </w:tc>
      </w:tr>
    </w:tbl>
    <w:p>
      <w:pPr>
        <w:pStyle w:val="Yo5TextNotesbeforeafter"/>
        <w:rPr>
          <w:noProof/>
          <w:lang w:val="en-GB"/>
        </w:rPr>
      </w:pPr>
      <w:r>
        <w:rPr>
          <w:i/>
          <w:noProof/>
          <w:lang w:val="en-GB"/>
        </w:rPr>
        <w:t xml:space="preserve">Notes: </w:t>
      </w:r>
      <w:r>
        <w:rPr>
          <w:noProof/>
          <w:lang w:val="en-GB"/>
        </w:rPr>
        <w:t>EU-28 totals are calculated on the basis of the countries for which data are available. Where possible the previous/following year data have been used to compute the EU aggregates.</w:t>
      </w:r>
    </w:p>
    <w:p>
      <w:pPr>
        <w:pStyle w:val="Yo5TextNotesbeforeafter"/>
        <w:rPr>
          <w:noProof/>
          <w:lang w:val="en-GB"/>
        </w:rPr>
      </w:pPr>
      <w:r>
        <w:rPr>
          <w:i/>
          <w:noProof/>
          <w:lang w:val="en-GB"/>
        </w:rPr>
        <w:t>Source</w:t>
      </w:r>
      <w:r>
        <w:rPr>
          <w:noProof/>
          <w:lang w:val="en-GB"/>
        </w:rPr>
        <w:t>: Eurostat UOE [educ_uoe_lang02].</w:t>
      </w:r>
    </w:p>
    <w:p>
      <w:pPr>
        <w:pStyle w:val="Yo1Textpara"/>
        <w:rPr>
          <w:noProof/>
        </w:rPr>
      </w:pPr>
      <w:r>
        <w:rPr>
          <w:noProof/>
          <w:szCs w:val="22"/>
        </w:rPr>
        <w:t>There has been a slightly positive trend across countries since 2013 in terms of the opportunity to learn more than one foreign language in upper secondary general education. A few countries have seen significant increases equal to or above six percentage points (Czech Republic, Ireland, Croatia and Austria). However, only a minority of the countries have introduced attainment level targets with the aim of ensuring that learners will reach the threshold of 'independent use' of the second foreign language</w:t>
      </w:r>
      <w:r>
        <w:rPr>
          <w:noProof/>
        </w:rPr>
        <w:t> (</w:t>
      </w:r>
      <w:r>
        <w:rPr>
          <w:rStyle w:val="FootnoteReference"/>
          <w:noProof/>
        </w:rPr>
        <w:footnoteReference w:id="21"/>
      </w:r>
      <w:r>
        <w:rPr>
          <w:noProof/>
        </w:rPr>
        <w:t>).</w:t>
      </w:r>
    </w:p>
    <w:p>
      <w:pPr>
        <w:pStyle w:val="Yo1Textpara"/>
        <w:rPr>
          <w:noProof/>
          <w:szCs w:val="22"/>
        </w:rPr>
      </w:pPr>
      <w:r>
        <w:rPr>
          <w:noProof/>
          <w:szCs w:val="22"/>
        </w:rPr>
        <w:t>The level of proficiency in foreign languages acquired by young Europeans is not being systematically measured across EU countries, although most countries require students to reach level B2 according to the Common European Framework of Reference for their first foreign language (mostly English) by the end of upper secondary education (</w:t>
      </w:r>
      <w:r>
        <w:rPr>
          <w:rStyle w:val="FootnoteReference"/>
          <w:noProof/>
          <w:szCs w:val="22"/>
        </w:rPr>
        <w:footnoteReference w:id="22"/>
      </w:r>
      <w:r>
        <w:rPr>
          <w:noProof/>
          <w:szCs w:val="22"/>
        </w:rPr>
        <w:t>).</w:t>
      </w:r>
    </w:p>
    <w:p>
      <w:pPr>
        <w:pStyle w:val="Yo0H2"/>
        <w:rPr>
          <w:noProof/>
        </w:rPr>
      </w:pPr>
      <w:r>
        <w:rPr>
          <w:noProof/>
        </w:rPr>
        <w:t>2.3.</w:t>
      </w:r>
      <w:r>
        <w:rPr>
          <w:noProof/>
        </w:rPr>
        <w:tab/>
        <w:t>Non-formal learning and youth work</w:t>
      </w:r>
    </w:p>
    <w:p>
      <w:pPr>
        <w:pStyle w:val="Yo1Textpara"/>
        <w:rPr>
          <w:noProof/>
          <w:szCs w:val="22"/>
        </w:rPr>
      </w:pPr>
      <w:r>
        <w:rPr>
          <w:noProof/>
          <w:szCs w:val="22"/>
        </w:rPr>
        <w:t>Non-formal education and training covers any organised and sustained learning activities that do not take place within the framework of the formal education system (</w:t>
      </w:r>
      <w:r>
        <w:rPr>
          <w:rStyle w:val="FootnoteReference"/>
          <w:noProof/>
          <w:szCs w:val="22"/>
          <w:lang w:eastAsia="x-none"/>
        </w:rPr>
        <w:footnoteReference w:id="23"/>
      </w:r>
      <w:r>
        <w:rPr>
          <w:noProof/>
          <w:szCs w:val="22"/>
        </w:rPr>
        <w:t>). Non-formal learning is undertaken intentionally but participation in the courses or activities is voluntary (</w:t>
      </w:r>
      <w:r>
        <w:rPr>
          <w:rStyle w:val="FootnoteReference"/>
          <w:noProof/>
          <w:szCs w:val="22"/>
          <w:lang w:eastAsia="x-none"/>
        </w:rPr>
        <w:footnoteReference w:id="24"/>
      </w:r>
      <w:r>
        <w:rPr>
          <w:noProof/>
          <w:szCs w:val="22"/>
        </w:rPr>
        <w:t>). As acknowledged by the Council of the European Union, non-formal learning can greatly contribute to increasing the motivation of young Europeans to undertake lifelong learning as well as improving their employability and job mobility, provided that mechanisms for recognising and validating the skills acquired are widely available (</w:t>
      </w:r>
      <w:r>
        <w:rPr>
          <w:rStyle w:val="FootnoteReference"/>
          <w:noProof/>
          <w:szCs w:val="22"/>
          <w:lang w:eastAsia="x-none"/>
        </w:rPr>
        <w:footnoteReference w:id="25"/>
      </w:r>
      <w:r>
        <w:rPr>
          <w:noProof/>
          <w:szCs w:val="22"/>
        </w:rPr>
        <w:t xml:space="preserve">). </w:t>
      </w:r>
    </w:p>
    <w:p>
      <w:pPr>
        <w:pStyle w:val="Yo1Textpara"/>
        <w:rPr>
          <w:noProof/>
          <w:szCs w:val="22"/>
        </w:rPr>
      </w:pPr>
      <w:r>
        <w:rPr>
          <w:noProof/>
          <w:szCs w:val="22"/>
        </w:rPr>
        <w:t>Indeed, non-formal learning can help release the potential of many young people by uncovering and developing their knowledge, skills and attitudes and by encouraging the acquisition of new kinds of capacities. While these opportunities are important for all young people, they can be particularly beneficial to those who are at an educational disadvantage (</w:t>
      </w:r>
      <w:r>
        <w:rPr>
          <w:rStyle w:val="FootnoteReference"/>
          <w:noProof/>
          <w:szCs w:val="22"/>
          <w:lang w:eastAsia="x-none"/>
        </w:rPr>
        <w:footnoteReference w:id="26"/>
      </w:r>
      <w:r>
        <w:rPr>
          <w:noProof/>
          <w:szCs w:val="22"/>
        </w:rPr>
        <w:t>).</w:t>
      </w:r>
    </w:p>
    <w:tbl>
      <w:tblPr>
        <w:tblpPr w:leftFromText="180" w:rightFromText="180" w:vertAnchor="text" w:horzAnchor="margin" w:tblpXSpec="right" w:tblpY="267"/>
        <w:tblOverlap w:val="never"/>
        <w:tblW w:w="0" w:type="auto"/>
        <w:shd w:val="clear" w:color="auto" w:fill="B8CCE4"/>
        <w:tblLook w:val="04A0" w:firstRow="1" w:lastRow="0" w:firstColumn="1" w:lastColumn="0" w:noHBand="0" w:noVBand="1"/>
      </w:tblPr>
      <w:tblGrid>
        <w:gridCol w:w="3307"/>
      </w:tblGrid>
      <w:tr>
        <w:trPr>
          <w:trHeight w:val="1203"/>
        </w:trPr>
        <w:tc>
          <w:tcPr>
            <w:tcW w:w="3307" w:type="dxa"/>
            <w:shd w:val="clear" w:color="auto" w:fill="FFA3A4"/>
          </w:tcPr>
          <w:p>
            <w:pPr>
              <w:pStyle w:val="Yo12Encart"/>
              <w:framePr w:hSpace="0" w:wrap="auto" w:vAnchor="margin" w:hAnchor="text" w:xAlign="left" w:yAlign="inline"/>
              <w:suppressOverlap w:val="0"/>
              <w:rPr>
                <w:noProof/>
                <w:sz w:val="22"/>
                <w:szCs w:val="22"/>
              </w:rPr>
            </w:pPr>
            <w:r>
              <w:rPr>
                <w:noProof/>
                <w:sz w:val="22"/>
                <w:szCs w:val="22"/>
              </w:rPr>
              <w:t>One in 10 young Europeans participates in non-formal learning but countries differ widely in the level of participation.</w:t>
            </w:r>
          </w:p>
        </w:tc>
      </w:tr>
    </w:tbl>
    <w:p>
      <w:pPr>
        <w:pStyle w:val="Yo1Textpara"/>
        <w:rPr>
          <w:b/>
          <w:noProof/>
        </w:rPr>
      </w:pPr>
      <w:r>
        <w:rPr>
          <w:noProof/>
          <w:szCs w:val="22"/>
        </w:rPr>
        <w:t>On average in the European Union, 1 in 10 young Europeans participate in non-formal learning (Figure 2-I). However, countries differ greatly in terms of the proportion of young people involved. While at least 1 in 5 young individuals participate in non-formal learning activities in Denmark, France and Sweden, other countries register much lower percentages, in particular Bulgaria, Croatia, Poland, Slovakia and the former Yugoslav Republic of Macedonia.</w:t>
      </w:r>
    </w:p>
    <w:p>
      <w:pPr>
        <w:pStyle w:val="Yo5TitleFigure"/>
        <w:jc w:val="both"/>
      </w:pPr>
      <w:r>
        <w:rPr>
          <w:b/>
        </w:rPr>
        <w:t xml:space="preserve">Figure 2-I: </w:t>
      </w:r>
      <w:r>
        <w:t>Share of young people (aged 15-29) participating in non-formal learning and training, by country, 2010 and 2016, and by sex, 2016</w:t>
      </w:r>
    </w:p>
    <w:tbl>
      <w:tblPr>
        <w:tblW w:w="0" w:type="auto"/>
        <w:tblLook w:val="04A0" w:firstRow="1" w:lastRow="0" w:firstColumn="1" w:lastColumn="0" w:noHBand="0" w:noVBand="1"/>
      </w:tblPr>
      <w:tblGrid>
        <w:gridCol w:w="10138"/>
      </w:tblGrid>
      <w:tr>
        <w:tc>
          <w:tcPr>
            <w:tcW w:w="10138" w:type="dxa"/>
            <w:shd w:val="clear" w:color="auto" w:fill="auto"/>
          </w:tcPr>
          <w:p>
            <w:pPr>
              <w:pStyle w:val="Yo5TitleFigure"/>
              <w:spacing w:before="0" w:after="0"/>
              <w:jc w:val="both"/>
              <w:rPr>
                <w:rFonts w:eastAsia="Times New Roman" w:cs="Arial"/>
                <w:bCs w:val="0"/>
                <w:snapToGrid w:val="0"/>
                <w:color w:val="auto"/>
                <w:w w:val="100"/>
                <w:sz w:val="14"/>
                <w:szCs w:val="16"/>
                <w:lang w:val="fr-FR" w:eastAsia="en-GB"/>
              </w:rPr>
            </w:pPr>
            <w:r>
              <w:rPr>
                <w:rFonts w:eastAsia="Times New Roman" w:cs="Arial"/>
                <w:bCs w:val="0"/>
                <w:snapToGrid w:val="0"/>
                <w:color w:val="auto"/>
                <w:w w:val="100"/>
                <w:sz w:val="14"/>
                <w:szCs w:val="16"/>
                <w:lang w:eastAsia="en-GB"/>
              </w:rPr>
              <w:t xml:space="preserve">  </w:t>
            </w:r>
            <w:r>
              <w:rPr>
                <w:rFonts w:eastAsia="Times New Roman" w:cs="Arial"/>
                <w:bCs w:val="0"/>
                <w:snapToGrid w:val="0"/>
                <w:color w:val="auto"/>
                <w:w w:val="100"/>
                <w:sz w:val="14"/>
                <w:szCs w:val="16"/>
                <w:lang w:val="fr-FR" w:eastAsia="en-GB"/>
              </w:rPr>
              <w:t>%                                                                                                                                                                                              %</w:t>
            </w:r>
          </w:p>
          <w:p>
            <w:pPr>
              <w:pStyle w:val="Yo5TitleFigure"/>
              <w:spacing w:before="0"/>
              <w:jc w:val="both"/>
            </w:pPr>
            <w:r>
              <w:rPr>
                <w:w w:val="100"/>
                <w:lang w:val="en-US"/>
              </w:rPr>
              <mc:AlternateContent>
                <mc:Choice Requires="wps">
                  <w:drawing>
                    <wp:anchor distT="0" distB="0" distL="114300" distR="114300" simplePos="0" relativeHeight="251651584" behindDoc="0" locked="0" layoutInCell="1" allowOverlap="1">
                      <wp:simplePos x="0" y="0"/>
                      <wp:positionH relativeFrom="column">
                        <wp:posOffset>4792980</wp:posOffset>
                      </wp:positionH>
                      <wp:positionV relativeFrom="paragraph">
                        <wp:posOffset>194945</wp:posOffset>
                      </wp:positionV>
                      <wp:extent cx="1176655" cy="1103630"/>
                      <wp:effectExtent l="12700" t="8255" r="10795"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103630"/>
                              </a:xfrm>
                              <a:prstGeom prst="rect">
                                <a:avLst/>
                              </a:prstGeom>
                              <a:solidFill>
                                <a:srgbClr val="FFFFFF"/>
                              </a:solidFill>
                              <a:ln w="9525">
                                <a:solidFill>
                                  <a:srgbClr val="FFFFFF"/>
                                </a:solidFill>
                                <a:miter lim="800000"/>
                                <a:headEnd/>
                                <a:tailEnd/>
                              </a:ln>
                            </wps:spPr>
                            <wps:txbx>
                              <w:txbxContent>
                                <w:p>
                                  <w:pPr>
                                    <w:spacing w:after="0"/>
                                    <w:jc w:val="center"/>
                                  </w:pPr>
                                  <w:r>
                                    <w:rPr>
                                      <w:noProof/>
                                      <w:lang w:val="en-US"/>
                                    </w:rPr>
                                    <w:drawing>
                                      <wp:inline distT="0" distB="0" distL="0" distR="0">
                                        <wp:extent cx="982345" cy="975995"/>
                                        <wp:effectExtent l="0" t="0" r="8255" b="0"/>
                                        <wp:docPr id="299" name="Picture 299" descr="\\s-eacea-fs03-p\EACEA.A7\Youth\04_Reports\a_EU_Youth_Reports\2018\03_graph\2_I_non_formal_learning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eacea-fs03-p\EACEA.A7\Youth\04_Reports\a_EU_Youth_Reports\2018\03_graph\2_I_non_formal_learning_gender.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982345" cy="975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7.4pt;margin-top:15.35pt;width:92.65pt;height:86.9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" strokecolor="white">
                      <v:textbox style="mso-fit-shape-to-text:t">
                        <w:txbxContent>
                          <w:p>
                            <w:pPr>
                              <w:spacing w:after="0"/>
                              <w:jc w:val="center"/>
                            </w:pPr>
                            <w:r>
                              <w:rPr>
                                <w:noProof/>
                                <w:lang w:val="en-US"/>
                              </w:rPr>
                              <w:drawing>
                                <wp:inline distT="0" distB="0" distL="0" distR="0">
                                  <wp:extent cx="982345" cy="975995"/>
                                  <wp:effectExtent l="0" t="0" r="8255" b="0"/>
                                  <wp:docPr id="299" name="Picture 299" descr="\\s-eacea-fs03-p\EACEA.A7\Youth\04_Reports\a_EU_Youth_Reports\2018\03_graph\2_I_non_formal_learning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eacea-fs03-p\EACEA.A7\Youth\04_Reports\a_EU_Youth_Reports\2018\03_graph\2_I_non_formal_learning_gender.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982345" cy="975995"/>
                                          </a:xfrm>
                                          <a:prstGeom prst="rect">
                                            <a:avLst/>
                                          </a:prstGeom>
                                          <a:noFill/>
                                          <a:ln>
                                            <a:noFill/>
                                          </a:ln>
                                        </pic:spPr>
                                      </pic:pic>
                                    </a:graphicData>
                                  </a:graphic>
                                </wp:inline>
                              </w:drawing>
                            </w:r>
                          </w:p>
                        </w:txbxContent>
                      </v:textbox>
                    </v:shape>
                  </w:pict>
                </mc:Fallback>
              </mc:AlternateContent>
            </w:r>
            <w:r>
              <w:rPr>
                <w:lang w:val="en-US"/>
              </w:rPr>
              <w:drawing>
                <wp:inline distT="0" distB="0" distL="0" distR="0">
                  <wp:extent cx="6298565" cy="2183765"/>
                  <wp:effectExtent l="0" t="0" r="6985" b="6985"/>
                  <wp:docPr id="292" name="Picture 292" descr="\\s-eacea-fs03-p\EACEA.A7\Youth\04_Reports\a_EU_Youth_Reports\2018\03_graph\2_I_non_formal_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eacea-fs03-p\EACEA.A7\Youth\04_Reports\a_EU_Youth_Reports\2018\03_graph\2_I_non_formal_learning.jpg"/>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6298565" cy="2183765"/>
                          </a:xfrm>
                          <a:prstGeom prst="rect">
                            <a:avLst/>
                          </a:prstGeom>
                          <a:noFill/>
                          <a:ln>
                            <a:noFill/>
                          </a:ln>
                        </pic:spPr>
                      </pic:pic>
                    </a:graphicData>
                  </a:graphic>
                </wp:inline>
              </w:drawing>
            </w:r>
          </w:p>
        </w:tc>
      </w:tr>
      <w:tr>
        <w:tc>
          <w:tcPr>
            <w:tcW w:w="10138" w:type="dxa"/>
            <w:shd w:val="clear" w:color="auto" w:fill="auto"/>
          </w:tcPr>
          <w:p>
            <w:pPr>
              <w:pStyle w:val="p91Textpara"/>
              <w:spacing w:before="60" w:after="60" w:line="240" w:lineRule="auto"/>
              <w:jc w:val="left"/>
              <w:rPr>
                <w:rFonts w:ascii="Verdana" w:eastAsia="Times New Roman" w:hAnsi="Verdana"/>
                <w:noProof/>
                <w:color w:val="auto"/>
                <w:sz w:val="14"/>
                <w:szCs w:val="14"/>
                <w:lang w:eastAsia="en-GB"/>
              </w:rPr>
            </w:pPr>
            <w:r>
              <w:rPr>
                <w:rFonts w:ascii="Verdana" w:eastAsia="Times New Roman" w:hAnsi="Verdana"/>
                <w:i/>
                <w:noProof/>
                <w:color w:val="auto"/>
                <w:sz w:val="14"/>
                <w:szCs w:val="14"/>
                <w:lang w:eastAsia="en-GB"/>
              </w:rPr>
              <w:t>Notes:</w:t>
            </w:r>
            <w:r>
              <w:rPr>
                <w:rFonts w:ascii="Verdana" w:eastAsia="Times New Roman" w:hAnsi="Verdana"/>
                <w:noProof/>
                <w:color w:val="auto"/>
                <w:sz w:val="14"/>
                <w:szCs w:val="14"/>
                <w:lang w:eastAsia="en-GB"/>
              </w:rPr>
              <w:t xml:space="preserve"> Data for Croatia and Romania for 2010 have low reliability. Break in time series for data for Denmark in 2016.</w:t>
            </w:r>
          </w:p>
          <w:p>
            <w:pPr>
              <w:pStyle w:val="p91Textpara"/>
              <w:tabs>
                <w:tab w:val="left" w:pos="709"/>
              </w:tabs>
              <w:spacing w:before="60"/>
              <w:rPr>
                <w:rFonts w:eastAsia="Times New Roman"/>
                <w:noProof/>
                <w:lang w:eastAsia="x-none"/>
              </w:rPr>
            </w:pPr>
            <w:r>
              <w:rPr>
                <w:rFonts w:ascii="Verdana" w:eastAsia="Times New Roman" w:hAnsi="Verdana"/>
                <w:i/>
                <w:noProof/>
                <w:snapToGrid w:val="0"/>
                <w:color w:val="auto"/>
                <w:sz w:val="14"/>
                <w:szCs w:val="14"/>
              </w:rPr>
              <w:t>Source</w:t>
            </w:r>
            <w:r>
              <w:rPr>
                <w:rFonts w:ascii="Verdana" w:eastAsia="Times New Roman" w:hAnsi="Verdana"/>
                <w:noProof/>
                <w:snapToGrid w:val="0"/>
                <w:color w:val="auto"/>
                <w:sz w:val="14"/>
                <w:szCs w:val="14"/>
              </w:rPr>
              <w:t>: Eurostat LFS [trng_lfs_09].</w:t>
            </w:r>
          </w:p>
        </w:tc>
      </w:tr>
    </w:tbl>
    <w:p>
      <w:pPr>
        <w:pStyle w:val="p91Textpara"/>
        <w:spacing w:before="60" w:after="60" w:line="240" w:lineRule="auto"/>
        <w:jc w:val="left"/>
        <w:rPr>
          <w:rFonts w:ascii="Verdana" w:hAnsi="Verdana"/>
          <w:i/>
          <w:noProof/>
          <w:color w:val="auto"/>
          <w:sz w:val="14"/>
          <w:szCs w:val="14"/>
          <w:lang w:eastAsia="en-GB"/>
        </w:rPr>
      </w:pPr>
    </w:p>
    <w:p>
      <w:pPr>
        <w:pStyle w:val="Yo1Textpara"/>
        <w:rPr>
          <w:strike/>
          <w:noProof/>
          <w:szCs w:val="22"/>
        </w:rPr>
      </w:pPr>
      <w:r>
        <w:rPr>
          <w:noProof/>
          <w:szCs w:val="22"/>
        </w:rPr>
        <w:t>As illustrated by Figure 2-I, in the EU-28 the average proportion of young women and young men engaging in non-formal learning are similar. Since 2011, the participation in non-formal learning has slightly increased in the EU. Some countries have witnessed impressive augmentations, in particular France and Portugal. In contrast, young people in Denmark and the United Kingdom have engaged to decreasing extents.</w:t>
      </w:r>
    </w:p>
    <w:p>
      <w:pPr>
        <w:pStyle w:val="Yo1Textpara"/>
        <w:rPr>
          <w:noProof/>
        </w:rPr>
      </w:pPr>
      <w:r>
        <w:rPr>
          <w:noProof/>
          <w:szCs w:val="22"/>
        </w:rPr>
        <w:t xml:space="preserve">Non-formal learning may take place in the context of youth work. According to the Resolution of the Council of the European Union on youth work from 2010, </w:t>
      </w:r>
      <w:r>
        <w:rPr>
          <w:noProof/>
        </w:rPr>
        <w:t>youth work encompasses activities for and by young people, taking place in the extracurricular and leisure spheres, and based on voluntary participation. Such activities see the cooperation of professional and voluntary youth workers, youth leaders, and the active engagement and contribution of young participants (</w:t>
      </w:r>
      <w:r>
        <w:rPr>
          <w:rStyle w:val="FootnoteReference"/>
          <w:noProof/>
        </w:rPr>
        <w:footnoteReference w:id="27"/>
      </w:r>
      <w:r>
        <w:rPr>
          <w:noProof/>
        </w:rPr>
        <w:t xml:space="preserve">). </w:t>
      </w:r>
    </w:p>
    <w:tbl>
      <w:tblPr>
        <w:tblpPr w:leftFromText="181" w:rightFromText="181" w:vertAnchor="text" w:horzAnchor="margin" w:tblpXSpec="right" w:tblpY="238"/>
        <w:tblOverlap w:val="never"/>
        <w:tblW w:w="0" w:type="auto"/>
        <w:shd w:val="clear" w:color="auto" w:fill="C6D9F1"/>
        <w:tblLook w:val="04A0" w:firstRow="1" w:lastRow="0" w:firstColumn="1" w:lastColumn="0" w:noHBand="0" w:noVBand="1"/>
      </w:tblPr>
      <w:tblGrid>
        <w:gridCol w:w="3684"/>
      </w:tblGrid>
      <w:tr>
        <w:tc>
          <w:tcPr>
            <w:tcW w:w="3684" w:type="dxa"/>
            <w:shd w:val="clear" w:color="auto" w:fill="FFA3A4"/>
          </w:tcPr>
          <w:p>
            <w:pPr>
              <w:pStyle w:val="Yo12Encart"/>
              <w:framePr w:hSpace="0" w:wrap="auto" w:vAnchor="margin" w:hAnchor="text" w:xAlign="left" w:yAlign="inline"/>
              <w:suppressOverlap w:val="0"/>
              <w:rPr>
                <w:noProof/>
                <w:sz w:val="22"/>
                <w:szCs w:val="22"/>
              </w:rPr>
            </w:pPr>
            <w:r>
              <w:rPr>
                <w:noProof/>
                <w:sz w:val="22"/>
              </w:rPr>
              <w:br w:type="page"/>
            </w:r>
            <w:r>
              <w:rPr>
                <w:noProof/>
                <w:sz w:val="22"/>
                <w:szCs w:val="22"/>
              </w:rPr>
              <w:t>By providing opportunities for non-formal learning, youth work contributes to the acquisition and enhancement of key competences essential in promoting youth's education attainment.</w:t>
            </w:r>
          </w:p>
        </w:tc>
      </w:tr>
    </w:tbl>
    <w:p>
      <w:pPr>
        <w:pStyle w:val="Yo1Textpara"/>
        <w:rPr>
          <w:noProof/>
          <w:szCs w:val="22"/>
        </w:rPr>
      </w:pPr>
      <w:r>
        <w:rPr>
          <w:noProof/>
        </w:rPr>
        <w:t>Y</w:t>
      </w:r>
      <w:r>
        <w:rPr>
          <w:noProof/>
          <w:szCs w:val="22"/>
        </w:rPr>
        <w:t>outh work has been shown to exert positive influence on student achievements in education by fostering non-cognitive skills such as persistence, motivation, and self-efficacy (</w:t>
      </w:r>
      <w:r>
        <w:rPr>
          <w:rStyle w:val="FootnoteReference"/>
          <w:noProof/>
        </w:rPr>
        <w:footnoteReference w:id="28"/>
      </w:r>
      <w:r>
        <w:rPr>
          <w:noProof/>
          <w:szCs w:val="22"/>
        </w:rPr>
        <w:t>). In particular, young people at risk of dropping out prematurely from education and training may obtain  support from youth workers, gaining access to learning resources and individualised assistance and becoming motivated to learn again through participation in the various activities organised for them (</w:t>
      </w:r>
      <w:r>
        <w:rPr>
          <w:rStyle w:val="FootnoteReference"/>
          <w:noProof/>
          <w:szCs w:val="22"/>
        </w:rPr>
        <w:footnoteReference w:id="29"/>
      </w:r>
      <w:r>
        <w:rPr>
          <w:noProof/>
          <w:szCs w:val="22"/>
        </w:rPr>
        <w:t>). Some youth work programmes have also proven effective in bringing young people who have left school early back into education by, for example, offering preparatory courses for re-insertion into mainstream education or second chance programmes (</w:t>
      </w:r>
      <w:r>
        <w:rPr>
          <w:rStyle w:val="FootnoteReference"/>
          <w:noProof/>
          <w:szCs w:val="22"/>
        </w:rPr>
        <w:footnoteReference w:id="30"/>
      </w:r>
      <w:r>
        <w:rPr>
          <w:noProof/>
          <w:szCs w:val="22"/>
        </w:rPr>
        <w:t xml:space="preserve">). </w:t>
      </w:r>
    </w:p>
    <w:p>
      <w:pPr>
        <w:pStyle w:val="Yo1Textpara"/>
        <w:rPr>
          <w:noProof/>
          <w:szCs w:val="22"/>
        </w:rPr>
      </w:pPr>
      <w:r>
        <w:rPr>
          <w:noProof/>
          <w:szCs w:val="22"/>
        </w:rPr>
        <w:t>Providing information, advice and guidance to support young people in their decision making during their education and training is another important aspect of youth work (</w:t>
      </w:r>
      <w:r>
        <w:rPr>
          <w:rStyle w:val="FootnoteReference"/>
          <w:noProof/>
          <w:szCs w:val="22"/>
        </w:rPr>
        <w:footnoteReference w:id="31"/>
      </w:r>
      <w:r>
        <w:rPr>
          <w:noProof/>
          <w:szCs w:val="22"/>
        </w:rPr>
        <w:t>). Indeed, in some European countries, central authorities place guidance services for students under the auspices of youth work organisations, delivered by nation-wide networks independent from schools (</w:t>
      </w:r>
      <w:r>
        <w:rPr>
          <w:rStyle w:val="FootnoteReference"/>
          <w:noProof/>
          <w:szCs w:val="22"/>
        </w:rPr>
        <w:footnoteReference w:id="32"/>
      </w:r>
      <w:r>
        <w:rPr>
          <w:noProof/>
          <w:szCs w:val="22"/>
        </w:rPr>
        <w:t xml:space="preserve">). </w:t>
      </w:r>
    </w:p>
    <w:p>
      <w:pPr>
        <w:pStyle w:val="Yo1Textpara"/>
        <w:rPr>
          <w:noProof/>
          <w:szCs w:val="22"/>
        </w:rPr>
      </w:pPr>
      <w:r>
        <w:rPr>
          <w:noProof/>
          <w:szCs w:val="22"/>
        </w:rPr>
        <w:t>Because youth work is such a wide field encompassing voluntary leisure-time as well as extra-curricular activities, its contribution goes well beyond supporting young people in their educational experiences. Studies which have investigated the effects of young people’s participation in youth work activities show that young people can acquire and reinforce personal skills such as conflict resolution, decision making, goal setting and interpersonal communication that can prove useful in all spheres of life (</w:t>
      </w:r>
      <w:r>
        <w:rPr>
          <w:rStyle w:val="FootnoteReference"/>
          <w:noProof/>
          <w:szCs w:val="22"/>
        </w:rPr>
        <w:footnoteReference w:id="33"/>
      </w:r>
      <w:r>
        <w:rPr>
          <w:noProof/>
          <w:szCs w:val="22"/>
        </w:rPr>
        <w:t xml:space="preserve">). Although data on young people’s participation in activities organised by youth workers is limited, Chapter 6 of this report provides some insight into the level of participation in organised voluntary activities (Figure 6-A) while Chapter 9 examines their involvement in youth organisations, cultural organisations and sports clubs (Figure 9-C). </w:t>
      </w:r>
    </w:p>
    <w:p>
      <w:pPr>
        <w:pStyle w:val="Yo0H2"/>
        <w:rPr>
          <w:noProof/>
        </w:rPr>
      </w:pPr>
      <w:r>
        <w:rPr>
          <w:noProof/>
        </w:rPr>
        <w:t>2.4.</w:t>
      </w:r>
      <w:r>
        <w:rPr>
          <w:noProof/>
        </w:rPr>
        <w:tab/>
        <w:t xml:space="preserve">Learning mobility </w:t>
      </w:r>
    </w:p>
    <w:p>
      <w:pPr>
        <w:pStyle w:val="Yo1Textpara"/>
        <w:rPr>
          <w:noProof/>
          <w:szCs w:val="22"/>
        </w:rPr>
      </w:pPr>
      <w:r>
        <w:rPr>
          <w:noProof/>
          <w:szCs w:val="22"/>
        </w:rPr>
        <w:t>Learning mobility is generally seen as contributing to the development of a wide range of skills and competences among young people. Most importantly, transversal skills such as critical thinking, communication, problem-solving, and intercultural understanding are found to be improved by study periods abroad (</w:t>
      </w:r>
      <w:r>
        <w:rPr>
          <w:rStyle w:val="FootnoteReference"/>
          <w:noProof/>
          <w:szCs w:val="22"/>
          <w:lang w:eastAsia="x-none"/>
        </w:rPr>
        <w:footnoteReference w:id="34"/>
      </w:r>
      <w:r>
        <w:rPr>
          <w:noProof/>
          <w:szCs w:val="22"/>
        </w:rPr>
        <w:t>). According to the Erasmus Impact Study, students participating in the Erasmus mobility programme improve their employability skills more than non-participants (</w:t>
      </w:r>
      <w:r>
        <w:rPr>
          <w:rStyle w:val="FootnoteReference"/>
          <w:noProof/>
          <w:szCs w:val="22"/>
          <w:lang w:eastAsia="x-none"/>
        </w:rPr>
        <w:footnoteReference w:id="35"/>
      </w:r>
      <w:r>
        <w:rPr>
          <w:noProof/>
          <w:szCs w:val="22"/>
        </w:rPr>
        <w:t>). In addition, student mobility programmes also have the potential to contribute to the overall quality of education (</w:t>
      </w:r>
      <w:r>
        <w:rPr>
          <w:rStyle w:val="FootnoteReference"/>
          <w:noProof/>
          <w:szCs w:val="22"/>
          <w:lang w:eastAsia="x-none"/>
        </w:rPr>
        <w:footnoteReference w:id="36"/>
      </w:r>
      <w:r>
        <w:rPr>
          <w:noProof/>
          <w:szCs w:val="22"/>
        </w:rPr>
        <w:t xml:space="preserve">). </w:t>
      </w:r>
    </w:p>
    <w:p>
      <w:pPr>
        <w:pStyle w:val="Yo1Textpara"/>
        <w:rPr>
          <w:rFonts w:ascii="Verdana" w:hAnsi="Verdana" w:cs="Calibri"/>
          <w:b/>
          <w:noProof/>
          <w:color w:val="7F7F7F"/>
          <w:szCs w:val="22"/>
          <w:lang w:eastAsia="en-US"/>
        </w:rPr>
      </w:pPr>
      <w:r>
        <w:rPr>
          <w:noProof/>
          <w:szCs w:val="22"/>
        </w:rPr>
        <w:t xml:space="preserve">Data are available on the flows of internationally-mobile students in tertiary education. Figure 2-J shows the proportion of students enrolled in a tertiary institution who come from abroad (inward student mobility) in 2015. </w:t>
      </w:r>
    </w:p>
    <w:p>
      <w:pPr>
        <w:pStyle w:val="Yo1Textpara"/>
        <w:rPr>
          <w:rFonts w:ascii="Verdana" w:eastAsia="Cambria" w:hAnsi="Verdana" w:cs="Calibri"/>
          <w:bCs/>
          <w:noProof/>
          <w:color w:val="7F7F7F"/>
          <w:w w:val="80"/>
          <w:szCs w:val="22"/>
          <w:lang w:eastAsia="en-US"/>
        </w:rPr>
      </w:pPr>
      <w:r>
        <w:rPr>
          <w:rFonts w:ascii="Verdana" w:eastAsia="Cambria" w:hAnsi="Verdana" w:cs="Calibri"/>
          <w:b/>
          <w:bCs/>
          <w:noProof/>
          <w:color w:val="7F7F7F"/>
          <w:w w:val="80"/>
          <w:szCs w:val="22"/>
          <w:lang w:eastAsia="en-US"/>
        </w:rPr>
        <w:t>Figure 2-J</w:t>
      </w:r>
      <w:r>
        <w:rPr>
          <w:rFonts w:ascii="Verdana" w:eastAsia="Cambria" w:hAnsi="Verdana" w:cs="Calibri"/>
          <w:bCs/>
          <w:noProof/>
          <w:color w:val="7F7F7F"/>
          <w:w w:val="80"/>
          <w:szCs w:val="22"/>
          <w:lang w:eastAsia="en-US"/>
        </w:rPr>
        <w:t xml:space="preserve">: Share of internationally-mobile tertiary education students coming from Europe and the rest of the world, by country, 2015 </w:t>
      </w:r>
    </w:p>
    <w:tbl>
      <w:tblPr>
        <w:tblW w:w="0" w:type="auto"/>
        <w:tblLook w:val="04A0" w:firstRow="1" w:lastRow="0" w:firstColumn="1" w:lastColumn="0" w:noHBand="0" w:noVBand="1"/>
      </w:tblPr>
      <w:tblGrid>
        <w:gridCol w:w="2534"/>
        <w:gridCol w:w="1402"/>
        <w:gridCol w:w="1701"/>
        <w:gridCol w:w="4501"/>
      </w:tblGrid>
      <w:tr>
        <w:tc>
          <w:tcPr>
            <w:tcW w:w="10138" w:type="dxa"/>
            <w:gridSpan w:val="4"/>
            <w:shd w:val="clear" w:color="auto" w:fill="auto"/>
          </w:tcPr>
          <w:p>
            <w:pPr>
              <w:pStyle w:val="Yo1Textpara"/>
              <w:rPr>
                <w:rFonts w:ascii="Verdana" w:eastAsia="Cambria" w:hAnsi="Verdana" w:cs="Calibri"/>
                <w:bCs/>
                <w:noProof/>
                <w:color w:val="7F7F7F"/>
                <w:w w:val="80"/>
                <w:szCs w:val="22"/>
                <w:lang w:eastAsia="en-US"/>
              </w:rPr>
            </w:pPr>
            <w:r>
              <w:rPr>
                <w:rFonts w:ascii="Verdana" w:eastAsia="Cambria" w:hAnsi="Verdana" w:cs="Calibri"/>
                <w:bCs/>
                <w:noProof/>
                <w:color w:val="7F7F7F"/>
                <w:w w:val="80"/>
                <w:szCs w:val="22"/>
                <w:lang w:eastAsia="en-US"/>
              </w:rPr>
              <w:fldChar w:fldCharType="begin"/>
            </w:r>
            <w:r>
              <w:rPr>
                <w:rFonts w:ascii="Verdana" w:eastAsia="Cambria" w:hAnsi="Verdana" w:cs="Calibri"/>
                <w:bCs/>
                <w:noProof/>
                <w:color w:val="7F7F7F"/>
                <w:w w:val="80"/>
                <w:szCs w:val="22"/>
                <w:lang w:eastAsia="en-US"/>
              </w:rPr>
              <w:instrText xml:space="preserve"> INCLUDEPICTURE  "C:\\Users\\paredcr\\AppData\\Local\\Temp\\03_graph\\2_J_mobility.jpg" \* MERGEFORMATINET </w:instrText>
            </w:r>
            <w:r>
              <w:rPr>
                <w:rFonts w:ascii="Verdana" w:eastAsia="Cambria" w:hAnsi="Verdana" w:cs="Calibri"/>
                <w:bCs/>
                <w:noProof/>
                <w:color w:val="7F7F7F"/>
                <w:w w:val="80"/>
                <w:szCs w:val="22"/>
                <w:lang w:eastAsia="en-US"/>
              </w:rPr>
              <w:fldChar w:fldCharType="separate"/>
            </w:r>
            <w:r>
              <w:rPr>
                <w:rFonts w:ascii="Verdana" w:eastAsia="Cambria" w:hAnsi="Verdana" w:cs="Calibri"/>
                <w:bCs/>
                <w:noProof/>
                <w:color w:val="7F7F7F"/>
                <w:w w:val="80"/>
                <w:szCs w:val="22"/>
                <w:lang w:eastAsia="en-US"/>
              </w:rPr>
              <w:fldChar w:fldCharType="begin"/>
            </w:r>
            <w:r>
              <w:rPr>
                <w:rFonts w:ascii="Verdana" w:eastAsia="Cambria" w:hAnsi="Verdana" w:cs="Calibri"/>
                <w:bCs/>
                <w:noProof/>
                <w:color w:val="7F7F7F"/>
                <w:w w:val="80"/>
                <w:szCs w:val="22"/>
                <w:lang w:eastAsia="en-US"/>
              </w:rPr>
              <w:instrText xml:space="preserve"> INCLUDEPICTURE  "C:\\Users\\paredcr\\AppData\\Local\\Temp\\03_graph\\2_J_mobility.jpg" \* MERGEFORMATINET </w:instrText>
            </w:r>
            <w:r>
              <w:rPr>
                <w:rFonts w:ascii="Verdana" w:eastAsia="Cambria" w:hAnsi="Verdana" w:cs="Calibri"/>
                <w:bCs/>
                <w:noProof/>
                <w:color w:val="7F7F7F"/>
                <w:w w:val="80"/>
                <w:szCs w:val="22"/>
                <w:lang w:eastAsia="en-US"/>
              </w:rPr>
              <w:fldChar w:fldCharType="separate"/>
            </w:r>
            <w:r>
              <w:rPr>
                <w:rFonts w:ascii="Verdana" w:eastAsia="Cambria" w:hAnsi="Verdana" w:cs="Calibri"/>
                <w:bCs/>
                <w:noProof/>
                <w:color w:val="7F7F7F"/>
                <w:w w:val="80"/>
                <w:szCs w:val="22"/>
                <w:lang w:eastAsia="en-US"/>
              </w:rPr>
              <w:fldChar w:fldCharType="begin"/>
            </w:r>
            <w:r>
              <w:rPr>
                <w:rFonts w:ascii="Verdana" w:eastAsia="Cambria" w:hAnsi="Verdana" w:cs="Calibri"/>
                <w:bCs/>
                <w:noProof/>
                <w:color w:val="7F7F7F"/>
                <w:w w:val="80"/>
                <w:szCs w:val="22"/>
                <w:lang w:eastAsia="en-US"/>
              </w:rPr>
              <w:instrText xml:space="preserve"> INCLUDEPICTURE  "C:\\Users\\paredcr\\AppData\\Local\\Temp\\03_graph\\2_J_mobility.jpg" \* MERGEFORMATINET </w:instrText>
            </w:r>
            <w:r>
              <w:rPr>
                <w:rFonts w:ascii="Verdana" w:eastAsia="Cambria" w:hAnsi="Verdana" w:cs="Calibri"/>
                <w:bCs/>
                <w:noProof/>
                <w:color w:val="7F7F7F"/>
                <w:w w:val="80"/>
                <w:szCs w:val="22"/>
                <w:lang w:eastAsia="en-US"/>
              </w:rPr>
              <w:fldChar w:fldCharType="separate"/>
            </w:r>
            <w:r>
              <w:rPr>
                <w:rFonts w:ascii="Verdana" w:eastAsia="Cambria" w:hAnsi="Verdana" w:cs="Calibri"/>
                <w:bCs/>
                <w:noProof/>
                <w:color w:val="7F7F7F"/>
                <w:w w:val="80"/>
                <w:szCs w:val="22"/>
                <w:lang w:eastAsia="en-US"/>
              </w:rPr>
              <w:fldChar w:fldCharType="begin"/>
            </w:r>
            <w:r>
              <w:rPr>
                <w:rFonts w:ascii="Verdana" w:eastAsia="Cambria" w:hAnsi="Verdana" w:cs="Calibri"/>
                <w:bCs/>
                <w:noProof/>
                <w:color w:val="7F7F7F"/>
                <w:w w:val="80"/>
                <w:szCs w:val="22"/>
                <w:lang w:eastAsia="en-US"/>
              </w:rPr>
              <w:instrText xml:space="preserve"> INCLUDEPICTURE  "C:\\Users\\paredcr\\AppData\\Local\\Temp\\03_graph\\2_J_mobility.jpg" \* MERGEFORMATINET </w:instrText>
            </w:r>
            <w:r>
              <w:rPr>
                <w:rFonts w:ascii="Verdana" w:eastAsia="Cambria" w:hAnsi="Verdana" w:cs="Calibri"/>
                <w:bCs/>
                <w:noProof/>
                <w:color w:val="7F7F7F"/>
                <w:w w:val="80"/>
                <w:szCs w:val="22"/>
                <w:lang w:eastAsia="en-US"/>
              </w:rPr>
              <w:fldChar w:fldCharType="separate"/>
            </w:r>
            <w:r>
              <w:rPr>
                <w:rFonts w:ascii="Verdana" w:eastAsia="Cambria" w:hAnsi="Verdana" w:cs="Calibri"/>
                <w:bCs/>
                <w:noProof/>
                <w:color w:val="7F7F7F"/>
                <w:w w:val="80"/>
                <w:szCs w:val="22"/>
                <w:lang w:eastAsia="en-US"/>
              </w:rPr>
              <w:pict>
                <v:shape id="_x0000_i1029" type="#_x0000_t75" style="width:495.95pt;height:126.85pt">
                  <v:imagedata r:id="rId62" r:href="rId63"/>
                </v:shape>
              </w:pict>
            </w:r>
            <w:r>
              <w:rPr>
                <w:rFonts w:ascii="Verdana" w:eastAsia="Cambria" w:hAnsi="Verdana" w:cs="Calibri"/>
                <w:bCs/>
                <w:noProof/>
                <w:color w:val="7F7F7F"/>
                <w:w w:val="80"/>
                <w:szCs w:val="22"/>
                <w:lang w:eastAsia="en-US"/>
              </w:rPr>
              <w:fldChar w:fldCharType="end"/>
            </w:r>
            <w:r>
              <w:rPr>
                <w:rFonts w:ascii="Verdana" w:eastAsia="Cambria" w:hAnsi="Verdana" w:cs="Calibri"/>
                <w:bCs/>
                <w:noProof/>
                <w:color w:val="7F7F7F"/>
                <w:w w:val="80"/>
                <w:szCs w:val="22"/>
                <w:lang w:eastAsia="en-US"/>
              </w:rPr>
              <w:fldChar w:fldCharType="end"/>
            </w:r>
            <w:r>
              <w:rPr>
                <w:rFonts w:ascii="Verdana" w:eastAsia="Cambria" w:hAnsi="Verdana" w:cs="Calibri"/>
                <w:bCs/>
                <w:noProof/>
                <w:color w:val="7F7F7F"/>
                <w:w w:val="80"/>
                <w:szCs w:val="22"/>
                <w:lang w:eastAsia="en-US"/>
              </w:rPr>
              <w:fldChar w:fldCharType="end"/>
            </w:r>
            <w:r>
              <w:rPr>
                <w:rFonts w:ascii="Verdana" w:eastAsia="Cambria" w:hAnsi="Verdana" w:cs="Calibri"/>
                <w:bCs/>
                <w:noProof/>
                <w:color w:val="7F7F7F"/>
                <w:w w:val="80"/>
                <w:szCs w:val="22"/>
                <w:lang w:eastAsia="en-US"/>
              </w:rPr>
              <w:fldChar w:fldCharType="end"/>
            </w:r>
          </w:p>
        </w:tc>
      </w:tr>
      <w:tr>
        <w:trPr>
          <w:trHeight w:val="20"/>
        </w:trPr>
        <w:tc>
          <w:tcPr>
            <w:tcW w:w="2534" w:type="dxa"/>
            <w:shd w:val="clear" w:color="auto" w:fill="auto"/>
          </w:tcPr>
          <w:p>
            <w:pPr>
              <w:pStyle w:val="Yo1Textpara"/>
              <w:spacing w:before="0"/>
              <w:jc w:val="right"/>
              <w:rPr>
                <w:rFonts w:ascii="Verdana" w:eastAsia="Times New Roman" w:hAnsi="Verdana" w:cs="Calibri"/>
                <w:b/>
                <w:noProof/>
                <w:color w:val="7F7F7F"/>
                <w:szCs w:val="22"/>
                <w:lang w:eastAsia="en-US"/>
              </w:rPr>
            </w:pPr>
            <w:r>
              <w:rPr>
                <w:rFonts w:ascii="Verdana" w:eastAsia="Times New Roman" w:hAnsi="Verdana" w:cs="Calibri"/>
                <w:b/>
                <w:noProof/>
                <w:color w:val="7F7F7F"/>
                <w:szCs w:val="22"/>
                <w:lang w:val="en-US" w:eastAsia="en-US"/>
              </w:rPr>
              <w:drawing>
                <wp:inline distT="0" distB="0" distL="0" distR="0">
                  <wp:extent cx="140970" cy="14414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0970" cy="144145"/>
                          </a:xfrm>
                          <a:prstGeom prst="rect">
                            <a:avLst/>
                          </a:prstGeom>
                          <a:noFill/>
                        </pic:spPr>
                      </pic:pic>
                    </a:graphicData>
                  </a:graphic>
                </wp:inline>
              </w:drawing>
            </w:r>
          </w:p>
        </w:tc>
        <w:tc>
          <w:tcPr>
            <w:tcW w:w="1402" w:type="dxa"/>
            <w:shd w:val="clear" w:color="auto" w:fill="auto"/>
          </w:tcPr>
          <w:p>
            <w:pPr>
              <w:pStyle w:val="Yo1Textpara"/>
              <w:spacing w:before="0"/>
              <w:rPr>
                <w:rFonts w:ascii="Calibri" w:eastAsia="Times New Roman" w:hAnsi="Calibri" w:cs="Calibri"/>
                <w:b/>
                <w:noProof/>
                <w:sz w:val="20"/>
                <w:szCs w:val="22"/>
                <w:lang w:eastAsia="en-US"/>
              </w:rPr>
            </w:pPr>
            <w:r>
              <w:rPr>
                <w:rFonts w:ascii="Calibri" w:eastAsia="Times New Roman" w:hAnsi="Calibri" w:cs="Calibri"/>
                <w:noProof/>
                <w:sz w:val="20"/>
                <w:szCs w:val="22"/>
                <w:lang w:eastAsia="en-US"/>
              </w:rPr>
              <w:t>Europe</w:t>
            </w:r>
          </w:p>
        </w:tc>
        <w:tc>
          <w:tcPr>
            <w:tcW w:w="1701" w:type="dxa"/>
            <w:shd w:val="clear" w:color="auto" w:fill="auto"/>
          </w:tcPr>
          <w:p>
            <w:pPr>
              <w:pStyle w:val="Yo1Textpara"/>
              <w:spacing w:before="0"/>
              <w:jc w:val="right"/>
              <w:rPr>
                <w:rFonts w:ascii="Verdana" w:eastAsia="Times New Roman" w:hAnsi="Verdana" w:cs="Calibri"/>
                <w:b/>
                <w:noProof/>
                <w:color w:val="7F7F7F"/>
                <w:szCs w:val="22"/>
                <w:lang w:eastAsia="en-US"/>
              </w:rPr>
            </w:pPr>
            <w:r>
              <w:rPr>
                <w:rFonts w:ascii="Verdana" w:eastAsia="Times New Roman" w:hAnsi="Verdana" w:cs="Calibri"/>
                <w:b/>
                <w:noProof/>
                <w:color w:val="7F7F7F"/>
                <w:szCs w:val="22"/>
                <w:lang w:val="en-US" w:eastAsia="en-US"/>
              </w:rPr>
              <w:drawing>
                <wp:inline distT="0" distB="0" distL="0" distR="0">
                  <wp:extent cx="140970" cy="14414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0970" cy="144145"/>
                          </a:xfrm>
                          <a:prstGeom prst="rect">
                            <a:avLst/>
                          </a:prstGeom>
                          <a:noFill/>
                        </pic:spPr>
                      </pic:pic>
                    </a:graphicData>
                  </a:graphic>
                </wp:inline>
              </w:drawing>
            </w:r>
          </w:p>
        </w:tc>
        <w:tc>
          <w:tcPr>
            <w:tcW w:w="4501" w:type="dxa"/>
            <w:shd w:val="clear" w:color="auto" w:fill="auto"/>
          </w:tcPr>
          <w:p>
            <w:pPr>
              <w:pStyle w:val="Yo1Textpara"/>
              <w:spacing w:before="0"/>
              <w:rPr>
                <w:rFonts w:ascii="Calibri" w:eastAsia="Times New Roman" w:hAnsi="Calibri" w:cs="Calibri"/>
                <w:noProof/>
                <w:sz w:val="20"/>
                <w:szCs w:val="22"/>
                <w:lang w:eastAsia="en-US"/>
              </w:rPr>
            </w:pPr>
            <w:r>
              <w:rPr>
                <w:rFonts w:ascii="Calibri" w:eastAsia="Times New Roman" w:hAnsi="Calibri" w:cs="Calibri"/>
                <w:noProof/>
                <w:sz w:val="20"/>
                <w:szCs w:val="22"/>
                <w:lang w:eastAsia="en-US"/>
              </w:rPr>
              <w:t>Countries outside of Europe</w:t>
            </w:r>
          </w:p>
        </w:tc>
      </w:tr>
    </w:tbl>
    <w:p>
      <w:pPr>
        <w:pStyle w:val="p91Textpara"/>
        <w:tabs>
          <w:tab w:val="left" w:pos="709"/>
        </w:tabs>
        <w:spacing w:before="60"/>
        <w:rPr>
          <w:rFonts w:ascii="Verdana" w:eastAsia="Times New Roman" w:hAnsi="Verdana"/>
          <w:i/>
          <w:noProof/>
          <w:snapToGrid w:val="0"/>
          <w:color w:val="auto"/>
          <w:sz w:val="14"/>
          <w:szCs w:val="14"/>
        </w:rPr>
      </w:pPr>
      <w:r>
        <w:rPr>
          <w:rFonts w:ascii="Verdana" w:eastAsia="Times New Roman" w:hAnsi="Verdana"/>
          <w:i/>
          <w:noProof/>
          <w:snapToGrid w:val="0"/>
          <w:color w:val="auto"/>
          <w:sz w:val="14"/>
          <w:szCs w:val="14"/>
        </w:rPr>
        <w:t>Source</w:t>
      </w:r>
      <w:r>
        <w:rPr>
          <w:rFonts w:ascii="Verdana" w:eastAsia="Times New Roman" w:hAnsi="Verdana"/>
          <w:noProof/>
          <w:snapToGrid w:val="0"/>
          <w:color w:val="auto"/>
          <w:sz w:val="14"/>
          <w:szCs w:val="14"/>
        </w:rPr>
        <w:t>: Eurostat UOE [educ_uoe_mobs03].</w:t>
      </w:r>
    </w:p>
    <w:p>
      <w:pPr>
        <w:pStyle w:val="Yo1Textpara"/>
        <w:rPr>
          <w:bCs/>
          <w:noProof/>
        </w:rPr>
      </w:pPr>
      <w:r>
        <w:rPr>
          <w:bCs/>
          <w:noProof/>
        </w:rPr>
        <w:t xml:space="preserve">Disparities between countries are noticeable not only in terms of the total proportion of foreign students coming from abroad, but also their origin. While Luxembourg and Liechtenstein report the highest percentages of students from abroad, data show that they mainly come from other European countries rather than from areas outside of Europe. This pattern also applies to other countries with relatively high total proportions of incoming students, including Czech Republic, Denmark and Austria. Conversely, some EU Member States attract high proportions of tertiary students from areas outside of Europe </w:t>
      </w:r>
      <w:r>
        <w:rPr>
          <w:bCs/>
          <w:noProof/>
        </w:rPr>
        <w:sym w:font="Symbol" w:char="F02D"/>
      </w:r>
      <w:r>
        <w:rPr>
          <w:bCs/>
          <w:noProof/>
        </w:rPr>
        <w:t xml:space="preserve"> at least twice that from other European countries: this is the case of Ireland (mainly from Asia), France (in particular from African countries), Portugal (with a prevalence of central and southern American countries), Finland (with high a proportion of students from Asia including Russia) and the United Kingdom (also mostly from Asia) (</w:t>
      </w:r>
      <w:r>
        <w:rPr>
          <w:rStyle w:val="FootnoteReference"/>
          <w:bCs/>
          <w:noProof/>
        </w:rPr>
        <w:footnoteReference w:id="37"/>
      </w:r>
      <w:r>
        <w:rPr>
          <w:bCs/>
          <w:noProof/>
        </w:rPr>
        <w:t>).</w:t>
      </w:r>
    </w:p>
    <w:p>
      <w:pPr>
        <w:pStyle w:val="Yo1Textpara"/>
        <w:rPr>
          <w:noProof/>
          <w:szCs w:val="22"/>
        </w:rPr>
      </w:pPr>
      <w:r>
        <w:rPr>
          <w:noProof/>
          <w:szCs w:val="22"/>
        </w:rPr>
        <w:t>Besides tertiary education programmes, spending time abroad, getting acquainted with foreign cultures and interacting with peers from other countries represents an important occasion for non-formal and informal learning for many young people in Europe (</w:t>
      </w:r>
      <w:r>
        <w:rPr>
          <w:rStyle w:val="FootnoteReference"/>
          <w:noProof/>
          <w:szCs w:val="22"/>
        </w:rPr>
        <w:footnoteReference w:id="38"/>
      </w:r>
      <w:r>
        <w:rPr>
          <w:noProof/>
          <w:szCs w:val="22"/>
        </w:rPr>
        <w:t>). Unfortunately, quantitative data collected at international level on learning mobility outside of formal education are scarce (</w:t>
      </w:r>
      <w:r>
        <w:rPr>
          <w:rStyle w:val="FootnoteReference"/>
          <w:noProof/>
          <w:szCs w:val="22"/>
        </w:rPr>
        <w:footnoteReference w:id="39"/>
      </w:r>
      <w:r>
        <w:rPr>
          <w:noProof/>
          <w:szCs w:val="22"/>
        </w:rPr>
        <w:t>). Qualitative research has nonetheless shed some light on the learning benefits for participants in international youth mobility projects in the framework of the Erasmus+ programme (</w:t>
      </w:r>
      <w:r>
        <w:rPr>
          <w:rStyle w:val="FootnoteReference"/>
          <w:noProof/>
          <w:szCs w:val="22"/>
        </w:rPr>
        <w:footnoteReference w:id="40"/>
      </w:r>
      <w:r>
        <w:rPr>
          <w:noProof/>
          <w:szCs w:val="22"/>
        </w:rPr>
        <w:t>). Participation in youth mobility projects is seen as contributing to the development of all the key competences for lifelong learning. Communication in a foreign language, sense of entrepreneurship, civic competences, cultural awareness and expression, and learning skills (learning to learn) are reportedly the areas in which students benefit the most.  A positive impact has also been demonstrated on other competences such as communication in the first language (mother tongue), mathematical competences and a sense of initiative (</w:t>
      </w:r>
      <w:r>
        <w:rPr>
          <w:rStyle w:val="FootnoteReference"/>
          <w:noProof/>
          <w:szCs w:val="22"/>
        </w:rPr>
        <w:footnoteReference w:id="41"/>
      </w:r>
      <w:r>
        <w:rPr>
          <w:noProof/>
          <w:szCs w:val="22"/>
        </w:rPr>
        <w:t>). Youth workers engaged in mobility projects also report that their competences were boosted, in particular in the context of managing international youth projects (</w:t>
      </w:r>
      <w:r>
        <w:rPr>
          <w:rStyle w:val="FootnoteReference"/>
          <w:noProof/>
          <w:szCs w:val="22"/>
        </w:rPr>
        <w:footnoteReference w:id="42"/>
      </w:r>
      <w:r>
        <w:rPr>
          <w:noProof/>
          <w:szCs w:val="22"/>
        </w:rPr>
        <w:t>). In line with these general findings, a survey on young individuals taking part in mobility projects under Erasmus+ during 2015 shows that close to 94 % of the participants reported having improved their key competences and skills relevant to employability (</w:t>
      </w:r>
      <w:r>
        <w:rPr>
          <w:rStyle w:val="FootnoteReference"/>
          <w:noProof/>
          <w:szCs w:val="22"/>
        </w:rPr>
        <w:footnoteReference w:id="43"/>
      </w:r>
      <w:r>
        <w:rPr>
          <w:noProof/>
          <w:szCs w:val="22"/>
        </w:rPr>
        <w:t>).</w:t>
      </w:r>
    </w:p>
    <w:p>
      <w:pPr>
        <w:pStyle w:val="Yo1Textpara"/>
        <w:rPr>
          <w:noProof/>
          <w:szCs w:val="22"/>
        </w:rPr>
      </w:pPr>
      <w:r>
        <w:rPr>
          <w:noProof/>
          <w:szCs w:val="22"/>
        </w:rPr>
        <w:t>Last but not least, international learning mobility in the context of non-formal learning can be of particular benefit for young people with fewer opportunities. Qualitative research shows that these experiences actually bring an added value to the participants in terms of increased self-esteem, social and communicative skills, as well as vocational skills (</w:t>
      </w:r>
      <w:r>
        <w:rPr>
          <w:rStyle w:val="FootnoteReference"/>
          <w:noProof/>
          <w:szCs w:val="22"/>
        </w:rPr>
        <w:footnoteReference w:id="44"/>
      </w:r>
      <w:r>
        <w:rPr>
          <w:noProof/>
          <w:szCs w:val="22"/>
        </w:rPr>
        <w:t>).</w:t>
      </w:r>
    </w:p>
    <w:p>
      <w:pPr>
        <w:pStyle w:val="Yo1Textpara"/>
        <w:rPr>
          <w:noProof/>
          <w:szCs w:val="22"/>
        </w:rPr>
      </w:pPr>
    </w:p>
    <w:p>
      <w:pPr>
        <w:pStyle w:val="Yo1Textpara"/>
        <w:rPr>
          <w:rFonts w:ascii="Arial Narrow" w:hAnsi="Arial Narrow" w:cs="Arial"/>
          <w:bCs/>
          <w:caps/>
          <w:noProof/>
          <w:color w:val="DA1E48"/>
          <w:spacing w:val="10"/>
          <w:sz w:val="28"/>
          <w:szCs w:val="28"/>
          <w:lang w:val="en-US" w:eastAsia="en-US"/>
        </w:rPr>
      </w:pPr>
      <w:r>
        <w:rPr>
          <w:rFonts w:ascii="Arial Narrow" w:hAnsi="Arial Narrow" w:cs="Arial"/>
          <w:bCs/>
          <w:caps/>
          <w:noProof/>
          <w:color w:val="DA1E48"/>
          <w:spacing w:val="10"/>
          <w:sz w:val="28"/>
          <w:szCs w:val="28"/>
          <w:lang w:val="en-US" w:eastAsia="en-US"/>
        </w:rPr>
        <w:br w:type="page"/>
        <w:t>Conclusion</w:t>
      </w:r>
    </w:p>
    <w:p>
      <w:pPr>
        <w:pStyle w:val="Yo1Textpara"/>
        <w:rPr>
          <w:noProof/>
        </w:rPr>
      </w:pPr>
      <w:r>
        <w:rPr>
          <w:noProof/>
          <w:lang w:val="en-US"/>
        </w:rPr>
        <w:t>Young people are increasingly highly educated. The proportion of young Europeans attaining upper secondary qualifications continues to increase.</w:t>
      </w:r>
      <w:r>
        <w:rPr>
          <w:rFonts w:ascii="Calibri" w:hAnsi="Calibri"/>
          <w:noProof/>
          <w:szCs w:val="22"/>
          <w:lang w:eastAsia="en-US"/>
        </w:rPr>
        <w:t xml:space="preserve"> </w:t>
      </w:r>
      <w:r>
        <w:rPr>
          <w:noProof/>
        </w:rPr>
        <w:t xml:space="preserve">Increasing proportions of young Europeans gain tertiary degrees. The proportion of early school leavers is declining. </w:t>
      </w:r>
    </w:p>
    <w:p>
      <w:pPr>
        <w:pStyle w:val="Yo1Textpara"/>
        <w:rPr>
          <w:noProof/>
        </w:rPr>
      </w:pPr>
      <w:r>
        <w:rPr>
          <w:noProof/>
        </w:rPr>
        <w:t>However, significant shares of young people face challenges in completing their educational path. Europe still counts a worrying number of pupils with very low basic skills. What is worse, since 2009, the average proportions of low achievers have either stagnated – as in the case of reading and mathematics – or increased – as in science. In addition, participation in non-formal learning – which can be particularly beneficial to those who are at an educational disadvantage – is still limited.</w:t>
      </w:r>
      <w:bookmarkEnd w:id="16"/>
      <w:bookmarkEnd w:id="17"/>
      <w:bookmarkEnd w:id="18"/>
      <w:bookmarkEnd w:id="19"/>
      <w:bookmarkEnd w:id="20"/>
      <w:bookmarkEnd w:id="21"/>
      <w:bookmarkEnd w:id="22"/>
    </w:p>
    <w:sectPr>
      <w:headerReference w:type="even" r:id="rId66"/>
      <w:headerReference w:type="default" r:id="rId67"/>
      <w:footerReference w:type="even" r:id="rId68"/>
      <w:footerReference w:type="default" r:id="rId69"/>
      <w:headerReference w:type="first" r:id="rId70"/>
      <w:footerReference w:type="first" r:id="rId71"/>
      <w:pgSz w:w="11906" w:h="16838" w:code="9"/>
      <w:pgMar w:top="1985" w:right="992" w:bottom="851" w:left="992" w:header="709" w:footer="397" w:gutter="0"/>
      <w:pgNumType w:start="1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yriad Pro SemiExt">
    <w:altName w:val="Arial"/>
    <w:panose1 w:val="00000000000000000000"/>
    <w:charset w:val="00"/>
    <w:family w:val="swiss"/>
    <w:notTrueType/>
    <w:pitch w:val="variable"/>
    <w:sig w:usb0="00000001" w:usb1="00000000" w:usb2="00000000" w:usb3="00000000" w:csb0="0000009F" w:csb1="00000000"/>
  </w:font>
  <w:font w:name="Myriad Pro Light">
    <w:altName w:val="Arial"/>
    <w:panose1 w:val="00000000000000000000"/>
    <w:charset w:val="00"/>
    <w:family w:val="swiss"/>
    <w:notTrueType/>
    <w:pitch w:val="variable"/>
    <w:sig w:usb0="00000001"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charset w:val="00"/>
    <w:family w:val="roman"/>
    <w:pitch w:val="default"/>
  </w:font>
  <w:font w:name="Myriad Pro">
    <w:altName w:val="Arial"/>
    <w:panose1 w:val="00000000000000000000"/>
    <w:charset w:val="00"/>
    <w:family w:val="swiss"/>
    <w:notTrueType/>
    <w:pitch w:val="variable"/>
    <w:sig w:usb0="00000001" w:usb1="00000001" w:usb2="00000000" w:usb3="00000000" w:csb0="0000019F" w:csb1="00000000"/>
  </w:font>
  <w:font w:name="MyriadPro-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left="0"/>
      <w:rPr>
        <w:rFonts w:eastAsia="Calibri"/>
      </w:rPr>
    </w:pPr>
    <w:r>
      <w:rPr>
        <w:rFonts w:eastAsia="Calibri"/>
      </w:rPr>
      <w:fldChar w:fldCharType="begin"/>
    </w:r>
    <w:r>
      <w:rPr>
        <w:rFonts w:eastAsia="Calibri"/>
      </w:rPr>
      <w:instrText xml:space="preserve"> PAGE   \* MERGEFORMAT </w:instrText>
    </w:r>
    <w:r>
      <w:rPr>
        <w:rFonts w:eastAsia="Calibri"/>
      </w:rPr>
      <w:fldChar w:fldCharType="separate"/>
    </w:r>
    <w:r>
      <w:rPr>
        <w:rFonts w:eastAsia="Calibri"/>
        <w:noProof/>
      </w:rPr>
      <w:t>32</w:t>
    </w:r>
    <w:r>
      <w:rPr>
        <w:rFonts w:eastAsia="Calibr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35"/>
        <w:tab w:val="clear" w:pos="9071"/>
        <w:tab w:val="clear" w:pos="9921"/>
      </w:tabs>
      <w:ind w:right="-1"/>
      <w:jc w:val="center"/>
      <w:rPr>
        <w:rFonts w:eastAsia="Calibri"/>
      </w:rPr>
    </w:pPr>
    <w:r>
      <w:rPr>
        <w:rFonts w:eastAsia="Calibri"/>
      </w:rPr>
      <w:fldChar w:fldCharType="begin"/>
    </w:r>
    <w:r>
      <w:rPr>
        <w:rFonts w:eastAsia="Calibri"/>
      </w:rPr>
      <w:instrText xml:space="preserve"> PAGE   \* MERGEFORMAT </w:instrText>
    </w:r>
    <w:r>
      <w:rPr>
        <w:rFonts w:eastAsia="Calibri"/>
      </w:rPr>
      <w:fldChar w:fldCharType="separate"/>
    </w:r>
    <w:r>
      <w:rPr>
        <w:rFonts w:eastAsia="Calibri"/>
        <w:noProof/>
      </w:rPr>
      <w:t>17</w:t>
    </w:r>
    <w:r>
      <w:rPr>
        <w:rFonts w:eastAsia="Calibr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r>
      <w:r>
        <w:rPr>
          <w:bCs/>
          <w:sz w:val="18"/>
          <w:szCs w:val="18"/>
          <w:lang w:val="en-GB"/>
        </w:rPr>
        <w:t>Council of the European Union, 2017.</w:t>
      </w:r>
    </w:p>
  </w:footnote>
  <w:footnote w:id="3">
    <w:p>
      <w:pPr>
        <w:pStyle w:val="FootnoteText"/>
        <w:ind w:left="426" w:hanging="426"/>
        <w:rPr>
          <w:sz w:val="18"/>
          <w:szCs w:val="18"/>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lang w:val="hu-HU"/>
        </w:rPr>
        <w:t>EENEE, 2014.</w:t>
      </w:r>
    </w:p>
  </w:footnote>
  <w:footnote w:id="4">
    <w:p>
      <w:pPr>
        <w:pStyle w:val="FootnoteText"/>
        <w:tabs>
          <w:tab w:val="left" w:pos="720"/>
        </w:tabs>
        <w:ind w:left="426" w:hanging="426"/>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t xml:space="preserve">Source: </w:t>
      </w:r>
      <w:r>
        <w:rPr>
          <w:sz w:val="18"/>
          <w:szCs w:val="18"/>
          <w:lang w:val="hu-HU"/>
        </w:rPr>
        <w:t>Eurostat, '</w:t>
      </w:r>
      <w:r>
        <w:rPr>
          <w:sz w:val="18"/>
          <w:szCs w:val="18"/>
          <w:lang w:val="en-GB"/>
        </w:rPr>
        <w:t xml:space="preserve">Expected school years of pupils and students by education level', </w:t>
      </w:r>
      <w:r>
        <w:rPr>
          <w:sz w:val="18"/>
          <w:szCs w:val="18"/>
          <w:lang w:val="hu-HU"/>
        </w:rPr>
        <w:t xml:space="preserve">online data code: </w:t>
      </w:r>
      <w:r>
        <w:rPr>
          <w:sz w:val="18"/>
          <w:szCs w:val="18"/>
          <w:lang w:val="en-GB"/>
        </w:rPr>
        <w:t>educ_uoe_enra07. Data extracted on 19/06/2017.</w:t>
      </w:r>
    </w:p>
  </w:footnote>
  <w:footnote w:id="5">
    <w:p>
      <w:pPr>
        <w:pStyle w:val="FootnoteText"/>
        <w:ind w:left="426" w:hanging="426"/>
        <w:rPr>
          <w:sz w:val="18"/>
          <w:szCs w:val="18"/>
          <w:lang w:val="hu-HU"/>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lang w:val="hu-HU"/>
        </w:rPr>
        <w:t>Ibid.</w:t>
      </w:r>
    </w:p>
  </w:footnote>
  <w:footnote w:id="6">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European Commission, 2016a. For a detailed information on the duration of compulsory education/training in European countries, please see</w:t>
      </w:r>
      <w:r>
        <w:rPr>
          <w:rFonts w:eastAsia="Calibri"/>
          <w:sz w:val="18"/>
          <w:szCs w:val="18"/>
          <w:lang w:val="en-GB" w:eastAsia="fr-BE"/>
        </w:rPr>
        <w:t xml:space="preserve"> </w:t>
      </w:r>
      <w:r>
        <w:rPr>
          <w:sz w:val="18"/>
          <w:szCs w:val="18"/>
          <w:lang w:val="en-GB"/>
        </w:rPr>
        <w:t>European Commission/EACEA/Eurydice, 201</w:t>
      </w:r>
      <w:r>
        <w:rPr>
          <w:bCs/>
          <w:sz w:val="18"/>
          <w:szCs w:val="18"/>
          <w:lang w:val="en-GB"/>
        </w:rPr>
        <w:t>7a.</w:t>
      </w:r>
      <w:r>
        <w:rPr>
          <w:sz w:val="18"/>
          <w:szCs w:val="18"/>
          <w:lang w:val="en-GB"/>
        </w:rPr>
        <w:t xml:space="preserve"> </w:t>
      </w:r>
    </w:p>
  </w:footnote>
  <w:footnote w:id="7">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w:t>
      </w:r>
      <w:r>
        <w:rPr>
          <w:sz w:val="18"/>
          <w:szCs w:val="18"/>
          <w:lang w:val="en-GB"/>
        </w:rPr>
        <w:tab/>
        <w:t>European Commission, 2016a.</w:t>
      </w:r>
    </w:p>
  </w:footnote>
  <w:footnote w:id="8">
    <w:p>
      <w:pPr>
        <w:pStyle w:val="FootnoteText"/>
        <w:tabs>
          <w:tab w:val="left" w:pos="426"/>
        </w:tabs>
        <w:ind w:left="426" w:hanging="426"/>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t xml:space="preserve">Source: Eurostat, ‘Population by educational attainment level, sex and age’, </w:t>
      </w:r>
      <w:r>
        <w:rPr>
          <w:snapToGrid w:val="0"/>
          <w:sz w:val="18"/>
          <w:szCs w:val="18"/>
          <w:lang w:val="en-GB"/>
        </w:rPr>
        <w:t>o</w:t>
      </w:r>
      <w:r>
        <w:rPr>
          <w:snapToGrid w:val="0"/>
          <w:sz w:val="18"/>
          <w:szCs w:val="18"/>
        </w:rPr>
        <w:t>nline data code: edat_lfse_0</w:t>
      </w:r>
      <w:r>
        <w:rPr>
          <w:snapToGrid w:val="0"/>
          <w:sz w:val="18"/>
          <w:szCs w:val="18"/>
          <w:lang w:val="en-GB"/>
        </w:rPr>
        <w:t>3. Data extracted on 19/06/2017.</w:t>
      </w:r>
    </w:p>
  </w:footnote>
  <w:footnote w:id="9">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w:t>
      </w:r>
      <w:r>
        <w:rPr>
          <w:sz w:val="18"/>
          <w:szCs w:val="18"/>
          <w:lang w:val="en-GB"/>
        </w:rPr>
        <w:tab/>
        <w:t>The Europe 2020 strategy’s target aims at raising the level of tertiary attainment amongst 30-34 year-olds to 40 % by 2020.</w:t>
      </w:r>
    </w:p>
  </w:footnote>
  <w:footnote w:id="10">
    <w:p>
      <w:pPr>
        <w:pStyle w:val="FootnoteText"/>
        <w:ind w:left="426" w:hanging="426"/>
        <w:rPr>
          <w:sz w:val="18"/>
          <w:lang w:val="it-IT"/>
        </w:rPr>
      </w:pPr>
      <w:r>
        <w:rPr>
          <w:sz w:val="18"/>
          <w:lang w:val="it-IT"/>
        </w:rPr>
        <w:t>(</w:t>
      </w:r>
      <w:r>
        <w:rPr>
          <w:rStyle w:val="FootnoteReference"/>
          <w:sz w:val="18"/>
        </w:rPr>
        <w:footnoteRef/>
      </w:r>
      <w:r>
        <w:rPr>
          <w:sz w:val="18"/>
          <w:lang w:val="it-IT"/>
        </w:rPr>
        <w:t xml:space="preserve">) </w:t>
      </w:r>
      <w:r>
        <w:rPr>
          <w:sz w:val="18"/>
          <w:lang w:val="it-IT"/>
        </w:rPr>
        <w:tab/>
        <w:t>European Commission, 2017b.</w:t>
      </w:r>
    </w:p>
  </w:footnote>
  <w:footnote w:id="11">
    <w:p>
      <w:pPr>
        <w:pStyle w:val="FootnoteText"/>
        <w:tabs>
          <w:tab w:val="left" w:pos="426"/>
        </w:tabs>
        <w:ind w:left="426" w:hanging="426"/>
        <w:rPr>
          <w:sz w:val="18"/>
          <w:szCs w:val="18"/>
          <w:lang w:val="it-IT"/>
        </w:rPr>
      </w:pPr>
      <w:r>
        <w:rPr>
          <w:sz w:val="18"/>
          <w:szCs w:val="18"/>
          <w:lang w:val="it-IT"/>
        </w:rPr>
        <w:t>(</w:t>
      </w:r>
      <w:r>
        <w:rPr>
          <w:rStyle w:val="FootnoteReference"/>
          <w:sz w:val="18"/>
          <w:szCs w:val="18"/>
          <w:lang w:val="en-GB"/>
        </w:rPr>
        <w:footnoteRef/>
      </w:r>
      <w:r>
        <w:rPr>
          <w:sz w:val="18"/>
          <w:szCs w:val="18"/>
          <w:lang w:val="it-IT"/>
        </w:rPr>
        <w:t xml:space="preserve">) </w:t>
      </w:r>
      <w:r>
        <w:rPr>
          <w:sz w:val="18"/>
          <w:szCs w:val="18"/>
          <w:lang w:val="it-IT"/>
        </w:rPr>
        <w:tab/>
        <w:t>European Commission/EACEA/Eurydice/Cedefop, 2014.</w:t>
      </w:r>
    </w:p>
  </w:footnote>
  <w:footnote w:id="12">
    <w:p>
      <w:pPr>
        <w:pStyle w:val="FootnoteText"/>
        <w:tabs>
          <w:tab w:val="left" w:pos="426"/>
        </w:tabs>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Ibid.</w:t>
      </w:r>
    </w:p>
  </w:footnote>
  <w:footnote w:id="13">
    <w:p>
      <w:pPr>
        <w:pStyle w:val="FootnoteText"/>
        <w:tabs>
          <w:tab w:val="left" w:pos="426"/>
        </w:tabs>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European Commission, 2016a.</w:t>
      </w:r>
    </w:p>
  </w:footnote>
  <w:footnote w:id="14">
    <w:p>
      <w:pPr>
        <w:pStyle w:val="FootnoteText"/>
        <w:tabs>
          <w:tab w:val="left" w:pos="426"/>
        </w:tabs>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The ET 2020 Strategic framework includes a target of reducing the share of early school leavers to below 10 % by 2020.</w:t>
      </w:r>
    </w:p>
  </w:footnote>
  <w:footnote w:id="15">
    <w:p>
      <w:pPr>
        <w:pStyle w:val="FootnoteText"/>
        <w:ind w:left="426" w:hanging="426"/>
        <w:rPr>
          <w:sz w:val="18"/>
          <w:lang w:val="it-IT"/>
        </w:rPr>
      </w:pPr>
      <w:r>
        <w:rPr>
          <w:sz w:val="18"/>
          <w:lang w:val="it-IT"/>
        </w:rPr>
        <w:t>(</w:t>
      </w:r>
      <w:r>
        <w:rPr>
          <w:rStyle w:val="FootnoteReference"/>
          <w:sz w:val="18"/>
          <w:lang w:val="en-GB"/>
        </w:rPr>
        <w:footnoteRef/>
      </w:r>
      <w:r>
        <w:rPr>
          <w:sz w:val="18"/>
          <w:lang w:val="it-IT"/>
        </w:rPr>
        <w:t>)</w:t>
      </w:r>
      <w:r>
        <w:rPr>
          <w:sz w:val="18"/>
          <w:lang w:val="it-IT"/>
        </w:rPr>
        <w:tab/>
      </w:r>
      <w:r>
        <w:rPr>
          <w:bCs/>
          <w:sz w:val="18"/>
          <w:lang w:val="it-IT"/>
        </w:rPr>
        <w:t>European Commission/EACEA/Eurydice/Cedefop, 2014; European Commission, 2017d.</w:t>
      </w:r>
    </w:p>
  </w:footnote>
  <w:footnote w:id="16">
    <w:p>
      <w:pPr>
        <w:pStyle w:val="FootnoteText"/>
        <w:tabs>
          <w:tab w:val="left" w:pos="720"/>
          <w:tab w:val="left" w:pos="1440"/>
          <w:tab w:val="left" w:pos="2160"/>
          <w:tab w:val="left" w:pos="5611"/>
        </w:tabs>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w:t>
      </w:r>
      <w:r>
        <w:rPr>
          <w:sz w:val="18"/>
          <w:szCs w:val="18"/>
          <w:lang w:val="en-GB"/>
        </w:rPr>
        <w:tab/>
        <w:t>European Commission, 2013b.</w:t>
      </w:r>
    </w:p>
  </w:footnote>
  <w:footnote w:id="17">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w:t>
      </w:r>
      <w:r>
        <w:rPr>
          <w:sz w:val="18"/>
          <w:szCs w:val="18"/>
          <w:lang w:val="en-GB"/>
        </w:rPr>
        <w:tab/>
        <w:t>For the overview of validation mechanisms in place in European education systems, please see European Commission/EACEA/Eurydice, 2015a.</w:t>
      </w:r>
    </w:p>
  </w:footnote>
  <w:footnote w:id="18">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w:t>
      </w:r>
      <w:r>
        <w:rPr>
          <w:sz w:val="18"/>
          <w:szCs w:val="18"/>
          <w:lang w:val="en-GB"/>
        </w:rPr>
        <w:tab/>
        <w:t>The Recommendation adopted by the European Parliament and the Council in 2006 defines key competences as a combination of knowledge, skills and attitudes which all individuals need for personal fulfilment and development, active citizenship, social inclusion and employment (Recommendation of the European Parliament and of the Council of 18 December 2006 on key competences for lifelong learning - 2006/962/EC).</w:t>
      </w:r>
    </w:p>
  </w:footnote>
  <w:footnote w:id="19">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w:t>
      </w:r>
      <w:r>
        <w:rPr>
          <w:sz w:val="18"/>
          <w:szCs w:val="18"/>
          <w:lang w:val="en-GB"/>
        </w:rPr>
        <w:tab/>
        <w:t xml:space="preserve">Data on gender differences are available at </w:t>
      </w:r>
      <w:hyperlink r:id="rId1" w:history="1">
        <w:r>
          <w:rPr>
            <w:rStyle w:val="Hyperlink"/>
            <w:sz w:val="18"/>
            <w:szCs w:val="18"/>
            <w:lang w:val="en-GB"/>
          </w:rPr>
          <w:t>https://data.oecd.org/pisa/reading-performance-pisa.htm</w:t>
        </w:r>
      </w:hyperlink>
      <w:r>
        <w:rPr>
          <w:sz w:val="18"/>
          <w:szCs w:val="18"/>
          <w:lang w:val="en-GB"/>
        </w:rPr>
        <w:t xml:space="preserve"> (last accessed on 19/06/2017).</w:t>
      </w:r>
    </w:p>
  </w:footnote>
  <w:footnote w:id="20">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The Europe 2020 strategy includes a target to reduce the share of low achievers in reading, mathematics and science amongst 15 year-olds to below 15 % by 2020.</w:t>
      </w:r>
    </w:p>
  </w:footnote>
  <w:footnote w:id="21">
    <w:p>
      <w:pPr>
        <w:pStyle w:val="FootnoteText"/>
        <w:tabs>
          <w:tab w:val="left" w:pos="426"/>
        </w:tabs>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Detailed analysis of national policies can be found in a recent study on language learning in Europe (European Commission/EACEA/Eurydice, 2017b).</w:t>
      </w:r>
    </w:p>
  </w:footnote>
  <w:footnote w:id="22">
    <w:p>
      <w:pPr>
        <w:pStyle w:val="FootnoteText"/>
        <w:tabs>
          <w:tab w:val="left" w:pos="426"/>
        </w:tabs>
        <w:ind w:left="0" w:firstLine="0"/>
        <w:rPr>
          <w:lang w:val="en-GB"/>
        </w:rPr>
      </w:pPr>
      <w:r>
        <w:rPr>
          <w:sz w:val="18"/>
          <w:lang w:val="en-GB"/>
        </w:rPr>
        <w:t>(</w:t>
      </w:r>
      <w:r>
        <w:rPr>
          <w:rStyle w:val="FootnoteReference"/>
          <w:sz w:val="18"/>
          <w:szCs w:val="18"/>
        </w:rPr>
        <w:footnoteRef/>
      </w:r>
      <w:r>
        <w:rPr>
          <w:sz w:val="18"/>
          <w:lang w:val="en-GB"/>
        </w:rPr>
        <w:t>)</w:t>
      </w:r>
      <w:r>
        <w:rPr>
          <w:lang w:val="en-GB"/>
        </w:rPr>
        <w:tab/>
      </w:r>
      <w:r>
        <w:rPr>
          <w:sz w:val="18"/>
          <w:szCs w:val="18"/>
          <w:lang w:val="en-US"/>
        </w:rPr>
        <w:t>Ibid. p. 14 and pp. 121-124.</w:t>
      </w:r>
    </w:p>
  </w:footnote>
  <w:footnote w:id="23">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This definition is provided by Eurostat in the context of its lifelong learning statistics and is also applied in the EU LFS which collects data on participation in non-formal education and training during the four weeks preceding the survey.</w:t>
      </w:r>
    </w:p>
  </w:footnote>
  <w:footnote w:id="24">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In its online glossary, CEDEFOP defines non-formal learning as '</w:t>
      </w:r>
      <w:r>
        <w:rPr>
          <w:sz w:val="18"/>
          <w:szCs w:val="18"/>
          <w:lang w:val="en-GB" w:eastAsia="en-GB"/>
        </w:rPr>
        <w:t>le</w:t>
      </w:r>
      <w:r>
        <w:rPr>
          <w:sz w:val="18"/>
          <w:szCs w:val="18"/>
          <w:lang w:val="en-GB"/>
        </w:rPr>
        <w:t xml:space="preserve">arning which is embedded in planned activities not explicitly designated as learning (in terms of learning objectives, learning time or learning support), but which contain an important learning element. Non-formal learning is intentional from the learner’s point of view. It typically does not lead to certification'. </w:t>
      </w:r>
      <w:hyperlink r:id="rId2" w:history="1">
        <w:r>
          <w:rPr>
            <w:rStyle w:val="Hyperlink"/>
            <w:sz w:val="18"/>
            <w:szCs w:val="18"/>
            <w:lang w:val="en-GB"/>
          </w:rPr>
          <w:t>http://www.cedefop.europa.eu/en/events-and-projects/projects/validation-non-formal-and-informal-learning/european-inventory/european-inventory-glossary</w:t>
        </w:r>
      </w:hyperlink>
      <w:r>
        <w:rPr>
          <w:sz w:val="18"/>
          <w:szCs w:val="18"/>
          <w:lang w:val="en-GB"/>
        </w:rPr>
        <w:t xml:space="preserve"> (last accessed on 20/06/2017).</w:t>
      </w:r>
    </w:p>
  </w:footnote>
  <w:footnote w:id="25">
    <w:p>
      <w:pPr>
        <w:pStyle w:val="FootnoteText"/>
        <w:ind w:left="426" w:hanging="426"/>
        <w:rPr>
          <w:sz w:val="18"/>
          <w:szCs w:val="18"/>
          <w:lang w:val="hu-HU"/>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rPr>
        <w:t>European Council Recommendation of 20 December 2012 on the validation of non-formal and informal learning (2012/C 398/01)</w:t>
      </w:r>
      <w:r>
        <w:rPr>
          <w:sz w:val="18"/>
          <w:szCs w:val="18"/>
          <w:lang w:val="hu-HU"/>
        </w:rPr>
        <w:t>.</w:t>
      </w:r>
    </w:p>
  </w:footnote>
  <w:footnote w:id="26">
    <w:p>
      <w:pPr>
        <w:pStyle w:val="FootnoteText"/>
        <w:ind w:left="426" w:hanging="426"/>
        <w:rPr>
          <w:sz w:val="18"/>
          <w:szCs w:val="18"/>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lang w:val="hu-HU"/>
        </w:rPr>
        <w:t>Council of Europe, 2005.</w:t>
      </w:r>
    </w:p>
  </w:footnote>
  <w:footnote w:id="27">
    <w:p>
      <w:pPr>
        <w:pStyle w:val="FootnoteText"/>
        <w:ind w:left="426" w:hanging="426"/>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rPr>
        <w:t>Resolution of the Council and of the representatives of the governments of the Member States, meeting within the Council</w:t>
      </w:r>
      <w:r>
        <w:rPr>
          <w:sz w:val="18"/>
          <w:szCs w:val="18"/>
          <w:lang w:val="en-GB"/>
        </w:rPr>
        <w:t>,</w:t>
      </w:r>
      <w:r>
        <w:rPr>
          <w:sz w:val="18"/>
          <w:szCs w:val="18"/>
        </w:rPr>
        <w:t xml:space="preserve"> on youth work</w:t>
      </w:r>
      <w:r>
        <w:rPr>
          <w:sz w:val="18"/>
          <w:lang w:val="en-GB"/>
        </w:rPr>
        <w:t xml:space="preserve"> </w:t>
      </w:r>
      <w:r>
        <w:rPr>
          <w:sz w:val="18"/>
          <w:szCs w:val="18"/>
          <w:lang w:val="en-GB"/>
        </w:rPr>
        <w:t>(2010/C 329/01).</w:t>
      </w:r>
    </w:p>
  </w:footnote>
  <w:footnote w:id="28">
    <w:p>
      <w:pPr>
        <w:pStyle w:val="FootnoteText"/>
        <w:ind w:left="426" w:hanging="426"/>
        <w:rPr>
          <w:sz w:val="18"/>
          <w:szCs w:val="18"/>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lang w:val="hu-HU"/>
        </w:rPr>
        <w:t>Shernoff and Lowe Vandell, 2007.</w:t>
      </w:r>
    </w:p>
  </w:footnote>
  <w:footnote w:id="29">
    <w:p>
      <w:pPr>
        <w:pStyle w:val="FootnoteText"/>
        <w:ind w:left="426" w:hanging="426"/>
        <w:rPr>
          <w:sz w:val="18"/>
          <w:szCs w:val="18"/>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lang w:val="hu-HU"/>
        </w:rPr>
        <w:t>European Commission, 2014c.</w:t>
      </w:r>
      <w:r>
        <w:rPr>
          <w:sz w:val="18"/>
          <w:szCs w:val="18"/>
        </w:rPr>
        <w:t xml:space="preserve"> The study offers a detailed and comprehensive assessment of the various traditions and developments of youth work in Europe. It presents both secondary analysis of previous literature and data on the topic, and first-hand evidence collected through interviews. Most of the information presented in this section draws from this study's findings.</w:t>
      </w:r>
    </w:p>
  </w:footnote>
  <w:footnote w:id="30">
    <w:p>
      <w:pPr>
        <w:pStyle w:val="FootnoteText"/>
        <w:ind w:left="426" w:hanging="426"/>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lang w:val="hu-HU"/>
        </w:rPr>
        <w:t>Ibid.</w:t>
      </w:r>
    </w:p>
  </w:footnote>
  <w:footnote w:id="31">
    <w:p>
      <w:pPr>
        <w:pStyle w:val="FootnoteText"/>
        <w:ind w:left="426" w:hanging="426"/>
        <w:rPr>
          <w:sz w:val="18"/>
          <w:szCs w:val="18"/>
        </w:rPr>
      </w:pPr>
      <w:r>
        <w:rPr>
          <w:sz w:val="18"/>
          <w:szCs w:val="18"/>
        </w:rPr>
        <w:t>(</w:t>
      </w:r>
      <w:r>
        <w:rPr>
          <w:rStyle w:val="FootnoteReference"/>
          <w:sz w:val="18"/>
          <w:szCs w:val="18"/>
        </w:rPr>
        <w:footnoteRef/>
      </w:r>
      <w:r>
        <w:rPr>
          <w:sz w:val="18"/>
          <w:szCs w:val="18"/>
        </w:rPr>
        <w:t xml:space="preserve">) </w:t>
      </w:r>
      <w:r>
        <w:rPr>
          <w:sz w:val="18"/>
          <w:szCs w:val="18"/>
          <w:lang w:val="en-GB"/>
        </w:rPr>
        <w:tab/>
        <w:t xml:space="preserve">Ibid. </w:t>
      </w:r>
    </w:p>
  </w:footnote>
  <w:footnote w:id="32">
    <w:p>
      <w:pPr>
        <w:pStyle w:val="FootnoteText"/>
        <w:ind w:left="426" w:hanging="426"/>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lang w:val="hu-HU"/>
        </w:rPr>
        <w:t>Ibid.</w:t>
      </w:r>
    </w:p>
  </w:footnote>
  <w:footnote w:id="33">
    <w:p>
      <w:pPr>
        <w:pStyle w:val="FootnoteText"/>
        <w:ind w:left="426" w:hanging="426"/>
        <w:rPr>
          <w:sz w:val="18"/>
          <w:szCs w:val="18"/>
          <w:lang w:val="en-GB"/>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lang w:val="hu-HU"/>
        </w:rPr>
        <w:t>Ibid.</w:t>
      </w:r>
    </w:p>
  </w:footnote>
  <w:footnote w:id="34">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European Commission, 2014b.</w:t>
      </w:r>
    </w:p>
  </w:footnote>
  <w:footnote w:id="35">
    <w:p>
      <w:pPr>
        <w:pStyle w:val="FootnoteText"/>
        <w:ind w:left="426" w:hanging="426"/>
        <w:rPr>
          <w:sz w:val="18"/>
          <w:szCs w:val="18"/>
          <w:lang w:val="hu-HU"/>
        </w:rPr>
      </w:pPr>
      <w:r>
        <w:rPr>
          <w:sz w:val="18"/>
          <w:szCs w:val="18"/>
        </w:rPr>
        <w:t>(</w:t>
      </w:r>
      <w:r>
        <w:rPr>
          <w:rStyle w:val="FootnoteReference"/>
          <w:sz w:val="18"/>
          <w:szCs w:val="18"/>
        </w:rPr>
        <w:footnoteRef/>
      </w:r>
      <w:r>
        <w:rPr>
          <w:sz w:val="18"/>
          <w:szCs w:val="18"/>
        </w:rPr>
        <w:t xml:space="preserve">) </w:t>
      </w:r>
      <w:r>
        <w:rPr>
          <w:sz w:val="18"/>
          <w:szCs w:val="18"/>
          <w:lang w:val="en-GB"/>
        </w:rPr>
        <w:tab/>
      </w:r>
      <w:r>
        <w:rPr>
          <w:sz w:val="18"/>
          <w:szCs w:val="18"/>
          <w:lang w:val="hu-HU"/>
        </w:rPr>
        <w:t>Ibid, p. 14.</w:t>
      </w:r>
    </w:p>
  </w:footnote>
  <w:footnote w:id="36">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 xml:space="preserve">) </w:t>
      </w:r>
      <w:r>
        <w:rPr>
          <w:sz w:val="18"/>
          <w:szCs w:val="18"/>
          <w:lang w:val="en-GB"/>
        </w:rPr>
        <w:tab/>
        <w:t>Council of the European Union, 2011. European Commission, 2017d.</w:t>
      </w:r>
    </w:p>
  </w:footnote>
  <w:footnote w:id="37">
    <w:p>
      <w:pPr>
        <w:pStyle w:val="FootnoteText"/>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w:t>
      </w:r>
      <w:r>
        <w:rPr>
          <w:sz w:val="18"/>
          <w:szCs w:val="18"/>
          <w:lang w:val="en-GB"/>
        </w:rPr>
        <w:tab/>
        <w:t>Source: Eurostat UOE [educ_uoe_mobs03].</w:t>
      </w:r>
    </w:p>
  </w:footnote>
  <w:footnote w:id="38">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r>
      <w:r>
        <w:rPr>
          <w:sz w:val="18"/>
          <w:szCs w:val="18"/>
          <w:lang w:val="hu-HU"/>
        </w:rPr>
        <w:t>Fennes, 2013.</w:t>
      </w:r>
    </w:p>
  </w:footnote>
  <w:footnote w:id="39">
    <w:p>
      <w:pPr>
        <w:pStyle w:val="FootnoteText"/>
        <w:tabs>
          <w:tab w:val="left" w:pos="720"/>
          <w:tab w:val="left" w:pos="2880"/>
        </w:tabs>
        <w:ind w:left="426" w:hanging="426"/>
        <w:rPr>
          <w:sz w:val="18"/>
          <w:szCs w:val="18"/>
          <w:lang w:val="hu-HU"/>
        </w:rPr>
      </w:pPr>
      <w:r>
        <w:rPr>
          <w:sz w:val="18"/>
          <w:szCs w:val="18"/>
          <w:lang w:val="hu-HU"/>
        </w:rPr>
        <w:t>(</w:t>
      </w:r>
      <w:r>
        <w:rPr>
          <w:rStyle w:val="FootnoteReference"/>
          <w:sz w:val="18"/>
          <w:szCs w:val="18"/>
        </w:rPr>
        <w:footnoteRef/>
      </w:r>
      <w:r>
        <w:rPr>
          <w:sz w:val="18"/>
          <w:szCs w:val="18"/>
          <w:lang w:val="hu-HU"/>
        </w:rPr>
        <w:t>)</w:t>
      </w:r>
      <w:r>
        <w:rPr>
          <w:sz w:val="18"/>
          <w:szCs w:val="18"/>
          <w:lang w:val="hu-HU"/>
        </w:rPr>
        <w:tab/>
        <w:t>Ibid.</w:t>
      </w:r>
    </w:p>
  </w:footnote>
  <w:footnote w:id="40">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r>
      <w:r>
        <w:rPr>
          <w:sz w:val="18"/>
          <w:szCs w:val="18"/>
        </w:rPr>
        <w:t xml:space="preserve">The aim of </w:t>
      </w:r>
      <w:r>
        <w:rPr>
          <w:sz w:val="18"/>
          <w:szCs w:val="18"/>
          <w:lang w:val="en-GB"/>
        </w:rPr>
        <w:t xml:space="preserve">the </w:t>
      </w:r>
      <w:r>
        <w:rPr>
          <w:sz w:val="18"/>
          <w:szCs w:val="18"/>
        </w:rPr>
        <w:t xml:space="preserve">Erasmus+ </w:t>
      </w:r>
      <w:r>
        <w:rPr>
          <w:sz w:val="18"/>
          <w:szCs w:val="18"/>
          <w:lang w:val="en-GB"/>
        </w:rPr>
        <w:t xml:space="preserve">programme </w:t>
      </w:r>
      <w:r>
        <w:rPr>
          <w:sz w:val="18"/>
          <w:szCs w:val="18"/>
        </w:rPr>
        <w:t>is to contribute to the Europe 2020 strategy for growth, jobs, social equity and inclusion, as well as the aims of ET2020, the EU's strategic framework for education and training.</w:t>
      </w:r>
      <w:r>
        <w:rPr>
          <w:sz w:val="18"/>
          <w:szCs w:val="18"/>
          <w:lang w:val="en-GB"/>
        </w:rPr>
        <w:t xml:space="preserve"> </w:t>
      </w:r>
      <w:r>
        <w:rPr>
          <w:sz w:val="18"/>
          <w:szCs w:val="18"/>
        </w:rPr>
        <w:t>Erasmus+ also aims to promote the sustainable development of its partners in the field of higher education, and contribute to achieving the objectives of the EU Youth Strategy.</w:t>
      </w:r>
      <w:r>
        <w:rPr>
          <w:sz w:val="18"/>
          <w:szCs w:val="18"/>
          <w:lang w:val="en-GB"/>
        </w:rPr>
        <w:t xml:space="preserve"> Detailed information is available at </w:t>
      </w:r>
      <w:hyperlink r:id="rId3" w:history="1">
        <w:r>
          <w:rPr>
            <w:rStyle w:val="Hyperlink"/>
            <w:sz w:val="18"/>
            <w:szCs w:val="18"/>
            <w:lang w:val="en-GB"/>
          </w:rPr>
          <w:t>http://ec.europa.eu/programmes/erasmus-plus/about_en</w:t>
        </w:r>
      </w:hyperlink>
      <w:r>
        <w:rPr>
          <w:sz w:val="18"/>
          <w:szCs w:val="18"/>
          <w:lang w:val="en-GB"/>
        </w:rPr>
        <w:t xml:space="preserve"> (accessed 14/09/2017).</w:t>
      </w:r>
    </w:p>
  </w:footnote>
  <w:footnote w:id="41">
    <w:p>
      <w:pPr>
        <w:pStyle w:val="FootnoteText"/>
        <w:ind w:left="426" w:hanging="426"/>
        <w:rPr>
          <w:sz w:val="18"/>
          <w:szCs w:val="18"/>
          <w:lang w:val="sv-SE"/>
        </w:rPr>
      </w:pPr>
      <w:r>
        <w:rPr>
          <w:sz w:val="18"/>
          <w:szCs w:val="18"/>
          <w:lang w:val="sv-SE"/>
        </w:rPr>
        <w:t>(</w:t>
      </w:r>
      <w:r>
        <w:rPr>
          <w:rStyle w:val="FootnoteReference"/>
          <w:sz w:val="18"/>
          <w:szCs w:val="18"/>
        </w:rPr>
        <w:footnoteRef/>
      </w:r>
      <w:r>
        <w:rPr>
          <w:sz w:val="18"/>
          <w:szCs w:val="18"/>
          <w:lang w:val="sv-SE"/>
        </w:rPr>
        <w:t>)</w:t>
      </w:r>
      <w:r>
        <w:rPr>
          <w:sz w:val="18"/>
          <w:szCs w:val="18"/>
        </w:rPr>
        <w:t xml:space="preserve"> </w:t>
      </w:r>
      <w:r>
        <w:rPr>
          <w:sz w:val="18"/>
          <w:szCs w:val="18"/>
          <w:lang w:val="sv-SE"/>
        </w:rPr>
        <w:tab/>
        <w:t>Fennes, 2013.</w:t>
      </w:r>
    </w:p>
  </w:footnote>
  <w:footnote w:id="42">
    <w:p>
      <w:pPr>
        <w:pStyle w:val="FootnoteText"/>
        <w:ind w:left="426" w:hanging="426"/>
        <w:rPr>
          <w:sz w:val="18"/>
          <w:szCs w:val="18"/>
          <w:lang w:val="sv-SE"/>
        </w:rPr>
      </w:pPr>
      <w:r>
        <w:rPr>
          <w:sz w:val="18"/>
          <w:szCs w:val="18"/>
          <w:lang w:val="sv-SE"/>
        </w:rPr>
        <w:t>(</w:t>
      </w:r>
      <w:r>
        <w:rPr>
          <w:rStyle w:val="FootnoteReference"/>
          <w:sz w:val="18"/>
          <w:szCs w:val="18"/>
        </w:rPr>
        <w:footnoteRef/>
      </w:r>
      <w:r>
        <w:rPr>
          <w:sz w:val="18"/>
          <w:szCs w:val="18"/>
          <w:lang w:val="sv-SE"/>
        </w:rPr>
        <w:t>)</w:t>
      </w:r>
      <w:r>
        <w:rPr>
          <w:sz w:val="18"/>
          <w:szCs w:val="18"/>
        </w:rPr>
        <w:t xml:space="preserve"> </w:t>
      </w:r>
      <w:r>
        <w:rPr>
          <w:sz w:val="18"/>
          <w:szCs w:val="18"/>
          <w:lang w:val="sv-SE"/>
        </w:rPr>
        <w:tab/>
        <w:t>Ibid.</w:t>
      </w:r>
    </w:p>
  </w:footnote>
  <w:footnote w:id="43">
    <w:p>
      <w:pPr>
        <w:pStyle w:val="FootnoteText"/>
        <w:ind w:left="426" w:hanging="426"/>
        <w:rPr>
          <w:sz w:val="18"/>
          <w:szCs w:val="18"/>
          <w:lang w:val="sv-SE"/>
        </w:rPr>
      </w:pPr>
      <w:r>
        <w:rPr>
          <w:sz w:val="18"/>
          <w:szCs w:val="18"/>
          <w:lang w:val="sv-SE"/>
        </w:rPr>
        <w:t>(</w:t>
      </w:r>
      <w:r>
        <w:rPr>
          <w:rStyle w:val="FootnoteReference"/>
          <w:sz w:val="18"/>
          <w:szCs w:val="18"/>
        </w:rPr>
        <w:footnoteRef/>
      </w:r>
      <w:r>
        <w:rPr>
          <w:sz w:val="18"/>
          <w:szCs w:val="18"/>
          <w:lang w:val="sv-SE"/>
        </w:rPr>
        <w:t>)</w:t>
      </w:r>
      <w:r>
        <w:rPr>
          <w:sz w:val="18"/>
          <w:szCs w:val="18"/>
        </w:rPr>
        <w:t xml:space="preserve"> </w:t>
      </w:r>
      <w:r>
        <w:rPr>
          <w:sz w:val="18"/>
          <w:szCs w:val="18"/>
          <w:lang w:val="sv-SE"/>
        </w:rPr>
        <w:tab/>
        <w:t xml:space="preserve">European Commission, 2017e. </w:t>
      </w:r>
    </w:p>
  </w:footnote>
  <w:footnote w:id="44">
    <w:p>
      <w:pPr>
        <w:pStyle w:val="FootnoteText"/>
        <w:ind w:left="426" w:hanging="426"/>
        <w:rPr>
          <w:sz w:val="18"/>
          <w:szCs w:val="18"/>
          <w:lang w:val="sv-SE"/>
        </w:rPr>
      </w:pPr>
      <w:r>
        <w:rPr>
          <w:sz w:val="18"/>
          <w:szCs w:val="18"/>
          <w:lang w:val="sv-SE"/>
        </w:rPr>
        <w:t>(</w:t>
      </w:r>
      <w:r>
        <w:rPr>
          <w:rStyle w:val="FootnoteReference"/>
          <w:sz w:val="18"/>
          <w:szCs w:val="18"/>
        </w:rPr>
        <w:footnoteRef/>
      </w:r>
      <w:r>
        <w:rPr>
          <w:sz w:val="18"/>
          <w:szCs w:val="18"/>
          <w:lang w:val="sv-SE"/>
        </w:rPr>
        <w:t>)</w:t>
      </w:r>
      <w:r>
        <w:rPr>
          <w:sz w:val="18"/>
          <w:szCs w:val="18"/>
        </w:rPr>
        <w:t xml:space="preserve"> </w:t>
      </w:r>
      <w:r>
        <w:rPr>
          <w:sz w:val="18"/>
          <w:szCs w:val="18"/>
          <w:lang w:val="sv-SE"/>
        </w:rPr>
        <w:tab/>
      </w:r>
      <w:r>
        <w:rPr>
          <w:sz w:val="18"/>
          <w:szCs w:val="18"/>
        </w:rPr>
        <w:t>Kristensen</w:t>
      </w:r>
      <w:r>
        <w:rPr>
          <w:sz w:val="18"/>
          <w:szCs w:val="18"/>
          <w:lang w:val="sv-SE"/>
        </w:rPr>
        <w:t>,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65" w:type="pct"/>
      <w:tblInd w:w="-885" w:type="dxa"/>
      <w:tblLook w:val="04A0" w:firstRow="1" w:lastRow="0" w:firstColumn="1" w:lastColumn="0" w:noHBand="0" w:noVBand="1"/>
    </w:tblPr>
    <w:tblGrid>
      <w:gridCol w:w="1146"/>
      <w:gridCol w:w="1570"/>
      <w:gridCol w:w="6619"/>
      <w:gridCol w:w="1654"/>
      <w:gridCol w:w="903"/>
    </w:tblGrid>
    <w:tr>
      <w:trPr>
        <w:trHeight w:hRule="exact" w:val="567"/>
      </w:trPr>
      <w:tc>
        <w:tcPr>
          <w:tcW w:w="1134" w:type="dxa"/>
          <w:shd w:val="clear" w:color="auto" w:fill="ED556E"/>
        </w:tcPr>
        <w:p>
          <w:pPr>
            <w:pStyle w:val="Header"/>
            <w:jc w:val="right"/>
          </w:pPr>
          <w:r>
            <w:t>2</w:t>
          </w:r>
        </w:p>
      </w:tc>
      <w:tc>
        <w:tcPr>
          <w:tcW w:w="1554" w:type="dxa"/>
          <w:shd w:val="clear" w:color="auto" w:fill="D9D9D9"/>
        </w:tcPr>
        <w:p>
          <w:pPr>
            <w:pStyle w:val="Header"/>
          </w:pPr>
        </w:p>
      </w:tc>
      <w:tc>
        <w:tcPr>
          <w:tcW w:w="6552" w:type="dxa"/>
          <w:shd w:val="clear" w:color="auto" w:fill="auto"/>
          <w:vAlign w:val="bottom"/>
        </w:tcPr>
        <w:p>
          <w:pPr>
            <w:pStyle w:val="Yo4Headereven"/>
          </w:pPr>
          <w:r>
            <w:rPr>
              <w:rFonts w:ascii="Arial" w:hAnsi="Arial"/>
              <w:noProof/>
              <w:color w:val="FF0000"/>
              <w:sz w:val="20"/>
            </w:rPr>
            <w:t>Education and Training</w:t>
          </w:r>
        </w:p>
      </w:tc>
      <w:tc>
        <w:tcPr>
          <w:tcW w:w="1637" w:type="dxa"/>
          <w:shd w:val="clear" w:color="auto" w:fill="auto"/>
        </w:tcPr>
        <w:p>
          <w:pPr>
            <w:pStyle w:val="Header"/>
          </w:pPr>
        </w:p>
      </w:tc>
      <w:tc>
        <w:tcPr>
          <w:tcW w:w="894" w:type="dxa"/>
          <w:shd w:val="clear" w:color="auto" w:fill="auto"/>
        </w:tcPr>
        <w:p>
          <w:pPr>
            <w:pStyle w:val="Header"/>
          </w:pPr>
        </w:p>
      </w:tc>
    </w:tr>
  </w:tbl>
  <w:p>
    <w:pPr>
      <w:pStyle w:val="Yo5TextNote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33" w:type="pct"/>
      <w:tblInd w:w="-601" w:type="dxa"/>
      <w:tblLook w:val="04A0" w:firstRow="1" w:lastRow="0" w:firstColumn="1" w:lastColumn="0" w:noHBand="0" w:noVBand="1"/>
    </w:tblPr>
    <w:tblGrid>
      <w:gridCol w:w="867"/>
      <w:gridCol w:w="1574"/>
      <w:gridCol w:w="6341"/>
      <w:gridCol w:w="1643"/>
      <w:gridCol w:w="1199"/>
    </w:tblGrid>
    <w:tr>
      <w:trPr>
        <w:trHeight w:hRule="exact" w:val="567"/>
      </w:trPr>
      <w:tc>
        <w:tcPr>
          <w:tcW w:w="820" w:type="dxa"/>
          <w:shd w:val="clear" w:color="auto" w:fill="auto"/>
        </w:tcPr>
        <w:p>
          <w:pPr>
            <w:pStyle w:val="Header"/>
          </w:pPr>
        </w:p>
      </w:tc>
      <w:tc>
        <w:tcPr>
          <w:tcW w:w="1489" w:type="dxa"/>
          <w:shd w:val="clear" w:color="auto" w:fill="auto"/>
        </w:tcPr>
        <w:p>
          <w:pPr>
            <w:pStyle w:val="Header"/>
          </w:pPr>
        </w:p>
      </w:tc>
      <w:tc>
        <w:tcPr>
          <w:tcW w:w="5997" w:type="dxa"/>
          <w:shd w:val="clear" w:color="auto" w:fill="auto"/>
          <w:vAlign w:val="bottom"/>
        </w:tcPr>
        <w:p>
          <w:pPr>
            <w:pStyle w:val="Yo4Headerodd"/>
          </w:pPr>
          <w:r>
            <w:rPr>
              <w:rFonts w:ascii="Arial" w:hAnsi="Arial"/>
              <w:noProof/>
              <w:color w:val="FF0000"/>
              <w:sz w:val="20"/>
            </w:rPr>
            <w:t>Education and Training</w:t>
          </w:r>
        </w:p>
      </w:tc>
      <w:tc>
        <w:tcPr>
          <w:tcW w:w="1554" w:type="dxa"/>
          <w:shd w:val="clear" w:color="auto" w:fill="D9D9D9"/>
        </w:tcPr>
        <w:p>
          <w:pPr>
            <w:pStyle w:val="Header"/>
          </w:pPr>
        </w:p>
      </w:tc>
      <w:tc>
        <w:tcPr>
          <w:tcW w:w="1134" w:type="dxa"/>
          <w:shd w:val="clear" w:color="auto" w:fill="ED556E"/>
          <w:vAlign w:val="center"/>
        </w:tcPr>
        <w:p>
          <w:pPr>
            <w:pStyle w:val="Header"/>
          </w:pPr>
          <w:r>
            <w:t>2</w:t>
          </w:r>
        </w:p>
      </w:tc>
    </w:tr>
  </w:tbl>
  <w:p>
    <w:pPr>
      <w:pStyle w:val="Yo5TextNote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6E68AA"/>
    <w:lvl w:ilvl="0">
      <w:start w:val="1"/>
      <w:numFmt w:val="decimal"/>
      <w:lvlText w:val="%1."/>
      <w:lvlJc w:val="left"/>
      <w:pPr>
        <w:tabs>
          <w:tab w:val="num" w:pos="1492"/>
        </w:tabs>
        <w:ind w:left="1492" w:hanging="360"/>
      </w:pPr>
    </w:lvl>
  </w:abstractNum>
  <w:abstractNum w:abstractNumId="1">
    <w:nsid w:val="FFFFFF7E"/>
    <w:multiLevelType w:val="singleLevel"/>
    <w:tmpl w:val="20023824"/>
    <w:lvl w:ilvl="0">
      <w:start w:val="1"/>
      <w:numFmt w:val="decimal"/>
      <w:pStyle w:val="ListBullet2"/>
      <w:lvlText w:val="%1."/>
      <w:lvlJc w:val="left"/>
      <w:pPr>
        <w:tabs>
          <w:tab w:val="num" w:pos="926"/>
        </w:tabs>
        <w:ind w:left="926" w:hanging="360"/>
      </w:pPr>
      <w:rPr>
        <w:rFonts w:cs="Times New Roman"/>
      </w:rPr>
    </w:lvl>
  </w:abstractNum>
  <w:abstractNum w:abstractNumId="2">
    <w:nsid w:val="FFFFFF7F"/>
    <w:multiLevelType w:val="singleLevel"/>
    <w:tmpl w:val="E71E1756"/>
    <w:lvl w:ilvl="0">
      <w:start w:val="1"/>
      <w:numFmt w:val="decimal"/>
      <w:pStyle w:val="ListBullet"/>
      <w:lvlText w:val="%1."/>
      <w:lvlJc w:val="left"/>
      <w:pPr>
        <w:tabs>
          <w:tab w:val="num" w:pos="643"/>
        </w:tabs>
        <w:ind w:left="643" w:hanging="360"/>
      </w:pPr>
      <w:rPr>
        <w:rFonts w:cs="Times New Roman"/>
      </w:rPr>
    </w:lvl>
  </w:abstractNum>
  <w:abstractNum w:abstractNumId="3">
    <w:nsid w:val="FFFFFF80"/>
    <w:multiLevelType w:val="singleLevel"/>
    <w:tmpl w:val="3E0837BA"/>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113099C8"/>
    <w:lvl w:ilvl="0">
      <w:start w:val="1"/>
      <w:numFmt w:val="bullet"/>
      <w:pStyle w:val="ListNumber3"/>
      <w:lvlText w:val=""/>
      <w:lvlJc w:val="left"/>
      <w:pPr>
        <w:tabs>
          <w:tab w:val="num" w:pos="1209"/>
        </w:tabs>
        <w:ind w:left="1209" w:hanging="360"/>
      </w:pPr>
      <w:rPr>
        <w:rFonts w:ascii="Symbol" w:hAnsi="Symbol" w:hint="default"/>
      </w:rPr>
    </w:lvl>
  </w:abstractNum>
  <w:abstractNum w:abstractNumId="5">
    <w:nsid w:val="FFFFFF82"/>
    <w:multiLevelType w:val="singleLevel"/>
    <w:tmpl w:val="F7A2C098"/>
    <w:lvl w:ilvl="0">
      <w:start w:val="1"/>
      <w:numFmt w:val="bullet"/>
      <w:pStyle w:val="ListNumber2"/>
      <w:lvlText w:val=""/>
      <w:lvlJc w:val="left"/>
      <w:pPr>
        <w:tabs>
          <w:tab w:val="num" w:pos="926"/>
        </w:tabs>
        <w:ind w:left="926" w:hanging="360"/>
      </w:pPr>
      <w:rPr>
        <w:rFonts w:ascii="Symbol" w:hAnsi="Symbol" w:hint="default"/>
      </w:rPr>
    </w:lvl>
  </w:abstractNum>
  <w:abstractNum w:abstractNumId="6">
    <w:nsid w:val="FFFFFF83"/>
    <w:multiLevelType w:val="singleLevel"/>
    <w:tmpl w:val="9950308C"/>
    <w:lvl w:ilvl="0">
      <w:start w:val="1"/>
      <w:numFmt w:val="bullet"/>
      <w:pStyle w:val="ListBullet4"/>
      <w:lvlText w:val=""/>
      <w:lvlJc w:val="left"/>
      <w:pPr>
        <w:tabs>
          <w:tab w:val="num" w:pos="643"/>
        </w:tabs>
        <w:ind w:left="643" w:hanging="360"/>
      </w:pPr>
      <w:rPr>
        <w:rFonts w:ascii="Symbol" w:hAnsi="Symbol" w:hint="default"/>
      </w:rPr>
    </w:lvl>
  </w:abstractNum>
  <w:abstractNum w:abstractNumId="7">
    <w:nsid w:val="FFFFFF88"/>
    <w:multiLevelType w:val="singleLevel"/>
    <w:tmpl w:val="31DA0418"/>
    <w:lvl w:ilvl="0">
      <w:start w:val="1"/>
      <w:numFmt w:val="decimal"/>
      <w:pStyle w:val="ListNumber4"/>
      <w:lvlText w:val="%1."/>
      <w:lvlJc w:val="left"/>
      <w:pPr>
        <w:tabs>
          <w:tab w:val="num" w:pos="360"/>
        </w:tabs>
        <w:ind w:left="360" w:hanging="360"/>
      </w:pPr>
      <w:rPr>
        <w:rFonts w:cs="Times New Roman"/>
      </w:rPr>
    </w:lvl>
  </w:abstractNum>
  <w:abstractNum w:abstractNumId="8">
    <w:nsid w:val="FFFFFF89"/>
    <w:multiLevelType w:val="singleLevel"/>
    <w:tmpl w:val="549C364E"/>
    <w:lvl w:ilvl="0">
      <w:start w:val="1"/>
      <w:numFmt w:val="bullet"/>
      <w:pStyle w:val="ListBullet3"/>
      <w:lvlText w:val=""/>
      <w:lvlJc w:val="left"/>
      <w:pPr>
        <w:tabs>
          <w:tab w:val="num" w:pos="360"/>
        </w:tabs>
        <w:ind w:left="360" w:hanging="360"/>
      </w:pPr>
      <w:rPr>
        <w:rFonts w:ascii="Symbol" w:hAnsi="Symbol" w:hint="default"/>
      </w:rPr>
    </w:lvl>
  </w:abstractNum>
  <w:abstractNum w:abstractNumId="9">
    <w:nsid w:val="076A1B99"/>
    <w:multiLevelType w:val="hybridMultilevel"/>
    <w:tmpl w:val="7C401FD2"/>
    <w:lvl w:ilvl="0" w:tplc="0CBAACC0">
      <w:start w:val="1"/>
      <w:numFmt w:val="decimal"/>
      <w:pStyle w:val="Yo11TextNum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1314432"/>
    <w:multiLevelType w:val="multilevel"/>
    <w:tmpl w:val="56C06BBC"/>
    <w:lvl w:ilvl="0">
      <w:start w:val="1"/>
      <w:numFmt w:val="bullet"/>
      <w:pStyle w:val="Yo11Textbulletlvl1"/>
      <w:lvlText w:val=""/>
      <w:lvlJc w:val="left"/>
      <w:pPr>
        <w:ind w:left="360" w:hanging="360"/>
      </w:pPr>
      <w:rPr>
        <w:rFonts w:ascii="Symbol" w:hAnsi="Symbol" w:hint="default"/>
        <w:b w:val="0"/>
        <w:i w:val="0"/>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2F85CBE"/>
    <w:multiLevelType w:val="hybridMultilevel"/>
    <w:tmpl w:val="C5A25794"/>
    <w:lvl w:ilvl="0" w:tplc="2D2A33D8">
      <w:start w:val="1"/>
      <w:numFmt w:val="bullet"/>
      <w:pStyle w:val="tableauougraphique"/>
      <w:lvlText w:val=""/>
      <w:lvlJc w:val="left"/>
      <w:pPr>
        <w:ind w:left="720" w:hanging="360"/>
      </w:pPr>
      <w:rPr>
        <w:rFonts w:ascii="Wingdings 2" w:hAnsi="Wingdings 2" w:hint="default"/>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E53124E"/>
    <w:multiLevelType w:val="singleLevel"/>
    <w:tmpl w:val="64B62D6E"/>
    <w:lvl w:ilvl="0">
      <w:start w:val="1"/>
      <w:numFmt w:val="bullet"/>
      <w:pStyle w:val="Heading8"/>
      <w:lvlText w:val=""/>
      <w:lvlJc w:val="left"/>
      <w:pPr>
        <w:tabs>
          <w:tab w:val="num" w:pos="360"/>
        </w:tabs>
        <w:ind w:left="360" w:hanging="360"/>
      </w:pPr>
      <w:rPr>
        <w:rFonts w:ascii="Symbol" w:hAnsi="Symbol" w:hint="default"/>
      </w:rPr>
    </w:lvl>
  </w:abstractNum>
  <w:abstractNum w:abstractNumId="13">
    <w:nsid w:val="1F3C6A90"/>
    <w:multiLevelType w:val="hybridMultilevel"/>
    <w:tmpl w:val="E0CC778C"/>
    <w:lvl w:ilvl="0" w:tplc="BFB88B92">
      <w:start w:val="1"/>
      <w:numFmt w:val="bullet"/>
      <w:pStyle w:val="textepar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4">
    <w:nsid w:val="24BA2E06"/>
    <w:multiLevelType w:val="hybridMultilevel"/>
    <w:tmpl w:val="CC345A64"/>
    <w:lvl w:ilvl="0" w:tplc="41F83986">
      <w:start w:val="1"/>
      <w:numFmt w:val="bullet"/>
      <w:pStyle w:val="Yo11Textbulletlvl2"/>
      <w:lvlText w:val="o"/>
      <w:lvlJc w:val="left"/>
      <w:pPr>
        <w:ind w:left="644" w:hanging="360"/>
      </w:pPr>
      <w:rPr>
        <w:rFonts w:ascii="Courier New" w:hAnsi="Courier New" w:cs="Courier New" w:hint="default"/>
      </w:rPr>
    </w:lvl>
    <w:lvl w:ilvl="1" w:tplc="04070003" w:tentative="1">
      <w:start w:val="1"/>
      <w:numFmt w:val="bullet"/>
      <w:lvlText w:val="o"/>
      <w:lvlJc w:val="left"/>
      <w:pPr>
        <w:ind w:left="2517" w:hanging="360"/>
      </w:pPr>
      <w:rPr>
        <w:rFonts w:ascii="Courier New" w:hAnsi="Courier New" w:cs="Courier New" w:hint="default"/>
      </w:rPr>
    </w:lvl>
    <w:lvl w:ilvl="2" w:tplc="04070005" w:tentative="1">
      <w:start w:val="1"/>
      <w:numFmt w:val="bullet"/>
      <w:lvlText w:val=""/>
      <w:lvlJc w:val="left"/>
      <w:pPr>
        <w:ind w:left="3237" w:hanging="360"/>
      </w:pPr>
      <w:rPr>
        <w:rFonts w:ascii="Wingdings" w:hAnsi="Wingdings" w:hint="default"/>
      </w:rPr>
    </w:lvl>
    <w:lvl w:ilvl="3" w:tplc="04070001" w:tentative="1">
      <w:start w:val="1"/>
      <w:numFmt w:val="bullet"/>
      <w:lvlText w:val=""/>
      <w:lvlJc w:val="left"/>
      <w:pPr>
        <w:ind w:left="3957" w:hanging="360"/>
      </w:pPr>
      <w:rPr>
        <w:rFonts w:ascii="Symbol" w:hAnsi="Symbol" w:hint="default"/>
      </w:rPr>
    </w:lvl>
    <w:lvl w:ilvl="4" w:tplc="04070003" w:tentative="1">
      <w:start w:val="1"/>
      <w:numFmt w:val="bullet"/>
      <w:lvlText w:val="o"/>
      <w:lvlJc w:val="left"/>
      <w:pPr>
        <w:ind w:left="4677" w:hanging="360"/>
      </w:pPr>
      <w:rPr>
        <w:rFonts w:ascii="Courier New" w:hAnsi="Courier New" w:cs="Courier New" w:hint="default"/>
      </w:rPr>
    </w:lvl>
    <w:lvl w:ilvl="5" w:tplc="04070005" w:tentative="1">
      <w:start w:val="1"/>
      <w:numFmt w:val="bullet"/>
      <w:lvlText w:val=""/>
      <w:lvlJc w:val="left"/>
      <w:pPr>
        <w:ind w:left="5397" w:hanging="360"/>
      </w:pPr>
      <w:rPr>
        <w:rFonts w:ascii="Wingdings" w:hAnsi="Wingdings" w:hint="default"/>
      </w:rPr>
    </w:lvl>
    <w:lvl w:ilvl="6" w:tplc="04070001" w:tentative="1">
      <w:start w:val="1"/>
      <w:numFmt w:val="bullet"/>
      <w:lvlText w:val=""/>
      <w:lvlJc w:val="left"/>
      <w:pPr>
        <w:ind w:left="6117" w:hanging="360"/>
      </w:pPr>
      <w:rPr>
        <w:rFonts w:ascii="Symbol" w:hAnsi="Symbol" w:hint="default"/>
      </w:rPr>
    </w:lvl>
    <w:lvl w:ilvl="7" w:tplc="04070003" w:tentative="1">
      <w:start w:val="1"/>
      <w:numFmt w:val="bullet"/>
      <w:lvlText w:val="o"/>
      <w:lvlJc w:val="left"/>
      <w:pPr>
        <w:ind w:left="6837" w:hanging="360"/>
      </w:pPr>
      <w:rPr>
        <w:rFonts w:ascii="Courier New" w:hAnsi="Courier New" w:cs="Courier New" w:hint="default"/>
      </w:rPr>
    </w:lvl>
    <w:lvl w:ilvl="8" w:tplc="04070005" w:tentative="1">
      <w:start w:val="1"/>
      <w:numFmt w:val="bullet"/>
      <w:lvlText w:val=""/>
      <w:lvlJc w:val="left"/>
      <w:pPr>
        <w:ind w:left="7557" w:hanging="360"/>
      </w:pPr>
      <w:rPr>
        <w:rFonts w:ascii="Wingdings" w:hAnsi="Wingdings" w:hint="default"/>
      </w:rPr>
    </w:lvl>
  </w:abstractNum>
  <w:abstractNum w:abstractNumId="15">
    <w:nsid w:val="2AF76E7A"/>
    <w:multiLevelType w:val="singleLevel"/>
    <w:tmpl w:val="C74C5A32"/>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6">
    <w:nsid w:val="3A5459E8"/>
    <w:multiLevelType w:val="singleLevel"/>
    <w:tmpl w:val="2188C922"/>
    <w:name w:val="Tiret 1"/>
    <w:lvl w:ilvl="0">
      <w:start w:val="1"/>
      <w:numFmt w:val="bullet"/>
      <w:lvlRestart w:val="0"/>
      <w:pStyle w:val="Tiret1"/>
      <w:lvlText w:val="–"/>
      <w:lvlJc w:val="left"/>
      <w:pPr>
        <w:tabs>
          <w:tab w:val="num" w:pos="1417"/>
        </w:tabs>
        <w:ind w:left="1417" w:hanging="567"/>
      </w:pPr>
    </w:lvl>
  </w:abstractNum>
  <w:abstractNum w:abstractNumId="17">
    <w:nsid w:val="3BA736C9"/>
    <w:multiLevelType w:val="singleLevel"/>
    <w:tmpl w:val="F00A6C0C"/>
    <w:name w:val="Tiret 0"/>
    <w:lvl w:ilvl="0">
      <w:start w:val="1"/>
      <w:numFmt w:val="bullet"/>
      <w:lvlRestart w:val="0"/>
      <w:pStyle w:val="Tiret0"/>
      <w:lvlText w:val="–"/>
      <w:lvlJc w:val="left"/>
      <w:pPr>
        <w:tabs>
          <w:tab w:val="num" w:pos="850"/>
        </w:tabs>
        <w:ind w:left="850" w:hanging="850"/>
      </w:pPr>
    </w:lvl>
  </w:abstractNum>
  <w:abstractNum w:abstractNumId="18">
    <w:nsid w:val="3C90278F"/>
    <w:multiLevelType w:val="singleLevel"/>
    <w:tmpl w:val="0FE08974"/>
    <w:name w:val="Tiret 3"/>
    <w:lvl w:ilvl="0">
      <w:start w:val="1"/>
      <w:numFmt w:val="bullet"/>
      <w:lvlRestart w:val="0"/>
      <w:pStyle w:val="Tiret3"/>
      <w:lvlText w:val="–"/>
      <w:lvlJc w:val="left"/>
      <w:pPr>
        <w:tabs>
          <w:tab w:val="num" w:pos="2551"/>
        </w:tabs>
        <w:ind w:left="2551" w:hanging="567"/>
      </w:pPr>
    </w:lvl>
  </w:abstractNum>
  <w:abstractNum w:abstractNumId="19">
    <w:nsid w:val="40FF3500"/>
    <w:multiLevelType w:val="singleLevel"/>
    <w:tmpl w:val="84DA1EE8"/>
    <w:lvl w:ilvl="0">
      <w:start w:val="1"/>
      <w:numFmt w:val="bullet"/>
      <w:lvlRestart w:val="0"/>
      <w:lvlText w:val=""/>
      <w:lvlJc w:val="left"/>
      <w:pPr>
        <w:tabs>
          <w:tab w:val="num" w:pos="1417"/>
        </w:tabs>
        <w:ind w:left="1417" w:hanging="567"/>
      </w:pPr>
      <w:rPr>
        <w:rFonts w:ascii="Symbol" w:hAnsi="Symbol" w:hint="default"/>
      </w:rPr>
    </w:lvl>
  </w:abstractNum>
  <w:abstractNum w:abstractNumId="20">
    <w:nsid w:val="428415E7"/>
    <w:multiLevelType w:val="multilevel"/>
    <w:tmpl w:val="92100ADA"/>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48842C30"/>
    <w:multiLevelType w:val="singleLevel"/>
    <w:tmpl w:val="4FA60B9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2">
    <w:nsid w:val="49D47C56"/>
    <w:multiLevelType w:val="multilevel"/>
    <w:tmpl w:val="77E0331E"/>
    <w:name w:val="0.3838269"/>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C4D5A2D"/>
    <w:multiLevelType w:val="multilevel"/>
    <w:tmpl w:val="77E0331E"/>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4593082"/>
    <w:multiLevelType w:val="singleLevel"/>
    <w:tmpl w:val="EDE069AC"/>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5">
    <w:nsid w:val="54E058C9"/>
    <w:multiLevelType w:val="hybridMultilevel"/>
    <w:tmpl w:val="BCFC9894"/>
    <w:lvl w:ilvl="0" w:tplc="EBA0E5C8">
      <w:start w:val="1"/>
      <w:numFmt w:val="decimal"/>
      <w:pStyle w:val="Yo11TextNum2"/>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6">
    <w:nsid w:val="568864DC"/>
    <w:multiLevelType w:val="singleLevel"/>
    <w:tmpl w:val="485EBDAC"/>
    <w:name w:val="Tiret 4"/>
    <w:lvl w:ilvl="0">
      <w:start w:val="1"/>
      <w:numFmt w:val="bullet"/>
      <w:lvlRestart w:val="0"/>
      <w:pStyle w:val="Tiret4"/>
      <w:lvlText w:val="–"/>
      <w:lvlJc w:val="left"/>
      <w:pPr>
        <w:tabs>
          <w:tab w:val="num" w:pos="3118"/>
        </w:tabs>
        <w:ind w:left="3118" w:hanging="567"/>
      </w:pPr>
    </w:lvl>
  </w:abstractNum>
  <w:abstractNum w:abstractNumId="27">
    <w:nsid w:val="59C8178D"/>
    <w:multiLevelType w:val="hybridMultilevel"/>
    <w:tmpl w:val="8A9E711C"/>
    <w:lvl w:ilvl="0" w:tplc="9A820658">
      <w:start w:val="1"/>
      <w:numFmt w:val="bullet"/>
      <w:pStyle w:val="Yo11Textbulletlvl3"/>
      <w:lvlText w:val=""/>
      <w:lvlJc w:val="left"/>
      <w:pPr>
        <w:ind w:left="984"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8">
    <w:nsid w:val="5F342530"/>
    <w:multiLevelType w:val="singleLevel"/>
    <w:tmpl w:val="D5444702"/>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9">
    <w:nsid w:val="5F9C40AA"/>
    <w:multiLevelType w:val="singleLevel"/>
    <w:tmpl w:val="B89CB5A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0">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31">
    <w:nsid w:val="69995580"/>
    <w:multiLevelType w:val="singleLevel"/>
    <w:tmpl w:val="75CC7CBA"/>
    <w:name w:val="Considérant"/>
    <w:lvl w:ilvl="0">
      <w:start w:val="1"/>
      <w:numFmt w:val="decimal"/>
      <w:lvlRestart w:val="0"/>
      <w:pStyle w:val="Considrant"/>
      <w:lvlText w:val="(%1)"/>
      <w:lvlJc w:val="left"/>
      <w:pPr>
        <w:tabs>
          <w:tab w:val="num" w:pos="709"/>
        </w:tabs>
        <w:ind w:left="709" w:hanging="709"/>
      </w:pPr>
    </w:lvl>
  </w:abstractNum>
  <w:abstractNum w:abstractNumId="32">
    <w:nsid w:val="711167E2"/>
    <w:multiLevelType w:val="multilevel"/>
    <w:tmpl w:val="C3843A7A"/>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69D4072"/>
    <w:multiLevelType w:val="hybridMultilevel"/>
    <w:tmpl w:val="0ACA6C82"/>
    <w:lvl w:ilvl="0" w:tplc="4E80D628">
      <w:start w:val="1"/>
      <w:numFmt w:val="decimal"/>
      <w:pStyle w:val="Yo11TextNum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BE95D7F"/>
    <w:multiLevelType w:val="multilevel"/>
    <w:tmpl w:val="F126F78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22"/>
  </w:num>
  <w:num w:numId="2">
    <w:abstractNumId w:val="8"/>
  </w:num>
  <w:num w:numId="3">
    <w:abstractNumId w:val="6"/>
  </w:num>
  <w:num w:numId="4">
    <w:abstractNumId w:val="5"/>
  </w:num>
  <w:num w:numId="5">
    <w:abstractNumId w:val="4"/>
  </w:num>
  <w:num w:numId="6">
    <w:abstractNumId w:val="7"/>
  </w:num>
  <w:num w:numId="7">
    <w:abstractNumId w:val="2"/>
  </w:num>
  <w:num w:numId="8">
    <w:abstractNumId w:val="1"/>
  </w:num>
  <w:num w:numId="9">
    <w:abstractNumId w:val="20"/>
  </w:num>
  <w:num w:numId="10">
    <w:abstractNumId w:val="12"/>
  </w:num>
  <w:num w:numId="11">
    <w:abstractNumId w:val="13"/>
  </w:num>
  <w:num w:numId="12">
    <w:abstractNumId w:val="11"/>
  </w:num>
  <w:num w:numId="13">
    <w:abstractNumId w:val="17"/>
  </w:num>
  <w:num w:numId="14">
    <w:abstractNumId w:val="16"/>
  </w:num>
  <w:num w:numId="15">
    <w:abstractNumId w:val="30"/>
  </w:num>
  <w:num w:numId="16">
    <w:abstractNumId w:val="18"/>
  </w:num>
  <w:num w:numId="17">
    <w:abstractNumId w:val="26"/>
  </w:num>
  <w:num w:numId="18">
    <w:abstractNumId w:val="32"/>
  </w:num>
  <w:num w:numId="19">
    <w:abstractNumId w:val="34"/>
  </w:num>
  <w:num w:numId="20">
    <w:abstractNumId w:val="24"/>
  </w:num>
  <w:num w:numId="21">
    <w:abstractNumId w:val="15"/>
  </w:num>
  <w:num w:numId="22">
    <w:abstractNumId w:val="29"/>
  </w:num>
  <w:num w:numId="23">
    <w:abstractNumId w:val="28"/>
  </w:num>
  <w:num w:numId="24">
    <w:abstractNumId w:val="21"/>
  </w:num>
  <w:num w:numId="25">
    <w:abstractNumId w:val="31"/>
  </w:num>
  <w:num w:numId="26">
    <w:abstractNumId w:val="3"/>
  </w:num>
  <w:num w:numId="27">
    <w:abstractNumId w:val="0"/>
  </w:num>
  <w:num w:numId="28">
    <w:abstractNumId w:val="19"/>
  </w:num>
  <w:num w:numId="29">
    <w:abstractNumId w:val="22"/>
  </w:num>
  <w:num w:numId="30">
    <w:abstractNumId w:val="22"/>
  </w:num>
  <w:num w:numId="31">
    <w:abstractNumId w:val="22"/>
  </w:num>
  <w:num w:numId="32">
    <w:abstractNumId w:val="22"/>
  </w:num>
  <w:num w:numId="33">
    <w:abstractNumId w:val="23"/>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10"/>
  </w:num>
  <w:num w:numId="41">
    <w:abstractNumId w:val="14"/>
  </w:num>
  <w:num w:numId="42">
    <w:abstractNumId w:val="27"/>
  </w:num>
  <w:num w:numId="43">
    <w:abstractNumId w:val="9"/>
  </w:num>
  <w:num w:numId="44">
    <w:abstractNumId w:val="25"/>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hideGrammaticalErrors/>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6943442-43EF-4875-BD0D-4FA531F44A0B"/>
    <w:docVar w:name="LW_COVERPAGE_TYPE" w:val="1"/>
    <w:docVar w:name="LW_CROSSREFERENCE" w:val="{COM(2018) 269 final}_x000b_{SWD(2018) 168 final}"/>
    <w:docVar w:name="LW_DocType" w:val="NORMAL"/>
    <w:docVar w:name="LW_EMISSION" w:val="22.5.2018"/>
    <w:docVar w:name="LW_EMISSION_ISODATE" w:val="2018-05-22"/>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Engaging, Connecting and Empowering young people: a new EU Youth Strategy_x000b_"/>
    <w:docVar w:name="LW_PART_NBR" w:val="2"/>
    <w:docVar w:name="LW_PART_NBR_TOTAL" w:val="7"/>
    <w:docVar w:name="LW_REF.INST.NEW" w:val="SWD"/>
    <w:docVar w:name="LW_REF.INST.NEW_ADOPTED" w:val="final"/>
    <w:docVar w:name="LW_REF.INST.NEW_TEXT" w:val="(2018) 16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Situation of young people in the European Union"/>
    <w:docVar w:name="LW_TYPE.DOC.CP" w:val="COMMISSION STAFF WORKING DOCUMENT"/>
    <w:docVar w:name="LW_TYPEACTEPRINCIPAL.CP" w:val="COMMUNICATION FROM THE COMMISSION TO THE EUROPEAN PARLIAMENT, THE EUROPEAN COUNCIL, THE COUNCIL, THE EUROPEAN ECONOMIC AND SOCIAL COMMITTEE AND THE COMMITTEE OF THE REGIONS_x000b_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keepNext/>
      <w:numPr>
        <w:numId w:val="1"/>
      </w:numPr>
      <w:spacing w:before="360" w:after="120" w:line="240" w:lineRule="auto"/>
      <w:jc w:val="both"/>
      <w:outlineLvl w:val="0"/>
    </w:pPr>
    <w:rPr>
      <w:rFonts w:ascii="Times New Roman" w:eastAsia="Times New Roman" w:hAnsi="Times New Roman"/>
      <w:b/>
      <w:bCs/>
      <w:smallCaps/>
      <w:sz w:val="24"/>
      <w:szCs w:val="32"/>
      <w:lang w:val="x-none" w:eastAsia="x-none"/>
    </w:rPr>
  </w:style>
  <w:style w:type="paragraph" w:styleId="Heading2">
    <w:name w:val="heading 2"/>
    <w:basedOn w:val="Normal"/>
    <w:next w:val="Normal"/>
    <w:link w:val="Heading2Char"/>
    <w:qFormat/>
    <w:pPr>
      <w:keepNext/>
      <w:numPr>
        <w:ilvl w:val="1"/>
        <w:numId w:val="1"/>
      </w:numPr>
      <w:spacing w:before="120" w:after="120" w:line="240" w:lineRule="auto"/>
      <w:jc w:val="both"/>
      <w:outlineLvl w:val="1"/>
    </w:pPr>
    <w:rPr>
      <w:rFonts w:ascii="Times New Roman" w:eastAsia="Times New Roman" w:hAnsi="Times New Roman"/>
      <w:b/>
      <w:bCs/>
      <w:iCs/>
      <w:sz w:val="24"/>
      <w:szCs w:val="28"/>
      <w:lang w:val="x-none" w:eastAsia="x-none"/>
    </w:rPr>
  </w:style>
  <w:style w:type="paragraph" w:styleId="Heading3">
    <w:name w:val="heading 3"/>
    <w:basedOn w:val="Normal"/>
    <w:next w:val="Normal"/>
    <w:link w:val="Heading3Char"/>
    <w:qFormat/>
    <w:pPr>
      <w:keepNext/>
      <w:numPr>
        <w:ilvl w:val="2"/>
        <w:numId w:val="1"/>
      </w:numPr>
      <w:spacing w:before="120" w:after="120" w:line="240" w:lineRule="auto"/>
      <w:jc w:val="both"/>
      <w:outlineLvl w:val="2"/>
    </w:pPr>
    <w:rPr>
      <w:rFonts w:ascii="Times New Roman" w:eastAsia="Times New Roman" w:hAnsi="Times New Roman"/>
      <w:bCs/>
      <w:i/>
      <w:sz w:val="24"/>
      <w:szCs w:val="26"/>
      <w:lang w:val="x-none" w:eastAsia="x-none"/>
    </w:rPr>
  </w:style>
  <w:style w:type="paragraph" w:styleId="Heading4">
    <w:name w:val="heading 4"/>
    <w:basedOn w:val="Normal"/>
    <w:next w:val="Normal"/>
    <w:link w:val="Heading4Char"/>
    <w:qFormat/>
    <w:pPr>
      <w:keepNext/>
      <w:numPr>
        <w:ilvl w:val="3"/>
        <w:numId w:val="1"/>
      </w:numPr>
      <w:spacing w:before="120" w:after="120" w:line="240" w:lineRule="auto"/>
      <w:jc w:val="both"/>
      <w:outlineLvl w:val="3"/>
    </w:pPr>
    <w:rPr>
      <w:rFonts w:ascii="Times New Roman" w:eastAsia="Times New Roman" w:hAnsi="Times New Roman"/>
      <w:bCs/>
      <w:sz w:val="24"/>
      <w:szCs w:val="28"/>
      <w:lang w:val="x-none" w:eastAsia="x-none"/>
    </w:rPr>
  </w:style>
  <w:style w:type="paragraph" w:styleId="Heading5">
    <w:name w:val="heading 5"/>
    <w:basedOn w:val="Normal"/>
    <w:next w:val="Normal"/>
    <w:link w:val="Heading5Char"/>
    <w:qFormat/>
    <w:pPr>
      <w:keepNext/>
      <w:spacing w:before="160" w:after="60" w:line="240" w:lineRule="auto"/>
      <w:jc w:val="both"/>
      <w:outlineLvl w:val="4"/>
    </w:pPr>
    <w:rPr>
      <w:rFonts w:ascii="Arial Narrow" w:hAnsi="Arial Narrow"/>
      <w:bCs/>
      <w:spacing w:val="8"/>
      <w:sz w:val="20"/>
      <w:szCs w:val="20"/>
      <w:u w:val="single"/>
      <w:lang w:val="en-IE" w:eastAsia="x-none"/>
    </w:rPr>
  </w:style>
  <w:style w:type="paragraph" w:styleId="Heading6">
    <w:name w:val="heading 6"/>
    <w:basedOn w:val="Normal"/>
    <w:next w:val="Normal"/>
    <w:link w:val="Heading6Char"/>
    <w:qFormat/>
    <w:pPr>
      <w:keepNext/>
      <w:spacing w:before="40" w:after="0" w:line="240" w:lineRule="auto"/>
      <w:ind w:left="57"/>
      <w:jc w:val="both"/>
      <w:outlineLvl w:val="5"/>
    </w:pPr>
    <w:rPr>
      <w:rFonts w:ascii="Myriad Pro SemiExt" w:hAnsi="Myriad Pro SemiExt"/>
      <w:b/>
      <w:bCs/>
      <w:sz w:val="16"/>
      <w:szCs w:val="20"/>
      <w:lang w:val="fr-FR" w:eastAsia="x-none"/>
    </w:rPr>
  </w:style>
  <w:style w:type="paragraph" w:styleId="Heading7">
    <w:name w:val="heading 7"/>
    <w:basedOn w:val="Normal"/>
    <w:next w:val="Normal"/>
    <w:link w:val="Heading7Char"/>
    <w:qFormat/>
    <w:pPr>
      <w:keepNext/>
      <w:spacing w:before="40" w:after="0" w:line="240" w:lineRule="auto"/>
      <w:ind w:left="57"/>
      <w:jc w:val="both"/>
      <w:outlineLvl w:val="6"/>
    </w:pPr>
    <w:rPr>
      <w:rFonts w:ascii="Myriad Pro Light" w:hAnsi="Myriad Pro Light"/>
      <w:b/>
      <w:bCs/>
      <w:sz w:val="16"/>
      <w:szCs w:val="20"/>
      <w:lang w:val="x-none" w:eastAsia="x-none"/>
    </w:rPr>
  </w:style>
  <w:style w:type="paragraph" w:styleId="Heading8">
    <w:name w:val="heading 8"/>
    <w:basedOn w:val="Normal"/>
    <w:next w:val="Normal"/>
    <w:link w:val="Heading8Char"/>
    <w:qFormat/>
    <w:pPr>
      <w:numPr>
        <w:numId w:val="10"/>
      </w:numPr>
      <w:spacing w:before="100" w:after="110" w:line="240" w:lineRule="auto"/>
      <w:jc w:val="both"/>
      <w:outlineLvl w:val="7"/>
    </w:pPr>
    <w:rPr>
      <w:rFonts w:ascii="Helvetica" w:hAnsi="Helvetica"/>
      <w:i/>
      <w:sz w:val="21"/>
      <w:szCs w:val="20"/>
      <w:lang w:val="fr-FR" w:eastAsia="x-none"/>
    </w:rPr>
  </w:style>
  <w:style w:type="paragraph" w:styleId="Heading9">
    <w:name w:val="heading 9"/>
    <w:basedOn w:val="Normal"/>
    <w:next w:val="Normal"/>
    <w:link w:val="Heading9Char"/>
    <w:qFormat/>
    <w:pPr>
      <w:spacing w:before="240" w:after="60" w:line="240" w:lineRule="auto"/>
      <w:jc w:val="both"/>
      <w:outlineLvl w:val="8"/>
    </w:pPr>
    <w:rPr>
      <w:rFonts w:ascii="Myriad Pro Light" w:hAnsi="Myriad Pro Light"/>
      <w:b/>
      <w:bCs/>
      <w:i/>
      <w:iCs/>
      <w:sz w:val="26"/>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b/>
      <w:bCs/>
      <w:smallCaps/>
      <w:sz w:val="24"/>
      <w:szCs w:val="32"/>
      <w:lang w:eastAsia="x-none"/>
    </w:rPr>
  </w:style>
  <w:style w:type="character" w:customStyle="1" w:styleId="Heading2Char">
    <w:name w:val="Heading 2 Char"/>
    <w:link w:val="Heading2"/>
    <w:rPr>
      <w:rFonts w:ascii="Times New Roman" w:eastAsia="Times New Roman" w:hAnsi="Times New Roman"/>
      <w:b/>
      <w:bCs/>
      <w:iCs/>
      <w:sz w:val="24"/>
      <w:szCs w:val="28"/>
      <w:lang w:eastAsia="x-none"/>
    </w:rPr>
  </w:style>
  <w:style w:type="character" w:customStyle="1" w:styleId="Heading3Char">
    <w:name w:val="Heading 3 Char"/>
    <w:link w:val="Heading3"/>
    <w:rPr>
      <w:rFonts w:ascii="Times New Roman" w:eastAsia="Times New Roman" w:hAnsi="Times New Roman"/>
      <w:bCs/>
      <w:i/>
      <w:sz w:val="24"/>
      <w:szCs w:val="26"/>
      <w:lang w:eastAsia="x-none"/>
    </w:rPr>
  </w:style>
  <w:style w:type="character" w:customStyle="1" w:styleId="Heading4Char">
    <w:name w:val="Heading 4 Char"/>
    <w:link w:val="Heading4"/>
    <w:rPr>
      <w:rFonts w:ascii="Times New Roman" w:eastAsia="Times New Roman" w:hAnsi="Times New Roman"/>
      <w:bCs/>
      <w:sz w:val="24"/>
      <w:szCs w:val="28"/>
      <w:lang w:eastAsia="x-none"/>
    </w:rPr>
  </w:style>
  <w:style w:type="character" w:customStyle="1" w:styleId="Heading5Char">
    <w:name w:val="Heading 5 Char"/>
    <w:link w:val="Heading5"/>
    <w:rPr>
      <w:rFonts w:ascii="Arial Narrow" w:hAnsi="Arial Narrow"/>
      <w:bCs/>
      <w:spacing w:val="8"/>
      <w:u w:val="single"/>
      <w:lang w:val="en-IE" w:eastAsia="x-none"/>
    </w:rPr>
  </w:style>
  <w:style w:type="character" w:customStyle="1" w:styleId="Heading6Char">
    <w:name w:val="Heading 6 Char"/>
    <w:link w:val="Heading6"/>
    <w:rPr>
      <w:rFonts w:ascii="Myriad Pro SemiExt" w:hAnsi="Myriad Pro SemiExt"/>
      <w:b/>
      <w:bCs/>
      <w:sz w:val="16"/>
      <w:lang w:val="fr-FR" w:eastAsia="x-none"/>
    </w:rPr>
  </w:style>
  <w:style w:type="character" w:customStyle="1" w:styleId="Heading7Char">
    <w:name w:val="Heading 7 Char"/>
    <w:link w:val="Heading7"/>
    <w:rPr>
      <w:rFonts w:ascii="Myriad Pro Light" w:hAnsi="Myriad Pro Light"/>
      <w:b/>
      <w:bCs/>
      <w:sz w:val="16"/>
      <w:lang w:val="x-none" w:eastAsia="x-none"/>
    </w:rPr>
  </w:style>
  <w:style w:type="character" w:customStyle="1" w:styleId="Heading8Char">
    <w:name w:val="Heading 8 Char"/>
    <w:link w:val="Heading8"/>
    <w:rPr>
      <w:rFonts w:ascii="Helvetica" w:hAnsi="Helvetica"/>
      <w:i/>
      <w:sz w:val="21"/>
      <w:lang w:val="fr-FR" w:eastAsia="x-none"/>
    </w:rPr>
  </w:style>
  <w:style w:type="character" w:customStyle="1" w:styleId="Heading9Char">
    <w:name w:val="Heading 9 Char"/>
    <w:link w:val="Heading9"/>
    <w:rPr>
      <w:rFonts w:ascii="Myriad Pro Light" w:hAnsi="Myriad Pro Light"/>
      <w:b/>
      <w:bCs/>
      <w:i/>
      <w:iCs/>
      <w:sz w:val="26"/>
    </w:rPr>
  </w:style>
  <w:style w:type="numbering" w:customStyle="1" w:styleId="NoList1">
    <w:name w:val="No List1"/>
    <w:next w:val="NoList"/>
    <w:uiPriority w:val="99"/>
    <w:semiHidden/>
    <w:unhideWhenUsed/>
  </w:style>
  <w:style w:type="paragraph" w:styleId="FootnoteText">
    <w:name w:val="footnote text"/>
    <w:basedOn w:val="Normal"/>
    <w:link w:val="FootnoteTextChar"/>
    <w:semiHidden/>
    <w:pPr>
      <w:spacing w:before="40" w:after="0" w:line="240" w:lineRule="auto"/>
      <w:ind w:left="720" w:hanging="720"/>
      <w:jc w:val="both"/>
    </w:pPr>
    <w:rPr>
      <w:rFonts w:ascii="Times New Roman" w:eastAsia="Times New Roman" w:hAnsi="Times New Roman"/>
      <w:sz w:val="20"/>
      <w:szCs w:val="20"/>
      <w:lang w:val="x-none" w:eastAsia="x-none"/>
    </w:rPr>
  </w:style>
  <w:style w:type="character" w:customStyle="1" w:styleId="FootnoteTextChar">
    <w:name w:val="Footnote Text Char"/>
    <w:link w:val="FootnoteText"/>
    <w:semiHidden/>
    <w:rPr>
      <w:rFonts w:ascii="Times New Roman" w:eastAsia="Times New Roman" w:hAnsi="Times New Roman"/>
      <w:lang w:val="x-none" w:eastAsia="x-none"/>
    </w:rPr>
  </w:style>
  <w:style w:type="character" w:styleId="FootnoteReference">
    <w:name w:val="footnote reference"/>
    <w:aliases w:val="Footnote Reference Superscript,Footnote Reference_LVL6,Footnote Reference_LVL61,Footnote Reference_LVL62,Footnote Reference_LVL63,Footnote Reference_LVL64,Footnote Reference_LVL65,Footnote Reference Number,Footnote Reference/"/>
    <w:rPr>
      <w:shd w:val="clear" w:color="auto" w:fill="auto"/>
      <w:vertAlign w:val="superscript"/>
    </w:rPr>
  </w:style>
  <w:style w:type="character" w:styleId="Hyperlink">
    <w:name w:val="Hyperlink"/>
    <w:uiPriority w:val="99"/>
    <w:rPr>
      <w:rFonts w:cs="Times New Roman"/>
      <w:color w:val="0000FF"/>
      <w:u w:val="single"/>
      <w:shd w:val="clear" w:color="auto" w:fill="auto"/>
    </w:rPr>
  </w:style>
  <w:style w:type="character" w:styleId="Strong">
    <w:name w:val="Strong"/>
    <w:qFormat/>
    <w:rPr>
      <w:rFonts w:cs="Times New Roman"/>
      <w:b/>
      <w:bCs/>
    </w:rPr>
  </w:style>
  <w:style w:type="paragraph" w:customStyle="1" w:styleId="textepar">
    <w:name w:val="texte+par"/>
    <w:link w:val="texteparChar"/>
    <w:pPr>
      <w:spacing w:before="160" w:line="300" w:lineRule="auto"/>
      <w:jc w:val="both"/>
    </w:pPr>
    <w:rPr>
      <w:rFonts w:ascii="Verdana" w:eastAsia="Times New Roman" w:hAnsi="Verdana"/>
      <w:color w:val="632423"/>
      <w:sz w:val="22"/>
      <w:szCs w:val="22"/>
      <w:lang w:eastAsia="en-US"/>
    </w:rPr>
  </w:style>
  <w:style w:type="character" w:customStyle="1" w:styleId="texteparChar">
    <w:name w:val="texte+par Char"/>
    <w:link w:val="textepar"/>
    <w:rPr>
      <w:rFonts w:ascii="Verdana" w:eastAsia="Times New Roman" w:hAnsi="Verdana"/>
      <w:color w:val="632423"/>
      <w:sz w:val="22"/>
      <w:szCs w:val="22"/>
      <w:lang w:eastAsia="en-US" w:bidi="ar-SA"/>
    </w:rPr>
  </w:style>
  <w:style w:type="paragraph" w:styleId="Caption">
    <w:name w:val="caption"/>
    <w:basedOn w:val="Normal"/>
    <w:next w:val="Normal"/>
    <w:link w:val="CaptionChar"/>
    <w:autoRedefine/>
    <w:uiPriority w:val="99"/>
    <w:qFormat/>
    <w:pPr>
      <w:keepNext/>
      <w:spacing w:before="240" w:after="100"/>
      <w:jc w:val="both"/>
    </w:pPr>
    <w:rPr>
      <w:rFonts w:ascii="Arial Narrow" w:eastAsia="Cambria" w:hAnsi="Arial Narrow"/>
      <w:b/>
      <w:bCs/>
      <w:noProof/>
      <w:color w:val="C00000"/>
      <w:sz w:val="20"/>
      <w:szCs w:val="20"/>
      <w:lang w:val="x-none" w:eastAsia="x-none"/>
    </w:rPr>
  </w:style>
  <w:style w:type="character" w:customStyle="1" w:styleId="CaptionChar">
    <w:name w:val="Caption Char"/>
    <w:link w:val="Caption"/>
    <w:uiPriority w:val="99"/>
    <w:locked/>
    <w:rPr>
      <w:rFonts w:ascii="Arial Narrow" w:eastAsia="Cambria" w:hAnsi="Arial Narrow" w:cs="Arial"/>
      <w:b/>
      <w:bCs/>
      <w:noProof/>
      <w:color w:val="C00000"/>
      <w:lang w:val="x-none" w:eastAsia="x-none"/>
    </w:rPr>
  </w:style>
  <w:style w:type="paragraph" w:customStyle="1" w:styleId="texte8">
    <w:name w:val="texte8"/>
    <w:link w:val="texte8Char"/>
    <w:pPr>
      <w:widowControl w:val="0"/>
    </w:pPr>
    <w:rPr>
      <w:rFonts w:ascii="Arial" w:hAnsi="Arial"/>
      <w:color w:val="632423"/>
      <w:sz w:val="16"/>
      <w:szCs w:val="16"/>
      <w:lang w:val="fr-FR"/>
    </w:rPr>
  </w:style>
  <w:style w:type="character" w:customStyle="1" w:styleId="texte8Char">
    <w:name w:val="texte8 Char"/>
    <w:link w:val="texte8"/>
    <w:locked/>
    <w:rPr>
      <w:rFonts w:ascii="Arial" w:hAnsi="Arial"/>
      <w:color w:val="632423"/>
      <w:sz w:val="16"/>
      <w:szCs w:val="16"/>
      <w:lang w:val="fr-FR" w:bidi="ar-SA"/>
    </w:rPr>
  </w:style>
  <w:style w:type="paragraph" w:customStyle="1" w:styleId="Source">
    <w:name w:val="Source"/>
    <w:basedOn w:val="Normal"/>
    <w:next w:val="Normal"/>
    <w:qFormat/>
    <w:pPr>
      <w:widowControl w:val="0"/>
      <w:spacing w:before="40" w:after="120" w:line="240" w:lineRule="auto"/>
      <w:contextualSpacing/>
      <w:jc w:val="both"/>
    </w:pPr>
    <w:rPr>
      <w:rFonts w:ascii="Arial" w:eastAsia="Times New Roman" w:hAnsi="Arial"/>
      <w:snapToGrid w:val="0"/>
      <w:sz w:val="16"/>
      <w:szCs w:val="16"/>
    </w:rPr>
  </w:style>
  <w:style w:type="paragraph" w:customStyle="1" w:styleId="texte83av3ap">
    <w:name w:val="texte8_3av_3ap"/>
    <w:basedOn w:val="Normal"/>
    <w:pPr>
      <w:widowControl w:val="0"/>
      <w:spacing w:before="60" w:after="60" w:line="240" w:lineRule="auto"/>
      <w:jc w:val="both"/>
    </w:pPr>
    <w:rPr>
      <w:rFonts w:ascii="Arial" w:eastAsia="Times New Roman" w:hAnsi="Arial" w:cs="Arial"/>
      <w:color w:val="632423"/>
      <w:sz w:val="16"/>
      <w:szCs w:val="16"/>
    </w:rPr>
  </w:style>
  <w:style w:type="paragraph" w:customStyle="1" w:styleId="texte83av">
    <w:name w:val="texte8_3av"/>
    <w:basedOn w:val="Normal"/>
    <w:pPr>
      <w:widowControl w:val="0"/>
      <w:spacing w:before="60" w:after="0" w:line="240" w:lineRule="auto"/>
      <w:jc w:val="both"/>
    </w:pPr>
    <w:rPr>
      <w:rFonts w:ascii="Arial" w:eastAsia="Times New Roman" w:hAnsi="Arial" w:cs="Arial"/>
      <w:sz w:val="16"/>
      <w:szCs w:val="16"/>
    </w:rPr>
  </w:style>
  <w:style w:type="character" w:customStyle="1" w:styleId="Heading1Char1">
    <w:name w:val="Heading 1 Char1"/>
    <w:uiPriority w:val="99"/>
    <w:rPr>
      <w:rFonts w:ascii="Times New Roman" w:eastAsia="Times New Roman" w:hAnsi="Times New Roman" w:cs="Times New Roman"/>
      <w:b/>
      <w:bCs/>
      <w:smallCaps/>
      <w:sz w:val="24"/>
      <w:szCs w:val="32"/>
      <w:lang w:val="en-GB"/>
    </w:rPr>
  </w:style>
  <w:style w:type="character" w:customStyle="1" w:styleId="Heading2Char1">
    <w:name w:val="Heading 2 Char1"/>
    <w:uiPriority w:val="99"/>
    <w:rPr>
      <w:rFonts w:ascii="Times New Roman" w:eastAsia="Times New Roman" w:hAnsi="Times New Roman" w:cs="Times New Roman"/>
      <w:b/>
      <w:bCs/>
      <w:iCs/>
      <w:sz w:val="24"/>
      <w:szCs w:val="28"/>
      <w:lang w:val="en-GB"/>
    </w:rPr>
  </w:style>
  <w:style w:type="character" w:customStyle="1" w:styleId="Heading3Char1">
    <w:name w:val="Heading 3 Char1"/>
    <w:uiPriority w:val="99"/>
    <w:rPr>
      <w:rFonts w:ascii="Times New Roman" w:eastAsia="Times New Roman" w:hAnsi="Times New Roman" w:cs="Times New Roman"/>
      <w:bCs/>
      <w:i/>
      <w:sz w:val="24"/>
      <w:szCs w:val="26"/>
      <w:lang w:val="en-GB"/>
    </w:rPr>
  </w:style>
  <w:style w:type="character" w:customStyle="1" w:styleId="Heading4Char1">
    <w:name w:val="Heading 4 Char1"/>
    <w:uiPriority w:val="99"/>
    <w:rPr>
      <w:rFonts w:ascii="Times New Roman" w:eastAsia="Times New Roman" w:hAnsi="Times New Roman" w:cs="Times New Roman"/>
      <w:bCs/>
      <w:sz w:val="24"/>
      <w:szCs w:val="28"/>
      <w:lang w:val="en-GB"/>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sz w:val="24"/>
      <w:szCs w:val="24"/>
    </w:rPr>
  </w:style>
  <w:style w:type="paragraph" w:styleId="BalloonText">
    <w:name w:val="Balloon Text"/>
    <w:basedOn w:val="Normal"/>
    <w:link w:val="BalloonTextChar"/>
    <w:uiPriority w:val="99"/>
    <w:semiHidden/>
    <w:pPr>
      <w:spacing w:before="120" w:after="120" w:line="240" w:lineRule="auto"/>
      <w:jc w:val="both"/>
    </w:pPr>
    <w:rPr>
      <w:rFonts w:ascii="Tahoma" w:eastAsia="Times New Roman" w:hAnsi="Tahoma"/>
      <w:sz w:val="16"/>
      <w:szCs w:val="16"/>
      <w:lang w:val="x-none" w:eastAsia="x-none"/>
    </w:rPr>
  </w:style>
  <w:style w:type="character" w:customStyle="1" w:styleId="BalloonTextChar">
    <w:name w:val="Balloon Text Char"/>
    <w:link w:val="BalloonText"/>
    <w:uiPriority w:val="99"/>
    <w:semiHidden/>
    <w:rPr>
      <w:rFonts w:ascii="Tahoma" w:eastAsia="Times New Roman" w:hAnsi="Tahoma"/>
      <w:sz w:val="16"/>
      <w:szCs w:val="16"/>
      <w:lang w:eastAsia="x-none"/>
    </w:rPr>
  </w:style>
  <w:style w:type="paragraph" w:styleId="Header">
    <w:name w:val="header"/>
    <w:basedOn w:val="Normal"/>
    <w:link w:val="HeaderChar1"/>
    <w:pPr>
      <w:tabs>
        <w:tab w:val="center" w:pos="4535"/>
        <w:tab w:val="right" w:pos="9071"/>
      </w:tabs>
      <w:spacing w:after="0" w:line="240" w:lineRule="auto"/>
    </w:pPr>
    <w:rPr>
      <w:rFonts w:eastAsia="Times New Roman" w:cs="Calibri"/>
      <w:b/>
      <w:color w:val="FFFFFF"/>
      <w:sz w:val="48"/>
      <w:szCs w:val="24"/>
      <w:lang w:eastAsia="x-none"/>
    </w:rPr>
  </w:style>
  <w:style w:type="character" w:customStyle="1" w:styleId="HeaderChar">
    <w:name w:val="Header Char"/>
    <w:rPr>
      <w:sz w:val="22"/>
      <w:szCs w:val="22"/>
      <w:lang w:eastAsia="en-US"/>
    </w:rPr>
  </w:style>
  <w:style w:type="character" w:customStyle="1" w:styleId="HeaderChar1">
    <w:name w:val="Header Char1"/>
    <w:link w:val="Header"/>
    <w:rPr>
      <w:rFonts w:ascii="Calibri" w:eastAsia="Times New Roman" w:hAnsi="Calibri" w:cs="Calibri"/>
      <w:b/>
      <w:color w:val="FFFFFF"/>
      <w:sz w:val="48"/>
      <w:szCs w:val="24"/>
      <w:lang w:val="en-GB" w:eastAsia="x-none"/>
    </w:rPr>
  </w:style>
  <w:style w:type="paragraph" w:styleId="Footer">
    <w:name w:val="footer"/>
    <w:basedOn w:val="Normal"/>
    <w:link w:val="FooterChar1"/>
    <w:uiPriority w:val="99"/>
    <w:pPr>
      <w:tabs>
        <w:tab w:val="center" w:pos="4535"/>
        <w:tab w:val="right" w:pos="9071"/>
        <w:tab w:val="right" w:pos="9921"/>
      </w:tabs>
      <w:ind w:left="-851" w:right="-851"/>
      <w:jc w:val="both"/>
    </w:pPr>
    <w:rPr>
      <w:rFonts w:eastAsia="Times New Roman"/>
      <w:sz w:val="20"/>
      <w:szCs w:val="24"/>
      <w:lang w:val="x-none" w:eastAsia="x-none"/>
    </w:rPr>
  </w:style>
  <w:style w:type="character" w:customStyle="1" w:styleId="FooterChar">
    <w:name w:val="Footer Char"/>
    <w:uiPriority w:val="99"/>
    <w:rPr>
      <w:sz w:val="22"/>
      <w:szCs w:val="22"/>
      <w:lang w:eastAsia="en-US"/>
    </w:rPr>
  </w:style>
  <w:style w:type="character" w:customStyle="1" w:styleId="FooterChar1">
    <w:name w:val="Footer Char1"/>
    <w:link w:val="Footer"/>
    <w:uiPriority w:val="99"/>
    <w:rPr>
      <w:rFonts w:eastAsia="Times New Roman"/>
      <w:szCs w:val="24"/>
      <w:lang w:val="x-none" w:eastAsia="x-none"/>
    </w:rPr>
  </w:style>
  <w:style w:type="character" w:customStyle="1" w:styleId="FootnoteTextChar1">
    <w:name w:val="Footnote Text Char1"/>
    <w:semiHidden/>
    <w:rPr>
      <w:rFonts w:ascii="Times New Roman" w:eastAsia="Times New Roman" w:hAnsi="Times New Roman" w:cs="Times New Roman"/>
      <w:sz w:val="20"/>
      <w:szCs w:val="20"/>
      <w:lang w:val="en-GB"/>
    </w:rPr>
  </w:style>
  <w:style w:type="paragraph" w:styleId="TOC1">
    <w:name w:val="toc 1"/>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2">
    <w:name w:val="toc 2"/>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3">
    <w:name w:val="toc 3"/>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4">
    <w:name w:val="toc 4"/>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5">
    <w:name w:val="toc 5"/>
    <w:basedOn w:val="Normal"/>
    <w:next w:val="Normal"/>
    <w:uiPriority w:val="39"/>
    <w:pPr>
      <w:tabs>
        <w:tab w:val="right" w:leader="dot" w:pos="9071"/>
      </w:tabs>
      <w:spacing w:before="300" w:after="120" w:line="240" w:lineRule="auto"/>
      <w:jc w:val="both"/>
    </w:pPr>
    <w:rPr>
      <w:rFonts w:ascii="Times New Roman" w:eastAsia="Times New Roman" w:hAnsi="Times New Roman"/>
      <w:sz w:val="24"/>
      <w:szCs w:val="24"/>
    </w:rPr>
  </w:style>
  <w:style w:type="paragraph" w:styleId="TOC6">
    <w:name w:val="toc 6"/>
    <w:basedOn w:val="Normal"/>
    <w:next w:val="Normal"/>
    <w:uiPriority w:val="39"/>
    <w:pPr>
      <w:tabs>
        <w:tab w:val="right" w:leader="dot" w:pos="9071"/>
      </w:tabs>
      <w:spacing w:before="240" w:after="120" w:line="240" w:lineRule="auto"/>
      <w:jc w:val="both"/>
    </w:pPr>
    <w:rPr>
      <w:rFonts w:ascii="Times New Roman" w:eastAsia="Times New Roman" w:hAnsi="Times New Roman"/>
      <w:sz w:val="24"/>
      <w:szCs w:val="24"/>
    </w:rPr>
  </w:style>
  <w:style w:type="paragraph" w:styleId="TOC7">
    <w:name w:val="toc 7"/>
    <w:basedOn w:val="Normal"/>
    <w:next w:val="Normal"/>
    <w:uiPriority w:val="39"/>
    <w:pPr>
      <w:tabs>
        <w:tab w:val="right" w:leader="dot" w:pos="9071"/>
      </w:tabs>
      <w:spacing w:before="180" w:after="120" w:line="240" w:lineRule="auto"/>
      <w:jc w:val="both"/>
    </w:pPr>
    <w:rPr>
      <w:rFonts w:ascii="Times New Roman" w:eastAsia="Times New Roman" w:hAnsi="Times New Roman"/>
      <w:sz w:val="24"/>
      <w:szCs w:val="24"/>
    </w:rPr>
  </w:style>
  <w:style w:type="paragraph" w:styleId="TOC8">
    <w:name w:val="toc 8"/>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customStyle="1" w:styleId="HeaderLandscape">
    <w:name w:val="HeaderLandscape"/>
    <w:basedOn w:val="Normal"/>
    <w:pPr>
      <w:tabs>
        <w:tab w:val="center" w:pos="7285"/>
        <w:tab w:val="right" w:pos="14003"/>
      </w:tabs>
      <w:spacing w:before="120" w:after="120" w:line="240" w:lineRule="auto"/>
      <w:jc w:val="both"/>
    </w:pPr>
    <w:rPr>
      <w:rFonts w:ascii="Times New Roman" w:eastAsia="Times New Roman" w:hAnsi="Times New Roman"/>
      <w:sz w:val="24"/>
      <w:szCs w:val="24"/>
    </w:rPr>
  </w:style>
  <w:style w:type="paragraph" w:customStyle="1" w:styleId="FooterLandscape">
    <w:name w:val="FooterLandscape"/>
    <w:basedOn w:val="Normal"/>
    <w:uiPriority w:val="99"/>
    <w:pPr>
      <w:tabs>
        <w:tab w:val="center" w:pos="7285"/>
        <w:tab w:val="center" w:pos="10913"/>
        <w:tab w:val="right" w:pos="15137"/>
      </w:tabs>
      <w:spacing w:before="360" w:after="0" w:line="240" w:lineRule="auto"/>
      <w:ind w:left="-567" w:right="-567"/>
      <w:jc w:val="both"/>
    </w:pPr>
    <w:rPr>
      <w:rFonts w:ascii="Times New Roman" w:eastAsia="Times New Roman" w:hAnsi="Times New Roman"/>
      <w:sz w:val="24"/>
      <w:szCs w:val="24"/>
    </w:rPr>
  </w:style>
  <w:style w:type="paragraph" w:customStyle="1" w:styleId="Text2">
    <w:name w:val="Text 2"/>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Text3">
    <w:name w:val="Text 3"/>
    <w:basedOn w:val="Normal"/>
    <w:uiPriority w:val="99"/>
    <w:pPr>
      <w:spacing w:before="120" w:after="120" w:line="240" w:lineRule="auto"/>
      <w:ind w:left="1984"/>
      <w:jc w:val="both"/>
    </w:pPr>
    <w:rPr>
      <w:rFonts w:ascii="Times New Roman" w:eastAsia="Times New Roman" w:hAnsi="Times New Roman"/>
      <w:sz w:val="24"/>
      <w:szCs w:val="24"/>
    </w:rPr>
  </w:style>
  <w:style w:type="paragraph" w:customStyle="1" w:styleId="Text4">
    <w:name w:val="Text 4"/>
    <w:basedOn w:val="Normal"/>
    <w:uiPriority w:val="99"/>
    <w:pPr>
      <w:spacing w:before="120" w:after="120" w:line="240" w:lineRule="auto"/>
      <w:ind w:left="2551"/>
      <w:jc w:val="both"/>
    </w:pPr>
    <w:rPr>
      <w:rFonts w:ascii="Times New Roman" w:eastAsia="Times New Roman" w:hAnsi="Times New Roman"/>
      <w:sz w:val="24"/>
      <w:szCs w:val="24"/>
    </w:rPr>
  </w:style>
  <w:style w:type="paragraph" w:customStyle="1" w:styleId="NormalCentered">
    <w:name w:val="Normal Centered"/>
    <w:basedOn w:val="Normal"/>
    <w:uiPriority w:val="99"/>
    <w:pPr>
      <w:spacing w:before="120" w:after="120" w:line="240" w:lineRule="auto"/>
      <w:jc w:val="center"/>
    </w:pPr>
    <w:rPr>
      <w:rFonts w:ascii="Times New Roman" w:eastAsia="Times New Roman" w:hAnsi="Times New Roman"/>
      <w:sz w:val="24"/>
      <w:szCs w:val="24"/>
    </w:rPr>
  </w:style>
  <w:style w:type="paragraph" w:customStyle="1" w:styleId="NormalLeft">
    <w:name w:val="Normal Left"/>
    <w:basedOn w:val="Normal"/>
    <w:uiPriority w:val="99"/>
    <w:pPr>
      <w:spacing w:before="120" w:after="120" w:line="240" w:lineRule="auto"/>
      <w:jc w:val="both"/>
    </w:pPr>
    <w:rPr>
      <w:rFonts w:ascii="Times New Roman" w:eastAsia="Times New Roman" w:hAnsi="Times New Roman"/>
      <w:sz w:val="24"/>
      <w:szCs w:val="24"/>
    </w:rPr>
  </w:style>
  <w:style w:type="paragraph" w:customStyle="1" w:styleId="NormalRight">
    <w:name w:val="Normal Right"/>
    <w:basedOn w:val="Normal"/>
    <w:uiPriority w:val="99"/>
    <w:pPr>
      <w:spacing w:before="120" w:after="120" w:line="240" w:lineRule="auto"/>
      <w:jc w:val="right"/>
    </w:pPr>
    <w:rPr>
      <w:rFonts w:ascii="Times New Roman" w:eastAsia="Times New Roman" w:hAnsi="Times New Roman"/>
      <w:sz w:val="24"/>
      <w:szCs w:val="24"/>
    </w:rPr>
  </w:style>
  <w:style w:type="paragraph" w:customStyle="1" w:styleId="QuotedText">
    <w:name w:val="Quoted Text"/>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Point0">
    <w:name w:val="Point 0"/>
    <w:basedOn w:val="Normal"/>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Point2">
    <w:name w:val="Point 2"/>
    <w:basedOn w:val="Normal"/>
    <w:uiPriority w:val="99"/>
    <w:pPr>
      <w:spacing w:before="120" w:after="120" w:line="240" w:lineRule="auto"/>
      <w:ind w:left="1984" w:hanging="567"/>
      <w:jc w:val="both"/>
    </w:pPr>
    <w:rPr>
      <w:rFonts w:ascii="Times New Roman" w:eastAsia="Times New Roman" w:hAnsi="Times New Roman"/>
      <w:sz w:val="24"/>
      <w:szCs w:val="24"/>
    </w:rPr>
  </w:style>
  <w:style w:type="paragraph" w:customStyle="1" w:styleId="Point3">
    <w:name w:val="Point 3"/>
    <w:basedOn w:val="Normal"/>
    <w:uiPriority w:val="99"/>
    <w:pPr>
      <w:spacing w:before="120" w:after="120" w:line="240" w:lineRule="auto"/>
      <w:ind w:left="2551" w:hanging="567"/>
      <w:jc w:val="both"/>
    </w:pPr>
    <w:rPr>
      <w:rFonts w:ascii="Times New Roman" w:eastAsia="Times New Roman" w:hAnsi="Times New Roman"/>
      <w:sz w:val="24"/>
      <w:szCs w:val="24"/>
    </w:rPr>
  </w:style>
  <w:style w:type="paragraph" w:customStyle="1" w:styleId="Point4">
    <w:name w:val="Point 4"/>
    <w:basedOn w:val="Normal"/>
    <w:uiPriority w:val="99"/>
    <w:pPr>
      <w:spacing w:before="120" w:after="120" w:line="240" w:lineRule="auto"/>
      <w:ind w:left="3118" w:hanging="567"/>
      <w:jc w:val="both"/>
    </w:pPr>
    <w:rPr>
      <w:rFonts w:ascii="Times New Roman" w:eastAsia="Times New Roman" w:hAnsi="Times New Roman"/>
      <w:sz w:val="24"/>
      <w:szCs w:val="24"/>
    </w:rPr>
  </w:style>
  <w:style w:type="paragraph" w:customStyle="1" w:styleId="Tiret0">
    <w:name w:val="Tiret 0"/>
    <w:basedOn w:val="Point0"/>
    <w:pPr>
      <w:numPr>
        <w:numId w:val="13"/>
      </w:numPr>
    </w:pPr>
  </w:style>
  <w:style w:type="paragraph" w:customStyle="1" w:styleId="Tiret1">
    <w:name w:val="Tiret 1"/>
    <w:basedOn w:val="Point1"/>
    <w:pPr>
      <w:numPr>
        <w:numId w:val="14"/>
      </w:numPr>
    </w:pPr>
  </w:style>
  <w:style w:type="paragraph" w:customStyle="1" w:styleId="Tiret2">
    <w:name w:val="Tiret 2"/>
    <w:basedOn w:val="Point2"/>
    <w:pPr>
      <w:numPr>
        <w:numId w:val="15"/>
      </w:numPr>
    </w:pPr>
  </w:style>
  <w:style w:type="paragraph" w:customStyle="1" w:styleId="Tiret3">
    <w:name w:val="Tiret 3"/>
    <w:basedOn w:val="Point3"/>
    <w:pPr>
      <w:numPr>
        <w:numId w:val="16"/>
      </w:numPr>
    </w:pPr>
  </w:style>
  <w:style w:type="paragraph" w:customStyle="1" w:styleId="Tiret4">
    <w:name w:val="Tiret 4"/>
    <w:basedOn w:val="Point4"/>
    <w:pPr>
      <w:numPr>
        <w:numId w:val="17"/>
      </w:numPr>
    </w:pPr>
  </w:style>
  <w:style w:type="paragraph" w:customStyle="1" w:styleId="PointDouble0">
    <w:name w:val="PointDouble 0"/>
    <w:basedOn w:val="Normal"/>
    <w:uiPriority w:val="99"/>
    <w:pPr>
      <w:tabs>
        <w:tab w:val="left" w:pos="850"/>
      </w:tabs>
      <w:spacing w:before="120" w:after="120" w:line="240" w:lineRule="auto"/>
      <w:ind w:left="1417" w:hanging="1417"/>
      <w:jc w:val="both"/>
    </w:pPr>
    <w:rPr>
      <w:rFonts w:ascii="Times New Roman" w:eastAsia="Times New Roman" w:hAnsi="Times New Roman"/>
      <w:sz w:val="24"/>
      <w:szCs w:val="24"/>
    </w:rPr>
  </w:style>
  <w:style w:type="paragraph" w:customStyle="1" w:styleId="PointDouble1">
    <w:name w:val="PointDouble 1"/>
    <w:basedOn w:val="Normal"/>
    <w:uiPriority w:val="99"/>
    <w:pPr>
      <w:tabs>
        <w:tab w:val="left" w:pos="1417"/>
      </w:tabs>
      <w:spacing w:before="120" w:after="120" w:line="240" w:lineRule="auto"/>
      <w:ind w:left="1984" w:hanging="1134"/>
      <w:jc w:val="both"/>
    </w:pPr>
    <w:rPr>
      <w:rFonts w:ascii="Times New Roman" w:eastAsia="Times New Roman" w:hAnsi="Times New Roman"/>
      <w:sz w:val="24"/>
      <w:szCs w:val="24"/>
    </w:rPr>
  </w:style>
  <w:style w:type="paragraph" w:customStyle="1" w:styleId="PointDouble2">
    <w:name w:val="PointDouble 2"/>
    <w:basedOn w:val="Normal"/>
    <w:uiPriority w:val="99"/>
    <w:pPr>
      <w:tabs>
        <w:tab w:val="left" w:pos="1984"/>
      </w:tabs>
      <w:spacing w:before="120" w:after="120" w:line="240" w:lineRule="auto"/>
      <w:ind w:left="2551" w:hanging="1134"/>
      <w:jc w:val="both"/>
    </w:pPr>
    <w:rPr>
      <w:rFonts w:ascii="Times New Roman" w:eastAsia="Times New Roman" w:hAnsi="Times New Roman"/>
      <w:sz w:val="24"/>
      <w:szCs w:val="24"/>
    </w:rPr>
  </w:style>
  <w:style w:type="paragraph" w:customStyle="1" w:styleId="PointDouble3">
    <w:name w:val="PointDouble 3"/>
    <w:basedOn w:val="Normal"/>
    <w:uiPriority w:val="99"/>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PointDouble4">
    <w:name w:val="PointDouble 4"/>
    <w:basedOn w:val="Normal"/>
    <w:uiPriority w:val="99"/>
    <w:pPr>
      <w:tabs>
        <w:tab w:val="left" w:pos="3118"/>
      </w:tabs>
      <w:spacing w:before="120" w:after="120" w:line="240" w:lineRule="auto"/>
      <w:ind w:left="3685" w:hanging="1134"/>
      <w:jc w:val="both"/>
    </w:pPr>
    <w:rPr>
      <w:rFonts w:ascii="Times New Roman" w:eastAsia="Times New Roman" w:hAnsi="Times New Roman"/>
      <w:sz w:val="24"/>
      <w:szCs w:val="24"/>
    </w:rPr>
  </w:style>
  <w:style w:type="paragraph" w:customStyle="1" w:styleId="PointTriple0">
    <w:name w:val="PointTriple 0"/>
    <w:basedOn w:val="Normal"/>
    <w:uiPriority w:val="99"/>
    <w:pPr>
      <w:tabs>
        <w:tab w:val="left" w:pos="850"/>
        <w:tab w:val="left" w:pos="1417"/>
      </w:tabs>
      <w:spacing w:before="120" w:after="120" w:line="240" w:lineRule="auto"/>
      <w:ind w:left="1984" w:hanging="1984"/>
      <w:jc w:val="both"/>
    </w:pPr>
    <w:rPr>
      <w:rFonts w:ascii="Times New Roman" w:eastAsia="Times New Roman" w:hAnsi="Times New Roman"/>
      <w:sz w:val="24"/>
      <w:szCs w:val="24"/>
    </w:rPr>
  </w:style>
  <w:style w:type="paragraph" w:customStyle="1" w:styleId="PointTriple1">
    <w:name w:val="PointTriple 1"/>
    <w:basedOn w:val="Normal"/>
    <w:uiPriority w:val="99"/>
    <w:pPr>
      <w:tabs>
        <w:tab w:val="left" w:pos="1417"/>
        <w:tab w:val="left" w:pos="1984"/>
      </w:tabs>
      <w:spacing w:before="120" w:after="120" w:line="240" w:lineRule="auto"/>
      <w:ind w:left="2551" w:hanging="1701"/>
      <w:jc w:val="both"/>
    </w:pPr>
    <w:rPr>
      <w:rFonts w:ascii="Times New Roman" w:eastAsia="Times New Roman" w:hAnsi="Times New Roman"/>
      <w:sz w:val="24"/>
      <w:szCs w:val="24"/>
    </w:rPr>
  </w:style>
  <w:style w:type="paragraph" w:customStyle="1" w:styleId="PointTriple2">
    <w:name w:val="PointTriple 2"/>
    <w:basedOn w:val="Normal"/>
    <w:uiPriority w:val="99"/>
    <w:pPr>
      <w:tabs>
        <w:tab w:val="left" w:pos="1984"/>
        <w:tab w:val="left" w:pos="2551"/>
      </w:tabs>
      <w:spacing w:before="120" w:after="120" w:line="240" w:lineRule="auto"/>
      <w:ind w:left="3118" w:hanging="1701"/>
      <w:jc w:val="both"/>
    </w:pPr>
    <w:rPr>
      <w:rFonts w:ascii="Times New Roman" w:eastAsia="Times New Roman" w:hAnsi="Times New Roman"/>
      <w:sz w:val="24"/>
      <w:szCs w:val="24"/>
    </w:rPr>
  </w:style>
  <w:style w:type="paragraph" w:customStyle="1" w:styleId="PointTriple3">
    <w:name w:val="PointTriple 3"/>
    <w:basedOn w:val="Normal"/>
    <w:uiPriority w:val="99"/>
    <w:pPr>
      <w:tabs>
        <w:tab w:val="left" w:pos="2551"/>
        <w:tab w:val="left" w:pos="3118"/>
      </w:tabs>
      <w:spacing w:before="120" w:after="120" w:line="240" w:lineRule="auto"/>
      <w:ind w:left="3685" w:hanging="1701"/>
      <w:jc w:val="both"/>
    </w:pPr>
    <w:rPr>
      <w:rFonts w:ascii="Times New Roman" w:eastAsia="Times New Roman" w:hAnsi="Times New Roman"/>
      <w:sz w:val="24"/>
      <w:szCs w:val="24"/>
    </w:rPr>
  </w:style>
  <w:style w:type="paragraph" w:customStyle="1" w:styleId="PointTriple4">
    <w:name w:val="PointTriple 4"/>
    <w:basedOn w:val="Normal"/>
    <w:uiPriority w:val="99"/>
    <w:pPr>
      <w:tabs>
        <w:tab w:val="left" w:pos="3118"/>
        <w:tab w:val="left" w:pos="3685"/>
      </w:tabs>
      <w:spacing w:before="120" w:after="120" w:line="240" w:lineRule="auto"/>
      <w:ind w:left="4252" w:hanging="1701"/>
      <w:jc w:val="both"/>
    </w:pPr>
    <w:rPr>
      <w:rFonts w:ascii="Times New Roman" w:eastAsia="Times New Roman" w:hAnsi="Times New Roman"/>
      <w:sz w:val="24"/>
      <w:szCs w:val="24"/>
    </w:rPr>
  </w:style>
  <w:style w:type="paragraph" w:customStyle="1" w:styleId="NumPar1">
    <w:name w:val="NumPar 1"/>
    <w:basedOn w:val="Normal"/>
    <w:next w:val="Text1"/>
    <w:pPr>
      <w:numPr>
        <w:numId w:val="18"/>
      </w:numPr>
      <w:spacing w:before="120" w:after="120" w:line="240" w:lineRule="auto"/>
      <w:jc w:val="both"/>
    </w:pPr>
    <w:rPr>
      <w:rFonts w:ascii="Times New Roman" w:eastAsia="Times New Roman" w:hAnsi="Times New Roman"/>
      <w:sz w:val="24"/>
      <w:szCs w:val="24"/>
    </w:rPr>
  </w:style>
  <w:style w:type="paragraph" w:customStyle="1" w:styleId="NumPar2">
    <w:name w:val="NumPar 2"/>
    <w:basedOn w:val="Normal"/>
    <w:next w:val="Text1"/>
    <w:pPr>
      <w:numPr>
        <w:ilvl w:val="1"/>
        <w:numId w:val="18"/>
      </w:numPr>
      <w:spacing w:before="120" w:after="120" w:line="240" w:lineRule="auto"/>
      <w:jc w:val="both"/>
    </w:pPr>
    <w:rPr>
      <w:rFonts w:ascii="Times New Roman" w:eastAsia="Times New Roman" w:hAnsi="Times New Roman"/>
      <w:sz w:val="24"/>
      <w:szCs w:val="24"/>
    </w:rPr>
  </w:style>
  <w:style w:type="paragraph" w:customStyle="1" w:styleId="NumPar3">
    <w:name w:val="NumPar 3"/>
    <w:basedOn w:val="Normal"/>
    <w:next w:val="Text1"/>
    <w:pPr>
      <w:numPr>
        <w:ilvl w:val="2"/>
        <w:numId w:val="18"/>
      </w:numPr>
      <w:spacing w:before="120" w:after="120" w:line="240" w:lineRule="auto"/>
      <w:jc w:val="both"/>
    </w:pPr>
    <w:rPr>
      <w:rFonts w:ascii="Times New Roman" w:eastAsia="Times New Roman" w:hAnsi="Times New Roman"/>
      <w:sz w:val="24"/>
      <w:szCs w:val="24"/>
    </w:rPr>
  </w:style>
  <w:style w:type="paragraph" w:customStyle="1" w:styleId="NumPar4">
    <w:name w:val="NumPar 4"/>
    <w:basedOn w:val="Normal"/>
    <w:next w:val="Text1"/>
    <w:pPr>
      <w:numPr>
        <w:ilvl w:val="3"/>
        <w:numId w:val="18"/>
      </w:numPr>
      <w:spacing w:before="120" w:after="120" w:line="240" w:lineRule="auto"/>
      <w:jc w:val="both"/>
    </w:pPr>
    <w:rPr>
      <w:rFonts w:ascii="Times New Roman" w:eastAsia="Times New Roman" w:hAnsi="Times New Roman"/>
      <w:sz w:val="24"/>
      <w:szCs w:val="24"/>
    </w:rPr>
  </w:style>
  <w:style w:type="paragraph" w:customStyle="1" w:styleId="ManualNumPar1">
    <w:name w:val="Manual NumPar 1"/>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2">
    <w:name w:val="Manual NumPar 2"/>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3">
    <w:name w:val="Manual NumPar 3"/>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4">
    <w:name w:val="Manual NumPar 4"/>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QuotedNumPar">
    <w:name w:val="Quoted NumPar"/>
    <w:basedOn w:val="Normal"/>
    <w:uiPriority w:val="99"/>
    <w:pPr>
      <w:spacing w:before="120" w:after="120" w:line="240" w:lineRule="auto"/>
      <w:ind w:left="1417" w:hanging="567"/>
      <w:jc w:val="both"/>
    </w:pPr>
    <w:rPr>
      <w:rFonts w:ascii="Times New Roman" w:eastAsia="Times New Roman" w:hAnsi="Times New Roman"/>
      <w:sz w:val="24"/>
      <w:szCs w:val="24"/>
    </w:rPr>
  </w:style>
  <w:style w:type="paragraph" w:customStyle="1" w:styleId="ManualHeading1">
    <w:name w:val="Manual Heading 1"/>
    <w:basedOn w:val="Normal"/>
    <w:next w:val="Text1"/>
    <w:uiPriority w:val="99"/>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paragraph" w:customStyle="1" w:styleId="ManualHeading2">
    <w:name w:val="Manual Heading 2"/>
    <w:basedOn w:val="Normal"/>
    <w:next w:val="Text1"/>
    <w:uiPriority w:val="99"/>
    <w:pPr>
      <w:keepNext/>
      <w:tabs>
        <w:tab w:val="left" w:pos="850"/>
      </w:tabs>
      <w:spacing w:before="120" w:after="120" w:line="240" w:lineRule="auto"/>
      <w:ind w:left="850" w:hanging="850"/>
      <w:jc w:val="both"/>
      <w:outlineLvl w:val="1"/>
    </w:pPr>
    <w:rPr>
      <w:rFonts w:ascii="Times New Roman" w:eastAsia="Times New Roman" w:hAnsi="Times New Roman"/>
      <w:b/>
      <w:sz w:val="24"/>
      <w:szCs w:val="24"/>
    </w:rPr>
  </w:style>
  <w:style w:type="paragraph" w:customStyle="1" w:styleId="ManualHeading3">
    <w:name w:val="Manual Heading 3"/>
    <w:basedOn w:val="Normal"/>
    <w:next w:val="Text1"/>
    <w:uiPriority w:val="99"/>
    <w:pPr>
      <w:keepNext/>
      <w:tabs>
        <w:tab w:val="left" w:pos="850"/>
      </w:tabs>
      <w:spacing w:before="120" w:after="120" w:line="240" w:lineRule="auto"/>
      <w:ind w:left="850" w:hanging="850"/>
      <w:jc w:val="both"/>
      <w:outlineLvl w:val="2"/>
    </w:pPr>
    <w:rPr>
      <w:rFonts w:ascii="Times New Roman" w:eastAsia="Times New Roman" w:hAnsi="Times New Roman"/>
      <w:i/>
      <w:sz w:val="24"/>
      <w:szCs w:val="24"/>
    </w:rPr>
  </w:style>
  <w:style w:type="paragraph" w:customStyle="1" w:styleId="ManualHeading4">
    <w:name w:val="Manual Heading 4"/>
    <w:basedOn w:val="Normal"/>
    <w:next w:val="Text1"/>
    <w:uiPriority w:val="99"/>
    <w:pPr>
      <w:keepNext/>
      <w:tabs>
        <w:tab w:val="left" w:pos="850"/>
      </w:tabs>
      <w:spacing w:before="120" w:after="120" w:line="240" w:lineRule="auto"/>
      <w:ind w:left="850" w:hanging="850"/>
      <w:jc w:val="both"/>
      <w:outlineLvl w:val="3"/>
    </w:pPr>
    <w:rPr>
      <w:rFonts w:ascii="Times New Roman" w:eastAsia="Times New Roman" w:hAnsi="Times New Roman"/>
      <w:sz w:val="24"/>
      <w:szCs w:val="24"/>
    </w:rPr>
  </w:style>
  <w:style w:type="paragraph" w:customStyle="1" w:styleId="ChapterTitle">
    <w:name w:val="ChapterTitle"/>
    <w:basedOn w:val="Normal"/>
    <w:next w:val="Normal"/>
    <w:uiPriority w:val="99"/>
    <w:pPr>
      <w:keepNext/>
      <w:spacing w:before="120" w:after="360" w:line="240" w:lineRule="auto"/>
      <w:jc w:val="center"/>
    </w:pPr>
    <w:rPr>
      <w:rFonts w:ascii="Times New Roman" w:eastAsia="Times New Roman" w:hAnsi="Times New Roman"/>
      <w:b/>
      <w:sz w:val="32"/>
      <w:szCs w:val="24"/>
    </w:rPr>
  </w:style>
  <w:style w:type="paragraph" w:customStyle="1" w:styleId="PartTitle">
    <w:name w:val="PartTitle"/>
    <w:basedOn w:val="Normal"/>
    <w:next w:val="ChapterTitle"/>
    <w:uiPriority w:val="99"/>
    <w:pPr>
      <w:keepNext/>
      <w:pageBreakBefore/>
      <w:spacing w:before="120" w:after="360" w:line="240" w:lineRule="auto"/>
      <w:jc w:val="center"/>
    </w:pPr>
    <w:rPr>
      <w:rFonts w:ascii="Times New Roman" w:eastAsia="Times New Roman" w:hAnsi="Times New Roman"/>
      <w:b/>
      <w:sz w:val="36"/>
      <w:szCs w:val="24"/>
    </w:rPr>
  </w:style>
  <w:style w:type="paragraph" w:customStyle="1" w:styleId="SectionTitle">
    <w:name w:val="SectionTitle"/>
    <w:basedOn w:val="Normal"/>
    <w:next w:val="Heading1"/>
    <w:uiPriority w:val="99"/>
    <w:pPr>
      <w:keepNext/>
      <w:spacing w:before="120" w:after="360" w:line="240" w:lineRule="auto"/>
      <w:jc w:val="center"/>
    </w:pPr>
    <w:rPr>
      <w:rFonts w:ascii="Times New Roman" w:eastAsia="Times New Roman" w:hAnsi="Times New Roman"/>
      <w:b/>
      <w:smallCaps/>
      <w:sz w:val="28"/>
      <w:szCs w:val="24"/>
    </w:rPr>
  </w:style>
  <w:style w:type="paragraph" w:customStyle="1" w:styleId="TableTitle">
    <w:name w:val="Table Title"/>
    <w:basedOn w:val="Normal"/>
    <w:next w:val="Normal"/>
    <w:uiPriority w:val="99"/>
    <w:pPr>
      <w:spacing w:before="120" w:after="120" w:line="240" w:lineRule="auto"/>
      <w:jc w:val="center"/>
    </w:pPr>
    <w:rPr>
      <w:rFonts w:ascii="Times New Roman" w:eastAsia="Times New Roman" w:hAnsi="Times New Roman"/>
      <w:b/>
      <w:sz w:val="24"/>
      <w:szCs w:val="24"/>
    </w:rPr>
  </w:style>
  <w:style w:type="character" w:customStyle="1" w:styleId="Marker">
    <w:name w:val="Marker"/>
    <w:uiPriority w:val="99"/>
    <w:rPr>
      <w:rFonts w:cs="Times New Roman"/>
      <w:color w:val="0000FF"/>
      <w:shd w:val="clear" w:color="auto" w:fill="auto"/>
    </w:rPr>
  </w:style>
  <w:style w:type="character" w:customStyle="1" w:styleId="Marker1">
    <w:name w:val="Marker1"/>
    <w:uiPriority w:val="99"/>
    <w:rPr>
      <w:rFonts w:cs="Times New Roman"/>
      <w:color w:val="008000"/>
      <w:shd w:val="clear" w:color="auto" w:fill="auto"/>
    </w:rPr>
  </w:style>
  <w:style w:type="character" w:customStyle="1" w:styleId="Marker2">
    <w:name w:val="Marker2"/>
    <w:uiPriority w:val="99"/>
    <w:rPr>
      <w:rFonts w:cs="Times New Roman"/>
      <w:color w:val="FF0000"/>
      <w:shd w:val="clear" w:color="auto" w:fill="auto"/>
    </w:rPr>
  </w:style>
  <w:style w:type="paragraph" w:styleId="TOCHeading">
    <w:name w:val="TOC Heading"/>
    <w:basedOn w:val="Normal"/>
    <w:next w:val="Normal"/>
    <w:link w:val="TOCHeadingChar"/>
    <w:uiPriority w:val="39"/>
    <w:qFormat/>
    <w:pPr>
      <w:spacing w:before="120" w:after="240" w:line="240" w:lineRule="auto"/>
      <w:jc w:val="center"/>
    </w:pPr>
    <w:rPr>
      <w:rFonts w:ascii="Times New Roman" w:eastAsia="Times New Roman" w:hAnsi="Times New Roman"/>
      <w:b/>
      <w:sz w:val="28"/>
      <w:szCs w:val="24"/>
      <w:lang w:val="x-none"/>
    </w:rPr>
  </w:style>
  <w:style w:type="paragraph" w:customStyle="1" w:styleId="Point0number">
    <w:name w:val="Point 0 (number)"/>
    <w:basedOn w:val="Normal"/>
    <w:pPr>
      <w:numPr>
        <w:numId w:val="19"/>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19"/>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19"/>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19"/>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19"/>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19"/>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19"/>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19"/>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19"/>
      </w:numPr>
      <w:spacing w:before="120" w:after="120" w:line="240" w:lineRule="auto"/>
      <w:jc w:val="both"/>
    </w:pPr>
    <w:rPr>
      <w:rFonts w:ascii="Times New Roman" w:eastAsia="Times New Roman" w:hAnsi="Times New Roman"/>
      <w:sz w:val="24"/>
      <w:szCs w:val="24"/>
    </w:rPr>
  </w:style>
  <w:style w:type="paragraph" w:customStyle="1" w:styleId="Bullet0">
    <w:name w:val="Bullet 0"/>
    <w:basedOn w:val="Normal"/>
    <w:pPr>
      <w:numPr>
        <w:numId w:val="20"/>
      </w:numPr>
      <w:spacing w:before="120" w:after="120" w:line="240" w:lineRule="auto"/>
      <w:jc w:val="both"/>
    </w:pPr>
    <w:rPr>
      <w:rFonts w:ascii="Times New Roman" w:eastAsia="Times New Roman" w:hAnsi="Times New Roman"/>
      <w:sz w:val="24"/>
      <w:szCs w:val="24"/>
    </w:rPr>
  </w:style>
  <w:style w:type="paragraph" w:customStyle="1" w:styleId="Bullet1">
    <w:name w:val="Bullet 1"/>
    <w:basedOn w:val="Normal"/>
    <w:pPr>
      <w:numPr>
        <w:numId w:val="21"/>
      </w:numPr>
      <w:spacing w:before="120" w:after="120" w:line="240" w:lineRule="auto"/>
      <w:jc w:val="both"/>
    </w:pPr>
    <w:rPr>
      <w:rFonts w:ascii="Times New Roman" w:eastAsia="Times New Roman" w:hAnsi="Times New Roman"/>
      <w:sz w:val="24"/>
      <w:szCs w:val="24"/>
    </w:rPr>
  </w:style>
  <w:style w:type="paragraph" w:customStyle="1" w:styleId="Bullet2">
    <w:name w:val="Bullet 2"/>
    <w:basedOn w:val="Normal"/>
    <w:pPr>
      <w:numPr>
        <w:numId w:val="22"/>
      </w:numPr>
      <w:spacing w:before="120" w:after="120" w:line="240" w:lineRule="auto"/>
      <w:jc w:val="both"/>
    </w:pPr>
    <w:rPr>
      <w:rFonts w:ascii="Times New Roman" w:eastAsia="Times New Roman" w:hAnsi="Times New Roman"/>
      <w:sz w:val="24"/>
      <w:szCs w:val="24"/>
    </w:rPr>
  </w:style>
  <w:style w:type="paragraph" w:customStyle="1" w:styleId="Bullet3">
    <w:name w:val="Bullet 3"/>
    <w:basedOn w:val="Normal"/>
    <w:pPr>
      <w:numPr>
        <w:numId w:val="23"/>
      </w:numPr>
      <w:spacing w:before="120" w:after="120" w:line="240" w:lineRule="auto"/>
      <w:jc w:val="both"/>
    </w:pPr>
    <w:rPr>
      <w:rFonts w:ascii="Times New Roman" w:eastAsia="Times New Roman" w:hAnsi="Times New Roman"/>
      <w:sz w:val="24"/>
      <w:szCs w:val="24"/>
    </w:rPr>
  </w:style>
  <w:style w:type="paragraph" w:customStyle="1" w:styleId="Bullet4">
    <w:name w:val="Bullet 4"/>
    <w:basedOn w:val="Normal"/>
    <w:pPr>
      <w:numPr>
        <w:numId w:val="24"/>
      </w:numPr>
      <w:spacing w:before="120" w:after="120" w:line="240" w:lineRule="auto"/>
      <w:jc w:val="both"/>
    </w:pPr>
    <w:rPr>
      <w:rFonts w:ascii="Times New Roman" w:eastAsia="Times New Roman" w:hAnsi="Times New Roman"/>
      <w:sz w:val="24"/>
      <w:szCs w:val="24"/>
    </w:rPr>
  </w:style>
  <w:style w:type="paragraph" w:customStyle="1" w:styleId="Annexetitreexpos">
    <w:name w:val="Annexe titre (exposé)"/>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
    <w:name w:val="Annex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fichefinancire">
    <w:name w:val="Annexe titre (fiche financiè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pplicationdirecte">
    <w:name w:val="Application directe"/>
    <w:basedOn w:val="Normal"/>
    <w:next w:val="Fait"/>
    <w:uiPriority w:val="99"/>
    <w:pPr>
      <w:spacing w:before="480" w:after="120" w:line="240" w:lineRule="auto"/>
      <w:jc w:val="both"/>
    </w:pPr>
    <w:rPr>
      <w:rFonts w:ascii="Times New Roman" w:eastAsia="Times New Roman" w:hAnsi="Times New Roman"/>
      <w:sz w:val="24"/>
      <w:szCs w:val="24"/>
    </w:rPr>
  </w:style>
  <w:style w:type="paragraph" w:customStyle="1" w:styleId="Fait">
    <w:name w:val="Fait à"/>
    <w:basedOn w:val="Normal"/>
    <w:next w:val="Institutionquisigne"/>
    <w:uiPriority w:val="99"/>
    <w:pPr>
      <w:keepNext/>
      <w:spacing w:before="120" w:after="0" w:line="240" w:lineRule="auto"/>
      <w:jc w:val="both"/>
    </w:pPr>
    <w:rPr>
      <w:rFonts w:ascii="Times New Roman" w:eastAsia="Times New Roman" w:hAnsi="Times New Roman"/>
      <w:sz w:val="24"/>
      <w:szCs w:val="24"/>
    </w:rPr>
  </w:style>
  <w:style w:type="paragraph" w:customStyle="1" w:styleId="Institutionquisigne">
    <w:name w:val="Institution qui signe"/>
    <w:basedOn w:val="Normal"/>
    <w:next w:val="Personnequisigne"/>
    <w:uiPriority w:val="99"/>
    <w:pPr>
      <w:keepNext/>
      <w:tabs>
        <w:tab w:val="left" w:pos="4252"/>
      </w:tabs>
      <w:spacing w:before="720" w:after="0" w:line="240" w:lineRule="auto"/>
      <w:jc w:val="both"/>
    </w:pPr>
    <w:rPr>
      <w:rFonts w:ascii="Times New Roman" w:eastAsia="Times New Roman" w:hAnsi="Times New Roman"/>
      <w:i/>
      <w:sz w:val="24"/>
      <w:szCs w:val="24"/>
    </w:rPr>
  </w:style>
  <w:style w:type="paragraph" w:customStyle="1" w:styleId="Personnequisigne">
    <w:name w:val="Personne qui signe"/>
    <w:basedOn w:val="Normal"/>
    <w:next w:val="Institutionquisigne"/>
    <w:uiPriority w:val="99"/>
    <w:pPr>
      <w:tabs>
        <w:tab w:val="left" w:pos="4252"/>
      </w:tabs>
      <w:spacing w:before="40" w:after="0" w:line="240" w:lineRule="auto"/>
      <w:jc w:val="both"/>
    </w:pPr>
    <w:rPr>
      <w:rFonts w:ascii="Times New Roman" w:eastAsia="Times New Roman" w:hAnsi="Times New Roman"/>
      <w:i/>
      <w:sz w:val="24"/>
      <w:szCs w:val="24"/>
    </w:rPr>
  </w:style>
  <w:style w:type="paragraph" w:customStyle="1" w:styleId="Avertissementtitre">
    <w:name w:val="Avertissement titre"/>
    <w:basedOn w:val="Normal"/>
    <w:next w:val="Normal"/>
    <w:uiPriority w:val="99"/>
    <w:pPr>
      <w:keepNext/>
      <w:spacing w:before="480" w:after="120" w:line="240" w:lineRule="auto"/>
      <w:jc w:val="both"/>
    </w:pPr>
    <w:rPr>
      <w:rFonts w:ascii="Times New Roman" w:eastAsia="Times New Roman" w:hAnsi="Times New Roman"/>
      <w:sz w:val="24"/>
      <w:szCs w:val="24"/>
      <w:u w:val="single"/>
    </w:rPr>
  </w:style>
  <w:style w:type="paragraph" w:customStyle="1" w:styleId="Confidence">
    <w:name w:val="Confidence"/>
    <w:basedOn w:val="Normal"/>
    <w:next w:val="Normal"/>
    <w:uiPriority w:val="99"/>
    <w:pPr>
      <w:spacing w:before="360" w:after="120" w:line="240" w:lineRule="auto"/>
      <w:jc w:val="center"/>
    </w:pPr>
    <w:rPr>
      <w:rFonts w:ascii="Times New Roman" w:eastAsia="Times New Roman" w:hAnsi="Times New Roman"/>
      <w:sz w:val="24"/>
      <w:szCs w:val="24"/>
    </w:rPr>
  </w:style>
  <w:style w:type="paragraph" w:customStyle="1" w:styleId="Confidentialit">
    <w:name w:val="Confidentialité"/>
    <w:basedOn w:val="Normal"/>
    <w:next w:val="TypedudocumentPagedecouverture"/>
    <w:uiPriority w:val="99"/>
    <w:pPr>
      <w:spacing w:before="240" w:after="240" w:line="240" w:lineRule="auto"/>
      <w:ind w:left="5103"/>
      <w:jc w:val="both"/>
    </w:pPr>
    <w:rPr>
      <w:rFonts w:ascii="Times New Roman" w:eastAsia="Times New Roman" w:hAnsi="Times New Roman"/>
      <w:i/>
      <w:sz w:val="32"/>
      <w:szCs w:val="24"/>
    </w:rPr>
  </w:style>
  <w:style w:type="paragraph" w:customStyle="1" w:styleId="TypedudocumentPagedecouverture">
    <w:name w:val="Type du document (Page de couverture)"/>
    <w:basedOn w:val="Typedudocument"/>
    <w:next w:val="TitreobjetPagedecouverture"/>
    <w:uiPriority w:val="99"/>
  </w:style>
  <w:style w:type="paragraph" w:customStyle="1" w:styleId="Typedudocument">
    <w:name w:val="Type du document"/>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Titreobjet">
    <w:name w:val="Titre objet"/>
    <w:basedOn w:val="Normal"/>
    <w:next w:val="Sous-titreobjet"/>
    <w:uiPriority w:val="99"/>
    <w:pPr>
      <w:spacing w:before="360" w:after="360" w:line="240" w:lineRule="auto"/>
      <w:jc w:val="center"/>
    </w:pPr>
    <w:rPr>
      <w:rFonts w:ascii="Times New Roman" w:eastAsia="Times New Roman" w:hAnsi="Times New Roman"/>
      <w:b/>
      <w:sz w:val="24"/>
      <w:szCs w:val="24"/>
    </w:rPr>
  </w:style>
  <w:style w:type="paragraph" w:customStyle="1" w:styleId="Sous-titreobjet">
    <w:name w:val="Sous-titre objet"/>
    <w:basedOn w:val="Normal"/>
    <w:uiPriority w:val="99"/>
    <w:pPr>
      <w:spacing w:before="40" w:after="0" w:line="240" w:lineRule="auto"/>
      <w:jc w:val="center"/>
    </w:pPr>
    <w:rPr>
      <w:rFonts w:ascii="Times New Roman" w:eastAsia="Times New Roman" w:hAnsi="Times New Roman"/>
      <w:b/>
      <w:sz w:val="24"/>
      <w:szCs w:val="24"/>
    </w:rPr>
  </w:style>
  <w:style w:type="paragraph" w:customStyle="1" w:styleId="TitreobjetPagedecouverture">
    <w:name w:val="Titre objet (Page de couverture)"/>
    <w:basedOn w:val="Titreobjet"/>
    <w:next w:val="Sous-titreobjetPagedecouverture"/>
    <w:uiPriority w:val="99"/>
  </w:style>
  <w:style w:type="paragraph" w:customStyle="1" w:styleId="Sous-titreobjetPagedecouverture">
    <w:name w:val="Sous-titre objet (Page de couverture)"/>
    <w:basedOn w:val="Sous-titreobjet"/>
    <w:uiPriority w:val="99"/>
  </w:style>
  <w:style w:type="paragraph" w:customStyle="1" w:styleId="Considrant">
    <w:name w:val="Considérant"/>
    <w:basedOn w:val="Normal"/>
    <w:pPr>
      <w:numPr>
        <w:numId w:val="25"/>
      </w:numPr>
      <w:spacing w:before="120" w:after="120" w:line="240" w:lineRule="auto"/>
      <w:jc w:val="both"/>
    </w:pPr>
    <w:rPr>
      <w:rFonts w:ascii="Times New Roman" w:eastAsia="Times New Roman" w:hAnsi="Times New Roman"/>
      <w:sz w:val="24"/>
      <w:szCs w:val="24"/>
    </w:rPr>
  </w:style>
  <w:style w:type="paragraph" w:customStyle="1" w:styleId="Corrigendum">
    <w:name w:val="Corrigendum"/>
    <w:basedOn w:val="Normal"/>
    <w:next w:val="Normal"/>
    <w:uiPriority w:val="99"/>
    <w:pPr>
      <w:spacing w:before="40" w:after="240" w:line="240" w:lineRule="auto"/>
      <w:jc w:val="both"/>
    </w:pPr>
    <w:rPr>
      <w:rFonts w:ascii="Times New Roman" w:eastAsia="Times New Roman" w:hAnsi="Times New Roman"/>
      <w:sz w:val="24"/>
      <w:szCs w:val="24"/>
    </w:rPr>
  </w:style>
  <w:style w:type="paragraph" w:customStyle="1" w:styleId="Datedadoption">
    <w:name w:val="Date d'adoption"/>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Emission">
    <w:name w:val="Emission"/>
    <w:basedOn w:val="Normal"/>
    <w:next w:val="Rfrence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stitutionnelle">
    <w:name w:val="Référence institutionnell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Exposdesmotifstitre">
    <w:name w:val="Exposé des motifs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Formuledadoption">
    <w:name w:val="Formule d'adoption"/>
    <w:basedOn w:val="Normal"/>
    <w:next w:val="Titrearticle"/>
    <w:uiPriority w:val="99"/>
    <w:pPr>
      <w:keepNext/>
      <w:spacing w:before="120" w:after="120" w:line="240" w:lineRule="auto"/>
      <w:jc w:val="both"/>
    </w:pPr>
    <w:rPr>
      <w:rFonts w:ascii="Times New Roman" w:eastAsia="Times New Roman" w:hAnsi="Times New Roman"/>
      <w:sz w:val="24"/>
      <w:szCs w:val="24"/>
    </w:rPr>
  </w:style>
  <w:style w:type="paragraph" w:customStyle="1" w:styleId="Titrearticle">
    <w:name w:val="Titre article"/>
    <w:basedOn w:val="Normal"/>
    <w:next w:val="Normal"/>
    <w:uiPriority w:val="99"/>
    <w:pPr>
      <w:keepNext/>
      <w:spacing w:before="360" w:after="120" w:line="240" w:lineRule="auto"/>
      <w:jc w:val="center"/>
    </w:pPr>
    <w:rPr>
      <w:rFonts w:ascii="Times New Roman" w:eastAsia="Times New Roman" w:hAnsi="Times New Roman"/>
      <w:i/>
      <w:sz w:val="24"/>
      <w:szCs w:val="24"/>
    </w:rPr>
  </w:style>
  <w:style w:type="paragraph" w:customStyle="1" w:styleId="Institutionquiagit">
    <w:name w:val="Institution qui agit"/>
    <w:basedOn w:val="Normal"/>
    <w:next w:val="Normal"/>
    <w:uiPriority w:val="99"/>
    <w:pPr>
      <w:keepNext/>
      <w:spacing w:before="600" w:after="120" w:line="240" w:lineRule="auto"/>
      <w:jc w:val="both"/>
    </w:pPr>
    <w:rPr>
      <w:rFonts w:ascii="Times New Roman" w:eastAsia="Times New Roman" w:hAnsi="Times New Roman"/>
      <w:sz w:val="24"/>
      <w:szCs w:val="24"/>
    </w:rPr>
  </w:style>
  <w:style w:type="paragraph" w:customStyle="1" w:styleId="Langue">
    <w:name w:val="Langue"/>
    <w:basedOn w:val="Normal"/>
    <w:next w:val="Rfrenceinterne"/>
    <w:pPr>
      <w:framePr w:wrap="around" w:vAnchor="page" w:hAnchor="text" w:xAlign="center" w:y="14741"/>
      <w:spacing w:before="40" w:after="600" w:line="240" w:lineRule="auto"/>
      <w:jc w:val="center"/>
    </w:pPr>
    <w:rPr>
      <w:rFonts w:ascii="Times New Roman" w:eastAsia="Times New Roman" w:hAnsi="Times New Roman"/>
      <w:b/>
      <w:caps/>
      <w:sz w:val="24"/>
      <w:szCs w:val="24"/>
    </w:rPr>
  </w:style>
  <w:style w:type="paragraph" w:customStyle="1" w:styleId="Rfrenceinterne">
    <w:name w:val="Référence interne"/>
    <w:basedOn w:val="Normal"/>
    <w:next w:val="Rfrenceinter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terinstitutionnelle">
    <w:name w:val="Référence interinstitutionnelle"/>
    <w:basedOn w:val="Normal"/>
    <w:next w:val="Statut"/>
    <w:uiPriority w:val="99"/>
    <w:pPr>
      <w:spacing w:before="40" w:after="0" w:line="240" w:lineRule="auto"/>
      <w:ind w:left="5103"/>
      <w:jc w:val="both"/>
    </w:pPr>
    <w:rPr>
      <w:rFonts w:ascii="Times New Roman" w:eastAsia="Times New Roman" w:hAnsi="Times New Roman"/>
      <w:sz w:val="24"/>
      <w:szCs w:val="24"/>
    </w:rPr>
  </w:style>
  <w:style w:type="paragraph" w:customStyle="1" w:styleId="Statut">
    <w:name w:val="Statut"/>
    <w:basedOn w:val="Normal"/>
    <w:next w:val="Typedudocument"/>
    <w:uiPriority w:val="99"/>
    <w:pPr>
      <w:spacing w:before="360" w:after="0" w:line="240" w:lineRule="auto"/>
      <w:jc w:val="center"/>
    </w:pPr>
    <w:rPr>
      <w:rFonts w:ascii="Times New Roman" w:eastAsia="Times New Roman" w:hAnsi="Times New Roman"/>
      <w:sz w:val="24"/>
      <w:szCs w:val="24"/>
    </w:rPr>
  </w:style>
  <w:style w:type="paragraph" w:customStyle="1" w:styleId="ManualConsidrant">
    <w:name w:val="Manual Considérant"/>
    <w:basedOn w:val="Normal"/>
    <w:uiPriority w:val="99"/>
    <w:pPr>
      <w:spacing w:before="120" w:after="120" w:line="240" w:lineRule="auto"/>
      <w:ind w:left="709" w:hanging="709"/>
      <w:jc w:val="both"/>
    </w:pPr>
    <w:rPr>
      <w:rFonts w:ascii="Times New Roman" w:eastAsia="Times New Roman" w:hAnsi="Times New Roman"/>
      <w:sz w:val="24"/>
      <w:szCs w:val="24"/>
    </w:rPr>
  </w:style>
  <w:style w:type="paragraph" w:customStyle="1" w:styleId="Nomdelinstitution">
    <w:name w:val="Nom de l'institution"/>
    <w:basedOn w:val="Normal"/>
    <w:next w:val="Emission"/>
    <w:uiPriority w:val="99"/>
    <w:pPr>
      <w:spacing w:before="40" w:after="0" w:line="240" w:lineRule="auto"/>
      <w:jc w:val="both"/>
    </w:pPr>
    <w:rPr>
      <w:rFonts w:ascii="Arial" w:eastAsia="Times New Roman" w:hAnsi="Arial" w:cs="Arial"/>
      <w:sz w:val="24"/>
      <w:szCs w:val="24"/>
    </w:rPr>
  </w:style>
  <w:style w:type="character" w:customStyle="1" w:styleId="Added">
    <w:name w:val="Added"/>
    <w:uiPriority w:val="99"/>
    <w:rPr>
      <w:rFonts w:cs="Times New Roman"/>
      <w:b/>
      <w:u w:val="single"/>
      <w:shd w:val="clear" w:color="auto" w:fill="auto"/>
    </w:rPr>
  </w:style>
  <w:style w:type="character" w:customStyle="1" w:styleId="Deleted">
    <w:name w:val="Deleted"/>
    <w:uiPriority w:val="99"/>
    <w:rPr>
      <w:rFonts w:cs="Times New Roman"/>
      <w:strike/>
      <w:shd w:val="clear" w:color="auto" w:fill="auto"/>
    </w:rPr>
  </w:style>
  <w:style w:type="paragraph" w:customStyle="1" w:styleId="Address">
    <w:name w:val="Address"/>
    <w:basedOn w:val="Normal"/>
    <w:next w:val="Normal"/>
    <w:uiPriority w:val="99"/>
    <w:pPr>
      <w:keepLines/>
      <w:spacing w:before="120" w:after="120" w:line="360" w:lineRule="auto"/>
      <w:ind w:left="3402"/>
      <w:jc w:val="both"/>
    </w:pPr>
    <w:rPr>
      <w:rFonts w:ascii="Times New Roman" w:eastAsia="Times New Roman" w:hAnsi="Times New Roman"/>
      <w:sz w:val="24"/>
      <w:szCs w:val="24"/>
    </w:rPr>
  </w:style>
  <w:style w:type="paragraph" w:customStyle="1" w:styleId="Objetexterne">
    <w:name w:val="Objet externe"/>
    <w:basedOn w:val="Normal"/>
    <w:next w:val="Normal"/>
    <w:uiPriority w:val="99"/>
    <w:pPr>
      <w:spacing w:before="120" w:after="120" w:line="240" w:lineRule="auto"/>
      <w:jc w:val="both"/>
    </w:pPr>
    <w:rPr>
      <w:rFonts w:ascii="Times New Roman" w:eastAsia="Times New Roman" w:hAnsi="Times New Roman"/>
      <w:i/>
      <w:caps/>
      <w:sz w:val="24"/>
      <w:szCs w:val="24"/>
    </w:rPr>
  </w:style>
  <w:style w:type="paragraph" w:customStyle="1" w:styleId="Pagedecouverture">
    <w:name w:val="Page de couverture"/>
    <w:basedOn w:val="Normal"/>
    <w:next w:val="Normal"/>
    <w:uiPriority w:val="99"/>
    <w:pPr>
      <w:spacing w:before="120" w:after="120" w:line="240" w:lineRule="auto"/>
      <w:jc w:val="both"/>
    </w:pPr>
    <w:rPr>
      <w:rFonts w:ascii="Times New Roman" w:eastAsia="Times New Roman" w:hAnsi="Times New Roman"/>
      <w:sz w:val="24"/>
      <w:szCs w:val="24"/>
    </w:rPr>
  </w:style>
  <w:style w:type="paragraph" w:customStyle="1" w:styleId="Supertitre">
    <w:name w:val="Supertitre"/>
    <w:basedOn w:val="Normal"/>
    <w:next w:val="Normal"/>
    <w:uiPriority w:val="99"/>
    <w:pPr>
      <w:spacing w:before="40" w:after="600" w:line="240" w:lineRule="auto"/>
      <w:jc w:val="center"/>
    </w:pPr>
    <w:rPr>
      <w:rFonts w:ascii="Times New Roman" w:eastAsia="Times New Roman" w:hAnsi="Times New Roman"/>
      <w:b/>
      <w:sz w:val="24"/>
      <w:szCs w:val="24"/>
    </w:rPr>
  </w:style>
  <w:style w:type="paragraph" w:customStyle="1" w:styleId="Languesfaisantfoi">
    <w:name w:val="Langues faisant foi"/>
    <w:basedOn w:val="Normal"/>
    <w:next w:val="Normal"/>
    <w:uiPriority w:val="99"/>
    <w:pPr>
      <w:spacing w:before="360" w:after="0" w:line="240" w:lineRule="auto"/>
      <w:jc w:val="center"/>
    </w:pPr>
    <w:rPr>
      <w:rFonts w:ascii="Times New Roman" w:eastAsia="Times New Roman" w:hAnsi="Times New Roman"/>
      <w:sz w:val="24"/>
      <w:szCs w:val="24"/>
    </w:rPr>
  </w:style>
  <w:style w:type="paragraph" w:customStyle="1" w:styleId="Rfrencecroise">
    <w:name w:val="Référence croisée"/>
    <w:basedOn w:val="Normal"/>
    <w:uiPriority w:val="99"/>
    <w:pPr>
      <w:spacing w:before="40" w:after="0" w:line="240" w:lineRule="auto"/>
      <w:jc w:val="center"/>
    </w:pPr>
    <w:rPr>
      <w:rFonts w:ascii="Times New Roman" w:eastAsia="Times New Roman" w:hAnsi="Times New Roman"/>
      <w:sz w:val="24"/>
      <w:szCs w:val="24"/>
    </w:rPr>
  </w:style>
  <w:style w:type="paragraph" w:customStyle="1" w:styleId="Fichefinanciretitre">
    <w:name w:val="Fiche financièr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DatedadoptionPagedecouverture">
    <w:name w:val="Date d'adoption (Page de couverture)"/>
    <w:basedOn w:val="Datedadoption"/>
    <w:next w:val="TitreobjetPagedecouverture"/>
    <w:uiPriority w:val="99"/>
  </w:style>
  <w:style w:type="paragraph" w:customStyle="1" w:styleId="RfrenceinterinstitutionnellePagedecouverture">
    <w:name w:val="Référence interinstitutionnelle (Page de couverture)"/>
    <w:basedOn w:val="Rfrenceinterinstitutionnelle"/>
    <w:next w:val="Confidentialit"/>
    <w:uiPriority w:val="99"/>
  </w:style>
  <w:style w:type="paragraph" w:customStyle="1" w:styleId="StatutPagedecouverture">
    <w:name w:val="Statut (Page de couverture)"/>
    <w:basedOn w:val="Statut"/>
    <w:next w:val="TypedudocumentPagedecouverture"/>
    <w:uiPriority w:val="99"/>
  </w:style>
  <w:style w:type="paragraph" w:customStyle="1" w:styleId="Volume">
    <w:name w:val="Volum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IntrtEEE">
    <w:name w:val="Intérêt EEE"/>
    <w:basedOn w:val="Languesfaisantfoi"/>
    <w:next w:val="Normal"/>
    <w:uiPriority w:val="99"/>
    <w:pPr>
      <w:spacing w:after="240"/>
    </w:pPr>
  </w:style>
  <w:style w:type="paragraph" w:customStyle="1" w:styleId="Accompagnant">
    <w:name w:val="Accompagnant"/>
    <w:basedOn w:val="Normal"/>
    <w:next w:val="Typeacteprincipal"/>
    <w:uiPriority w:val="99"/>
    <w:pPr>
      <w:spacing w:before="40" w:after="240" w:line="240" w:lineRule="auto"/>
      <w:jc w:val="center"/>
    </w:pPr>
    <w:rPr>
      <w:rFonts w:ascii="Times New Roman" w:eastAsia="Times New Roman" w:hAnsi="Times New Roman"/>
      <w:b/>
      <w:i/>
      <w:sz w:val="24"/>
      <w:szCs w:val="24"/>
    </w:rPr>
  </w:style>
  <w:style w:type="paragraph" w:customStyle="1" w:styleId="Typeacteprincipal">
    <w:name w:val="Type acte principal"/>
    <w:basedOn w:val="Normal"/>
    <w:next w:val="Objetacteprincipal"/>
    <w:uiPriority w:val="99"/>
    <w:pPr>
      <w:spacing w:before="40" w:after="240" w:line="240" w:lineRule="auto"/>
      <w:jc w:val="center"/>
    </w:pPr>
    <w:rPr>
      <w:rFonts w:ascii="Times New Roman" w:eastAsia="Times New Roman" w:hAnsi="Times New Roman"/>
      <w:b/>
      <w:sz w:val="24"/>
      <w:szCs w:val="24"/>
    </w:rPr>
  </w:style>
  <w:style w:type="paragraph" w:customStyle="1" w:styleId="Objetacteprincipal">
    <w:name w:val="Objet acte principal"/>
    <w:basedOn w:val="Normal"/>
    <w:next w:val="Titrearticle"/>
    <w:uiPriority w:val="99"/>
    <w:pPr>
      <w:spacing w:before="40" w:after="360" w:line="240" w:lineRule="auto"/>
      <w:jc w:val="center"/>
    </w:pPr>
    <w:rPr>
      <w:rFonts w:ascii="Times New Roman" w:eastAsia="Times New Roman" w:hAnsi="Times New Roman"/>
      <w:b/>
      <w:sz w:val="24"/>
      <w:szCs w:val="24"/>
    </w:rPr>
  </w:style>
  <w:style w:type="paragraph" w:customStyle="1" w:styleId="IntrtEEEPagedecouverture">
    <w:name w:val="Intérêt EEE (Page de couverture)"/>
    <w:basedOn w:val="IntrtEEE"/>
    <w:next w:val="Rfrencecroise"/>
    <w:uiPriority w:val="99"/>
  </w:style>
  <w:style w:type="paragraph" w:customStyle="1" w:styleId="AccompagnantPagedecouverture">
    <w:name w:val="Accompagnant (Page de couverture)"/>
    <w:basedOn w:val="Accompagnant"/>
    <w:next w:val="TypeacteprincipalPagedecouverture"/>
    <w:uiPriority w:val="99"/>
  </w:style>
  <w:style w:type="paragraph" w:customStyle="1" w:styleId="TypeacteprincipalPagedecouverture">
    <w:name w:val="Type acte principal (Page de couverture)"/>
    <w:basedOn w:val="Typeacteprincipal"/>
    <w:next w:val="ObjetacteprincipalPagedecouverture"/>
    <w:uiPriority w:val="99"/>
  </w:style>
  <w:style w:type="paragraph" w:customStyle="1" w:styleId="ObjetacteprincipalPagedecouverture">
    <w:name w:val="Objet acte principal (Page de couverture)"/>
    <w:basedOn w:val="Objetacteprincipal"/>
    <w:next w:val="Rfrencecroise"/>
    <w:uiPriority w:val="99"/>
  </w:style>
  <w:style w:type="paragraph" w:customStyle="1" w:styleId="LanguesfaisantfoiPagedecouverture">
    <w:name w:val="Langues faisant foi (Page de couverture)"/>
    <w:basedOn w:val="Normal"/>
    <w:next w:val="Normal"/>
    <w:uiPriority w:val="99"/>
    <w:pPr>
      <w:spacing w:before="360" w:after="0" w:line="240" w:lineRule="auto"/>
      <w:jc w:val="center"/>
    </w:pPr>
    <w:rPr>
      <w:rFonts w:ascii="Times New Roman" w:eastAsia="Times New Roman" w:hAnsi="Times New Roman"/>
      <w:sz w:val="24"/>
      <w:szCs w:val="24"/>
    </w:rPr>
  </w:style>
  <w:style w:type="paragraph" w:styleId="ListBullet">
    <w:name w:val="List Bullet"/>
    <w:basedOn w:val="Normal"/>
    <w:uiPriority w:val="99"/>
    <w:pPr>
      <w:numPr>
        <w:numId w:val="7"/>
      </w:numPr>
      <w:tabs>
        <w:tab w:val="clear" w:pos="643"/>
        <w:tab w:val="num" w:pos="926"/>
        <w:tab w:val="num" w:pos="1984"/>
      </w:tabs>
      <w:spacing w:before="120" w:after="120" w:line="240" w:lineRule="auto"/>
      <w:ind w:left="360"/>
      <w:jc w:val="both"/>
    </w:pPr>
    <w:rPr>
      <w:rFonts w:ascii="Times New Roman" w:eastAsia="Times New Roman" w:hAnsi="Times New Roman"/>
      <w:sz w:val="24"/>
      <w:szCs w:val="24"/>
    </w:rPr>
  </w:style>
  <w:style w:type="paragraph" w:styleId="ListBullet2">
    <w:name w:val="List Bullet 2"/>
    <w:basedOn w:val="Normal"/>
    <w:uiPriority w:val="99"/>
    <w:pPr>
      <w:numPr>
        <w:numId w:val="8"/>
      </w:numPr>
      <w:tabs>
        <w:tab w:val="clear" w:pos="926"/>
        <w:tab w:val="num" w:pos="643"/>
        <w:tab w:val="num" w:pos="1209"/>
        <w:tab w:val="num" w:pos="2551"/>
      </w:tabs>
      <w:spacing w:before="120" w:after="120" w:line="240" w:lineRule="auto"/>
      <w:ind w:left="643"/>
      <w:jc w:val="both"/>
    </w:pPr>
    <w:rPr>
      <w:rFonts w:ascii="Times New Roman" w:eastAsia="Times New Roman" w:hAnsi="Times New Roman"/>
      <w:sz w:val="24"/>
      <w:szCs w:val="24"/>
    </w:rPr>
  </w:style>
  <w:style w:type="paragraph" w:styleId="ListBullet3">
    <w:name w:val="List Bullet 3"/>
    <w:basedOn w:val="Normal"/>
    <w:uiPriority w:val="99"/>
    <w:pPr>
      <w:numPr>
        <w:numId w:val="2"/>
      </w:numPr>
      <w:tabs>
        <w:tab w:val="clear" w:pos="360"/>
        <w:tab w:val="num" w:pos="926"/>
        <w:tab w:val="num" w:pos="3118"/>
      </w:tabs>
      <w:spacing w:before="120" w:after="120" w:line="240" w:lineRule="auto"/>
      <w:ind w:left="926"/>
      <w:jc w:val="both"/>
    </w:pPr>
    <w:rPr>
      <w:rFonts w:ascii="Times New Roman" w:eastAsia="Times New Roman" w:hAnsi="Times New Roman"/>
      <w:sz w:val="24"/>
      <w:szCs w:val="24"/>
    </w:rPr>
  </w:style>
  <w:style w:type="paragraph" w:styleId="ListBullet4">
    <w:name w:val="List Bullet 4"/>
    <w:basedOn w:val="Normal"/>
    <w:uiPriority w:val="99"/>
    <w:pPr>
      <w:numPr>
        <w:numId w:val="3"/>
      </w:numPr>
      <w:tabs>
        <w:tab w:val="num" w:pos="709"/>
        <w:tab w:val="num" w:pos="1209"/>
      </w:tabs>
      <w:spacing w:before="120" w:after="120" w:line="240" w:lineRule="auto"/>
      <w:ind w:left="1209"/>
      <w:jc w:val="both"/>
    </w:pPr>
    <w:rPr>
      <w:rFonts w:ascii="Times New Roman" w:eastAsia="Times New Roman" w:hAnsi="Times New Roman"/>
      <w:sz w:val="24"/>
      <w:szCs w:val="24"/>
    </w:rPr>
  </w:style>
  <w:style w:type="character" w:styleId="Emphasis">
    <w:name w:val="Emphasis"/>
    <w:uiPriority w:val="20"/>
    <w:qFormat/>
    <w:rPr>
      <w:rFonts w:cs="Times New Roman"/>
      <w:i/>
    </w:rPr>
  </w:style>
  <w:style w:type="paragraph" w:styleId="NormalWeb">
    <w:name w:val="Normal (Web)"/>
    <w:basedOn w:val="Normal"/>
    <w:uiPriority w:val="99"/>
    <w:pPr>
      <w:spacing w:before="100" w:beforeAutospacing="1" w:after="115" w:line="240" w:lineRule="auto"/>
      <w:jc w:val="both"/>
    </w:pPr>
    <w:rPr>
      <w:rFonts w:ascii="Times" w:eastAsia="Times New Roman" w:hAnsi="Times"/>
      <w:sz w:val="20"/>
      <w:szCs w:val="20"/>
      <w:lang w:val="en-US"/>
    </w:rPr>
  </w:style>
  <w:style w:type="paragraph" w:styleId="PlainText">
    <w:name w:val="Plain Text"/>
    <w:basedOn w:val="Normal"/>
    <w:link w:val="PlainTextChar1"/>
    <w:uiPriority w:val="99"/>
    <w:pPr>
      <w:widowControl w:val="0"/>
      <w:suppressAutoHyphens/>
      <w:spacing w:before="40" w:after="0" w:line="240" w:lineRule="auto"/>
      <w:jc w:val="both"/>
    </w:pPr>
    <w:rPr>
      <w:rFonts w:ascii="Arial" w:eastAsia="Arial Unicode MS" w:hAnsi="Arial" w:cs="Arial Unicode MS"/>
      <w:kern w:val="1"/>
      <w:sz w:val="24"/>
      <w:szCs w:val="24"/>
      <w:lang w:val="x-none" w:eastAsia="hi-IN" w:bidi="hi-IN"/>
    </w:rPr>
  </w:style>
  <w:style w:type="character" w:customStyle="1" w:styleId="PlainTextChar">
    <w:name w:val="Plain Text Char"/>
    <w:rPr>
      <w:rFonts w:ascii="Courier New" w:hAnsi="Courier New" w:cs="Courier New"/>
      <w:lang w:eastAsia="en-US"/>
    </w:rPr>
  </w:style>
  <w:style w:type="character" w:customStyle="1" w:styleId="PlainTextChar1">
    <w:name w:val="Plain Text Char1"/>
    <w:link w:val="PlainText"/>
    <w:uiPriority w:val="99"/>
    <w:rPr>
      <w:rFonts w:ascii="Arial" w:eastAsia="Arial Unicode MS" w:hAnsi="Arial" w:cs="Arial Unicode MS"/>
      <w:kern w:val="1"/>
      <w:sz w:val="24"/>
      <w:szCs w:val="24"/>
      <w:lang w:eastAsia="hi-IN" w:bidi="hi-IN"/>
    </w:rPr>
  </w:style>
  <w:style w:type="paragraph" w:styleId="BodyText">
    <w:name w:val="Body Text"/>
    <w:basedOn w:val="Normal"/>
    <w:link w:val="BodyTextChar1"/>
    <w:uiPriority w:val="99"/>
    <w:pPr>
      <w:widowControl w:val="0"/>
      <w:suppressAutoHyphens/>
      <w:spacing w:before="40" w:after="120" w:line="240" w:lineRule="auto"/>
      <w:jc w:val="both"/>
    </w:pPr>
    <w:rPr>
      <w:rFonts w:ascii="Arial" w:eastAsia="Arial Unicode MS" w:hAnsi="Arial" w:cs="Arial Unicode MS"/>
      <w:kern w:val="1"/>
      <w:sz w:val="24"/>
      <w:szCs w:val="24"/>
      <w:lang w:val="x-none" w:eastAsia="hi-IN" w:bidi="hi-IN"/>
    </w:rPr>
  </w:style>
  <w:style w:type="character" w:customStyle="1" w:styleId="BodyTextChar">
    <w:name w:val="Body Text Char"/>
    <w:rPr>
      <w:sz w:val="22"/>
      <w:szCs w:val="22"/>
      <w:lang w:eastAsia="en-US"/>
    </w:rPr>
  </w:style>
  <w:style w:type="character" w:customStyle="1" w:styleId="BodyTextChar1">
    <w:name w:val="Body Text Char1"/>
    <w:link w:val="BodyText"/>
    <w:uiPriority w:val="99"/>
    <w:rPr>
      <w:rFonts w:ascii="Arial" w:eastAsia="Arial Unicode MS" w:hAnsi="Arial" w:cs="Arial Unicode MS"/>
      <w:kern w:val="1"/>
      <w:sz w:val="24"/>
      <w:szCs w:val="24"/>
      <w:lang w:eastAsia="hi-IN" w:bidi="hi-IN"/>
    </w:rPr>
  </w:style>
  <w:style w:type="paragraph" w:styleId="ListNumber">
    <w:name w:val="List Number"/>
    <w:basedOn w:val="Normal"/>
    <w:uiPriority w:val="99"/>
    <w:pPr>
      <w:numPr>
        <w:numId w:val="9"/>
      </w:numPr>
      <w:spacing w:before="40"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uiPriority w:val="99"/>
    <w:pPr>
      <w:numPr>
        <w:ilvl w:val="1"/>
        <w:numId w:val="9"/>
      </w:numPr>
      <w:spacing w:before="40"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uiPriority w:val="99"/>
    <w:pPr>
      <w:numPr>
        <w:ilvl w:val="2"/>
        <w:numId w:val="9"/>
      </w:numPr>
      <w:spacing w:before="40"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uiPriority w:val="99"/>
    <w:pPr>
      <w:numPr>
        <w:ilvl w:val="3"/>
        <w:numId w:val="9"/>
      </w:numPr>
      <w:spacing w:before="40" w:after="240" w:line="240" w:lineRule="auto"/>
      <w:jc w:val="both"/>
    </w:pPr>
    <w:rPr>
      <w:rFonts w:ascii="Times New Roman" w:eastAsia="Times New Roman" w:hAnsi="Times New Roman"/>
      <w:sz w:val="24"/>
      <w:szCs w:val="20"/>
    </w:rPr>
  </w:style>
  <w:style w:type="character" w:styleId="CommentReference">
    <w:name w:val="annotation reference"/>
    <w:rPr>
      <w:rFonts w:cs="Times New Roman"/>
      <w:sz w:val="16"/>
      <w:szCs w:val="16"/>
      <w:shd w:val="clear" w:color="auto" w:fill="auto"/>
    </w:rPr>
  </w:style>
  <w:style w:type="paragraph" w:styleId="CommentText">
    <w:name w:val="annotation text"/>
    <w:basedOn w:val="Normal"/>
    <w:link w:val="CommentTextChar1"/>
    <w:pPr>
      <w:spacing w:before="40" w:after="180" w:line="240" w:lineRule="auto"/>
      <w:jc w:val="both"/>
    </w:pPr>
    <w:rPr>
      <w:rFonts w:eastAsia="Times New Roman"/>
      <w:sz w:val="20"/>
      <w:szCs w:val="20"/>
      <w:lang w:val="x-none" w:eastAsia="x-none"/>
    </w:rPr>
  </w:style>
  <w:style w:type="character" w:customStyle="1" w:styleId="CommentTextChar">
    <w:name w:val="Comment Text Char"/>
    <w:rPr>
      <w:lang w:eastAsia="en-US"/>
    </w:rPr>
  </w:style>
  <w:style w:type="character" w:customStyle="1" w:styleId="CommentTextChar1">
    <w:name w:val="Comment Text Char1"/>
    <w:link w:val="CommentText"/>
    <w:rPr>
      <w:rFonts w:eastAsia="Times New Roman"/>
      <w:lang w:val="x-none" w:eastAsia="x-none"/>
    </w:rPr>
  </w:style>
  <w:style w:type="paragraph" w:customStyle="1" w:styleId="Not">
    <w:name w:val="Not"/>
    <w:basedOn w:val="FootnoteText"/>
    <w:uiPriority w:val="99"/>
    <w:pPr>
      <w:ind w:left="0" w:firstLine="0"/>
    </w:pPr>
  </w:style>
  <w:style w:type="character" w:customStyle="1" w:styleId="t23">
    <w:name w:val="t23"/>
    <w:uiPriority w:val="99"/>
    <w:rPr>
      <w:rFonts w:cs="Times New Roman"/>
      <w:shd w:val="clear" w:color="auto" w:fill="auto"/>
    </w:rPr>
  </w:style>
  <w:style w:type="character" w:customStyle="1" w:styleId="t25">
    <w:name w:val="t25"/>
    <w:uiPriority w:val="99"/>
    <w:rPr>
      <w:rFonts w:cs="Times New Roman"/>
      <w:shd w:val="clear" w:color="auto" w:fill="auto"/>
    </w:rPr>
  </w:style>
  <w:style w:type="character" w:customStyle="1" w:styleId="Caractresdenotedebasdepage">
    <w:name w:val="Caractères de note de bas de page"/>
    <w:uiPriority w:val="99"/>
    <w:rPr>
      <w:rFonts w:cs="Times New Roman"/>
      <w:shd w:val="clear" w:color="auto" w:fill="auto"/>
      <w:vertAlign w:val="superscript"/>
    </w:rPr>
  </w:style>
  <w:style w:type="character" w:customStyle="1" w:styleId="t9">
    <w:name w:val="t9"/>
    <w:uiPriority w:val="99"/>
    <w:rPr>
      <w:rFonts w:cs="Times New Roman"/>
      <w:shd w:val="clear" w:color="auto" w:fill="auto"/>
    </w:rPr>
  </w:style>
  <w:style w:type="character" w:customStyle="1" w:styleId="t10">
    <w:name w:val="t10"/>
    <w:uiPriority w:val="99"/>
    <w:rPr>
      <w:rFonts w:cs="Times New Roman"/>
      <w:shd w:val="clear" w:color="auto" w:fill="auto"/>
    </w:rPr>
  </w:style>
  <w:style w:type="character" w:customStyle="1" w:styleId="t20">
    <w:name w:val="t20"/>
    <w:uiPriority w:val="99"/>
    <w:rPr>
      <w:rFonts w:cs="Times New Roman"/>
      <w:shd w:val="clear" w:color="auto" w:fill="auto"/>
    </w:rPr>
  </w:style>
  <w:style w:type="character" w:customStyle="1" w:styleId="t21">
    <w:name w:val="t21"/>
    <w:uiPriority w:val="99"/>
    <w:rPr>
      <w:rFonts w:cs="Times New Roman"/>
      <w:shd w:val="clear" w:color="auto" w:fill="auto"/>
    </w:rPr>
  </w:style>
  <w:style w:type="character" w:customStyle="1" w:styleId="t5">
    <w:name w:val="t5"/>
    <w:uiPriority w:val="99"/>
    <w:rPr>
      <w:rFonts w:cs="Times New Roman"/>
      <w:shd w:val="clear" w:color="auto" w:fill="auto"/>
    </w:rPr>
  </w:style>
  <w:style w:type="character" w:customStyle="1" w:styleId="t4">
    <w:name w:val="t4"/>
    <w:uiPriority w:val="99"/>
    <w:rPr>
      <w:rFonts w:cs="Times New Roman"/>
      <w:shd w:val="clear" w:color="auto" w:fill="auto"/>
    </w:rPr>
  </w:style>
  <w:style w:type="character" w:customStyle="1" w:styleId="t11">
    <w:name w:val="t11"/>
    <w:uiPriority w:val="99"/>
    <w:rPr>
      <w:rFonts w:cs="Times New Roman"/>
      <w:shd w:val="clear" w:color="auto" w:fill="auto"/>
    </w:rPr>
  </w:style>
  <w:style w:type="character" w:customStyle="1" w:styleId="CaptionChar1">
    <w:name w:val="Caption Char1"/>
    <w:uiPriority w:val="99"/>
    <w:locked/>
    <w:rPr>
      <w:rFonts w:ascii="Times New Roman" w:eastAsia="Times New Roman" w:hAnsi="Times New Roman" w:cs="Times New Roman"/>
      <w:b/>
      <w:bCs/>
      <w:sz w:val="20"/>
      <w:szCs w:val="20"/>
      <w:lang w:val="en-GB"/>
    </w:rPr>
  </w:style>
  <w:style w:type="paragraph" w:styleId="TableofFigures">
    <w:name w:val="table of figures"/>
    <w:basedOn w:val="Normal"/>
    <w:next w:val="Normal"/>
    <w:uiPriority w:val="99"/>
    <w:pPr>
      <w:spacing w:before="40" w:after="120" w:line="240" w:lineRule="auto"/>
      <w:ind w:left="482" w:hanging="482"/>
      <w:jc w:val="both"/>
    </w:pPr>
    <w:rPr>
      <w:rFonts w:ascii="Times New Roman" w:eastAsia="Times New Roman" w:hAnsi="Times New Roman"/>
      <w:bCs/>
      <w:sz w:val="24"/>
      <w:szCs w:val="20"/>
    </w:rPr>
  </w:style>
  <w:style w:type="paragraph" w:styleId="ListNumber2">
    <w:name w:val="List Number 2"/>
    <w:basedOn w:val="Normal"/>
    <w:uiPriority w:val="99"/>
    <w:pPr>
      <w:numPr>
        <w:numId w:val="4"/>
      </w:numPr>
      <w:tabs>
        <w:tab w:val="clear" w:pos="926"/>
        <w:tab w:val="num" w:pos="643"/>
        <w:tab w:val="num" w:pos="850"/>
        <w:tab w:val="num" w:pos="1209"/>
      </w:tabs>
      <w:spacing w:before="120" w:after="120" w:line="240" w:lineRule="auto"/>
      <w:ind w:left="643"/>
      <w:jc w:val="both"/>
    </w:pPr>
    <w:rPr>
      <w:rFonts w:ascii="Times New Roman" w:eastAsia="Times New Roman" w:hAnsi="Times New Roman"/>
      <w:sz w:val="24"/>
      <w:szCs w:val="24"/>
    </w:rPr>
  </w:style>
  <w:style w:type="paragraph" w:styleId="ListNumber3">
    <w:name w:val="List Number 3"/>
    <w:basedOn w:val="Normal"/>
    <w:uiPriority w:val="99"/>
    <w:pPr>
      <w:numPr>
        <w:numId w:val="5"/>
      </w:numPr>
      <w:tabs>
        <w:tab w:val="clear" w:pos="1209"/>
        <w:tab w:val="num" w:pos="926"/>
        <w:tab w:val="num" w:pos="1417"/>
      </w:tabs>
      <w:spacing w:before="120" w:after="120" w:line="240" w:lineRule="auto"/>
      <w:ind w:left="926"/>
      <w:jc w:val="both"/>
    </w:pPr>
    <w:rPr>
      <w:rFonts w:ascii="Times New Roman" w:eastAsia="Times New Roman" w:hAnsi="Times New Roman"/>
      <w:sz w:val="24"/>
      <w:szCs w:val="24"/>
    </w:rPr>
  </w:style>
  <w:style w:type="paragraph" w:styleId="ListNumber4">
    <w:name w:val="List Number 4"/>
    <w:basedOn w:val="Normal"/>
    <w:uiPriority w:val="99"/>
    <w:pPr>
      <w:numPr>
        <w:numId w:val="6"/>
      </w:numPr>
      <w:tabs>
        <w:tab w:val="clear" w:pos="360"/>
        <w:tab w:val="num" w:pos="643"/>
        <w:tab w:val="num" w:pos="1209"/>
        <w:tab w:val="num" w:pos="1984"/>
      </w:tabs>
      <w:spacing w:before="120" w:after="120" w:line="240" w:lineRule="auto"/>
      <w:ind w:left="1209"/>
      <w:jc w:val="both"/>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pPr>
      <w:spacing w:before="120" w:after="120"/>
    </w:pPr>
    <w:rPr>
      <w:rFonts w:ascii="Times New Roman" w:hAnsi="Times New Roman"/>
      <w:b/>
      <w:bCs/>
    </w:rPr>
  </w:style>
  <w:style w:type="character" w:customStyle="1" w:styleId="CommentSubjectChar">
    <w:name w:val="Comment Subject Char"/>
    <w:link w:val="CommentSubject"/>
    <w:uiPriority w:val="99"/>
    <w:semiHidden/>
    <w:rPr>
      <w:rFonts w:ascii="Times New Roman" w:eastAsia="Times New Roman" w:hAnsi="Times New Roman"/>
      <w:b/>
      <w:bCs/>
      <w:lang w:eastAsia="x-none"/>
    </w:rPr>
  </w:style>
  <w:style w:type="paragraph" w:customStyle="1" w:styleId="Nomral">
    <w:name w:val="Nomral"/>
    <w:basedOn w:val="Normal"/>
    <w:uiPriority w:val="99"/>
    <w:pPr>
      <w:spacing w:before="120" w:after="120" w:line="240" w:lineRule="auto"/>
      <w:jc w:val="both"/>
    </w:pPr>
    <w:rPr>
      <w:rFonts w:ascii="Times New Roman" w:eastAsia="Times New Roman" w:hAnsi="Times New Roman"/>
      <w:sz w:val="24"/>
      <w:szCs w:val="24"/>
    </w:rPr>
  </w:style>
  <w:style w:type="paragraph" w:customStyle="1" w:styleId="Heading">
    <w:name w:val="Heading"/>
    <w:basedOn w:val="Heading1"/>
    <w:uiPriority w:val="99"/>
    <w:pPr>
      <w:numPr>
        <w:numId w:val="0"/>
      </w:numPr>
      <w:tabs>
        <w:tab w:val="num" w:pos="643"/>
        <w:tab w:val="num" w:pos="850"/>
      </w:tabs>
      <w:ind w:left="850" w:hanging="850"/>
    </w:pPr>
  </w:style>
  <w:style w:type="character" w:styleId="FollowedHyperlink">
    <w:name w:val="FollowedHyperlink"/>
    <w:uiPriority w:val="99"/>
    <w:rPr>
      <w:rFonts w:cs="Times New Roman"/>
      <w:color w:val="800080"/>
      <w:u w:val="single"/>
    </w:rPr>
  </w:style>
  <w:style w:type="paragraph" w:customStyle="1" w:styleId="FootnotesText">
    <w:name w:val="Footnotes Text"/>
    <w:basedOn w:val="Normal"/>
    <w:link w:val="FootnotesTextChar"/>
    <w:uiPriority w:val="99"/>
    <w:pPr>
      <w:autoSpaceDE w:val="0"/>
      <w:autoSpaceDN w:val="0"/>
      <w:adjustRightInd w:val="0"/>
      <w:spacing w:before="40" w:after="0" w:line="240" w:lineRule="auto"/>
      <w:jc w:val="both"/>
    </w:pPr>
    <w:rPr>
      <w:rFonts w:ascii="Times New Roman" w:eastAsia="Times New Roman" w:hAnsi="Times New Roman"/>
      <w:b/>
      <w:bCs/>
      <w:sz w:val="24"/>
      <w:szCs w:val="24"/>
      <w:lang w:val="x-none" w:eastAsia="x-none"/>
    </w:rPr>
  </w:style>
  <w:style w:type="character" w:customStyle="1" w:styleId="FootnotesTextChar">
    <w:name w:val="Footnotes Text Char"/>
    <w:link w:val="FootnotesText"/>
    <w:uiPriority w:val="99"/>
    <w:locked/>
    <w:rPr>
      <w:rFonts w:ascii="Times New Roman" w:eastAsia="Times New Roman" w:hAnsi="Times New Roman"/>
      <w:b/>
      <w:bCs/>
      <w:sz w:val="24"/>
      <w:szCs w:val="24"/>
    </w:rPr>
  </w:style>
  <w:style w:type="character" w:customStyle="1" w:styleId="hps">
    <w:name w:val="hps"/>
    <w:uiPriority w:val="99"/>
    <w:rPr>
      <w:rFonts w:cs="Times New Roman"/>
    </w:rPr>
  </w:style>
  <w:style w:type="paragraph" w:customStyle="1" w:styleId="Default">
    <w:name w:val="Default"/>
    <w:uiPriority w:val="99"/>
    <w:pPr>
      <w:autoSpaceDE w:val="0"/>
      <w:autoSpaceDN w:val="0"/>
      <w:adjustRightInd w:val="0"/>
    </w:pPr>
    <w:rPr>
      <w:rFonts w:ascii="EUAlbertina" w:eastAsia="Times New Roman" w:hAnsi="EUAlbertina" w:cs="EUAlbertina"/>
      <w:color w:val="000000"/>
      <w:sz w:val="24"/>
      <w:szCs w:val="24"/>
    </w:rPr>
  </w:style>
  <w:style w:type="paragraph" w:customStyle="1" w:styleId="CM4">
    <w:name w:val="CM4"/>
    <w:basedOn w:val="Default"/>
    <w:next w:val="Default"/>
    <w:uiPriority w:val="99"/>
    <w:rPr>
      <w:rFonts w:cs="Times New Roman"/>
      <w:color w:val="auto"/>
    </w:rPr>
  </w:style>
  <w:style w:type="character" w:customStyle="1" w:styleId="spiritsinfol">
    <w:name w:val="spirit s_info_l"/>
    <w:uiPriority w:val="99"/>
    <w:rPr>
      <w:rFonts w:cs="Times New Roman"/>
      <w:sz w:val="24"/>
      <w:szCs w:val="24"/>
    </w:rPr>
  </w:style>
  <w:style w:type="character" w:styleId="HTMLCite">
    <w:name w:val="HTML Cite"/>
    <w:uiPriority w:val="99"/>
    <w:rPr>
      <w:rFonts w:cs="Times New Roman"/>
      <w:i/>
      <w:iCs/>
    </w:rPr>
  </w:style>
  <w:style w:type="paragraph" w:customStyle="1" w:styleId="NormalBorderSinglesolidline">
    <w:name w:val="Normal + Border: : (Single solid line"/>
    <w:aliases w:val="Auto,0.5 pt Line width)"/>
    <w:basedOn w:val="Normal"/>
    <w:uiPriority w:val="99"/>
    <w:pPr>
      <w:spacing w:before="120" w:after="120" w:line="240" w:lineRule="auto"/>
      <w:jc w:val="both"/>
    </w:pPr>
    <w:rPr>
      <w:rFonts w:ascii="Times New Roman" w:eastAsia="Times New Roman" w:hAnsi="Times New Roman"/>
      <w:sz w:val="24"/>
      <w:szCs w:val="24"/>
      <w:bdr w:val="single" w:sz="4" w:space="0" w:color="auto"/>
    </w:rPr>
  </w:style>
  <w:style w:type="paragraph" w:customStyle="1" w:styleId="a3520normal">
    <w:name w:val="a___35__20_normal"/>
    <w:basedOn w:val="Normal"/>
    <w:uiPriority w:val="99"/>
    <w:pPr>
      <w:spacing w:before="100" w:beforeAutospacing="1" w:after="100" w:afterAutospacing="1" w:line="240" w:lineRule="auto"/>
      <w:jc w:val="both"/>
    </w:pPr>
    <w:rPr>
      <w:rFonts w:ascii="Times New Roman" w:eastAsia="Times New Roman" w:hAnsi="Times New Roman"/>
      <w:sz w:val="24"/>
      <w:szCs w:val="24"/>
      <w:lang w:eastAsia="en-GB"/>
    </w:rPr>
  </w:style>
  <w:style w:type="paragraph" w:customStyle="1" w:styleId="Noral">
    <w:name w:val="Noral"/>
    <w:basedOn w:val="Normal"/>
    <w:uiPriority w:val="99"/>
    <w:pPr>
      <w:spacing w:before="120" w:after="120" w:line="240" w:lineRule="auto"/>
      <w:jc w:val="both"/>
    </w:pPr>
    <w:rPr>
      <w:rFonts w:ascii="Times New Roman" w:eastAsia="Times New Roman" w:hAnsi="Times New Roman"/>
      <w:color w:val="0000FF"/>
      <w:sz w:val="24"/>
      <w:szCs w:val="24"/>
    </w:rPr>
  </w:style>
  <w:style w:type="table" w:styleId="TableGrid">
    <w:name w:val="Table Grid"/>
    <w:basedOn w:val="TableNormal"/>
    <w:uiPriority w:val="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3">
    <w:name w:val="Char Char3"/>
    <w:uiPriority w:val="99"/>
    <w:semiHidden/>
    <w:locked/>
    <w:rPr>
      <w:lang w:val="en-GB" w:eastAsia="en-US"/>
    </w:rPr>
  </w:style>
  <w:style w:type="character" w:customStyle="1" w:styleId="CharChar2">
    <w:name w:val="Char Char2"/>
    <w:semiHidden/>
    <w:locked/>
    <w:rPr>
      <w:rFonts w:cs="Times New Roman"/>
      <w:sz w:val="20"/>
      <w:szCs w:val="20"/>
      <w:lang w:eastAsia="en-US"/>
    </w:rPr>
  </w:style>
  <w:style w:type="character" w:customStyle="1" w:styleId="CharChar5">
    <w:name w:val="Char Char5"/>
    <w:semiHidden/>
    <w:locked/>
    <w:rPr>
      <w:rFonts w:cs="Times New Roman"/>
      <w:lang w:val="en-GB" w:eastAsia="en-US" w:bidi="ar-SA"/>
    </w:rPr>
  </w:style>
  <w:style w:type="character" w:customStyle="1" w:styleId="CharChar7">
    <w:name w:val="Char Char7"/>
    <w:semiHidden/>
    <w:locked/>
    <w:rPr>
      <w:rFonts w:cs="Times New Roman"/>
      <w:lang w:val="en-GB" w:eastAsia="en-US" w:bidi="ar-SA"/>
    </w:rPr>
  </w:style>
  <w:style w:type="paragraph" w:styleId="Title">
    <w:name w:val="Title"/>
    <w:basedOn w:val="Normal"/>
    <w:link w:val="TitleChar"/>
    <w:qFormat/>
    <w:pPr>
      <w:spacing w:before="240" w:after="60" w:line="240" w:lineRule="auto"/>
      <w:jc w:val="center"/>
      <w:outlineLvl w:val="0"/>
    </w:pPr>
    <w:rPr>
      <w:rFonts w:ascii="Arial" w:hAnsi="Arial"/>
      <w:b/>
      <w:bCs/>
      <w:kern w:val="28"/>
      <w:sz w:val="32"/>
      <w:szCs w:val="32"/>
      <w:lang w:val="x-none" w:eastAsia="x-none"/>
    </w:rPr>
  </w:style>
  <w:style w:type="character" w:customStyle="1" w:styleId="TitleChar">
    <w:name w:val="Title Char"/>
    <w:link w:val="Title"/>
    <w:rPr>
      <w:rFonts w:ascii="Arial" w:hAnsi="Arial"/>
      <w:b/>
      <w:bCs/>
      <w:kern w:val="28"/>
      <w:sz w:val="32"/>
      <w:szCs w:val="32"/>
      <w:lang w:eastAsia="x-none"/>
    </w:rPr>
  </w:style>
  <w:style w:type="paragraph" w:styleId="Revision">
    <w:name w:val="Revision"/>
    <w:hidden/>
    <w:uiPriority w:val="99"/>
    <w:semiHidden/>
    <w:rPr>
      <w:rFonts w:ascii="Times New Roman" w:eastAsia="Times New Roman" w:hAnsi="Times New Roman"/>
      <w:sz w:val="24"/>
      <w:szCs w:val="24"/>
      <w:lang w:eastAsia="en-US"/>
    </w:rPr>
  </w:style>
  <w:style w:type="paragraph" w:customStyle="1" w:styleId="entetepair">
    <w:name w:val="entete_pair"/>
    <w:pPr>
      <w:pBdr>
        <w:bottom w:val="single" w:sz="4" w:space="5" w:color="C00000"/>
      </w:pBdr>
      <w:spacing w:after="300"/>
    </w:pPr>
    <w:rPr>
      <w:rFonts w:ascii="Arial Narrow" w:hAnsi="Arial Narrow" w:cs="Arial"/>
      <w:color w:val="000000"/>
      <w:spacing w:val="20"/>
      <w:sz w:val="18"/>
      <w:lang w:eastAsia="en-US"/>
    </w:rPr>
  </w:style>
  <w:style w:type="paragraph" w:customStyle="1" w:styleId="enteteimpair">
    <w:name w:val="entete_impair"/>
    <w:basedOn w:val="entetepair"/>
    <w:pPr>
      <w:jc w:val="right"/>
    </w:pPr>
    <w:rPr>
      <w:lang w:val="en-US"/>
    </w:rPr>
  </w:style>
  <w:style w:type="paragraph" w:customStyle="1" w:styleId="exemple">
    <w:name w:val="exemple"/>
    <w:pPr>
      <w:spacing w:before="120" w:line="300" w:lineRule="auto"/>
      <w:ind w:left="369"/>
      <w:jc w:val="both"/>
    </w:pPr>
    <w:rPr>
      <w:rFonts w:ascii="Arial Narrow" w:hAnsi="Arial Narrow"/>
      <w:lang w:eastAsia="en-US"/>
    </w:rPr>
  </w:style>
  <w:style w:type="paragraph" w:customStyle="1" w:styleId="H1etiket">
    <w:name w:val="H1_etiket"/>
    <w:basedOn w:val="Heading1"/>
    <w:pPr>
      <w:numPr>
        <w:numId w:val="0"/>
      </w:numPr>
      <w:spacing w:before="0" w:after="600" w:line="300" w:lineRule="auto"/>
      <w:jc w:val="right"/>
    </w:pPr>
    <w:rPr>
      <w:rFonts w:ascii="Verdana" w:eastAsia="Calibri" w:hAnsi="Verdana" w:cs="Arial"/>
      <w:bCs w:val="0"/>
      <w:caps/>
      <w:smallCaps w:val="0"/>
      <w:noProof/>
      <w:color w:val="943634"/>
      <w:sz w:val="52"/>
      <w:szCs w:val="52"/>
    </w:rPr>
  </w:style>
  <w:style w:type="paragraph" w:customStyle="1" w:styleId="H1prelim">
    <w:name w:val="H1_prelim"/>
    <w:pPr>
      <w:pBdr>
        <w:bottom w:val="single" w:sz="8" w:space="31" w:color="auto"/>
      </w:pBdr>
      <w:tabs>
        <w:tab w:val="left" w:pos="2268"/>
      </w:tabs>
      <w:spacing w:before="800" w:after="180"/>
      <w:jc w:val="center"/>
    </w:pPr>
    <w:rPr>
      <w:rFonts w:ascii="Arial" w:hAnsi="Arial" w:cs="Arial"/>
      <w:b/>
      <w:caps/>
      <w:color w:val="000000"/>
      <w:spacing w:val="60"/>
      <w:sz w:val="36"/>
      <w:lang w:val="fr-FR" w:eastAsia="en-US"/>
    </w:rPr>
  </w:style>
  <w:style w:type="paragraph" w:customStyle="1" w:styleId="H1subtitle">
    <w:name w:val="H1_subtitle"/>
    <w:basedOn w:val="Heading1"/>
    <w:pPr>
      <w:widowControl w:val="0"/>
      <w:numPr>
        <w:numId w:val="0"/>
      </w:numPr>
      <w:shd w:val="clear" w:color="auto" w:fill="FFCC99"/>
      <w:spacing w:before="240" w:after="0" w:line="360" w:lineRule="auto"/>
      <w:jc w:val="center"/>
    </w:pPr>
    <w:rPr>
      <w:rFonts w:ascii="Verdana" w:eastAsia="Calibri" w:hAnsi="Verdana" w:cs="Arial"/>
      <w:bCs w:val="0"/>
      <w:caps/>
      <w:smallCaps w:val="0"/>
      <w:noProof/>
      <w:spacing w:val="20"/>
      <w:kern w:val="28"/>
      <w:sz w:val="32"/>
    </w:rPr>
  </w:style>
  <w:style w:type="paragraph" w:customStyle="1" w:styleId="noteexplicative">
    <w:name w:val="note explicative"/>
    <w:pPr>
      <w:spacing w:before="100" w:after="60"/>
    </w:pPr>
    <w:rPr>
      <w:rFonts w:ascii="Arial" w:hAnsi="Arial" w:cs="Arial"/>
      <w:b/>
      <w:bCs/>
      <w:color w:val="C00000"/>
      <w:sz w:val="18"/>
      <w:u w:val="single"/>
      <w:lang w:eastAsia="en-US"/>
    </w:rPr>
  </w:style>
  <w:style w:type="paragraph" w:customStyle="1" w:styleId="pays">
    <w:name w:val="pays"/>
    <w:pPr>
      <w:spacing w:before="200" w:after="100"/>
    </w:pPr>
    <w:rPr>
      <w:rFonts w:ascii="Myriad Pro" w:hAnsi="Myriad Pro"/>
      <w:b/>
      <w:color w:val="993300"/>
      <w:sz w:val="21"/>
      <w:lang w:eastAsia="en-US"/>
    </w:rPr>
  </w:style>
  <w:style w:type="paragraph" w:customStyle="1" w:styleId="tableauougraphique">
    <w:name w:val="tableau ou graphique"/>
    <w:pPr>
      <w:keepNext/>
      <w:numPr>
        <w:numId w:val="12"/>
      </w:numPr>
      <w:spacing w:before="200" w:after="200" w:line="276" w:lineRule="auto"/>
      <w:ind w:hanging="720"/>
    </w:pPr>
    <w:rPr>
      <w:rFonts w:ascii="Arial Narrow" w:eastAsia="Times New Roman" w:hAnsi="Arial Narrow" w:cs="Arial"/>
      <w:b/>
      <w:bCs/>
      <w:noProof/>
      <w:color w:val="943634"/>
      <w:lang w:eastAsia="en-US"/>
    </w:rPr>
  </w:style>
  <w:style w:type="paragraph" w:customStyle="1" w:styleId="texteparbullet">
    <w:name w:val="texte+par+bullet"/>
    <w:basedOn w:val="Normal"/>
    <w:pPr>
      <w:numPr>
        <w:numId w:val="11"/>
      </w:numPr>
      <w:spacing w:before="160" w:after="0" w:line="300" w:lineRule="auto"/>
      <w:jc w:val="both"/>
    </w:pPr>
    <w:rPr>
      <w:rFonts w:ascii="Arial" w:hAnsi="Arial" w:cs="Arial"/>
      <w:noProof/>
      <w:sz w:val="20"/>
      <w:szCs w:val="20"/>
      <w:lang w:eastAsia="de-DE"/>
    </w:rPr>
  </w:style>
  <w:style w:type="paragraph" w:customStyle="1" w:styleId="texteparbulletretrait">
    <w:name w:val="texte+par+bullet+retrait"/>
    <w:basedOn w:val="texteparbullet"/>
    <w:pPr>
      <w:numPr>
        <w:numId w:val="0"/>
      </w:numPr>
      <w:spacing w:before="80"/>
    </w:pPr>
  </w:style>
  <w:style w:type="paragraph" w:customStyle="1" w:styleId="texte1">
    <w:name w:val="texte1"/>
    <w:basedOn w:val="Normal"/>
    <w:pPr>
      <w:spacing w:before="40" w:after="0" w:line="240" w:lineRule="auto"/>
      <w:jc w:val="both"/>
    </w:pPr>
    <w:rPr>
      <w:rFonts w:ascii="Arial" w:hAnsi="Arial" w:cs="Arial"/>
      <w:sz w:val="2"/>
      <w:szCs w:val="17"/>
      <w:lang w:eastAsia="en-GB"/>
    </w:rPr>
  </w:style>
  <w:style w:type="paragraph" w:customStyle="1" w:styleId="texte83ap">
    <w:name w:val="texte8_3ap"/>
    <w:basedOn w:val="Normal"/>
    <w:pPr>
      <w:widowControl w:val="0"/>
      <w:spacing w:before="40" w:after="60" w:line="240" w:lineRule="auto"/>
      <w:jc w:val="both"/>
    </w:pPr>
    <w:rPr>
      <w:rFonts w:ascii="Arial" w:hAnsi="Arial" w:cs="Arial"/>
      <w:sz w:val="16"/>
      <w:szCs w:val="16"/>
    </w:rPr>
  </w:style>
  <w:style w:type="paragraph" w:customStyle="1" w:styleId="texte">
    <w:name w:val="texte"/>
    <w:basedOn w:val="textepar"/>
    <w:pPr>
      <w:spacing w:before="0"/>
      <w:jc w:val="left"/>
    </w:pPr>
    <w:rPr>
      <w:rFonts w:eastAsia="Calibri" w:cs="Arial"/>
      <w:sz w:val="20"/>
      <w:szCs w:val="20"/>
      <w:lang w:eastAsia="en-GB"/>
    </w:rPr>
  </w:style>
  <w:style w:type="character" w:customStyle="1" w:styleId="Caracteresdenotaderodap">
    <w:name w:val="Caracteres de nota de rodapé"/>
    <w:rPr>
      <w:rFonts w:cs="Times New Roman"/>
      <w:vertAlign w:val="superscript"/>
    </w:rPr>
  </w:style>
  <w:style w:type="character" w:customStyle="1" w:styleId="rightside">
    <w:name w:val="right_side"/>
    <w:rPr>
      <w:rFonts w:cs="Times New Roman"/>
    </w:rPr>
  </w:style>
  <w:style w:type="paragraph" w:customStyle="1" w:styleId="CM1">
    <w:name w:val="CM1"/>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Headin2">
    <w:name w:val="Headin 2"/>
    <w:basedOn w:val="Normal"/>
    <w:pPr>
      <w:keepNext/>
      <w:tabs>
        <w:tab w:val="left" w:pos="540"/>
      </w:tabs>
      <w:spacing w:before="320" w:after="360" w:line="240" w:lineRule="auto"/>
      <w:jc w:val="both"/>
      <w:outlineLvl w:val="1"/>
    </w:pPr>
    <w:rPr>
      <w:rFonts w:ascii="Arial" w:eastAsia="Times New Roman" w:hAnsi="Arial" w:cs="Arial"/>
      <w:b/>
      <w:bCs/>
      <w:color w:val="943634"/>
      <w:spacing w:val="10"/>
      <w:sz w:val="28"/>
      <w:szCs w:val="28"/>
    </w:rPr>
  </w:style>
  <w:style w:type="paragraph" w:customStyle="1" w:styleId="HwSINF">
    <w:name w:val="HwSINF §"/>
    <w:basedOn w:val="Normal"/>
    <w:pPr>
      <w:keepNext/>
      <w:spacing w:before="270" w:after="160" w:line="240" w:lineRule="auto"/>
      <w:jc w:val="both"/>
      <w:outlineLvl w:val="2"/>
    </w:pPr>
    <w:rPr>
      <w:rFonts w:ascii="Verdana" w:eastAsia="Times New Roman" w:hAnsi="Verdana"/>
      <w:b/>
      <w:color w:val="943634"/>
      <w:sz w:val="24"/>
    </w:rPr>
  </w:style>
  <w:style w:type="paragraph" w:styleId="DocumentMap">
    <w:name w:val="Document Map"/>
    <w:basedOn w:val="Normal"/>
    <w:link w:val="DocumentMapChar"/>
    <w:semiHidden/>
    <w:pPr>
      <w:shd w:val="clear" w:color="auto" w:fill="000080"/>
      <w:spacing w:before="120" w:after="120" w:line="240" w:lineRule="auto"/>
      <w:jc w:val="both"/>
    </w:pPr>
    <w:rPr>
      <w:rFonts w:ascii="Tahoma" w:eastAsia="Times New Roman" w:hAnsi="Tahoma"/>
      <w:sz w:val="20"/>
      <w:szCs w:val="20"/>
      <w:lang w:val="x-none" w:eastAsia="x-none"/>
    </w:rPr>
  </w:style>
  <w:style w:type="character" w:customStyle="1" w:styleId="DocumentMapChar">
    <w:name w:val="Document Map Char"/>
    <w:link w:val="DocumentMap"/>
    <w:semiHidden/>
    <w:rPr>
      <w:rFonts w:ascii="Tahoma" w:eastAsia="Times New Roman" w:hAnsi="Tahoma"/>
      <w:shd w:val="clear" w:color="auto" w:fill="000080"/>
      <w:lang w:eastAsia="x-none"/>
    </w:rPr>
  </w:style>
  <w:style w:type="paragraph" w:customStyle="1" w:styleId="PartTit">
    <w:name w:val="PartTit#"/>
    <w:basedOn w:val="Heading1"/>
    <w:pPr>
      <w:numPr>
        <w:numId w:val="0"/>
      </w:numPr>
      <w:tabs>
        <w:tab w:val="num" w:pos="850"/>
      </w:tabs>
      <w:ind w:left="850" w:hanging="850"/>
    </w:pPr>
  </w:style>
  <w:style w:type="paragraph" w:customStyle="1" w:styleId="ManualHeading10">
    <w:name w:val="ManualHeading 1"/>
    <w:basedOn w:val="Normal"/>
    <w:qFormat/>
    <w:pPr>
      <w:spacing w:before="120" w:after="120" w:line="240" w:lineRule="auto"/>
      <w:jc w:val="both"/>
    </w:pPr>
    <w:rPr>
      <w:rFonts w:ascii="Times New Roman" w:eastAsia="Times New Roman" w:hAnsi="Times New Roman"/>
      <w:sz w:val="24"/>
      <w:szCs w:val="24"/>
    </w:rPr>
  </w:style>
  <w:style w:type="paragraph" w:customStyle="1" w:styleId="PartTitel">
    <w:name w:val="PartTitel"/>
    <w:basedOn w:val="Normal"/>
    <w:pPr>
      <w:spacing w:before="120" w:after="120" w:line="240" w:lineRule="auto"/>
      <w:jc w:val="both"/>
    </w:pPr>
    <w:rPr>
      <w:rFonts w:ascii="Times New Roman" w:eastAsia="Times New Roman" w:hAnsi="Times New Roman"/>
      <w:sz w:val="24"/>
      <w:szCs w:val="24"/>
    </w:rPr>
  </w:style>
  <w:style w:type="paragraph" w:customStyle="1" w:styleId="Heading20">
    <w:name w:val="Heading 2#"/>
    <w:basedOn w:val="Normal"/>
    <w:qFormat/>
    <w:pPr>
      <w:spacing w:before="160" w:after="0" w:line="300" w:lineRule="auto"/>
      <w:jc w:val="both"/>
    </w:pPr>
    <w:rPr>
      <w:rFonts w:ascii="Verdana" w:eastAsia="Times New Roman" w:hAnsi="Verdana" w:cs="Arial"/>
      <w:color w:val="632423"/>
      <w:sz w:val="20"/>
      <w:szCs w:val="20"/>
    </w:rPr>
  </w:style>
  <w:style w:type="paragraph" w:customStyle="1" w:styleId="Point00">
    <w:name w:val="Point0"/>
    <w:basedOn w:val="Point1"/>
    <w:pPr>
      <w:tabs>
        <w:tab w:val="left" w:pos="567"/>
      </w:tabs>
      <w:ind w:left="719" w:hanging="435"/>
    </w:pPr>
  </w:style>
  <w:style w:type="paragraph" w:customStyle="1" w:styleId="ManualHeading20">
    <w:name w:val="ManualHeading 2"/>
    <w:basedOn w:val="Normal"/>
    <w:pPr>
      <w:spacing w:before="120" w:after="120" w:line="240" w:lineRule="auto"/>
      <w:jc w:val="both"/>
    </w:pPr>
    <w:rPr>
      <w:rFonts w:ascii="Times New Roman" w:eastAsia="Times New Roman" w:hAnsi="Times New Roman"/>
      <w:sz w:val="24"/>
      <w:szCs w:val="24"/>
    </w:rPr>
  </w:style>
  <w:style w:type="character" w:customStyle="1" w:styleId="at1">
    <w:name w:val="a__t1"/>
  </w:style>
  <w:style w:type="paragraph" w:customStyle="1" w:styleId="Caption0">
    <w:name w:val="Caption#"/>
    <w:basedOn w:val="Normal"/>
    <w:qFormat/>
    <w:pPr>
      <w:spacing w:before="40" w:after="180" w:line="240" w:lineRule="auto"/>
      <w:jc w:val="both"/>
    </w:pPr>
    <w:rPr>
      <w:rFonts w:ascii="Times New Roman" w:eastAsia="Times New Roman" w:hAnsi="Times New Roman"/>
      <w:sz w:val="24"/>
      <w:lang w:val="en-US"/>
    </w:rPr>
  </w:style>
  <w:style w:type="character" w:styleId="BookTitle">
    <w:name w:val="Book Title"/>
    <w:uiPriority w:val="33"/>
    <w:qFormat/>
    <w:rPr>
      <w:b/>
      <w:bCs/>
      <w:smallCaps/>
      <w:spacing w:val="5"/>
    </w:rPr>
  </w:style>
  <w:style w:type="paragraph" w:customStyle="1" w:styleId="Reference">
    <w:name w:val="Reference"/>
    <w:basedOn w:val="Normal"/>
    <w:link w:val="ReferenceChar"/>
    <w:qFormat/>
    <w:pPr>
      <w:keepLines/>
      <w:spacing w:before="40" w:after="120" w:line="240" w:lineRule="auto"/>
      <w:ind w:left="720" w:hanging="720"/>
    </w:pPr>
    <w:rPr>
      <w:rFonts w:ascii="Times New Roman" w:eastAsia="Times New Roman" w:hAnsi="Times New Roman"/>
      <w:noProof/>
      <w:lang w:val="en-US"/>
    </w:rPr>
  </w:style>
  <w:style w:type="character" w:customStyle="1" w:styleId="st1">
    <w:name w:val="st1"/>
  </w:style>
  <w:style w:type="character" w:customStyle="1" w:styleId="ReferenceChar">
    <w:name w:val="Reference Char"/>
    <w:link w:val="Reference"/>
    <w:rPr>
      <w:rFonts w:ascii="Times New Roman" w:eastAsia="Times New Roman" w:hAnsi="Times New Roman"/>
      <w:noProof/>
      <w:sz w:val="22"/>
      <w:szCs w:val="22"/>
      <w:lang w:val="en-US"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OCHeadingChar">
    <w:name w:val="TOC Heading Char"/>
    <w:link w:val="TOCHeading"/>
    <w:uiPriority w:val="99"/>
    <w:rPr>
      <w:rFonts w:ascii="Times New Roman" w:eastAsia="Times New Roman" w:hAnsi="Times New Roman"/>
      <w:b/>
      <w:sz w:val="28"/>
      <w:szCs w:val="24"/>
      <w:lang w:val="x-none"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top">
    <w:name w:val="top"/>
    <w:basedOn w:val="Normal"/>
    <w:link w:val="topChar"/>
    <w:qFormat/>
    <w:pPr>
      <w:spacing w:after="0" w:line="240" w:lineRule="auto"/>
      <w:jc w:val="both"/>
    </w:pPr>
    <w:rPr>
      <w:rFonts w:ascii="Times New Roman" w:eastAsia="Times New Roman" w:hAnsi="Times New Roman"/>
      <w:sz w:val="2"/>
      <w:szCs w:val="2"/>
      <w:lang w:val="en-US"/>
    </w:rPr>
  </w:style>
  <w:style w:type="paragraph" w:customStyle="1" w:styleId="Tiop">
    <w:name w:val="Tiop"/>
    <w:basedOn w:val="Normal"/>
    <w:qFormat/>
    <w:pPr>
      <w:spacing w:before="40" w:after="180" w:line="240" w:lineRule="auto"/>
      <w:jc w:val="both"/>
    </w:pPr>
    <w:rPr>
      <w:rFonts w:ascii="Times New Roman" w:eastAsia="Times New Roman" w:hAnsi="Times New Roman"/>
      <w:sz w:val="24"/>
      <w:lang w:val="en-US"/>
    </w:rPr>
  </w:style>
  <w:style w:type="character" w:customStyle="1" w:styleId="topChar">
    <w:name w:val="top Char"/>
    <w:link w:val="top"/>
    <w:rPr>
      <w:rFonts w:ascii="Times New Roman" w:eastAsia="Times New Roman" w:hAnsi="Times New Roman"/>
      <w:sz w:val="2"/>
      <w:szCs w:val="2"/>
      <w:lang w:val="en-US" w:eastAsia="en-US"/>
    </w:rPr>
  </w:style>
  <w:style w:type="paragraph" w:styleId="ListParagraph">
    <w:name w:val="List Paragraph"/>
    <w:basedOn w:val="Normal"/>
    <w:uiPriority w:val="34"/>
    <w:qFormat/>
    <w:pPr>
      <w:ind w:left="720"/>
    </w:p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link w:val="Yo0H1Char"/>
    <w:pPr>
      <w:numPr>
        <w:numId w:val="0"/>
      </w:numPr>
      <w:spacing w:before="240" w:after="300" w:line="300" w:lineRule="auto"/>
    </w:pPr>
    <w:rPr>
      <w:rFonts w:ascii="Verdana" w:eastAsia="Calibri" w:hAnsi="Verdana" w:cs="MyriadPro-Bold"/>
      <w:bCs w:val="0"/>
      <w:smallCaps w:val="0"/>
      <w:color w:val="DB1E48"/>
      <w:sz w:val="44"/>
      <w:szCs w:val="44"/>
      <w:lang w:val="en-US" w:eastAsia="fr-BE"/>
    </w:rPr>
  </w:style>
  <w:style w:type="paragraph" w:customStyle="1" w:styleId="Yo0H2">
    <w:name w:val="_Yo_0_H2"/>
    <w:basedOn w:val="Heading2"/>
    <w:pPr>
      <w:numPr>
        <w:ilvl w:val="0"/>
        <w:numId w:val="0"/>
      </w:numPr>
      <w:spacing w:before="360" w:after="160"/>
    </w:pPr>
    <w:rPr>
      <w:rFonts w:ascii="Arial Narrow" w:eastAsia="Calibri" w:hAnsi="Arial Narrow" w:cs="Arial"/>
      <w:b w:val="0"/>
      <w:iCs w:val="0"/>
      <w:caps/>
      <w:color w:val="DA1E48"/>
      <w:spacing w:val="10"/>
      <w:sz w:val="28"/>
      <w:lang w:val="en-US" w:eastAsia="en-US"/>
    </w:rPr>
  </w:style>
  <w:style w:type="paragraph" w:customStyle="1" w:styleId="Yo0H3">
    <w:name w:val="_Yo_0_H3"/>
    <w:basedOn w:val="Heading3"/>
    <w:pPr>
      <w:numPr>
        <w:ilvl w:val="0"/>
        <w:numId w:val="0"/>
      </w:numPr>
      <w:spacing w:before="270" w:after="160"/>
    </w:pPr>
    <w:rPr>
      <w:rFonts w:ascii="Calibri" w:eastAsia="Calibri" w:hAnsi="Calibri" w:cs="Calibri"/>
      <w:b/>
      <w:i w:val="0"/>
      <w:iCs/>
      <w:color w:val="C00000"/>
      <w:sz w:val="26"/>
      <w:lang w:eastAsia="fr-BE"/>
    </w:rPr>
  </w:style>
  <w:style w:type="paragraph" w:customStyle="1" w:styleId="Yo0H4">
    <w:name w:val="_Yo_0_H4"/>
    <w:pPr>
      <w:suppressAutoHyphens/>
      <w:spacing w:before="240"/>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keepNext/>
      <w:tabs>
        <w:tab w:val="left" w:pos="993"/>
      </w:tabs>
      <w:suppressAutoHyphens/>
      <w:spacing w:before="120" w:after="120" w:line="300" w:lineRule="auto"/>
      <w:jc w:val="both"/>
    </w:pPr>
    <w:rPr>
      <w:rFonts w:ascii="Verdana" w:hAnsi="Verdana" w:cs="Arial"/>
      <w:b/>
      <w:noProof/>
      <w:sz w:val="18"/>
      <w:szCs w:val="18"/>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40"/>
      </w:numPr>
      <w:tabs>
        <w:tab w:val="clear" w:pos="4253"/>
        <w:tab w:val="left" w:pos="426"/>
      </w:tabs>
      <w:spacing w:before="120"/>
    </w:pPr>
    <w:rPr>
      <w:lang w:val="en-US"/>
    </w:rPr>
  </w:style>
  <w:style w:type="paragraph" w:customStyle="1" w:styleId="Yo11Textbulletlvl2">
    <w:name w:val="_Yo_11_Text_bullet_lvl_2"/>
    <w:basedOn w:val="Yo1Textpara"/>
    <w:pPr>
      <w:numPr>
        <w:numId w:val="41"/>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42"/>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3"/>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44"/>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45"/>
      </w:numPr>
      <w:tabs>
        <w:tab w:val="clear" w:pos="4253"/>
        <w:tab w:val="left" w:pos="993"/>
      </w:tabs>
      <w:spacing w:before="120" w:after="120"/>
    </w:pPr>
    <w:rPr>
      <w:rFonts w:eastAsia="Times New Roman"/>
      <w:color w:val="1F497D"/>
      <w:lang w:val="fr-FR"/>
    </w:rPr>
  </w:style>
  <w:style w:type="paragraph" w:customStyle="1" w:styleId="Yo12Encart">
    <w:name w:val="_Yo_12_Encart"/>
    <w:qFormat/>
    <w:pPr>
      <w:framePr w:hSpace="180" w:wrap="around" w:vAnchor="text" w:hAnchor="margin" w:xAlign="right" w:y="675"/>
      <w:spacing w:before="60" w:after="60"/>
      <w:ind w:left="142" w:right="108"/>
      <w:suppressOverlap/>
      <w:jc w:val="both"/>
    </w:pPr>
    <w:rPr>
      <w:rFonts w:ascii="Arial Narrow" w:hAnsi="Arial Narrow"/>
      <w:sz w:val="18"/>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FootnoteSeparator">
    <w:name w:val="_Yo_4_Footnote_Separator"/>
    <w:qFormat/>
    <w:rPr>
      <w:color w:val="DA1E48"/>
      <w:sz w:val="22"/>
      <w:szCs w:val="22"/>
      <w:lang w:val="fr-BE"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sz w:val="16"/>
      <w:szCs w:val="16"/>
      <w:lang w:val="en-US" w:eastAsia="en-US"/>
    </w:rPr>
  </w:style>
  <w:style w:type="paragraph" w:customStyle="1" w:styleId="Yo5TextNotes">
    <w:name w:val="_Yo_5_Text_Notes"/>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6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Yo13YouthIndicator">
    <w:name w:val="_Yo_13_Youth_Indicator"/>
    <w:qFormat/>
    <w:pPr>
      <w:spacing w:line="300" w:lineRule="auto"/>
      <w:ind w:left="113" w:right="113"/>
    </w:pPr>
    <w:rPr>
      <w:b/>
      <w:color w:val="FFFFFF"/>
      <w:sz w:val="16"/>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Yo0H1Char">
    <w:name w:val="_Yo_0_H1 Char"/>
    <w:link w:val="Yo0H1"/>
    <w:rPr>
      <w:rFonts w:ascii="Verdana" w:eastAsia="Times New Roman" w:hAnsi="Verdana" w:cs="MyriadPro-Bold"/>
      <w:b/>
      <w:bCs w:val="0"/>
      <w:smallCaps w:val="0"/>
      <w:color w:val="DB1E48"/>
      <w:sz w:val="44"/>
      <w:szCs w:val="44"/>
      <w:lang w:val="en-US" w:eastAsia="fr-BE"/>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keepNext/>
      <w:numPr>
        <w:numId w:val="1"/>
      </w:numPr>
      <w:spacing w:before="360" w:after="120" w:line="240" w:lineRule="auto"/>
      <w:jc w:val="both"/>
      <w:outlineLvl w:val="0"/>
    </w:pPr>
    <w:rPr>
      <w:rFonts w:ascii="Times New Roman" w:eastAsia="Times New Roman" w:hAnsi="Times New Roman"/>
      <w:b/>
      <w:bCs/>
      <w:smallCaps/>
      <w:sz w:val="24"/>
      <w:szCs w:val="32"/>
      <w:lang w:val="x-none" w:eastAsia="x-none"/>
    </w:rPr>
  </w:style>
  <w:style w:type="paragraph" w:styleId="Heading2">
    <w:name w:val="heading 2"/>
    <w:basedOn w:val="Normal"/>
    <w:next w:val="Normal"/>
    <w:link w:val="Heading2Char"/>
    <w:qFormat/>
    <w:pPr>
      <w:keepNext/>
      <w:numPr>
        <w:ilvl w:val="1"/>
        <w:numId w:val="1"/>
      </w:numPr>
      <w:spacing w:before="120" w:after="120" w:line="240" w:lineRule="auto"/>
      <w:jc w:val="both"/>
      <w:outlineLvl w:val="1"/>
    </w:pPr>
    <w:rPr>
      <w:rFonts w:ascii="Times New Roman" w:eastAsia="Times New Roman" w:hAnsi="Times New Roman"/>
      <w:b/>
      <w:bCs/>
      <w:iCs/>
      <w:sz w:val="24"/>
      <w:szCs w:val="28"/>
      <w:lang w:val="x-none" w:eastAsia="x-none"/>
    </w:rPr>
  </w:style>
  <w:style w:type="paragraph" w:styleId="Heading3">
    <w:name w:val="heading 3"/>
    <w:basedOn w:val="Normal"/>
    <w:next w:val="Normal"/>
    <w:link w:val="Heading3Char"/>
    <w:qFormat/>
    <w:pPr>
      <w:keepNext/>
      <w:numPr>
        <w:ilvl w:val="2"/>
        <w:numId w:val="1"/>
      </w:numPr>
      <w:spacing w:before="120" w:after="120" w:line="240" w:lineRule="auto"/>
      <w:jc w:val="both"/>
      <w:outlineLvl w:val="2"/>
    </w:pPr>
    <w:rPr>
      <w:rFonts w:ascii="Times New Roman" w:eastAsia="Times New Roman" w:hAnsi="Times New Roman"/>
      <w:bCs/>
      <w:i/>
      <w:sz w:val="24"/>
      <w:szCs w:val="26"/>
      <w:lang w:val="x-none" w:eastAsia="x-none"/>
    </w:rPr>
  </w:style>
  <w:style w:type="paragraph" w:styleId="Heading4">
    <w:name w:val="heading 4"/>
    <w:basedOn w:val="Normal"/>
    <w:next w:val="Normal"/>
    <w:link w:val="Heading4Char"/>
    <w:qFormat/>
    <w:pPr>
      <w:keepNext/>
      <w:numPr>
        <w:ilvl w:val="3"/>
        <w:numId w:val="1"/>
      </w:numPr>
      <w:spacing w:before="120" w:after="120" w:line="240" w:lineRule="auto"/>
      <w:jc w:val="both"/>
      <w:outlineLvl w:val="3"/>
    </w:pPr>
    <w:rPr>
      <w:rFonts w:ascii="Times New Roman" w:eastAsia="Times New Roman" w:hAnsi="Times New Roman"/>
      <w:bCs/>
      <w:sz w:val="24"/>
      <w:szCs w:val="28"/>
      <w:lang w:val="x-none" w:eastAsia="x-none"/>
    </w:rPr>
  </w:style>
  <w:style w:type="paragraph" w:styleId="Heading5">
    <w:name w:val="heading 5"/>
    <w:basedOn w:val="Normal"/>
    <w:next w:val="Normal"/>
    <w:link w:val="Heading5Char"/>
    <w:qFormat/>
    <w:pPr>
      <w:keepNext/>
      <w:spacing w:before="160" w:after="60" w:line="240" w:lineRule="auto"/>
      <w:jc w:val="both"/>
      <w:outlineLvl w:val="4"/>
    </w:pPr>
    <w:rPr>
      <w:rFonts w:ascii="Arial Narrow" w:hAnsi="Arial Narrow"/>
      <w:bCs/>
      <w:spacing w:val="8"/>
      <w:sz w:val="20"/>
      <w:szCs w:val="20"/>
      <w:u w:val="single"/>
      <w:lang w:val="en-IE" w:eastAsia="x-none"/>
    </w:rPr>
  </w:style>
  <w:style w:type="paragraph" w:styleId="Heading6">
    <w:name w:val="heading 6"/>
    <w:basedOn w:val="Normal"/>
    <w:next w:val="Normal"/>
    <w:link w:val="Heading6Char"/>
    <w:qFormat/>
    <w:pPr>
      <w:keepNext/>
      <w:spacing w:before="40" w:after="0" w:line="240" w:lineRule="auto"/>
      <w:ind w:left="57"/>
      <w:jc w:val="both"/>
      <w:outlineLvl w:val="5"/>
    </w:pPr>
    <w:rPr>
      <w:rFonts w:ascii="Myriad Pro SemiExt" w:hAnsi="Myriad Pro SemiExt"/>
      <w:b/>
      <w:bCs/>
      <w:sz w:val="16"/>
      <w:szCs w:val="20"/>
      <w:lang w:val="fr-FR" w:eastAsia="x-none"/>
    </w:rPr>
  </w:style>
  <w:style w:type="paragraph" w:styleId="Heading7">
    <w:name w:val="heading 7"/>
    <w:basedOn w:val="Normal"/>
    <w:next w:val="Normal"/>
    <w:link w:val="Heading7Char"/>
    <w:qFormat/>
    <w:pPr>
      <w:keepNext/>
      <w:spacing w:before="40" w:after="0" w:line="240" w:lineRule="auto"/>
      <w:ind w:left="57"/>
      <w:jc w:val="both"/>
      <w:outlineLvl w:val="6"/>
    </w:pPr>
    <w:rPr>
      <w:rFonts w:ascii="Myriad Pro Light" w:hAnsi="Myriad Pro Light"/>
      <w:b/>
      <w:bCs/>
      <w:sz w:val="16"/>
      <w:szCs w:val="20"/>
      <w:lang w:val="x-none" w:eastAsia="x-none"/>
    </w:rPr>
  </w:style>
  <w:style w:type="paragraph" w:styleId="Heading8">
    <w:name w:val="heading 8"/>
    <w:basedOn w:val="Normal"/>
    <w:next w:val="Normal"/>
    <w:link w:val="Heading8Char"/>
    <w:qFormat/>
    <w:pPr>
      <w:numPr>
        <w:numId w:val="10"/>
      </w:numPr>
      <w:spacing w:before="100" w:after="110" w:line="240" w:lineRule="auto"/>
      <w:jc w:val="both"/>
      <w:outlineLvl w:val="7"/>
    </w:pPr>
    <w:rPr>
      <w:rFonts w:ascii="Helvetica" w:hAnsi="Helvetica"/>
      <w:i/>
      <w:sz w:val="21"/>
      <w:szCs w:val="20"/>
      <w:lang w:val="fr-FR" w:eastAsia="x-none"/>
    </w:rPr>
  </w:style>
  <w:style w:type="paragraph" w:styleId="Heading9">
    <w:name w:val="heading 9"/>
    <w:basedOn w:val="Normal"/>
    <w:next w:val="Normal"/>
    <w:link w:val="Heading9Char"/>
    <w:qFormat/>
    <w:pPr>
      <w:spacing w:before="240" w:after="60" w:line="240" w:lineRule="auto"/>
      <w:jc w:val="both"/>
      <w:outlineLvl w:val="8"/>
    </w:pPr>
    <w:rPr>
      <w:rFonts w:ascii="Myriad Pro Light" w:hAnsi="Myriad Pro Light"/>
      <w:b/>
      <w:bCs/>
      <w:i/>
      <w:iCs/>
      <w:sz w:val="26"/>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b/>
      <w:bCs/>
      <w:smallCaps/>
      <w:sz w:val="24"/>
      <w:szCs w:val="32"/>
      <w:lang w:eastAsia="x-none"/>
    </w:rPr>
  </w:style>
  <w:style w:type="character" w:customStyle="1" w:styleId="Heading2Char">
    <w:name w:val="Heading 2 Char"/>
    <w:link w:val="Heading2"/>
    <w:rPr>
      <w:rFonts w:ascii="Times New Roman" w:eastAsia="Times New Roman" w:hAnsi="Times New Roman"/>
      <w:b/>
      <w:bCs/>
      <w:iCs/>
      <w:sz w:val="24"/>
      <w:szCs w:val="28"/>
      <w:lang w:eastAsia="x-none"/>
    </w:rPr>
  </w:style>
  <w:style w:type="character" w:customStyle="1" w:styleId="Heading3Char">
    <w:name w:val="Heading 3 Char"/>
    <w:link w:val="Heading3"/>
    <w:rPr>
      <w:rFonts w:ascii="Times New Roman" w:eastAsia="Times New Roman" w:hAnsi="Times New Roman"/>
      <w:bCs/>
      <w:i/>
      <w:sz w:val="24"/>
      <w:szCs w:val="26"/>
      <w:lang w:eastAsia="x-none"/>
    </w:rPr>
  </w:style>
  <w:style w:type="character" w:customStyle="1" w:styleId="Heading4Char">
    <w:name w:val="Heading 4 Char"/>
    <w:link w:val="Heading4"/>
    <w:rPr>
      <w:rFonts w:ascii="Times New Roman" w:eastAsia="Times New Roman" w:hAnsi="Times New Roman"/>
      <w:bCs/>
      <w:sz w:val="24"/>
      <w:szCs w:val="28"/>
      <w:lang w:eastAsia="x-none"/>
    </w:rPr>
  </w:style>
  <w:style w:type="character" w:customStyle="1" w:styleId="Heading5Char">
    <w:name w:val="Heading 5 Char"/>
    <w:link w:val="Heading5"/>
    <w:rPr>
      <w:rFonts w:ascii="Arial Narrow" w:hAnsi="Arial Narrow"/>
      <w:bCs/>
      <w:spacing w:val="8"/>
      <w:u w:val="single"/>
      <w:lang w:val="en-IE" w:eastAsia="x-none"/>
    </w:rPr>
  </w:style>
  <w:style w:type="character" w:customStyle="1" w:styleId="Heading6Char">
    <w:name w:val="Heading 6 Char"/>
    <w:link w:val="Heading6"/>
    <w:rPr>
      <w:rFonts w:ascii="Myriad Pro SemiExt" w:hAnsi="Myriad Pro SemiExt"/>
      <w:b/>
      <w:bCs/>
      <w:sz w:val="16"/>
      <w:lang w:val="fr-FR" w:eastAsia="x-none"/>
    </w:rPr>
  </w:style>
  <w:style w:type="character" w:customStyle="1" w:styleId="Heading7Char">
    <w:name w:val="Heading 7 Char"/>
    <w:link w:val="Heading7"/>
    <w:rPr>
      <w:rFonts w:ascii="Myriad Pro Light" w:hAnsi="Myriad Pro Light"/>
      <w:b/>
      <w:bCs/>
      <w:sz w:val="16"/>
      <w:lang w:val="x-none" w:eastAsia="x-none"/>
    </w:rPr>
  </w:style>
  <w:style w:type="character" w:customStyle="1" w:styleId="Heading8Char">
    <w:name w:val="Heading 8 Char"/>
    <w:link w:val="Heading8"/>
    <w:rPr>
      <w:rFonts w:ascii="Helvetica" w:hAnsi="Helvetica"/>
      <w:i/>
      <w:sz w:val="21"/>
      <w:lang w:val="fr-FR" w:eastAsia="x-none"/>
    </w:rPr>
  </w:style>
  <w:style w:type="character" w:customStyle="1" w:styleId="Heading9Char">
    <w:name w:val="Heading 9 Char"/>
    <w:link w:val="Heading9"/>
    <w:rPr>
      <w:rFonts w:ascii="Myriad Pro Light" w:hAnsi="Myriad Pro Light"/>
      <w:b/>
      <w:bCs/>
      <w:i/>
      <w:iCs/>
      <w:sz w:val="26"/>
    </w:rPr>
  </w:style>
  <w:style w:type="numbering" w:customStyle="1" w:styleId="NoList1">
    <w:name w:val="No List1"/>
    <w:next w:val="NoList"/>
    <w:uiPriority w:val="99"/>
    <w:semiHidden/>
    <w:unhideWhenUsed/>
  </w:style>
  <w:style w:type="paragraph" w:styleId="FootnoteText">
    <w:name w:val="footnote text"/>
    <w:basedOn w:val="Normal"/>
    <w:link w:val="FootnoteTextChar"/>
    <w:semiHidden/>
    <w:pPr>
      <w:spacing w:before="40" w:after="0" w:line="240" w:lineRule="auto"/>
      <w:ind w:left="720" w:hanging="720"/>
      <w:jc w:val="both"/>
    </w:pPr>
    <w:rPr>
      <w:rFonts w:ascii="Times New Roman" w:eastAsia="Times New Roman" w:hAnsi="Times New Roman"/>
      <w:sz w:val="20"/>
      <w:szCs w:val="20"/>
      <w:lang w:val="x-none" w:eastAsia="x-none"/>
    </w:rPr>
  </w:style>
  <w:style w:type="character" w:customStyle="1" w:styleId="FootnoteTextChar">
    <w:name w:val="Footnote Text Char"/>
    <w:link w:val="FootnoteText"/>
    <w:semiHidden/>
    <w:rPr>
      <w:rFonts w:ascii="Times New Roman" w:eastAsia="Times New Roman" w:hAnsi="Times New Roman"/>
      <w:lang w:val="x-none" w:eastAsia="x-none"/>
    </w:rPr>
  </w:style>
  <w:style w:type="character" w:styleId="FootnoteReference">
    <w:name w:val="footnote reference"/>
    <w:aliases w:val="Footnote Reference Superscript,Footnote Reference_LVL6,Footnote Reference_LVL61,Footnote Reference_LVL62,Footnote Reference_LVL63,Footnote Reference_LVL64,Footnote Reference_LVL65,Footnote Reference Number,Footnote Reference/"/>
    <w:rPr>
      <w:shd w:val="clear" w:color="auto" w:fill="auto"/>
      <w:vertAlign w:val="superscript"/>
    </w:rPr>
  </w:style>
  <w:style w:type="character" w:styleId="Hyperlink">
    <w:name w:val="Hyperlink"/>
    <w:uiPriority w:val="99"/>
    <w:rPr>
      <w:rFonts w:cs="Times New Roman"/>
      <w:color w:val="0000FF"/>
      <w:u w:val="single"/>
      <w:shd w:val="clear" w:color="auto" w:fill="auto"/>
    </w:rPr>
  </w:style>
  <w:style w:type="character" w:styleId="Strong">
    <w:name w:val="Strong"/>
    <w:qFormat/>
    <w:rPr>
      <w:rFonts w:cs="Times New Roman"/>
      <w:b/>
      <w:bCs/>
    </w:rPr>
  </w:style>
  <w:style w:type="paragraph" w:customStyle="1" w:styleId="textepar">
    <w:name w:val="texte+par"/>
    <w:link w:val="texteparChar"/>
    <w:pPr>
      <w:spacing w:before="160" w:line="300" w:lineRule="auto"/>
      <w:jc w:val="both"/>
    </w:pPr>
    <w:rPr>
      <w:rFonts w:ascii="Verdana" w:eastAsia="Times New Roman" w:hAnsi="Verdana"/>
      <w:color w:val="632423"/>
      <w:sz w:val="22"/>
      <w:szCs w:val="22"/>
      <w:lang w:eastAsia="en-US"/>
    </w:rPr>
  </w:style>
  <w:style w:type="character" w:customStyle="1" w:styleId="texteparChar">
    <w:name w:val="texte+par Char"/>
    <w:link w:val="textepar"/>
    <w:rPr>
      <w:rFonts w:ascii="Verdana" w:eastAsia="Times New Roman" w:hAnsi="Verdana"/>
      <w:color w:val="632423"/>
      <w:sz w:val="22"/>
      <w:szCs w:val="22"/>
      <w:lang w:eastAsia="en-US" w:bidi="ar-SA"/>
    </w:rPr>
  </w:style>
  <w:style w:type="paragraph" w:styleId="Caption">
    <w:name w:val="caption"/>
    <w:basedOn w:val="Normal"/>
    <w:next w:val="Normal"/>
    <w:link w:val="CaptionChar"/>
    <w:autoRedefine/>
    <w:uiPriority w:val="99"/>
    <w:qFormat/>
    <w:pPr>
      <w:keepNext/>
      <w:spacing w:before="240" w:after="100"/>
      <w:jc w:val="both"/>
    </w:pPr>
    <w:rPr>
      <w:rFonts w:ascii="Arial Narrow" w:eastAsia="Cambria" w:hAnsi="Arial Narrow"/>
      <w:b/>
      <w:bCs/>
      <w:noProof/>
      <w:color w:val="C00000"/>
      <w:sz w:val="20"/>
      <w:szCs w:val="20"/>
      <w:lang w:val="x-none" w:eastAsia="x-none"/>
    </w:rPr>
  </w:style>
  <w:style w:type="character" w:customStyle="1" w:styleId="CaptionChar">
    <w:name w:val="Caption Char"/>
    <w:link w:val="Caption"/>
    <w:uiPriority w:val="99"/>
    <w:locked/>
    <w:rPr>
      <w:rFonts w:ascii="Arial Narrow" w:eastAsia="Cambria" w:hAnsi="Arial Narrow" w:cs="Arial"/>
      <w:b/>
      <w:bCs/>
      <w:noProof/>
      <w:color w:val="C00000"/>
      <w:lang w:val="x-none" w:eastAsia="x-none"/>
    </w:rPr>
  </w:style>
  <w:style w:type="paragraph" w:customStyle="1" w:styleId="texte8">
    <w:name w:val="texte8"/>
    <w:link w:val="texte8Char"/>
    <w:pPr>
      <w:widowControl w:val="0"/>
    </w:pPr>
    <w:rPr>
      <w:rFonts w:ascii="Arial" w:hAnsi="Arial"/>
      <w:color w:val="632423"/>
      <w:sz w:val="16"/>
      <w:szCs w:val="16"/>
      <w:lang w:val="fr-FR"/>
    </w:rPr>
  </w:style>
  <w:style w:type="character" w:customStyle="1" w:styleId="texte8Char">
    <w:name w:val="texte8 Char"/>
    <w:link w:val="texte8"/>
    <w:locked/>
    <w:rPr>
      <w:rFonts w:ascii="Arial" w:hAnsi="Arial"/>
      <w:color w:val="632423"/>
      <w:sz w:val="16"/>
      <w:szCs w:val="16"/>
      <w:lang w:val="fr-FR" w:bidi="ar-SA"/>
    </w:rPr>
  </w:style>
  <w:style w:type="paragraph" w:customStyle="1" w:styleId="Source">
    <w:name w:val="Source"/>
    <w:basedOn w:val="Normal"/>
    <w:next w:val="Normal"/>
    <w:qFormat/>
    <w:pPr>
      <w:widowControl w:val="0"/>
      <w:spacing w:before="40" w:after="120" w:line="240" w:lineRule="auto"/>
      <w:contextualSpacing/>
      <w:jc w:val="both"/>
    </w:pPr>
    <w:rPr>
      <w:rFonts w:ascii="Arial" w:eastAsia="Times New Roman" w:hAnsi="Arial"/>
      <w:snapToGrid w:val="0"/>
      <w:sz w:val="16"/>
      <w:szCs w:val="16"/>
    </w:rPr>
  </w:style>
  <w:style w:type="paragraph" w:customStyle="1" w:styleId="texte83av3ap">
    <w:name w:val="texte8_3av_3ap"/>
    <w:basedOn w:val="Normal"/>
    <w:pPr>
      <w:widowControl w:val="0"/>
      <w:spacing w:before="60" w:after="60" w:line="240" w:lineRule="auto"/>
      <w:jc w:val="both"/>
    </w:pPr>
    <w:rPr>
      <w:rFonts w:ascii="Arial" w:eastAsia="Times New Roman" w:hAnsi="Arial" w:cs="Arial"/>
      <w:color w:val="632423"/>
      <w:sz w:val="16"/>
      <w:szCs w:val="16"/>
    </w:rPr>
  </w:style>
  <w:style w:type="paragraph" w:customStyle="1" w:styleId="texte83av">
    <w:name w:val="texte8_3av"/>
    <w:basedOn w:val="Normal"/>
    <w:pPr>
      <w:widowControl w:val="0"/>
      <w:spacing w:before="60" w:after="0" w:line="240" w:lineRule="auto"/>
      <w:jc w:val="both"/>
    </w:pPr>
    <w:rPr>
      <w:rFonts w:ascii="Arial" w:eastAsia="Times New Roman" w:hAnsi="Arial" w:cs="Arial"/>
      <w:sz w:val="16"/>
      <w:szCs w:val="16"/>
    </w:rPr>
  </w:style>
  <w:style w:type="character" w:customStyle="1" w:styleId="Heading1Char1">
    <w:name w:val="Heading 1 Char1"/>
    <w:uiPriority w:val="99"/>
    <w:rPr>
      <w:rFonts w:ascii="Times New Roman" w:eastAsia="Times New Roman" w:hAnsi="Times New Roman" w:cs="Times New Roman"/>
      <w:b/>
      <w:bCs/>
      <w:smallCaps/>
      <w:sz w:val="24"/>
      <w:szCs w:val="32"/>
      <w:lang w:val="en-GB"/>
    </w:rPr>
  </w:style>
  <w:style w:type="character" w:customStyle="1" w:styleId="Heading2Char1">
    <w:name w:val="Heading 2 Char1"/>
    <w:uiPriority w:val="99"/>
    <w:rPr>
      <w:rFonts w:ascii="Times New Roman" w:eastAsia="Times New Roman" w:hAnsi="Times New Roman" w:cs="Times New Roman"/>
      <w:b/>
      <w:bCs/>
      <w:iCs/>
      <w:sz w:val="24"/>
      <w:szCs w:val="28"/>
      <w:lang w:val="en-GB"/>
    </w:rPr>
  </w:style>
  <w:style w:type="character" w:customStyle="1" w:styleId="Heading3Char1">
    <w:name w:val="Heading 3 Char1"/>
    <w:uiPriority w:val="99"/>
    <w:rPr>
      <w:rFonts w:ascii="Times New Roman" w:eastAsia="Times New Roman" w:hAnsi="Times New Roman" w:cs="Times New Roman"/>
      <w:bCs/>
      <w:i/>
      <w:sz w:val="24"/>
      <w:szCs w:val="26"/>
      <w:lang w:val="en-GB"/>
    </w:rPr>
  </w:style>
  <w:style w:type="character" w:customStyle="1" w:styleId="Heading4Char1">
    <w:name w:val="Heading 4 Char1"/>
    <w:uiPriority w:val="99"/>
    <w:rPr>
      <w:rFonts w:ascii="Times New Roman" w:eastAsia="Times New Roman" w:hAnsi="Times New Roman" w:cs="Times New Roman"/>
      <w:bCs/>
      <w:sz w:val="24"/>
      <w:szCs w:val="28"/>
      <w:lang w:val="en-GB"/>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sz w:val="24"/>
      <w:szCs w:val="24"/>
    </w:rPr>
  </w:style>
  <w:style w:type="paragraph" w:styleId="BalloonText">
    <w:name w:val="Balloon Text"/>
    <w:basedOn w:val="Normal"/>
    <w:link w:val="BalloonTextChar"/>
    <w:uiPriority w:val="99"/>
    <w:semiHidden/>
    <w:pPr>
      <w:spacing w:before="120" w:after="120" w:line="240" w:lineRule="auto"/>
      <w:jc w:val="both"/>
    </w:pPr>
    <w:rPr>
      <w:rFonts w:ascii="Tahoma" w:eastAsia="Times New Roman" w:hAnsi="Tahoma"/>
      <w:sz w:val="16"/>
      <w:szCs w:val="16"/>
      <w:lang w:val="x-none" w:eastAsia="x-none"/>
    </w:rPr>
  </w:style>
  <w:style w:type="character" w:customStyle="1" w:styleId="BalloonTextChar">
    <w:name w:val="Balloon Text Char"/>
    <w:link w:val="BalloonText"/>
    <w:uiPriority w:val="99"/>
    <w:semiHidden/>
    <w:rPr>
      <w:rFonts w:ascii="Tahoma" w:eastAsia="Times New Roman" w:hAnsi="Tahoma"/>
      <w:sz w:val="16"/>
      <w:szCs w:val="16"/>
      <w:lang w:eastAsia="x-none"/>
    </w:rPr>
  </w:style>
  <w:style w:type="paragraph" w:styleId="Header">
    <w:name w:val="header"/>
    <w:basedOn w:val="Normal"/>
    <w:link w:val="HeaderChar1"/>
    <w:pPr>
      <w:tabs>
        <w:tab w:val="center" w:pos="4535"/>
        <w:tab w:val="right" w:pos="9071"/>
      </w:tabs>
      <w:spacing w:after="0" w:line="240" w:lineRule="auto"/>
    </w:pPr>
    <w:rPr>
      <w:rFonts w:eastAsia="Times New Roman" w:cs="Calibri"/>
      <w:b/>
      <w:color w:val="FFFFFF"/>
      <w:sz w:val="48"/>
      <w:szCs w:val="24"/>
      <w:lang w:eastAsia="x-none"/>
    </w:rPr>
  </w:style>
  <w:style w:type="character" w:customStyle="1" w:styleId="HeaderChar">
    <w:name w:val="Header Char"/>
    <w:rPr>
      <w:sz w:val="22"/>
      <w:szCs w:val="22"/>
      <w:lang w:eastAsia="en-US"/>
    </w:rPr>
  </w:style>
  <w:style w:type="character" w:customStyle="1" w:styleId="HeaderChar1">
    <w:name w:val="Header Char1"/>
    <w:link w:val="Header"/>
    <w:rPr>
      <w:rFonts w:ascii="Calibri" w:eastAsia="Times New Roman" w:hAnsi="Calibri" w:cs="Calibri"/>
      <w:b/>
      <w:color w:val="FFFFFF"/>
      <w:sz w:val="48"/>
      <w:szCs w:val="24"/>
      <w:lang w:val="en-GB" w:eastAsia="x-none"/>
    </w:rPr>
  </w:style>
  <w:style w:type="paragraph" w:styleId="Footer">
    <w:name w:val="footer"/>
    <w:basedOn w:val="Normal"/>
    <w:link w:val="FooterChar1"/>
    <w:uiPriority w:val="99"/>
    <w:pPr>
      <w:tabs>
        <w:tab w:val="center" w:pos="4535"/>
        <w:tab w:val="right" w:pos="9071"/>
        <w:tab w:val="right" w:pos="9921"/>
      </w:tabs>
      <w:ind w:left="-851" w:right="-851"/>
      <w:jc w:val="both"/>
    </w:pPr>
    <w:rPr>
      <w:rFonts w:eastAsia="Times New Roman"/>
      <w:sz w:val="20"/>
      <w:szCs w:val="24"/>
      <w:lang w:val="x-none" w:eastAsia="x-none"/>
    </w:rPr>
  </w:style>
  <w:style w:type="character" w:customStyle="1" w:styleId="FooterChar">
    <w:name w:val="Footer Char"/>
    <w:uiPriority w:val="99"/>
    <w:rPr>
      <w:sz w:val="22"/>
      <w:szCs w:val="22"/>
      <w:lang w:eastAsia="en-US"/>
    </w:rPr>
  </w:style>
  <w:style w:type="character" w:customStyle="1" w:styleId="FooterChar1">
    <w:name w:val="Footer Char1"/>
    <w:link w:val="Footer"/>
    <w:uiPriority w:val="99"/>
    <w:rPr>
      <w:rFonts w:eastAsia="Times New Roman"/>
      <w:szCs w:val="24"/>
      <w:lang w:val="x-none" w:eastAsia="x-none"/>
    </w:rPr>
  </w:style>
  <w:style w:type="character" w:customStyle="1" w:styleId="FootnoteTextChar1">
    <w:name w:val="Footnote Text Char1"/>
    <w:semiHidden/>
    <w:rPr>
      <w:rFonts w:ascii="Times New Roman" w:eastAsia="Times New Roman" w:hAnsi="Times New Roman" w:cs="Times New Roman"/>
      <w:sz w:val="20"/>
      <w:szCs w:val="20"/>
      <w:lang w:val="en-GB"/>
    </w:rPr>
  </w:style>
  <w:style w:type="paragraph" w:styleId="TOC1">
    <w:name w:val="toc 1"/>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2">
    <w:name w:val="toc 2"/>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3">
    <w:name w:val="toc 3"/>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4">
    <w:name w:val="toc 4"/>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5">
    <w:name w:val="toc 5"/>
    <w:basedOn w:val="Normal"/>
    <w:next w:val="Normal"/>
    <w:uiPriority w:val="39"/>
    <w:pPr>
      <w:tabs>
        <w:tab w:val="right" w:leader="dot" w:pos="9071"/>
      </w:tabs>
      <w:spacing w:before="300" w:after="120" w:line="240" w:lineRule="auto"/>
      <w:jc w:val="both"/>
    </w:pPr>
    <w:rPr>
      <w:rFonts w:ascii="Times New Roman" w:eastAsia="Times New Roman" w:hAnsi="Times New Roman"/>
      <w:sz w:val="24"/>
      <w:szCs w:val="24"/>
    </w:rPr>
  </w:style>
  <w:style w:type="paragraph" w:styleId="TOC6">
    <w:name w:val="toc 6"/>
    <w:basedOn w:val="Normal"/>
    <w:next w:val="Normal"/>
    <w:uiPriority w:val="39"/>
    <w:pPr>
      <w:tabs>
        <w:tab w:val="right" w:leader="dot" w:pos="9071"/>
      </w:tabs>
      <w:spacing w:before="240" w:after="120" w:line="240" w:lineRule="auto"/>
      <w:jc w:val="both"/>
    </w:pPr>
    <w:rPr>
      <w:rFonts w:ascii="Times New Roman" w:eastAsia="Times New Roman" w:hAnsi="Times New Roman"/>
      <w:sz w:val="24"/>
      <w:szCs w:val="24"/>
    </w:rPr>
  </w:style>
  <w:style w:type="paragraph" w:styleId="TOC7">
    <w:name w:val="toc 7"/>
    <w:basedOn w:val="Normal"/>
    <w:next w:val="Normal"/>
    <w:uiPriority w:val="39"/>
    <w:pPr>
      <w:tabs>
        <w:tab w:val="right" w:leader="dot" w:pos="9071"/>
      </w:tabs>
      <w:spacing w:before="180" w:after="120" w:line="240" w:lineRule="auto"/>
      <w:jc w:val="both"/>
    </w:pPr>
    <w:rPr>
      <w:rFonts w:ascii="Times New Roman" w:eastAsia="Times New Roman" w:hAnsi="Times New Roman"/>
      <w:sz w:val="24"/>
      <w:szCs w:val="24"/>
    </w:rPr>
  </w:style>
  <w:style w:type="paragraph" w:styleId="TOC8">
    <w:name w:val="toc 8"/>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customStyle="1" w:styleId="HeaderLandscape">
    <w:name w:val="HeaderLandscape"/>
    <w:basedOn w:val="Normal"/>
    <w:pPr>
      <w:tabs>
        <w:tab w:val="center" w:pos="7285"/>
        <w:tab w:val="right" w:pos="14003"/>
      </w:tabs>
      <w:spacing w:before="120" w:after="120" w:line="240" w:lineRule="auto"/>
      <w:jc w:val="both"/>
    </w:pPr>
    <w:rPr>
      <w:rFonts w:ascii="Times New Roman" w:eastAsia="Times New Roman" w:hAnsi="Times New Roman"/>
      <w:sz w:val="24"/>
      <w:szCs w:val="24"/>
    </w:rPr>
  </w:style>
  <w:style w:type="paragraph" w:customStyle="1" w:styleId="FooterLandscape">
    <w:name w:val="FooterLandscape"/>
    <w:basedOn w:val="Normal"/>
    <w:uiPriority w:val="99"/>
    <w:pPr>
      <w:tabs>
        <w:tab w:val="center" w:pos="7285"/>
        <w:tab w:val="center" w:pos="10913"/>
        <w:tab w:val="right" w:pos="15137"/>
      </w:tabs>
      <w:spacing w:before="360" w:after="0" w:line="240" w:lineRule="auto"/>
      <w:ind w:left="-567" w:right="-567"/>
      <w:jc w:val="both"/>
    </w:pPr>
    <w:rPr>
      <w:rFonts w:ascii="Times New Roman" w:eastAsia="Times New Roman" w:hAnsi="Times New Roman"/>
      <w:sz w:val="24"/>
      <w:szCs w:val="24"/>
    </w:rPr>
  </w:style>
  <w:style w:type="paragraph" w:customStyle="1" w:styleId="Text2">
    <w:name w:val="Text 2"/>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Text3">
    <w:name w:val="Text 3"/>
    <w:basedOn w:val="Normal"/>
    <w:uiPriority w:val="99"/>
    <w:pPr>
      <w:spacing w:before="120" w:after="120" w:line="240" w:lineRule="auto"/>
      <w:ind w:left="1984"/>
      <w:jc w:val="both"/>
    </w:pPr>
    <w:rPr>
      <w:rFonts w:ascii="Times New Roman" w:eastAsia="Times New Roman" w:hAnsi="Times New Roman"/>
      <w:sz w:val="24"/>
      <w:szCs w:val="24"/>
    </w:rPr>
  </w:style>
  <w:style w:type="paragraph" w:customStyle="1" w:styleId="Text4">
    <w:name w:val="Text 4"/>
    <w:basedOn w:val="Normal"/>
    <w:uiPriority w:val="99"/>
    <w:pPr>
      <w:spacing w:before="120" w:after="120" w:line="240" w:lineRule="auto"/>
      <w:ind w:left="2551"/>
      <w:jc w:val="both"/>
    </w:pPr>
    <w:rPr>
      <w:rFonts w:ascii="Times New Roman" w:eastAsia="Times New Roman" w:hAnsi="Times New Roman"/>
      <w:sz w:val="24"/>
      <w:szCs w:val="24"/>
    </w:rPr>
  </w:style>
  <w:style w:type="paragraph" w:customStyle="1" w:styleId="NormalCentered">
    <w:name w:val="Normal Centered"/>
    <w:basedOn w:val="Normal"/>
    <w:uiPriority w:val="99"/>
    <w:pPr>
      <w:spacing w:before="120" w:after="120" w:line="240" w:lineRule="auto"/>
      <w:jc w:val="center"/>
    </w:pPr>
    <w:rPr>
      <w:rFonts w:ascii="Times New Roman" w:eastAsia="Times New Roman" w:hAnsi="Times New Roman"/>
      <w:sz w:val="24"/>
      <w:szCs w:val="24"/>
    </w:rPr>
  </w:style>
  <w:style w:type="paragraph" w:customStyle="1" w:styleId="NormalLeft">
    <w:name w:val="Normal Left"/>
    <w:basedOn w:val="Normal"/>
    <w:uiPriority w:val="99"/>
    <w:pPr>
      <w:spacing w:before="120" w:after="120" w:line="240" w:lineRule="auto"/>
      <w:jc w:val="both"/>
    </w:pPr>
    <w:rPr>
      <w:rFonts w:ascii="Times New Roman" w:eastAsia="Times New Roman" w:hAnsi="Times New Roman"/>
      <w:sz w:val="24"/>
      <w:szCs w:val="24"/>
    </w:rPr>
  </w:style>
  <w:style w:type="paragraph" w:customStyle="1" w:styleId="NormalRight">
    <w:name w:val="Normal Right"/>
    <w:basedOn w:val="Normal"/>
    <w:uiPriority w:val="99"/>
    <w:pPr>
      <w:spacing w:before="120" w:after="120" w:line="240" w:lineRule="auto"/>
      <w:jc w:val="right"/>
    </w:pPr>
    <w:rPr>
      <w:rFonts w:ascii="Times New Roman" w:eastAsia="Times New Roman" w:hAnsi="Times New Roman"/>
      <w:sz w:val="24"/>
      <w:szCs w:val="24"/>
    </w:rPr>
  </w:style>
  <w:style w:type="paragraph" w:customStyle="1" w:styleId="QuotedText">
    <w:name w:val="Quoted Text"/>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Point0">
    <w:name w:val="Point 0"/>
    <w:basedOn w:val="Normal"/>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Point2">
    <w:name w:val="Point 2"/>
    <w:basedOn w:val="Normal"/>
    <w:uiPriority w:val="99"/>
    <w:pPr>
      <w:spacing w:before="120" w:after="120" w:line="240" w:lineRule="auto"/>
      <w:ind w:left="1984" w:hanging="567"/>
      <w:jc w:val="both"/>
    </w:pPr>
    <w:rPr>
      <w:rFonts w:ascii="Times New Roman" w:eastAsia="Times New Roman" w:hAnsi="Times New Roman"/>
      <w:sz w:val="24"/>
      <w:szCs w:val="24"/>
    </w:rPr>
  </w:style>
  <w:style w:type="paragraph" w:customStyle="1" w:styleId="Point3">
    <w:name w:val="Point 3"/>
    <w:basedOn w:val="Normal"/>
    <w:uiPriority w:val="99"/>
    <w:pPr>
      <w:spacing w:before="120" w:after="120" w:line="240" w:lineRule="auto"/>
      <w:ind w:left="2551" w:hanging="567"/>
      <w:jc w:val="both"/>
    </w:pPr>
    <w:rPr>
      <w:rFonts w:ascii="Times New Roman" w:eastAsia="Times New Roman" w:hAnsi="Times New Roman"/>
      <w:sz w:val="24"/>
      <w:szCs w:val="24"/>
    </w:rPr>
  </w:style>
  <w:style w:type="paragraph" w:customStyle="1" w:styleId="Point4">
    <w:name w:val="Point 4"/>
    <w:basedOn w:val="Normal"/>
    <w:uiPriority w:val="99"/>
    <w:pPr>
      <w:spacing w:before="120" w:after="120" w:line="240" w:lineRule="auto"/>
      <w:ind w:left="3118" w:hanging="567"/>
      <w:jc w:val="both"/>
    </w:pPr>
    <w:rPr>
      <w:rFonts w:ascii="Times New Roman" w:eastAsia="Times New Roman" w:hAnsi="Times New Roman"/>
      <w:sz w:val="24"/>
      <w:szCs w:val="24"/>
    </w:rPr>
  </w:style>
  <w:style w:type="paragraph" w:customStyle="1" w:styleId="Tiret0">
    <w:name w:val="Tiret 0"/>
    <w:basedOn w:val="Point0"/>
    <w:pPr>
      <w:numPr>
        <w:numId w:val="13"/>
      </w:numPr>
    </w:pPr>
  </w:style>
  <w:style w:type="paragraph" w:customStyle="1" w:styleId="Tiret1">
    <w:name w:val="Tiret 1"/>
    <w:basedOn w:val="Point1"/>
    <w:pPr>
      <w:numPr>
        <w:numId w:val="14"/>
      </w:numPr>
    </w:pPr>
  </w:style>
  <w:style w:type="paragraph" w:customStyle="1" w:styleId="Tiret2">
    <w:name w:val="Tiret 2"/>
    <w:basedOn w:val="Point2"/>
    <w:pPr>
      <w:numPr>
        <w:numId w:val="15"/>
      </w:numPr>
    </w:pPr>
  </w:style>
  <w:style w:type="paragraph" w:customStyle="1" w:styleId="Tiret3">
    <w:name w:val="Tiret 3"/>
    <w:basedOn w:val="Point3"/>
    <w:pPr>
      <w:numPr>
        <w:numId w:val="16"/>
      </w:numPr>
    </w:pPr>
  </w:style>
  <w:style w:type="paragraph" w:customStyle="1" w:styleId="Tiret4">
    <w:name w:val="Tiret 4"/>
    <w:basedOn w:val="Point4"/>
    <w:pPr>
      <w:numPr>
        <w:numId w:val="17"/>
      </w:numPr>
    </w:pPr>
  </w:style>
  <w:style w:type="paragraph" w:customStyle="1" w:styleId="PointDouble0">
    <w:name w:val="PointDouble 0"/>
    <w:basedOn w:val="Normal"/>
    <w:uiPriority w:val="99"/>
    <w:pPr>
      <w:tabs>
        <w:tab w:val="left" w:pos="850"/>
      </w:tabs>
      <w:spacing w:before="120" w:after="120" w:line="240" w:lineRule="auto"/>
      <w:ind w:left="1417" w:hanging="1417"/>
      <w:jc w:val="both"/>
    </w:pPr>
    <w:rPr>
      <w:rFonts w:ascii="Times New Roman" w:eastAsia="Times New Roman" w:hAnsi="Times New Roman"/>
      <w:sz w:val="24"/>
      <w:szCs w:val="24"/>
    </w:rPr>
  </w:style>
  <w:style w:type="paragraph" w:customStyle="1" w:styleId="PointDouble1">
    <w:name w:val="PointDouble 1"/>
    <w:basedOn w:val="Normal"/>
    <w:uiPriority w:val="99"/>
    <w:pPr>
      <w:tabs>
        <w:tab w:val="left" w:pos="1417"/>
      </w:tabs>
      <w:spacing w:before="120" w:after="120" w:line="240" w:lineRule="auto"/>
      <w:ind w:left="1984" w:hanging="1134"/>
      <w:jc w:val="both"/>
    </w:pPr>
    <w:rPr>
      <w:rFonts w:ascii="Times New Roman" w:eastAsia="Times New Roman" w:hAnsi="Times New Roman"/>
      <w:sz w:val="24"/>
      <w:szCs w:val="24"/>
    </w:rPr>
  </w:style>
  <w:style w:type="paragraph" w:customStyle="1" w:styleId="PointDouble2">
    <w:name w:val="PointDouble 2"/>
    <w:basedOn w:val="Normal"/>
    <w:uiPriority w:val="99"/>
    <w:pPr>
      <w:tabs>
        <w:tab w:val="left" w:pos="1984"/>
      </w:tabs>
      <w:spacing w:before="120" w:after="120" w:line="240" w:lineRule="auto"/>
      <w:ind w:left="2551" w:hanging="1134"/>
      <w:jc w:val="both"/>
    </w:pPr>
    <w:rPr>
      <w:rFonts w:ascii="Times New Roman" w:eastAsia="Times New Roman" w:hAnsi="Times New Roman"/>
      <w:sz w:val="24"/>
      <w:szCs w:val="24"/>
    </w:rPr>
  </w:style>
  <w:style w:type="paragraph" w:customStyle="1" w:styleId="PointDouble3">
    <w:name w:val="PointDouble 3"/>
    <w:basedOn w:val="Normal"/>
    <w:uiPriority w:val="99"/>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PointDouble4">
    <w:name w:val="PointDouble 4"/>
    <w:basedOn w:val="Normal"/>
    <w:uiPriority w:val="99"/>
    <w:pPr>
      <w:tabs>
        <w:tab w:val="left" w:pos="3118"/>
      </w:tabs>
      <w:spacing w:before="120" w:after="120" w:line="240" w:lineRule="auto"/>
      <w:ind w:left="3685" w:hanging="1134"/>
      <w:jc w:val="both"/>
    </w:pPr>
    <w:rPr>
      <w:rFonts w:ascii="Times New Roman" w:eastAsia="Times New Roman" w:hAnsi="Times New Roman"/>
      <w:sz w:val="24"/>
      <w:szCs w:val="24"/>
    </w:rPr>
  </w:style>
  <w:style w:type="paragraph" w:customStyle="1" w:styleId="PointTriple0">
    <w:name w:val="PointTriple 0"/>
    <w:basedOn w:val="Normal"/>
    <w:uiPriority w:val="99"/>
    <w:pPr>
      <w:tabs>
        <w:tab w:val="left" w:pos="850"/>
        <w:tab w:val="left" w:pos="1417"/>
      </w:tabs>
      <w:spacing w:before="120" w:after="120" w:line="240" w:lineRule="auto"/>
      <w:ind w:left="1984" w:hanging="1984"/>
      <w:jc w:val="both"/>
    </w:pPr>
    <w:rPr>
      <w:rFonts w:ascii="Times New Roman" w:eastAsia="Times New Roman" w:hAnsi="Times New Roman"/>
      <w:sz w:val="24"/>
      <w:szCs w:val="24"/>
    </w:rPr>
  </w:style>
  <w:style w:type="paragraph" w:customStyle="1" w:styleId="PointTriple1">
    <w:name w:val="PointTriple 1"/>
    <w:basedOn w:val="Normal"/>
    <w:uiPriority w:val="99"/>
    <w:pPr>
      <w:tabs>
        <w:tab w:val="left" w:pos="1417"/>
        <w:tab w:val="left" w:pos="1984"/>
      </w:tabs>
      <w:spacing w:before="120" w:after="120" w:line="240" w:lineRule="auto"/>
      <w:ind w:left="2551" w:hanging="1701"/>
      <w:jc w:val="both"/>
    </w:pPr>
    <w:rPr>
      <w:rFonts w:ascii="Times New Roman" w:eastAsia="Times New Roman" w:hAnsi="Times New Roman"/>
      <w:sz w:val="24"/>
      <w:szCs w:val="24"/>
    </w:rPr>
  </w:style>
  <w:style w:type="paragraph" w:customStyle="1" w:styleId="PointTriple2">
    <w:name w:val="PointTriple 2"/>
    <w:basedOn w:val="Normal"/>
    <w:uiPriority w:val="99"/>
    <w:pPr>
      <w:tabs>
        <w:tab w:val="left" w:pos="1984"/>
        <w:tab w:val="left" w:pos="2551"/>
      </w:tabs>
      <w:spacing w:before="120" w:after="120" w:line="240" w:lineRule="auto"/>
      <w:ind w:left="3118" w:hanging="1701"/>
      <w:jc w:val="both"/>
    </w:pPr>
    <w:rPr>
      <w:rFonts w:ascii="Times New Roman" w:eastAsia="Times New Roman" w:hAnsi="Times New Roman"/>
      <w:sz w:val="24"/>
      <w:szCs w:val="24"/>
    </w:rPr>
  </w:style>
  <w:style w:type="paragraph" w:customStyle="1" w:styleId="PointTriple3">
    <w:name w:val="PointTriple 3"/>
    <w:basedOn w:val="Normal"/>
    <w:uiPriority w:val="99"/>
    <w:pPr>
      <w:tabs>
        <w:tab w:val="left" w:pos="2551"/>
        <w:tab w:val="left" w:pos="3118"/>
      </w:tabs>
      <w:spacing w:before="120" w:after="120" w:line="240" w:lineRule="auto"/>
      <w:ind w:left="3685" w:hanging="1701"/>
      <w:jc w:val="both"/>
    </w:pPr>
    <w:rPr>
      <w:rFonts w:ascii="Times New Roman" w:eastAsia="Times New Roman" w:hAnsi="Times New Roman"/>
      <w:sz w:val="24"/>
      <w:szCs w:val="24"/>
    </w:rPr>
  </w:style>
  <w:style w:type="paragraph" w:customStyle="1" w:styleId="PointTriple4">
    <w:name w:val="PointTriple 4"/>
    <w:basedOn w:val="Normal"/>
    <w:uiPriority w:val="99"/>
    <w:pPr>
      <w:tabs>
        <w:tab w:val="left" w:pos="3118"/>
        <w:tab w:val="left" w:pos="3685"/>
      </w:tabs>
      <w:spacing w:before="120" w:after="120" w:line="240" w:lineRule="auto"/>
      <w:ind w:left="4252" w:hanging="1701"/>
      <w:jc w:val="both"/>
    </w:pPr>
    <w:rPr>
      <w:rFonts w:ascii="Times New Roman" w:eastAsia="Times New Roman" w:hAnsi="Times New Roman"/>
      <w:sz w:val="24"/>
      <w:szCs w:val="24"/>
    </w:rPr>
  </w:style>
  <w:style w:type="paragraph" w:customStyle="1" w:styleId="NumPar1">
    <w:name w:val="NumPar 1"/>
    <w:basedOn w:val="Normal"/>
    <w:next w:val="Text1"/>
    <w:pPr>
      <w:numPr>
        <w:numId w:val="18"/>
      </w:numPr>
      <w:spacing w:before="120" w:after="120" w:line="240" w:lineRule="auto"/>
      <w:jc w:val="both"/>
    </w:pPr>
    <w:rPr>
      <w:rFonts w:ascii="Times New Roman" w:eastAsia="Times New Roman" w:hAnsi="Times New Roman"/>
      <w:sz w:val="24"/>
      <w:szCs w:val="24"/>
    </w:rPr>
  </w:style>
  <w:style w:type="paragraph" w:customStyle="1" w:styleId="NumPar2">
    <w:name w:val="NumPar 2"/>
    <w:basedOn w:val="Normal"/>
    <w:next w:val="Text1"/>
    <w:pPr>
      <w:numPr>
        <w:ilvl w:val="1"/>
        <w:numId w:val="18"/>
      </w:numPr>
      <w:spacing w:before="120" w:after="120" w:line="240" w:lineRule="auto"/>
      <w:jc w:val="both"/>
    </w:pPr>
    <w:rPr>
      <w:rFonts w:ascii="Times New Roman" w:eastAsia="Times New Roman" w:hAnsi="Times New Roman"/>
      <w:sz w:val="24"/>
      <w:szCs w:val="24"/>
    </w:rPr>
  </w:style>
  <w:style w:type="paragraph" w:customStyle="1" w:styleId="NumPar3">
    <w:name w:val="NumPar 3"/>
    <w:basedOn w:val="Normal"/>
    <w:next w:val="Text1"/>
    <w:pPr>
      <w:numPr>
        <w:ilvl w:val="2"/>
        <w:numId w:val="18"/>
      </w:numPr>
      <w:spacing w:before="120" w:after="120" w:line="240" w:lineRule="auto"/>
      <w:jc w:val="both"/>
    </w:pPr>
    <w:rPr>
      <w:rFonts w:ascii="Times New Roman" w:eastAsia="Times New Roman" w:hAnsi="Times New Roman"/>
      <w:sz w:val="24"/>
      <w:szCs w:val="24"/>
    </w:rPr>
  </w:style>
  <w:style w:type="paragraph" w:customStyle="1" w:styleId="NumPar4">
    <w:name w:val="NumPar 4"/>
    <w:basedOn w:val="Normal"/>
    <w:next w:val="Text1"/>
    <w:pPr>
      <w:numPr>
        <w:ilvl w:val="3"/>
        <w:numId w:val="18"/>
      </w:numPr>
      <w:spacing w:before="120" w:after="120" w:line="240" w:lineRule="auto"/>
      <w:jc w:val="both"/>
    </w:pPr>
    <w:rPr>
      <w:rFonts w:ascii="Times New Roman" w:eastAsia="Times New Roman" w:hAnsi="Times New Roman"/>
      <w:sz w:val="24"/>
      <w:szCs w:val="24"/>
    </w:rPr>
  </w:style>
  <w:style w:type="paragraph" w:customStyle="1" w:styleId="ManualNumPar1">
    <w:name w:val="Manual NumPar 1"/>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2">
    <w:name w:val="Manual NumPar 2"/>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3">
    <w:name w:val="Manual NumPar 3"/>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4">
    <w:name w:val="Manual NumPar 4"/>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QuotedNumPar">
    <w:name w:val="Quoted NumPar"/>
    <w:basedOn w:val="Normal"/>
    <w:uiPriority w:val="99"/>
    <w:pPr>
      <w:spacing w:before="120" w:after="120" w:line="240" w:lineRule="auto"/>
      <w:ind w:left="1417" w:hanging="567"/>
      <w:jc w:val="both"/>
    </w:pPr>
    <w:rPr>
      <w:rFonts w:ascii="Times New Roman" w:eastAsia="Times New Roman" w:hAnsi="Times New Roman"/>
      <w:sz w:val="24"/>
      <w:szCs w:val="24"/>
    </w:rPr>
  </w:style>
  <w:style w:type="paragraph" w:customStyle="1" w:styleId="ManualHeading1">
    <w:name w:val="Manual Heading 1"/>
    <w:basedOn w:val="Normal"/>
    <w:next w:val="Text1"/>
    <w:uiPriority w:val="99"/>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paragraph" w:customStyle="1" w:styleId="ManualHeading2">
    <w:name w:val="Manual Heading 2"/>
    <w:basedOn w:val="Normal"/>
    <w:next w:val="Text1"/>
    <w:uiPriority w:val="99"/>
    <w:pPr>
      <w:keepNext/>
      <w:tabs>
        <w:tab w:val="left" w:pos="850"/>
      </w:tabs>
      <w:spacing w:before="120" w:after="120" w:line="240" w:lineRule="auto"/>
      <w:ind w:left="850" w:hanging="850"/>
      <w:jc w:val="both"/>
      <w:outlineLvl w:val="1"/>
    </w:pPr>
    <w:rPr>
      <w:rFonts w:ascii="Times New Roman" w:eastAsia="Times New Roman" w:hAnsi="Times New Roman"/>
      <w:b/>
      <w:sz w:val="24"/>
      <w:szCs w:val="24"/>
    </w:rPr>
  </w:style>
  <w:style w:type="paragraph" w:customStyle="1" w:styleId="ManualHeading3">
    <w:name w:val="Manual Heading 3"/>
    <w:basedOn w:val="Normal"/>
    <w:next w:val="Text1"/>
    <w:uiPriority w:val="99"/>
    <w:pPr>
      <w:keepNext/>
      <w:tabs>
        <w:tab w:val="left" w:pos="850"/>
      </w:tabs>
      <w:spacing w:before="120" w:after="120" w:line="240" w:lineRule="auto"/>
      <w:ind w:left="850" w:hanging="850"/>
      <w:jc w:val="both"/>
      <w:outlineLvl w:val="2"/>
    </w:pPr>
    <w:rPr>
      <w:rFonts w:ascii="Times New Roman" w:eastAsia="Times New Roman" w:hAnsi="Times New Roman"/>
      <w:i/>
      <w:sz w:val="24"/>
      <w:szCs w:val="24"/>
    </w:rPr>
  </w:style>
  <w:style w:type="paragraph" w:customStyle="1" w:styleId="ManualHeading4">
    <w:name w:val="Manual Heading 4"/>
    <w:basedOn w:val="Normal"/>
    <w:next w:val="Text1"/>
    <w:uiPriority w:val="99"/>
    <w:pPr>
      <w:keepNext/>
      <w:tabs>
        <w:tab w:val="left" w:pos="850"/>
      </w:tabs>
      <w:spacing w:before="120" w:after="120" w:line="240" w:lineRule="auto"/>
      <w:ind w:left="850" w:hanging="850"/>
      <w:jc w:val="both"/>
      <w:outlineLvl w:val="3"/>
    </w:pPr>
    <w:rPr>
      <w:rFonts w:ascii="Times New Roman" w:eastAsia="Times New Roman" w:hAnsi="Times New Roman"/>
      <w:sz w:val="24"/>
      <w:szCs w:val="24"/>
    </w:rPr>
  </w:style>
  <w:style w:type="paragraph" w:customStyle="1" w:styleId="ChapterTitle">
    <w:name w:val="ChapterTitle"/>
    <w:basedOn w:val="Normal"/>
    <w:next w:val="Normal"/>
    <w:uiPriority w:val="99"/>
    <w:pPr>
      <w:keepNext/>
      <w:spacing w:before="120" w:after="360" w:line="240" w:lineRule="auto"/>
      <w:jc w:val="center"/>
    </w:pPr>
    <w:rPr>
      <w:rFonts w:ascii="Times New Roman" w:eastAsia="Times New Roman" w:hAnsi="Times New Roman"/>
      <w:b/>
      <w:sz w:val="32"/>
      <w:szCs w:val="24"/>
    </w:rPr>
  </w:style>
  <w:style w:type="paragraph" w:customStyle="1" w:styleId="PartTitle">
    <w:name w:val="PartTitle"/>
    <w:basedOn w:val="Normal"/>
    <w:next w:val="ChapterTitle"/>
    <w:uiPriority w:val="99"/>
    <w:pPr>
      <w:keepNext/>
      <w:pageBreakBefore/>
      <w:spacing w:before="120" w:after="360" w:line="240" w:lineRule="auto"/>
      <w:jc w:val="center"/>
    </w:pPr>
    <w:rPr>
      <w:rFonts w:ascii="Times New Roman" w:eastAsia="Times New Roman" w:hAnsi="Times New Roman"/>
      <w:b/>
      <w:sz w:val="36"/>
      <w:szCs w:val="24"/>
    </w:rPr>
  </w:style>
  <w:style w:type="paragraph" w:customStyle="1" w:styleId="SectionTitle">
    <w:name w:val="SectionTitle"/>
    <w:basedOn w:val="Normal"/>
    <w:next w:val="Heading1"/>
    <w:uiPriority w:val="99"/>
    <w:pPr>
      <w:keepNext/>
      <w:spacing w:before="120" w:after="360" w:line="240" w:lineRule="auto"/>
      <w:jc w:val="center"/>
    </w:pPr>
    <w:rPr>
      <w:rFonts w:ascii="Times New Roman" w:eastAsia="Times New Roman" w:hAnsi="Times New Roman"/>
      <w:b/>
      <w:smallCaps/>
      <w:sz w:val="28"/>
      <w:szCs w:val="24"/>
    </w:rPr>
  </w:style>
  <w:style w:type="paragraph" w:customStyle="1" w:styleId="TableTitle">
    <w:name w:val="Table Title"/>
    <w:basedOn w:val="Normal"/>
    <w:next w:val="Normal"/>
    <w:uiPriority w:val="99"/>
    <w:pPr>
      <w:spacing w:before="120" w:after="120" w:line="240" w:lineRule="auto"/>
      <w:jc w:val="center"/>
    </w:pPr>
    <w:rPr>
      <w:rFonts w:ascii="Times New Roman" w:eastAsia="Times New Roman" w:hAnsi="Times New Roman"/>
      <w:b/>
      <w:sz w:val="24"/>
      <w:szCs w:val="24"/>
    </w:rPr>
  </w:style>
  <w:style w:type="character" w:customStyle="1" w:styleId="Marker">
    <w:name w:val="Marker"/>
    <w:uiPriority w:val="99"/>
    <w:rPr>
      <w:rFonts w:cs="Times New Roman"/>
      <w:color w:val="0000FF"/>
      <w:shd w:val="clear" w:color="auto" w:fill="auto"/>
    </w:rPr>
  </w:style>
  <w:style w:type="character" w:customStyle="1" w:styleId="Marker1">
    <w:name w:val="Marker1"/>
    <w:uiPriority w:val="99"/>
    <w:rPr>
      <w:rFonts w:cs="Times New Roman"/>
      <w:color w:val="008000"/>
      <w:shd w:val="clear" w:color="auto" w:fill="auto"/>
    </w:rPr>
  </w:style>
  <w:style w:type="character" w:customStyle="1" w:styleId="Marker2">
    <w:name w:val="Marker2"/>
    <w:uiPriority w:val="99"/>
    <w:rPr>
      <w:rFonts w:cs="Times New Roman"/>
      <w:color w:val="FF0000"/>
      <w:shd w:val="clear" w:color="auto" w:fill="auto"/>
    </w:rPr>
  </w:style>
  <w:style w:type="paragraph" w:styleId="TOCHeading">
    <w:name w:val="TOC Heading"/>
    <w:basedOn w:val="Normal"/>
    <w:next w:val="Normal"/>
    <w:link w:val="TOCHeadingChar"/>
    <w:uiPriority w:val="39"/>
    <w:qFormat/>
    <w:pPr>
      <w:spacing w:before="120" w:after="240" w:line="240" w:lineRule="auto"/>
      <w:jc w:val="center"/>
    </w:pPr>
    <w:rPr>
      <w:rFonts w:ascii="Times New Roman" w:eastAsia="Times New Roman" w:hAnsi="Times New Roman"/>
      <w:b/>
      <w:sz w:val="28"/>
      <w:szCs w:val="24"/>
      <w:lang w:val="x-none"/>
    </w:rPr>
  </w:style>
  <w:style w:type="paragraph" w:customStyle="1" w:styleId="Point0number">
    <w:name w:val="Point 0 (number)"/>
    <w:basedOn w:val="Normal"/>
    <w:pPr>
      <w:numPr>
        <w:numId w:val="19"/>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19"/>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19"/>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19"/>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19"/>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19"/>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19"/>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19"/>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19"/>
      </w:numPr>
      <w:spacing w:before="120" w:after="120" w:line="240" w:lineRule="auto"/>
      <w:jc w:val="both"/>
    </w:pPr>
    <w:rPr>
      <w:rFonts w:ascii="Times New Roman" w:eastAsia="Times New Roman" w:hAnsi="Times New Roman"/>
      <w:sz w:val="24"/>
      <w:szCs w:val="24"/>
    </w:rPr>
  </w:style>
  <w:style w:type="paragraph" w:customStyle="1" w:styleId="Bullet0">
    <w:name w:val="Bullet 0"/>
    <w:basedOn w:val="Normal"/>
    <w:pPr>
      <w:numPr>
        <w:numId w:val="20"/>
      </w:numPr>
      <w:spacing w:before="120" w:after="120" w:line="240" w:lineRule="auto"/>
      <w:jc w:val="both"/>
    </w:pPr>
    <w:rPr>
      <w:rFonts w:ascii="Times New Roman" w:eastAsia="Times New Roman" w:hAnsi="Times New Roman"/>
      <w:sz w:val="24"/>
      <w:szCs w:val="24"/>
    </w:rPr>
  </w:style>
  <w:style w:type="paragraph" w:customStyle="1" w:styleId="Bullet1">
    <w:name w:val="Bullet 1"/>
    <w:basedOn w:val="Normal"/>
    <w:pPr>
      <w:numPr>
        <w:numId w:val="21"/>
      </w:numPr>
      <w:spacing w:before="120" w:after="120" w:line="240" w:lineRule="auto"/>
      <w:jc w:val="both"/>
    </w:pPr>
    <w:rPr>
      <w:rFonts w:ascii="Times New Roman" w:eastAsia="Times New Roman" w:hAnsi="Times New Roman"/>
      <w:sz w:val="24"/>
      <w:szCs w:val="24"/>
    </w:rPr>
  </w:style>
  <w:style w:type="paragraph" w:customStyle="1" w:styleId="Bullet2">
    <w:name w:val="Bullet 2"/>
    <w:basedOn w:val="Normal"/>
    <w:pPr>
      <w:numPr>
        <w:numId w:val="22"/>
      </w:numPr>
      <w:spacing w:before="120" w:after="120" w:line="240" w:lineRule="auto"/>
      <w:jc w:val="both"/>
    </w:pPr>
    <w:rPr>
      <w:rFonts w:ascii="Times New Roman" w:eastAsia="Times New Roman" w:hAnsi="Times New Roman"/>
      <w:sz w:val="24"/>
      <w:szCs w:val="24"/>
    </w:rPr>
  </w:style>
  <w:style w:type="paragraph" w:customStyle="1" w:styleId="Bullet3">
    <w:name w:val="Bullet 3"/>
    <w:basedOn w:val="Normal"/>
    <w:pPr>
      <w:numPr>
        <w:numId w:val="23"/>
      </w:numPr>
      <w:spacing w:before="120" w:after="120" w:line="240" w:lineRule="auto"/>
      <w:jc w:val="both"/>
    </w:pPr>
    <w:rPr>
      <w:rFonts w:ascii="Times New Roman" w:eastAsia="Times New Roman" w:hAnsi="Times New Roman"/>
      <w:sz w:val="24"/>
      <w:szCs w:val="24"/>
    </w:rPr>
  </w:style>
  <w:style w:type="paragraph" w:customStyle="1" w:styleId="Bullet4">
    <w:name w:val="Bullet 4"/>
    <w:basedOn w:val="Normal"/>
    <w:pPr>
      <w:numPr>
        <w:numId w:val="24"/>
      </w:numPr>
      <w:spacing w:before="120" w:after="120" w:line="240" w:lineRule="auto"/>
      <w:jc w:val="both"/>
    </w:pPr>
    <w:rPr>
      <w:rFonts w:ascii="Times New Roman" w:eastAsia="Times New Roman" w:hAnsi="Times New Roman"/>
      <w:sz w:val="24"/>
      <w:szCs w:val="24"/>
    </w:rPr>
  </w:style>
  <w:style w:type="paragraph" w:customStyle="1" w:styleId="Annexetitreexpos">
    <w:name w:val="Annexe titre (exposé)"/>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
    <w:name w:val="Annex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fichefinancire">
    <w:name w:val="Annexe titre (fiche financiè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pplicationdirecte">
    <w:name w:val="Application directe"/>
    <w:basedOn w:val="Normal"/>
    <w:next w:val="Fait"/>
    <w:uiPriority w:val="99"/>
    <w:pPr>
      <w:spacing w:before="480" w:after="120" w:line="240" w:lineRule="auto"/>
      <w:jc w:val="both"/>
    </w:pPr>
    <w:rPr>
      <w:rFonts w:ascii="Times New Roman" w:eastAsia="Times New Roman" w:hAnsi="Times New Roman"/>
      <w:sz w:val="24"/>
      <w:szCs w:val="24"/>
    </w:rPr>
  </w:style>
  <w:style w:type="paragraph" w:customStyle="1" w:styleId="Fait">
    <w:name w:val="Fait à"/>
    <w:basedOn w:val="Normal"/>
    <w:next w:val="Institutionquisigne"/>
    <w:uiPriority w:val="99"/>
    <w:pPr>
      <w:keepNext/>
      <w:spacing w:before="120" w:after="0" w:line="240" w:lineRule="auto"/>
      <w:jc w:val="both"/>
    </w:pPr>
    <w:rPr>
      <w:rFonts w:ascii="Times New Roman" w:eastAsia="Times New Roman" w:hAnsi="Times New Roman"/>
      <w:sz w:val="24"/>
      <w:szCs w:val="24"/>
    </w:rPr>
  </w:style>
  <w:style w:type="paragraph" w:customStyle="1" w:styleId="Institutionquisigne">
    <w:name w:val="Institution qui signe"/>
    <w:basedOn w:val="Normal"/>
    <w:next w:val="Personnequisigne"/>
    <w:uiPriority w:val="99"/>
    <w:pPr>
      <w:keepNext/>
      <w:tabs>
        <w:tab w:val="left" w:pos="4252"/>
      </w:tabs>
      <w:spacing w:before="720" w:after="0" w:line="240" w:lineRule="auto"/>
      <w:jc w:val="both"/>
    </w:pPr>
    <w:rPr>
      <w:rFonts w:ascii="Times New Roman" w:eastAsia="Times New Roman" w:hAnsi="Times New Roman"/>
      <w:i/>
      <w:sz w:val="24"/>
      <w:szCs w:val="24"/>
    </w:rPr>
  </w:style>
  <w:style w:type="paragraph" w:customStyle="1" w:styleId="Personnequisigne">
    <w:name w:val="Personne qui signe"/>
    <w:basedOn w:val="Normal"/>
    <w:next w:val="Institutionquisigne"/>
    <w:uiPriority w:val="99"/>
    <w:pPr>
      <w:tabs>
        <w:tab w:val="left" w:pos="4252"/>
      </w:tabs>
      <w:spacing w:before="40" w:after="0" w:line="240" w:lineRule="auto"/>
      <w:jc w:val="both"/>
    </w:pPr>
    <w:rPr>
      <w:rFonts w:ascii="Times New Roman" w:eastAsia="Times New Roman" w:hAnsi="Times New Roman"/>
      <w:i/>
      <w:sz w:val="24"/>
      <w:szCs w:val="24"/>
    </w:rPr>
  </w:style>
  <w:style w:type="paragraph" w:customStyle="1" w:styleId="Avertissementtitre">
    <w:name w:val="Avertissement titre"/>
    <w:basedOn w:val="Normal"/>
    <w:next w:val="Normal"/>
    <w:uiPriority w:val="99"/>
    <w:pPr>
      <w:keepNext/>
      <w:spacing w:before="480" w:after="120" w:line="240" w:lineRule="auto"/>
      <w:jc w:val="both"/>
    </w:pPr>
    <w:rPr>
      <w:rFonts w:ascii="Times New Roman" w:eastAsia="Times New Roman" w:hAnsi="Times New Roman"/>
      <w:sz w:val="24"/>
      <w:szCs w:val="24"/>
      <w:u w:val="single"/>
    </w:rPr>
  </w:style>
  <w:style w:type="paragraph" w:customStyle="1" w:styleId="Confidence">
    <w:name w:val="Confidence"/>
    <w:basedOn w:val="Normal"/>
    <w:next w:val="Normal"/>
    <w:uiPriority w:val="99"/>
    <w:pPr>
      <w:spacing w:before="360" w:after="120" w:line="240" w:lineRule="auto"/>
      <w:jc w:val="center"/>
    </w:pPr>
    <w:rPr>
      <w:rFonts w:ascii="Times New Roman" w:eastAsia="Times New Roman" w:hAnsi="Times New Roman"/>
      <w:sz w:val="24"/>
      <w:szCs w:val="24"/>
    </w:rPr>
  </w:style>
  <w:style w:type="paragraph" w:customStyle="1" w:styleId="Confidentialit">
    <w:name w:val="Confidentialité"/>
    <w:basedOn w:val="Normal"/>
    <w:next w:val="TypedudocumentPagedecouverture"/>
    <w:uiPriority w:val="99"/>
    <w:pPr>
      <w:spacing w:before="240" w:after="240" w:line="240" w:lineRule="auto"/>
      <w:ind w:left="5103"/>
      <w:jc w:val="both"/>
    </w:pPr>
    <w:rPr>
      <w:rFonts w:ascii="Times New Roman" w:eastAsia="Times New Roman" w:hAnsi="Times New Roman"/>
      <w:i/>
      <w:sz w:val="32"/>
      <w:szCs w:val="24"/>
    </w:rPr>
  </w:style>
  <w:style w:type="paragraph" w:customStyle="1" w:styleId="TypedudocumentPagedecouverture">
    <w:name w:val="Type du document (Page de couverture)"/>
    <w:basedOn w:val="Typedudocument"/>
    <w:next w:val="TitreobjetPagedecouverture"/>
    <w:uiPriority w:val="99"/>
  </w:style>
  <w:style w:type="paragraph" w:customStyle="1" w:styleId="Typedudocument">
    <w:name w:val="Type du document"/>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Titreobjet">
    <w:name w:val="Titre objet"/>
    <w:basedOn w:val="Normal"/>
    <w:next w:val="Sous-titreobjet"/>
    <w:uiPriority w:val="99"/>
    <w:pPr>
      <w:spacing w:before="360" w:after="360" w:line="240" w:lineRule="auto"/>
      <w:jc w:val="center"/>
    </w:pPr>
    <w:rPr>
      <w:rFonts w:ascii="Times New Roman" w:eastAsia="Times New Roman" w:hAnsi="Times New Roman"/>
      <w:b/>
      <w:sz w:val="24"/>
      <w:szCs w:val="24"/>
    </w:rPr>
  </w:style>
  <w:style w:type="paragraph" w:customStyle="1" w:styleId="Sous-titreobjet">
    <w:name w:val="Sous-titre objet"/>
    <w:basedOn w:val="Normal"/>
    <w:uiPriority w:val="99"/>
    <w:pPr>
      <w:spacing w:before="40" w:after="0" w:line="240" w:lineRule="auto"/>
      <w:jc w:val="center"/>
    </w:pPr>
    <w:rPr>
      <w:rFonts w:ascii="Times New Roman" w:eastAsia="Times New Roman" w:hAnsi="Times New Roman"/>
      <w:b/>
      <w:sz w:val="24"/>
      <w:szCs w:val="24"/>
    </w:rPr>
  </w:style>
  <w:style w:type="paragraph" w:customStyle="1" w:styleId="TitreobjetPagedecouverture">
    <w:name w:val="Titre objet (Page de couverture)"/>
    <w:basedOn w:val="Titreobjet"/>
    <w:next w:val="Sous-titreobjetPagedecouverture"/>
    <w:uiPriority w:val="99"/>
  </w:style>
  <w:style w:type="paragraph" w:customStyle="1" w:styleId="Sous-titreobjetPagedecouverture">
    <w:name w:val="Sous-titre objet (Page de couverture)"/>
    <w:basedOn w:val="Sous-titreobjet"/>
    <w:uiPriority w:val="99"/>
  </w:style>
  <w:style w:type="paragraph" w:customStyle="1" w:styleId="Considrant">
    <w:name w:val="Considérant"/>
    <w:basedOn w:val="Normal"/>
    <w:pPr>
      <w:numPr>
        <w:numId w:val="25"/>
      </w:numPr>
      <w:spacing w:before="120" w:after="120" w:line="240" w:lineRule="auto"/>
      <w:jc w:val="both"/>
    </w:pPr>
    <w:rPr>
      <w:rFonts w:ascii="Times New Roman" w:eastAsia="Times New Roman" w:hAnsi="Times New Roman"/>
      <w:sz w:val="24"/>
      <w:szCs w:val="24"/>
    </w:rPr>
  </w:style>
  <w:style w:type="paragraph" w:customStyle="1" w:styleId="Corrigendum">
    <w:name w:val="Corrigendum"/>
    <w:basedOn w:val="Normal"/>
    <w:next w:val="Normal"/>
    <w:uiPriority w:val="99"/>
    <w:pPr>
      <w:spacing w:before="40" w:after="240" w:line="240" w:lineRule="auto"/>
      <w:jc w:val="both"/>
    </w:pPr>
    <w:rPr>
      <w:rFonts w:ascii="Times New Roman" w:eastAsia="Times New Roman" w:hAnsi="Times New Roman"/>
      <w:sz w:val="24"/>
      <w:szCs w:val="24"/>
    </w:rPr>
  </w:style>
  <w:style w:type="paragraph" w:customStyle="1" w:styleId="Datedadoption">
    <w:name w:val="Date d'adoption"/>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Emission">
    <w:name w:val="Emission"/>
    <w:basedOn w:val="Normal"/>
    <w:next w:val="Rfrence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stitutionnelle">
    <w:name w:val="Référence institutionnell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Exposdesmotifstitre">
    <w:name w:val="Exposé des motifs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Formuledadoption">
    <w:name w:val="Formule d'adoption"/>
    <w:basedOn w:val="Normal"/>
    <w:next w:val="Titrearticle"/>
    <w:uiPriority w:val="99"/>
    <w:pPr>
      <w:keepNext/>
      <w:spacing w:before="120" w:after="120" w:line="240" w:lineRule="auto"/>
      <w:jc w:val="both"/>
    </w:pPr>
    <w:rPr>
      <w:rFonts w:ascii="Times New Roman" w:eastAsia="Times New Roman" w:hAnsi="Times New Roman"/>
      <w:sz w:val="24"/>
      <w:szCs w:val="24"/>
    </w:rPr>
  </w:style>
  <w:style w:type="paragraph" w:customStyle="1" w:styleId="Titrearticle">
    <w:name w:val="Titre article"/>
    <w:basedOn w:val="Normal"/>
    <w:next w:val="Normal"/>
    <w:uiPriority w:val="99"/>
    <w:pPr>
      <w:keepNext/>
      <w:spacing w:before="360" w:after="120" w:line="240" w:lineRule="auto"/>
      <w:jc w:val="center"/>
    </w:pPr>
    <w:rPr>
      <w:rFonts w:ascii="Times New Roman" w:eastAsia="Times New Roman" w:hAnsi="Times New Roman"/>
      <w:i/>
      <w:sz w:val="24"/>
      <w:szCs w:val="24"/>
    </w:rPr>
  </w:style>
  <w:style w:type="paragraph" w:customStyle="1" w:styleId="Institutionquiagit">
    <w:name w:val="Institution qui agit"/>
    <w:basedOn w:val="Normal"/>
    <w:next w:val="Normal"/>
    <w:uiPriority w:val="99"/>
    <w:pPr>
      <w:keepNext/>
      <w:spacing w:before="600" w:after="120" w:line="240" w:lineRule="auto"/>
      <w:jc w:val="both"/>
    </w:pPr>
    <w:rPr>
      <w:rFonts w:ascii="Times New Roman" w:eastAsia="Times New Roman" w:hAnsi="Times New Roman"/>
      <w:sz w:val="24"/>
      <w:szCs w:val="24"/>
    </w:rPr>
  </w:style>
  <w:style w:type="paragraph" w:customStyle="1" w:styleId="Langue">
    <w:name w:val="Langue"/>
    <w:basedOn w:val="Normal"/>
    <w:next w:val="Rfrenceinterne"/>
    <w:pPr>
      <w:framePr w:wrap="around" w:vAnchor="page" w:hAnchor="text" w:xAlign="center" w:y="14741"/>
      <w:spacing w:before="40" w:after="600" w:line="240" w:lineRule="auto"/>
      <w:jc w:val="center"/>
    </w:pPr>
    <w:rPr>
      <w:rFonts w:ascii="Times New Roman" w:eastAsia="Times New Roman" w:hAnsi="Times New Roman"/>
      <w:b/>
      <w:caps/>
      <w:sz w:val="24"/>
      <w:szCs w:val="24"/>
    </w:rPr>
  </w:style>
  <w:style w:type="paragraph" w:customStyle="1" w:styleId="Rfrenceinterne">
    <w:name w:val="Référence interne"/>
    <w:basedOn w:val="Normal"/>
    <w:next w:val="Rfrenceinter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terinstitutionnelle">
    <w:name w:val="Référence interinstitutionnelle"/>
    <w:basedOn w:val="Normal"/>
    <w:next w:val="Statut"/>
    <w:uiPriority w:val="99"/>
    <w:pPr>
      <w:spacing w:before="40" w:after="0" w:line="240" w:lineRule="auto"/>
      <w:ind w:left="5103"/>
      <w:jc w:val="both"/>
    </w:pPr>
    <w:rPr>
      <w:rFonts w:ascii="Times New Roman" w:eastAsia="Times New Roman" w:hAnsi="Times New Roman"/>
      <w:sz w:val="24"/>
      <w:szCs w:val="24"/>
    </w:rPr>
  </w:style>
  <w:style w:type="paragraph" w:customStyle="1" w:styleId="Statut">
    <w:name w:val="Statut"/>
    <w:basedOn w:val="Normal"/>
    <w:next w:val="Typedudocument"/>
    <w:uiPriority w:val="99"/>
    <w:pPr>
      <w:spacing w:before="360" w:after="0" w:line="240" w:lineRule="auto"/>
      <w:jc w:val="center"/>
    </w:pPr>
    <w:rPr>
      <w:rFonts w:ascii="Times New Roman" w:eastAsia="Times New Roman" w:hAnsi="Times New Roman"/>
      <w:sz w:val="24"/>
      <w:szCs w:val="24"/>
    </w:rPr>
  </w:style>
  <w:style w:type="paragraph" w:customStyle="1" w:styleId="ManualConsidrant">
    <w:name w:val="Manual Considérant"/>
    <w:basedOn w:val="Normal"/>
    <w:uiPriority w:val="99"/>
    <w:pPr>
      <w:spacing w:before="120" w:after="120" w:line="240" w:lineRule="auto"/>
      <w:ind w:left="709" w:hanging="709"/>
      <w:jc w:val="both"/>
    </w:pPr>
    <w:rPr>
      <w:rFonts w:ascii="Times New Roman" w:eastAsia="Times New Roman" w:hAnsi="Times New Roman"/>
      <w:sz w:val="24"/>
      <w:szCs w:val="24"/>
    </w:rPr>
  </w:style>
  <w:style w:type="paragraph" w:customStyle="1" w:styleId="Nomdelinstitution">
    <w:name w:val="Nom de l'institution"/>
    <w:basedOn w:val="Normal"/>
    <w:next w:val="Emission"/>
    <w:uiPriority w:val="99"/>
    <w:pPr>
      <w:spacing w:before="40" w:after="0" w:line="240" w:lineRule="auto"/>
      <w:jc w:val="both"/>
    </w:pPr>
    <w:rPr>
      <w:rFonts w:ascii="Arial" w:eastAsia="Times New Roman" w:hAnsi="Arial" w:cs="Arial"/>
      <w:sz w:val="24"/>
      <w:szCs w:val="24"/>
    </w:rPr>
  </w:style>
  <w:style w:type="character" w:customStyle="1" w:styleId="Added">
    <w:name w:val="Added"/>
    <w:uiPriority w:val="99"/>
    <w:rPr>
      <w:rFonts w:cs="Times New Roman"/>
      <w:b/>
      <w:u w:val="single"/>
      <w:shd w:val="clear" w:color="auto" w:fill="auto"/>
    </w:rPr>
  </w:style>
  <w:style w:type="character" w:customStyle="1" w:styleId="Deleted">
    <w:name w:val="Deleted"/>
    <w:uiPriority w:val="99"/>
    <w:rPr>
      <w:rFonts w:cs="Times New Roman"/>
      <w:strike/>
      <w:shd w:val="clear" w:color="auto" w:fill="auto"/>
    </w:rPr>
  </w:style>
  <w:style w:type="paragraph" w:customStyle="1" w:styleId="Address">
    <w:name w:val="Address"/>
    <w:basedOn w:val="Normal"/>
    <w:next w:val="Normal"/>
    <w:uiPriority w:val="99"/>
    <w:pPr>
      <w:keepLines/>
      <w:spacing w:before="120" w:after="120" w:line="360" w:lineRule="auto"/>
      <w:ind w:left="3402"/>
      <w:jc w:val="both"/>
    </w:pPr>
    <w:rPr>
      <w:rFonts w:ascii="Times New Roman" w:eastAsia="Times New Roman" w:hAnsi="Times New Roman"/>
      <w:sz w:val="24"/>
      <w:szCs w:val="24"/>
    </w:rPr>
  </w:style>
  <w:style w:type="paragraph" w:customStyle="1" w:styleId="Objetexterne">
    <w:name w:val="Objet externe"/>
    <w:basedOn w:val="Normal"/>
    <w:next w:val="Normal"/>
    <w:uiPriority w:val="99"/>
    <w:pPr>
      <w:spacing w:before="120" w:after="120" w:line="240" w:lineRule="auto"/>
      <w:jc w:val="both"/>
    </w:pPr>
    <w:rPr>
      <w:rFonts w:ascii="Times New Roman" w:eastAsia="Times New Roman" w:hAnsi="Times New Roman"/>
      <w:i/>
      <w:caps/>
      <w:sz w:val="24"/>
      <w:szCs w:val="24"/>
    </w:rPr>
  </w:style>
  <w:style w:type="paragraph" w:customStyle="1" w:styleId="Pagedecouverture">
    <w:name w:val="Page de couverture"/>
    <w:basedOn w:val="Normal"/>
    <w:next w:val="Normal"/>
    <w:uiPriority w:val="99"/>
    <w:pPr>
      <w:spacing w:before="120" w:after="120" w:line="240" w:lineRule="auto"/>
      <w:jc w:val="both"/>
    </w:pPr>
    <w:rPr>
      <w:rFonts w:ascii="Times New Roman" w:eastAsia="Times New Roman" w:hAnsi="Times New Roman"/>
      <w:sz w:val="24"/>
      <w:szCs w:val="24"/>
    </w:rPr>
  </w:style>
  <w:style w:type="paragraph" w:customStyle="1" w:styleId="Supertitre">
    <w:name w:val="Supertitre"/>
    <w:basedOn w:val="Normal"/>
    <w:next w:val="Normal"/>
    <w:uiPriority w:val="99"/>
    <w:pPr>
      <w:spacing w:before="40" w:after="600" w:line="240" w:lineRule="auto"/>
      <w:jc w:val="center"/>
    </w:pPr>
    <w:rPr>
      <w:rFonts w:ascii="Times New Roman" w:eastAsia="Times New Roman" w:hAnsi="Times New Roman"/>
      <w:b/>
      <w:sz w:val="24"/>
      <w:szCs w:val="24"/>
    </w:rPr>
  </w:style>
  <w:style w:type="paragraph" w:customStyle="1" w:styleId="Languesfaisantfoi">
    <w:name w:val="Langues faisant foi"/>
    <w:basedOn w:val="Normal"/>
    <w:next w:val="Normal"/>
    <w:uiPriority w:val="99"/>
    <w:pPr>
      <w:spacing w:before="360" w:after="0" w:line="240" w:lineRule="auto"/>
      <w:jc w:val="center"/>
    </w:pPr>
    <w:rPr>
      <w:rFonts w:ascii="Times New Roman" w:eastAsia="Times New Roman" w:hAnsi="Times New Roman"/>
      <w:sz w:val="24"/>
      <w:szCs w:val="24"/>
    </w:rPr>
  </w:style>
  <w:style w:type="paragraph" w:customStyle="1" w:styleId="Rfrencecroise">
    <w:name w:val="Référence croisée"/>
    <w:basedOn w:val="Normal"/>
    <w:uiPriority w:val="99"/>
    <w:pPr>
      <w:spacing w:before="40" w:after="0" w:line="240" w:lineRule="auto"/>
      <w:jc w:val="center"/>
    </w:pPr>
    <w:rPr>
      <w:rFonts w:ascii="Times New Roman" w:eastAsia="Times New Roman" w:hAnsi="Times New Roman"/>
      <w:sz w:val="24"/>
      <w:szCs w:val="24"/>
    </w:rPr>
  </w:style>
  <w:style w:type="paragraph" w:customStyle="1" w:styleId="Fichefinanciretitre">
    <w:name w:val="Fiche financièr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DatedadoptionPagedecouverture">
    <w:name w:val="Date d'adoption (Page de couverture)"/>
    <w:basedOn w:val="Datedadoption"/>
    <w:next w:val="TitreobjetPagedecouverture"/>
    <w:uiPriority w:val="99"/>
  </w:style>
  <w:style w:type="paragraph" w:customStyle="1" w:styleId="RfrenceinterinstitutionnellePagedecouverture">
    <w:name w:val="Référence interinstitutionnelle (Page de couverture)"/>
    <w:basedOn w:val="Rfrenceinterinstitutionnelle"/>
    <w:next w:val="Confidentialit"/>
    <w:uiPriority w:val="99"/>
  </w:style>
  <w:style w:type="paragraph" w:customStyle="1" w:styleId="StatutPagedecouverture">
    <w:name w:val="Statut (Page de couverture)"/>
    <w:basedOn w:val="Statut"/>
    <w:next w:val="TypedudocumentPagedecouverture"/>
    <w:uiPriority w:val="99"/>
  </w:style>
  <w:style w:type="paragraph" w:customStyle="1" w:styleId="Volume">
    <w:name w:val="Volum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IntrtEEE">
    <w:name w:val="Intérêt EEE"/>
    <w:basedOn w:val="Languesfaisantfoi"/>
    <w:next w:val="Normal"/>
    <w:uiPriority w:val="99"/>
    <w:pPr>
      <w:spacing w:after="240"/>
    </w:pPr>
  </w:style>
  <w:style w:type="paragraph" w:customStyle="1" w:styleId="Accompagnant">
    <w:name w:val="Accompagnant"/>
    <w:basedOn w:val="Normal"/>
    <w:next w:val="Typeacteprincipal"/>
    <w:uiPriority w:val="99"/>
    <w:pPr>
      <w:spacing w:before="40" w:after="240" w:line="240" w:lineRule="auto"/>
      <w:jc w:val="center"/>
    </w:pPr>
    <w:rPr>
      <w:rFonts w:ascii="Times New Roman" w:eastAsia="Times New Roman" w:hAnsi="Times New Roman"/>
      <w:b/>
      <w:i/>
      <w:sz w:val="24"/>
      <w:szCs w:val="24"/>
    </w:rPr>
  </w:style>
  <w:style w:type="paragraph" w:customStyle="1" w:styleId="Typeacteprincipal">
    <w:name w:val="Type acte principal"/>
    <w:basedOn w:val="Normal"/>
    <w:next w:val="Objetacteprincipal"/>
    <w:uiPriority w:val="99"/>
    <w:pPr>
      <w:spacing w:before="40" w:after="240" w:line="240" w:lineRule="auto"/>
      <w:jc w:val="center"/>
    </w:pPr>
    <w:rPr>
      <w:rFonts w:ascii="Times New Roman" w:eastAsia="Times New Roman" w:hAnsi="Times New Roman"/>
      <w:b/>
      <w:sz w:val="24"/>
      <w:szCs w:val="24"/>
    </w:rPr>
  </w:style>
  <w:style w:type="paragraph" w:customStyle="1" w:styleId="Objetacteprincipal">
    <w:name w:val="Objet acte principal"/>
    <w:basedOn w:val="Normal"/>
    <w:next w:val="Titrearticle"/>
    <w:uiPriority w:val="99"/>
    <w:pPr>
      <w:spacing w:before="40" w:after="360" w:line="240" w:lineRule="auto"/>
      <w:jc w:val="center"/>
    </w:pPr>
    <w:rPr>
      <w:rFonts w:ascii="Times New Roman" w:eastAsia="Times New Roman" w:hAnsi="Times New Roman"/>
      <w:b/>
      <w:sz w:val="24"/>
      <w:szCs w:val="24"/>
    </w:rPr>
  </w:style>
  <w:style w:type="paragraph" w:customStyle="1" w:styleId="IntrtEEEPagedecouverture">
    <w:name w:val="Intérêt EEE (Page de couverture)"/>
    <w:basedOn w:val="IntrtEEE"/>
    <w:next w:val="Rfrencecroise"/>
    <w:uiPriority w:val="99"/>
  </w:style>
  <w:style w:type="paragraph" w:customStyle="1" w:styleId="AccompagnantPagedecouverture">
    <w:name w:val="Accompagnant (Page de couverture)"/>
    <w:basedOn w:val="Accompagnant"/>
    <w:next w:val="TypeacteprincipalPagedecouverture"/>
    <w:uiPriority w:val="99"/>
  </w:style>
  <w:style w:type="paragraph" w:customStyle="1" w:styleId="TypeacteprincipalPagedecouverture">
    <w:name w:val="Type acte principal (Page de couverture)"/>
    <w:basedOn w:val="Typeacteprincipal"/>
    <w:next w:val="ObjetacteprincipalPagedecouverture"/>
    <w:uiPriority w:val="99"/>
  </w:style>
  <w:style w:type="paragraph" w:customStyle="1" w:styleId="ObjetacteprincipalPagedecouverture">
    <w:name w:val="Objet acte principal (Page de couverture)"/>
    <w:basedOn w:val="Objetacteprincipal"/>
    <w:next w:val="Rfrencecroise"/>
    <w:uiPriority w:val="99"/>
  </w:style>
  <w:style w:type="paragraph" w:customStyle="1" w:styleId="LanguesfaisantfoiPagedecouverture">
    <w:name w:val="Langues faisant foi (Page de couverture)"/>
    <w:basedOn w:val="Normal"/>
    <w:next w:val="Normal"/>
    <w:uiPriority w:val="99"/>
    <w:pPr>
      <w:spacing w:before="360" w:after="0" w:line="240" w:lineRule="auto"/>
      <w:jc w:val="center"/>
    </w:pPr>
    <w:rPr>
      <w:rFonts w:ascii="Times New Roman" w:eastAsia="Times New Roman" w:hAnsi="Times New Roman"/>
      <w:sz w:val="24"/>
      <w:szCs w:val="24"/>
    </w:rPr>
  </w:style>
  <w:style w:type="paragraph" w:styleId="ListBullet">
    <w:name w:val="List Bullet"/>
    <w:basedOn w:val="Normal"/>
    <w:uiPriority w:val="99"/>
    <w:pPr>
      <w:numPr>
        <w:numId w:val="7"/>
      </w:numPr>
      <w:tabs>
        <w:tab w:val="clear" w:pos="643"/>
        <w:tab w:val="num" w:pos="926"/>
        <w:tab w:val="num" w:pos="1984"/>
      </w:tabs>
      <w:spacing w:before="120" w:after="120" w:line="240" w:lineRule="auto"/>
      <w:ind w:left="360"/>
      <w:jc w:val="both"/>
    </w:pPr>
    <w:rPr>
      <w:rFonts w:ascii="Times New Roman" w:eastAsia="Times New Roman" w:hAnsi="Times New Roman"/>
      <w:sz w:val="24"/>
      <w:szCs w:val="24"/>
    </w:rPr>
  </w:style>
  <w:style w:type="paragraph" w:styleId="ListBullet2">
    <w:name w:val="List Bullet 2"/>
    <w:basedOn w:val="Normal"/>
    <w:uiPriority w:val="99"/>
    <w:pPr>
      <w:numPr>
        <w:numId w:val="8"/>
      </w:numPr>
      <w:tabs>
        <w:tab w:val="clear" w:pos="926"/>
        <w:tab w:val="num" w:pos="643"/>
        <w:tab w:val="num" w:pos="1209"/>
        <w:tab w:val="num" w:pos="2551"/>
      </w:tabs>
      <w:spacing w:before="120" w:after="120" w:line="240" w:lineRule="auto"/>
      <w:ind w:left="643"/>
      <w:jc w:val="both"/>
    </w:pPr>
    <w:rPr>
      <w:rFonts w:ascii="Times New Roman" w:eastAsia="Times New Roman" w:hAnsi="Times New Roman"/>
      <w:sz w:val="24"/>
      <w:szCs w:val="24"/>
    </w:rPr>
  </w:style>
  <w:style w:type="paragraph" w:styleId="ListBullet3">
    <w:name w:val="List Bullet 3"/>
    <w:basedOn w:val="Normal"/>
    <w:uiPriority w:val="99"/>
    <w:pPr>
      <w:numPr>
        <w:numId w:val="2"/>
      </w:numPr>
      <w:tabs>
        <w:tab w:val="clear" w:pos="360"/>
        <w:tab w:val="num" w:pos="926"/>
        <w:tab w:val="num" w:pos="3118"/>
      </w:tabs>
      <w:spacing w:before="120" w:after="120" w:line="240" w:lineRule="auto"/>
      <w:ind w:left="926"/>
      <w:jc w:val="both"/>
    </w:pPr>
    <w:rPr>
      <w:rFonts w:ascii="Times New Roman" w:eastAsia="Times New Roman" w:hAnsi="Times New Roman"/>
      <w:sz w:val="24"/>
      <w:szCs w:val="24"/>
    </w:rPr>
  </w:style>
  <w:style w:type="paragraph" w:styleId="ListBullet4">
    <w:name w:val="List Bullet 4"/>
    <w:basedOn w:val="Normal"/>
    <w:uiPriority w:val="99"/>
    <w:pPr>
      <w:numPr>
        <w:numId w:val="3"/>
      </w:numPr>
      <w:tabs>
        <w:tab w:val="num" w:pos="709"/>
        <w:tab w:val="num" w:pos="1209"/>
      </w:tabs>
      <w:spacing w:before="120" w:after="120" w:line="240" w:lineRule="auto"/>
      <w:ind w:left="1209"/>
      <w:jc w:val="both"/>
    </w:pPr>
    <w:rPr>
      <w:rFonts w:ascii="Times New Roman" w:eastAsia="Times New Roman" w:hAnsi="Times New Roman"/>
      <w:sz w:val="24"/>
      <w:szCs w:val="24"/>
    </w:rPr>
  </w:style>
  <w:style w:type="character" w:styleId="Emphasis">
    <w:name w:val="Emphasis"/>
    <w:uiPriority w:val="20"/>
    <w:qFormat/>
    <w:rPr>
      <w:rFonts w:cs="Times New Roman"/>
      <w:i/>
    </w:rPr>
  </w:style>
  <w:style w:type="paragraph" w:styleId="NormalWeb">
    <w:name w:val="Normal (Web)"/>
    <w:basedOn w:val="Normal"/>
    <w:uiPriority w:val="99"/>
    <w:pPr>
      <w:spacing w:before="100" w:beforeAutospacing="1" w:after="115" w:line="240" w:lineRule="auto"/>
      <w:jc w:val="both"/>
    </w:pPr>
    <w:rPr>
      <w:rFonts w:ascii="Times" w:eastAsia="Times New Roman" w:hAnsi="Times"/>
      <w:sz w:val="20"/>
      <w:szCs w:val="20"/>
      <w:lang w:val="en-US"/>
    </w:rPr>
  </w:style>
  <w:style w:type="paragraph" w:styleId="PlainText">
    <w:name w:val="Plain Text"/>
    <w:basedOn w:val="Normal"/>
    <w:link w:val="PlainTextChar1"/>
    <w:uiPriority w:val="99"/>
    <w:pPr>
      <w:widowControl w:val="0"/>
      <w:suppressAutoHyphens/>
      <w:spacing w:before="40" w:after="0" w:line="240" w:lineRule="auto"/>
      <w:jc w:val="both"/>
    </w:pPr>
    <w:rPr>
      <w:rFonts w:ascii="Arial" w:eastAsia="Arial Unicode MS" w:hAnsi="Arial" w:cs="Arial Unicode MS"/>
      <w:kern w:val="1"/>
      <w:sz w:val="24"/>
      <w:szCs w:val="24"/>
      <w:lang w:val="x-none" w:eastAsia="hi-IN" w:bidi="hi-IN"/>
    </w:rPr>
  </w:style>
  <w:style w:type="character" w:customStyle="1" w:styleId="PlainTextChar">
    <w:name w:val="Plain Text Char"/>
    <w:rPr>
      <w:rFonts w:ascii="Courier New" w:hAnsi="Courier New" w:cs="Courier New"/>
      <w:lang w:eastAsia="en-US"/>
    </w:rPr>
  </w:style>
  <w:style w:type="character" w:customStyle="1" w:styleId="PlainTextChar1">
    <w:name w:val="Plain Text Char1"/>
    <w:link w:val="PlainText"/>
    <w:uiPriority w:val="99"/>
    <w:rPr>
      <w:rFonts w:ascii="Arial" w:eastAsia="Arial Unicode MS" w:hAnsi="Arial" w:cs="Arial Unicode MS"/>
      <w:kern w:val="1"/>
      <w:sz w:val="24"/>
      <w:szCs w:val="24"/>
      <w:lang w:eastAsia="hi-IN" w:bidi="hi-IN"/>
    </w:rPr>
  </w:style>
  <w:style w:type="paragraph" w:styleId="BodyText">
    <w:name w:val="Body Text"/>
    <w:basedOn w:val="Normal"/>
    <w:link w:val="BodyTextChar1"/>
    <w:uiPriority w:val="99"/>
    <w:pPr>
      <w:widowControl w:val="0"/>
      <w:suppressAutoHyphens/>
      <w:spacing w:before="40" w:after="120" w:line="240" w:lineRule="auto"/>
      <w:jc w:val="both"/>
    </w:pPr>
    <w:rPr>
      <w:rFonts w:ascii="Arial" w:eastAsia="Arial Unicode MS" w:hAnsi="Arial" w:cs="Arial Unicode MS"/>
      <w:kern w:val="1"/>
      <w:sz w:val="24"/>
      <w:szCs w:val="24"/>
      <w:lang w:val="x-none" w:eastAsia="hi-IN" w:bidi="hi-IN"/>
    </w:rPr>
  </w:style>
  <w:style w:type="character" w:customStyle="1" w:styleId="BodyTextChar">
    <w:name w:val="Body Text Char"/>
    <w:rPr>
      <w:sz w:val="22"/>
      <w:szCs w:val="22"/>
      <w:lang w:eastAsia="en-US"/>
    </w:rPr>
  </w:style>
  <w:style w:type="character" w:customStyle="1" w:styleId="BodyTextChar1">
    <w:name w:val="Body Text Char1"/>
    <w:link w:val="BodyText"/>
    <w:uiPriority w:val="99"/>
    <w:rPr>
      <w:rFonts w:ascii="Arial" w:eastAsia="Arial Unicode MS" w:hAnsi="Arial" w:cs="Arial Unicode MS"/>
      <w:kern w:val="1"/>
      <w:sz w:val="24"/>
      <w:szCs w:val="24"/>
      <w:lang w:eastAsia="hi-IN" w:bidi="hi-IN"/>
    </w:rPr>
  </w:style>
  <w:style w:type="paragraph" w:styleId="ListNumber">
    <w:name w:val="List Number"/>
    <w:basedOn w:val="Normal"/>
    <w:uiPriority w:val="99"/>
    <w:pPr>
      <w:numPr>
        <w:numId w:val="9"/>
      </w:numPr>
      <w:spacing w:before="40"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uiPriority w:val="99"/>
    <w:pPr>
      <w:numPr>
        <w:ilvl w:val="1"/>
        <w:numId w:val="9"/>
      </w:numPr>
      <w:spacing w:before="40"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uiPriority w:val="99"/>
    <w:pPr>
      <w:numPr>
        <w:ilvl w:val="2"/>
        <w:numId w:val="9"/>
      </w:numPr>
      <w:spacing w:before="40"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uiPriority w:val="99"/>
    <w:pPr>
      <w:numPr>
        <w:ilvl w:val="3"/>
        <w:numId w:val="9"/>
      </w:numPr>
      <w:spacing w:before="40" w:after="240" w:line="240" w:lineRule="auto"/>
      <w:jc w:val="both"/>
    </w:pPr>
    <w:rPr>
      <w:rFonts w:ascii="Times New Roman" w:eastAsia="Times New Roman" w:hAnsi="Times New Roman"/>
      <w:sz w:val="24"/>
      <w:szCs w:val="20"/>
    </w:rPr>
  </w:style>
  <w:style w:type="character" w:styleId="CommentReference">
    <w:name w:val="annotation reference"/>
    <w:rPr>
      <w:rFonts w:cs="Times New Roman"/>
      <w:sz w:val="16"/>
      <w:szCs w:val="16"/>
      <w:shd w:val="clear" w:color="auto" w:fill="auto"/>
    </w:rPr>
  </w:style>
  <w:style w:type="paragraph" w:styleId="CommentText">
    <w:name w:val="annotation text"/>
    <w:basedOn w:val="Normal"/>
    <w:link w:val="CommentTextChar1"/>
    <w:pPr>
      <w:spacing w:before="40" w:after="180" w:line="240" w:lineRule="auto"/>
      <w:jc w:val="both"/>
    </w:pPr>
    <w:rPr>
      <w:rFonts w:eastAsia="Times New Roman"/>
      <w:sz w:val="20"/>
      <w:szCs w:val="20"/>
      <w:lang w:val="x-none" w:eastAsia="x-none"/>
    </w:rPr>
  </w:style>
  <w:style w:type="character" w:customStyle="1" w:styleId="CommentTextChar">
    <w:name w:val="Comment Text Char"/>
    <w:rPr>
      <w:lang w:eastAsia="en-US"/>
    </w:rPr>
  </w:style>
  <w:style w:type="character" w:customStyle="1" w:styleId="CommentTextChar1">
    <w:name w:val="Comment Text Char1"/>
    <w:link w:val="CommentText"/>
    <w:rPr>
      <w:rFonts w:eastAsia="Times New Roman"/>
      <w:lang w:val="x-none" w:eastAsia="x-none"/>
    </w:rPr>
  </w:style>
  <w:style w:type="paragraph" w:customStyle="1" w:styleId="Not">
    <w:name w:val="Not"/>
    <w:basedOn w:val="FootnoteText"/>
    <w:uiPriority w:val="99"/>
    <w:pPr>
      <w:ind w:left="0" w:firstLine="0"/>
    </w:pPr>
  </w:style>
  <w:style w:type="character" w:customStyle="1" w:styleId="t23">
    <w:name w:val="t23"/>
    <w:uiPriority w:val="99"/>
    <w:rPr>
      <w:rFonts w:cs="Times New Roman"/>
      <w:shd w:val="clear" w:color="auto" w:fill="auto"/>
    </w:rPr>
  </w:style>
  <w:style w:type="character" w:customStyle="1" w:styleId="t25">
    <w:name w:val="t25"/>
    <w:uiPriority w:val="99"/>
    <w:rPr>
      <w:rFonts w:cs="Times New Roman"/>
      <w:shd w:val="clear" w:color="auto" w:fill="auto"/>
    </w:rPr>
  </w:style>
  <w:style w:type="character" w:customStyle="1" w:styleId="Caractresdenotedebasdepage">
    <w:name w:val="Caractères de note de bas de page"/>
    <w:uiPriority w:val="99"/>
    <w:rPr>
      <w:rFonts w:cs="Times New Roman"/>
      <w:shd w:val="clear" w:color="auto" w:fill="auto"/>
      <w:vertAlign w:val="superscript"/>
    </w:rPr>
  </w:style>
  <w:style w:type="character" w:customStyle="1" w:styleId="t9">
    <w:name w:val="t9"/>
    <w:uiPriority w:val="99"/>
    <w:rPr>
      <w:rFonts w:cs="Times New Roman"/>
      <w:shd w:val="clear" w:color="auto" w:fill="auto"/>
    </w:rPr>
  </w:style>
  <w:style w:type="character" w:customStyle="1" w:styleId="t10">
    <w:name w:val="t10"/>
    <w:uiPriority w:val="99"/>
    <w:rPr>
      <w:rFonts w:cs="Times New Roman"/>
      <w:shd w:val="clear" w:color="auto" w:fill="auto"/>
    </w:rPr>
  </w:style>
  <w:style w:type="character" w:customStyle="1" w:styleId="t20">
    <w:name w:val="t20"/>
    <w:uiPriority w:val="99"/>
    <w:rPr>
      <w:rFonts w:cs="Times New Roman"/>
      <w:shd w:val="clear" w:color="auto" w:fill="auto"/>
    </w:rPr>
  </w:style>
  <w:style w:type="character" w:customStyle="1" w:styleId="t21">
    <w:name w:val="t21"/>
    <w:uiPriority w:val="99"/>
    <w:rPr>
      <w:rFonts w:cs="Times New Roman"/>
      <w:shd w:val="clear" w:color="auto" w:fill="auto"/>
    </w:rPr>
  </w:style>
  <w:style w:type="character" w:customStyle="1" w:styleId="t5">
    <w:name w:val="t5"/>
    <w:uiPriority w:val="99"/>
    <w:rPr>
      <w:rFonts w:cs="Times New Roman"/>
      <w:shd w:val="clear" w:color="auto" w:fill="auto"/>
    </w:rPr>
  </w:style>
  <w:style w:type="character" w:customStyle="1" w:styleId="t4">
    <w:name w:val="t4"/>
    <w:uiPriority w:val="99"/>
    <w:rPr>
      <w:rFonts w:cs="Times New Roman"/>
      <w:shd w:val="clear" w:color="auto" w:fill="auto"/>
    </w:rPr>
  </w:style>
  <w:style w:type="character" w:customStyle="1" w:styleId="t11">
    <w:name w:val="t11"/>
    <w:uiPriority w:val="99"/>
    <w:rPr>
      <w:rFonts w:cs="Times New Roman"/>
      <w:shd w:val="clear" w:color="auto" w:fill="auto"/>
    </w:rPr>
  </w:style>
  <w:style w:type="character" w:customStyle="1" w:styleId="CaptionChar1">
    <w:name w:val="Caption Char1"/>
    <w:uiPriority w:val="99"/>
    <w:locked/>
    <w:rPr>
      <w:rFonts w:ascii="Times New Roman" w:eastAsia="Times New Roman" w:hAnsi="Times New Roman" w:cs="Times New Roman"/>
      <w:b/>
      <w:bCs/>
      <w:sz w:val="20"/>
      <w:szCs w:val="20"/>
      <w:lang w:val="en-GB"/>
    </w:rPr>
  </w:style>
  <w:style w:type="paragraph" w:styleId="TableofFigures">
    <w:name w:val="table of figures"/>
    <w:basedOn w:val="Normal"/>
    <w:next w:val="Normal"/>
    <w:uiPriority w:val="99"/>
    <w:pPr>
      <w:spacing w:before="40" w:after="120" w:line="240" w:lineRule="auto"/>
      <w:ind w:left="482" w:hanging="482"/>
      <w:jc w:val="both"/>
    </w:pPr>
    <w:rPr>
      <w:rFonts w:ascii="Times New Roman" w:eastAsia="Times New Roman" w:hAnsi="Times New Roman"/>
      <w:bCs/>
      <w:sz w:val="24"/>
      <w:szCs w:val="20"/>
    </w:rPr>
  </w:style>
  <w:style w:type="paragraph" w:styleId="ListNumber2">
    <w:name w:val="List Number 2"/>
    <w:basedOn w:val="Normal"/>
    <w:uiPriority w:val="99"/>
    <w:pPr>
      <w:numPr>
        <w:numId w:val="4"/>
      </w:numPr>
      <w:tabs>
        <w:tab w:val="clear" w:pos="926"/>
        <w:tab w:val="num" w:pos="643"/>
        <w:tab w:val="num" w:pos="850"/>
        <w:tab w:val="num" w:pos="1209"/>
      </w:tabs>
      <w:spacing w:before="120" w:after="120" w:line="240" w:lineRule="auto"/>
      <w:ind w:left="643"/>
      <w:jc w:val="both"/>
    </w:pPr>
    <w:rPr>
      <w:rFonts w:ascii="Times New Roman" w:eastAsia="Times New Roman" w:hAnsi="Times New Roman"/>
      <w:sz w:val="24"/>
      <w:szCs w:val="24"/>
    </w:rPr>
  </w:style>
  <w:style w:type="paragraph" w:styleId="ListNumber3">
    <w:name w:val="List Number 3"/>
    <w:basedOn w:val="Normal"/>
    <w:uiPriority w:val="99"/>
    <w:pPr>
      <w:numPr>
        <w:numId w:val="5"/>
      </w:numPr>
      <w:tabs>
        <w:tab w:val="clear" w:pos="1209"/>
        <w:tab w:val="num" w:pos="926"/>
        <w:tab w:val="num" w:pos="1417"/>
      </w:tabs>
      <w:spacing w:before="120" w:after="120" w:line="240" w:lineRule="auto"/>
      <w:ind w:left="926"/>
      <w:jc w:val="both"/>
    </w:pPr>
    <w:rPr>
      <w:rFonts w:ascii="Times New Roman" w:eastAsia="Times New Roman" w:hAnsi="Times New Roman"/>
      <w:sz w:val="24"/>
      <w:szCs w:val="24"/>
    </w:rPr>
  </w:style>
  <w:style w:type="paragraph" w:styleId="ListNumber4">
    <w:name w:val="List Number 4"/>
    <w:basedOn w:val="Normal"/>
    <w:uiPriority w:val="99"/>
    <w:pPr>
      <w:numPr>
        <w:numId w:val="6"/>
      </w:numPr>
      <w:tabs>
        <w:tab w:val="clear" w:pos="360"/>
        <w:tab w:val="num" w:pos="643"/>
        <w:tab w:val="num" w:pos="1209"/>
        <w:tab w:val="num" w:pos="1984"/>
      </w:tabs>
      <w:spacing w:before="120" w:after="120" w:line="240" w:lineRule="auto"/>
      <w:ind w:left="1209"/>
      <w:jc w:val="both"/>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pPr>
      <w:spacing w:before="120" w:after="120"/>
    </w:pPr>
    <w:rPr>
      <w:rFonts w:ascii="Times New Roman" w:hAnsi="Times New Roman"/>
      <w:b/>
      <w:bCs/>
    </w:rPr>
  </w:style>
  <w:style w:type="character" w:customStyle="1" w:styleId="CommentSubjectChar">
    <w:name w:val="Comment Subject Char"/>
    <w:link w:val="CommentSubject"/>
    <w:uiPriority w:val="99"/>
    <w:semiHidden/>
    <w:rPr>
      <w:rFonts w:ascii="Times New Roman" w:eastAsia="Times New Roman" w:hAnsi="Times New Roman"/>
      <w:b/>
      <w:bCs/>
      <w:lang w:eastAsia="x-none"/>
    </w:rPr>
  </w:style>
  <w:style w:type="paragraph" w:customStyle="1" w:styleId="Nomral">
    <w:name w:val="Nomral"/>
    <w:basedOn w:val="Normal"/>
    <w:uiPriority w:val="99"/>
    <w:pPr>
      <w:spacing w:before="120" w:after="120" w:line="240" w:lineRule="auto"/>
      <w:jc w:val="both"/>
    </w:pPr>
    <w:rPr>
      <w:rFonts w:ascii="Times New Roman" w:eastAsia="Times New Roman" w:hAnsi="Times New Roman"/>
      <w:sz w:val="24"/>
      <w:szCs w:val="24"/>
    </w:rPr>
  </w:style>
  <w:style w:type="paragraph" w:customStyle="1" w:styleId="Heading">
    <w:name w:val="Heading"/>
    <w:basedOn w:val="Heading1"/>
    <w:uiPriority w:val="99"/>
    <w:pPr>
      <w:numPr>
        <w:numId w:val="0"/>
      </w:numPr>
      <w:tabs>
        <w:tab w:val="num" w:pos="643"/>
        <w:tab w:val="num" w:pos="850"/>
      </w:tabs>
      <w:ind w:left="850" w:hanging="850"/>
    </w:pPr>
  </w:style>
  <w:style w:type="character" w:styleId="FollowedHyperlink">
    <w:name w:val="FollowedHyperlink"/>
    <w:uiPriority w:val="99"/>
    <w:rPr>
      <w:rFonts w:cs="Times New Roman"/>
      <w:color w:val="800080"/>
      <w:u w:val="single"/>
    </w:rPr>
  </w:style>
  <w:style w:type="paragraph" w:customStyle="1" w:styleId="FootnotesText">
    <w:name w:val="Footnotes Text"/>
    <w:basedOn w:val="Normal"/>
    <w:link w:val="FootnotesTextChar"/>
    <w:uiPriority w:val="99"/>
    <w:pPr>
      <w:autoSpaceDE w:val="0"/>
      <w:autoSpaceDN w:val="0"/>
      <w:adjustRightInd w:val="0"/>
      <w:spacing w:before="40" w:after="0" w:line="240" w:lineRule="auto"/>
      <w:jc w:val="both"/>
    </w:pPr>
    <w:rPr>
      <w:rFonts w:ascii="Times New Roman" w:eastAsia="Times New Roman" w:hAnsi="Times New Roman"/>
      <w:b/>
      <w:bCs/>
      <w:sz w:val="24"/>
      <w:szCs w:val="24"/>
      <w:lang w:val="x-none" w:eastAsia="x-none"/>
    </w:rPr>
  </w:style>
  <w:style w:type="character" w:customStyle="1" w:styleId="FootnotesTextChar">
    <w:name w:val="Footnotes Text Char"/>
    <w:link w:val="FootnotesText"/>
    <w:uiPriority w:val="99"/>
    <w:locked/>
    <w:rPr>
      <w:rFonts w:ascii="Times New Roman" w:eastAsia="Times New Roman" w:hAnsi="Times New Roman"/>
      <w:b/>
      <w:bCs/>
      <w:sz w:val="24"/>
      <w:szCs w:val="24"/>
    </w:rPr>
  </w:style>
  <w:style w:type="character" w:customStyle="1" w:styleId="hps">
    <w:name w:val="hps"/>
    <w:uiPriority w:val="99"/>
    <w:rPr>
      <w:rFonts w:cs="Times New Roman"/>
    </w:rPr>
  </w:style>
  <w:style w:type="paragraph" w:customStyle="1" w:styleId="Default">
    <w:name w:val="Default"/>
    <w:uiPriority w:val="99"/>
    <w:pPr>
      <w:autoSpaceDE w:val="0"/>
      <w:autoSpaceDN w:val="0"/>
      <w:adjustRightInd w:val="0"/>
    </w:pPr>
    <w:rPr>
      <w:rFonts w:ascii="EUAlbertina" w:eastAsia="Times New Roman" w:hAnsi="EUAlbertina" w:cs="EUAlbertina"/>
      <w:color w:val="000000"/>
      <w:sz w:val="24"/>
      <w:szCs w:val="24"/>
    </w:rPr>
  </w:style>
  <w:style w:type="paragraph" w:customStyle="1" w:styleId="CM4">
    <w:name w:val="CM4"/>
    <w:basedOn w:val="Default"/>
    <w:next w:val="Default"/>
    <w:uiPriority w:val="99"/>
    <w:rPr>
      <w:rFonts w:cs="Times New Roman"/>
      <w:color w:val="auto"/>
    </w:rPr>
  </w:style>
  <w:style w:type="character" w:customStyle="1" w:styleId="spiritsinfol">
    <w:name w:val="spirit s_info_l"/>
    <w:uiPriority w:val="99"/>
    <w:rPr>
      <w:rFonts w:cs="Times New Roman"/>
      <w:sz w:val="24"/>
      <w:szCs w:val="24"/>
    </w:rPr>
  </w:style>
  <w:style w:type="character" w:styleId="HTMLCite">
    <w:name w:val="HTML Cite"/>
    <w:uiPriority w:val="99"/>
    <w:rPr>
      <w:rFonts w:cs="Times New Roman"/>
      <w:i/>
      <w:iCs/>
    </w:rPr>
  </w:style>
  <w:style w:type="paragraph" w:customStyle="1" w:styleId="NormalBorderSinglesolidline">
    <w:name w:val="Normal + Border: : (Single solid line"/>
    <w:aliases w:val="Auto,0.5 pt Line width)"/>
    <w:basedOn w:val="Normal"/>
    <w:uiPriority w:val="99"/>
    <w:pPr>
      <w:spacing w:before="120" w:after="120" w:line="240" w:lineRule="auto"/>
      <w:jc w:val="both"/>
    </w:pPr>
    <w:rPr>
      <w:rFonts w:ascii="Times New Roman" w:eastAsia="Times New Roman" w:hAnsi="Times New Roman"/>
      <w:sz w:val="24"/>
      <w:szCs w:val="24"/>
      <w:bdr w:val="single" w:sz="4" w:space="0" w:color="auto"/>
    </w:rPr>
  </w:style>
  <w:style w:type="paragraph" w:customStyle="1" w:styleId="a3520normal">
    <w:name w:val="a___35__20_normal"/>
    <w:basedOn w:val="Normal"/>
    <w:uiPriority w:val="99"/>
    <w:pPr>
      <w:spacing w:before="100" w:beforeAutospacing="1" w:after="100" w:afterAutospacing="1" w:line="240" w:lineRule="auto"/>
      <w:jc w:val="both"/>
    </w:pPr>
    <w:rPr>
      <w:rFonts w:ascii="Times New Roman" w:eastAsia="Times New Roman" w:hAnsi="Times New Roman"/>
      <w:sz w:val="24"/>
      <w:szCs w:val="24"/>
      <w:lang w:eastAsia="en-GB"/>
    </w:rPr>
  </w:style>
  <w:style w:type="paragraph" w:customStyle="1" w:styleId="Noral">
    <w:name w:val="Noral"/>
    <w:basedOn w:val="Normal"/>
    <w:uiPriority w:val="99"/>
    <w:pPr>
      <w:spacing w:before="120" w:after="120" w:line="240" w:lineRule="auto"/>
      <w:jc w:val="both"/>
    </w:pPr>
    <w:rPr>
      <w:rFonts w:ascii="Times New Roman" w:eastAsia="Times New Roman" w:hAnsi="Times New Roman"/>
      <w:color w:val="0000FF"/>
      <w:sz w:val="24"/>
      <w:szCs w:val="24"/>
    </w:rPr>
  </w:style>
  <w:style w:type="table" w:styleId="TableGrid">
    <w:name w:val="Table Grid"/>
    <w:basedOn w:val="TableNormal"/>
    <w:uiPriority w:val="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3">
    <w:name w:val="Char Char3"/>
    <w:uiPriority w:val="99"/>
    <w:semiHidden/>
    <w:locked/>
    <w:rPr>
      <w:lang w:val="en-GB" w:eastAsia="en-US"/>
    </w:rPr>
  </w:style>
  <w:style w:type="character" w:customStyle="1" w:styleId="CharChar2">
    <w:name w:val="Char Char2"/>
    <w:semiHidden/>
    <w:locked/>
    <w:rPr>
      <w:rFonts w:cs="Times New Roman"/>
      <w:sz w:val="20"/>
      <w:szCs w:val="20"/>
      <w:lang w:eastAsia="en-US"/>
    </w:rPr>
  </w:style>
  <w:style w:type="character" w:customStyle="1" w:styleId="CharChar5">
    <w:name w:val="Char Char5"/>
    <w:semiHidden/>
    <w:locked/>
    <w:rPr>
      <w:rFonts w:cs="Times New Roman"/>
      <w:lang w:val="en-GB" w:eastAsia="en-US" w:bidi="ar-SA"/>
    </w:rPr>
  </w:style>
  <w:style w:type="character" w:customStyle="1" w:styleId="CharChar7">
    <w:name w:val="Char Char7"/>
    <w:semiHidden/>
    <w:locked/>
    <w:rPr>
      <w:rFonts w:cs="Times New Roman"/>
      <w:lang w:val="en-GB" w:eastAsia="en-US" w:bidi="ar-SA"/>
    </w:rPr>
  </w:style>
  <w:style w:type="paragraph" w:styleId="Title">
    <w:name w:val="Title"/>
    <w:basedOn w:val="Normal"/>
    <w:link w:val="TitleChar"/>
    <w:qFormat/>
    <w:pPr>
      <w:spacing w:before="240" w:after="60" w:line="240" w:lineRule="auto"/>
      <w:jc w:val="center"/>
      <w:outlineLvl w:val="0"/>
    </w:pPr>
    <w:rPr>
      <w:rFonts w:ascii="Arial" w:hAnsi="Arial"/>
      <w:b/>
      <w:bCs/>
      <w:kern w:val="28"/>
      <w:sz w:val="32"/>
      <w:szCs w:val="32"/>
      <w:lang w:val="x-none" w:eastAsia="x-none"/>
    </w:rPr>
  </w:style>
  <w:style w:type="character" w:customStyle="1" w:styleId="TitleChar">
    <w:name w:val="Title Char"/>
    <w:link w:val="Title"/>
    <w:rPr>
      <w:rFonts w:ascii="Arial" w:hAnsi="Arial"/>
      <w:b/>
      <w:bCs/>
      <w:kern w:val="28"/>
      <w:sz w:val="32"/>
      <w:szCs w:val="32"/>
      <w:lang w:eastAsia="x-none"/>
    </w:rPr>
  </w:style>
  <w:style w:type="paragraph" w:styleId="Revision">
    <w:name w:val="Revision"/>
    <w:hidden/>
    <w:uiPriority w:val="99"/>
    <w:semiHidden/>
    <w:rPr>
      <w:rFonts w:ascii="Times New Roman" w:eastAsia="Times New Roman" w:hAnsi="Times New Roman"/>
      <w:sz w:val="24"/>
      <w:szCs w:val="24"/>
      <w:lang w:eastAsia="en-US"/>
    </w:rPr>
  </w:style>
  <w:style w:type="paragraph" w:customStyle="1" w:styleId="entetepair">
    <w:name w:val="entete_pair"/>
    <w:pPr>
      <w:pBdr>
        <w:bottom w:val="single" w:sz="4" w:space="5" w:color="C00000"/>
      </w:pBdr>
      <w:spacing w:after="300"/>
    </w:pPr>
    <w:rPr>
      <w:rFonts w:ascii="Arial Narrow" w:hAnsi="Arial Narrow" w:cs="Arial"/>
      <w:color w:val="000000"/>
      <w:spacing w:val="20"/>
      <w:sz w:val="18"/>
      <w:lang w:eastAsia="en-US"/>
    </w:rPr>
  </w:style>
  <w:style w:type="paragraph" w:customStyle="1" w:styleId="enteteimpair">
    <w:name w:val="entete_impair"/>
    <w:basedOn w:val="entetepair"/>
    <w:pPr>
      <w:jc w:val="right"/>
    </w:pPr>
    <w:rPr>
      <w:lang w:val="en-US"/>
    </w:rPr>
  </w:style>
  <w:style w:type="paragraph" w:customStyle="1" w:styleId="exemple">
    <w:name w:val="exemple"/>
    <w:pPr>
      <w:spacing w:before="120" w:line="300" w:lineRule="auto"/>
      <w:ind w:left="369"/>
      <w:jc w:val="both"/>
    </w:pPr>
    <w:rPr>
      <w:rFonts w:ascii="Arial Narrow" w:hAnsi="Arial Narrow"/>
      <w:lang w:eastAsia="en-US"/>
    </w:rPr>
  </w:style>
  <w:style w:type="paragraph" w:customStyle="1" w:styleId="H1etiket">
    <w:name w:val="H1_etiket"/>
    <w:basedOn w:val="Heading1"/>
    <w:pPr>
      <w:numPr>
        <w:numId w:val="0"/>
      </w:numPr>
      <w:spacing w:before="0" w:after="600" w:line="300" w:lineRule="auto"/>
      <w:jc w:val="right"/>
    </w:pPr>
    <w:rPr>
      <w:rFonts w:ascii="Verdana" w:eastAsia="Calibri" w:hAnsi="Verdana" w:cs="Arial"/>
      <w:bCs w:val="0"/>
      <w:caps/>
      <w:smallCaps w:val="0"/>
      <w:noProof/>
      <w:color w:val="943634"/>
      <w:sz w:val="52"/>
      <w:szCs w:val="52"/>
    </w:rPr>
  </w:style>
  <w:style w:type="paragraph" w:customStyle="1" w:styleId="H1prelim">
    <w:name w:val="H1_prelim"/>
    <w:pPr>
      <w:pBdr>
        <w:bottom w:val="single" w:sz="8" w:space="31" w:color="auto"/>
      </w:pBdr>
      <w:tabs>
        <w:tab w:val="left" w:pos="2268"/>
      </w:tabs>
      <w:spacing w:before="800" w:after="180"/>
      <w:jc w:val="center"/>
    </w:pPr>
    <w:rPr>
      <w:rFonts w:ascii="Arial" w:hAnsi="Arial" w:cs="Arial"/>
      <w:b/>
      <w:caps/>
      <w:color w:val="000000"/>
      <w:spacing w:val="60"/>
      <w:sz w:val="36"/>
      <w:lang w:val="fr-FR" w:eastAsia="en-US"/>
    </w:rPr>
  </w:style>
  <w:style w:type="paragraph" w:customStyle="1" w:styleId="H1subtitle">
    <w:name w:val="H1_subtitle"/>
    <w:basedOn w:val="Heading1"/>
    <w:pPr>
      <w:widowControl w:val="0"/>
      <w:numPr>
        <w:numId w:val="0"/>
      </w:numPr>
      <w:shd w:val="clear" w:color="auto" w:fill="FFCC99"/>
      <w:spacing w:before="240" w:after="0" w:line="360" w:lineRule="auto"/>
      <w:jc w:val="center"/>
    </w:pPr>
    <w:rPr>
      <w:rFonts w:ascii="Verdana" w:eastAsia="Calibri" w:hAnsi="Verdana" w:cs="Arial"/>
      <w:bCs w:val="0"/>
      <w:caps/>
      <w:smallCaps w:val="0"/>
      <w:noProof/>
      <w:spacing w:val="20"/>
      <w:kern w:val="28"/>
      <w:sz w:val="32"/>
    </w:rPr>
  </w:style>
  <w:style w:type="paragraph" w:customStyle="1" w:styleId="noteexplicative">
    <w:name w:val="note explicative"/>
    <w:pPr>
      <w:spacing w:before="100" w:after="60"/>
    </w:pPr>
    <w:rPr>
      <w:rFonts w:ascii="Arial" w:hAnsi="Arial" w:cs="Arial"/>
      <w:b/>
      <w:bCs/>
      <w:color w:val="C00000"/>
      <w:sz w:val="18"/>
      <w:u w:val="single"/>
      <w:lang w:eastAsia="en-US"/>
    </w:rPr>
  </w:style>
  <w:style w:type="paragraph" w:customStyle="1" w:styleId="pays">
    <w:name w:val="pays"/>
    <w:pPr>
      <w:spacing w:before="200" w:after="100"/>
    </w:pPr>
    <w:rPr>
      <w:rFonts w:ascii="Myriad Pro" w:hAnsi="Myriad Pro"/>
      <w:b/>
      <w:color w:val="993300"/>
      <w:sz w:val="21"/>
      <w:lang w:eastAsia="en-US"/>
    </w:rPr>
  </w:style>
  <w:style w:type="paragraph" w:customStyle="1" w:styleId="tableauougraphique">
    <w:name w:val="tableau ou graphique"/>
    <w:pPr>
      <w:keepNext/>
      <w:numPr>
        <w:numId w:val="12"/>
      </w:numPr>
      <w:spacing w:before="200" w:after="200" w:line="276" w:lineRule="auto"/>
      <w:ind w:hanging="720"/>
    </w:pPr>
    <w:rPr>
      <w:rFonts w:ascii="Arial Narrow" w:eastAsia="Times New Roman" w:hAnsi="Arial Narrow" w:cs="Arial"/>
      <w:b/>
      <w:bCs/>
      <w:noProof/>
      <w:color w:val="943634"/>
      <w:lang w:eastAsia="en-US"/>
    </w:rPr>
  </w:style>
  <w:style w:type="paragraph" w:customStyle="1" w:styleId="texteparbullet">
    <w:name w:val="texte+par+bullet"/>
    <w:basedOn w:val="Normal"/>
    <w:pPr>
      <w:numPr>
        <w:numId w:val="11"/>
      </w:numPr>
      <w:spacing w:before="160" w:after="0" w:line="300" w:lineRule="auto"/>
      <w:jc w:val="both"/>
    </w:pPr>
    <w:rPr>
      <w:rFonts w:ascii="Arial" w:hAnsi="Arial" w:cs="Arial"/>
      <w:noProof/>
      <w:sz w:val="20"/>
      <w:szCs w:val="20"/>
      <w:lang w:eastAsia="de-DE"/>
    </w:rPr>
  </w:style>
  <w:style w:type="paragraph" w:customStyle="1" w:styleId="texteparbulletretrait">
    <w:name w:val="texte+par+bullet+retrait"/>
    <w:basedOn w:val="texteparbullet"/>
    <w:pPr>
      <w:numPr>
        <w:numId w:val="0"/>
      </w:numPr>
      <w:spacing w:before="80"/>
    </w:pPr>
  </w:style>
  <w:style w:type="paragraph" w:customStyle="1" w:styleId="texte1">
    <w:name w:val="texte1"/>
    <w:basedOn w:val="Normal"/>
    <w:pPr>
      <w:spacing w:before="40" w:after="0" w:line="240" w:lineRule="auto"/>
      <w:jc w:val="both"/>
    </w:pPr>
    <w:rPr>
      <w:rFonts w:ascii="Arial" w:hAnsi="Arial" w:cs="Arial"/>
      <w:sz w:val="2"/>
      <w:szCs w:val="17"/>
      <w:lang w:eastAsia="en-GB"/>
    </w:rPr>
  </w:style>
  <w:style w:type="paragraph" w:customStyle="1" w:styleId="texte83ap">
    <w:name w:val="texte8_3ap"/>
    <w:basedOn w:val="Normal"/>
    <w:pPr>
      <w:widowControl w:val="0"/>
      <w:spacing w:before="40" w:after="60" w:line="240" w:lineRule="auto"/>
      <w:jc w:val="both"/>
    </w:pPr>
    <w:rPr>
      <w:rFonts w:ascii="Arial" w:hAnsi="Arial" w:cs="Arial"/>
      <w:sz w:val="16"/>
      <w:szCs w:val="16"/>
    </w:rPr>
  </w:style>
  <w:style w:type="paragraph" w:customStyle="1" w:styleId="texte">
    <w:name w:val="texte"/>
    <w:basedOn w:val="textepar"/>
    <w:pPr>
      <w:spacing w:before="0"/>
      <w:jc w:val="left"/>
    </w:pPr>
    <w:rPr>
      <w:rFonts w:eastAsia="Calibri" w:cs="Arial"/>
      <w:sz w:val="20"/>
      <w:szCs w:val="20"/>
      <w:lang w:eastAsia="en-GB"/>
    </w:rPr>
  </w:style>
  <w:style w:type="character" w:customStyle="1" w:styleId="Caracteresdenotaderodap">
    <w:name w:val="Caracteres de nota de rodapé"/>
    <w:rPr>
      <w:rFonts w:cs="Times New Roman"/>
      <w:vertAlign w:val="superscript"/>
    </w:rPr>
  </w:style>
  <w:style w:type="character" w:customStyle="1" w:styleId="rightside">
    <w:name w:val="right_side"/>
    <w:rPr>
      <w:rFonts w:cs="Times New Roman"/>
    </w:rPr>
  </w:style>
  <w:style w:type="paragraph" w:customStyle="1" w:styleId="CM1">
    <w:name w:val="CM1"/>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Headin2">
    <w:name w:val="Headin 2"/>
    <w:basedOn w:val="Normal"/>
    <w:pPr>
      <w:keepNext/>
      <w:tabs>
        <w:tab w:val="left" w:pos="540"/>
      </w:tabs>
      <w:spacing w:before="320" w:after="360" w:line="240" w:lineRule="auto"/>
      <w:jc w:val="both"/>
      <w:outlineLvl w:val="1"/>
    </w:pPr>
    <w:rPr>
      <w:rFonts w:ascii="Arial" w:eastAsia="Times New Roman" w:hAnsi="Arial" w:cs="Arial"/>
      <w:b/>
      <w:bCs/>
      <w:color w:val="943634"/>
      <w:spacing w:val="10"/>
      <w:sz w:val="28"/>
      <w:szCs w:val="28"/>
    </w:rPr>
  </w:style>
  <w:style w:type="paragraph" w:customStyle="1" w:styleId="HwSINF">
    <w:name w:val="HwSINF §"/>
    <w:basedOn w:val="Normal"/>
    <w:pPr>
      <w:keepNext/>
      <w:spacing w:before="270" w:after="160" w:line="240" w:lineRule="auto"/>
      <w:jc w:val="both"/>
      <w:outlineLvl w:val="2"/>
    </w:pPr>
    <w:rPr>
      <w:rFonts w:ascii="Verdana" w:eastAsia="Times New Roman" w:hAnsi="Verdana"/>
      <w:b/>
      <w:color w:val="943634"/>
      <w:sz w:val="24"/>
    </w:rPr>
  </w:style>
  <w:style w:type="paragraph" w:styleId="DocumentMap">
    <w:name w:val="Document Map"/>
    <w:basedOn w:val="Normal"/>
    <w:link w:val="DocumentMapChar"/>
    <w:semiHidden/>
    <w:pPr>
      <w:shd w:val="clear" w:color="auto" w:fill="000080"/>
      <w:spacing w:before="120" w:after="120" w:line="240" w:lineRule="auto"/>
      <w:jc w:val="both"/>
    </w:pPr>
    <w:rPr>
      <w:rFonts w:ascii="Tahoma" w:eastAsia="Times New Roman" w:hAnsi="Tahoma"/>
      <w:sz w:val="20"/>
      <w:szCs w:val="20"/>
      <w:lang w:val="x-none" w:eastAsia="x-none"/>
    </w:rPr>
  </w:style>
  <w:style w:type="character" w:customStyle="1" w:styleId="DocumentMapChar">
    <w:name w:val="Document Map Char"/>
    <w:link w:val="DocumentMap"/>
    <w:semiHidden/>
    <w:rPr>
      <w:rFonts w:ascii="Tahoma" w:eastAsia="Times New Roman" w:hAnsi="Tahoma"/>
      <w:shd w:val="clear" w:color="auto" w:fill="000080"/>
      <w:lang w:eastAsia="x-none"/>
    </w:rPr>
  </w:style>
  <w:style w:type="paragraph" w:customStyle="1" w:styleId="PartTit">
    <w:name w:val="PartTit#"/>
    <w:basedOn w:val="Heading1"/>
    <w:pPr>
      <w:numPr>
        <w:numId w:val="0"/>
      </w:numPr>
      <w:tabs>
        <w:tab w:val="num" w:pos="850"/>
      </w:tabs>
      <w:ind w:left="850" w:hanging="850"/>
    </w:pPr>
  </w:style>
  <w:style w:type="paragraph" w:customStyle="1" w:styleId="ManualHeading10">
    <w:name w:val="ManualHeading 1"/>
    <w:basedOn w:val="Normal"/>
    <w:qFormat/>
    <w:pPr>
      <w:spacing w:before="120" w:after="120" w:line="240" w:lineRule="auto"/>
      <w:jc w:val="both"/>
    </w:pPr>
    <w:rPr>
      <w:rFonts w:ascii="Times New Roman" w:eastAsia="Times New Roman" w:hAnsi="Times New Roman"/>
      <w:sz w:val="24"/>
      <w:szCs w:val="24"/>
    </w:rPr>
  </w:style>
  <w:style w:type="paragraph" w:customStyle="1" w:styleId="PartTitel">
    <w:name w:val="PartTitel"/>
    <w:basedOn w:val="Normal"/>
    <w:pPr>
      <w:spacing w:before="120" w:after="120" w:line="240" w:lineRule="auto"/>
      <w:jc w:val="both"/>
    </w:pPr>
    <w:rPr>
      <w:rFonts w:ascii="Times New Roman" w:eastAsia="Times New Roman" w:hAnsi="Times New Roman"/>
      <w:sz w:val="24"/>
      <w:szCs w:val="24"/>
    </w:rPr>
  </w:style>
  <w:style w:type="paragraph" w:customStyle="1" w:styleId="Heading20">
    <w:name w:val="Heading 2#"/>
    <w:basedOn w:val="Normal"/>
    <w:qFormat/>
    <w:pPr>
      <w:spacing w:before="160" w:after="0" w:line="300" w:lineRule="auto"/>
      <w:jc w:val="both"/>
    </w:pPr>
    <w:rPr>
      <w:rFonts w:ascii="Verdana" w:eastAsia="Times New Roman" w:hAnsi="Verdana" w:cs="Arial"/>
      <w:color w:val="632423"/>
      <w:sz w:val="20"/>
      <w:szCs w:val="20"/>
    </w:rPr>
  </w:style>
  <w:style w:type="paragraph" w:customStyle="1" w:styleId="Point00">
    <w:name w:val="Point0"/>
    <w:basedOn w:val="Point1"/>
    <w:pPr>
      <w:tabs>
        <w:tab w:val="left" w:pos="567"/>
      </w:tabs>
      <w:ind w:left="719" w:hanging="435"/>
    </w:pPr>
  </w:style>
  <w:style w:type="paragraph" w:customStyle="1" w:styleId="ManualHeading20">
    <w:name w:val="ManualHeading 2"/>
    <w:basedOn w:val="Normal"/>
    <w:pPr>
      <w:spacing w:before="120" w:after="120" w:line="240" w:lineRule="auto"/>
      <w:jc w:val="both"/>
    </w:pPr>
    <w:rPr>
      <w:rFonts w:ascii="Times New Roman" w:eastAsia="Times New Roman" w:hAnsi="Times New Roman"/>
      <w:sz w:val="24"/>
      <w:szCs w:val="24"/>
    </w:rPr>
  </w:style>
  <w:style w:type="character" w:customStyle="1" w:styleId="at1">
    <w:name w:val="a__t1"/>
  </w:style>
  <w:style w:type="paragraph" w:customStyle="1" w:styleId="Caption0">
    <w:name w:val="Caption#"/>
    <w:basedOn w:val="Normal"/>
    <w:qFormat/>
    <w:pPr>
      <w:spacing w:before="40" w:after="180" w:line="240" w:lineRule="auto"/>
      <w:jc w:val="both"/>
    </w:pPr>
    <w:rPr>
      <w:rFonts w:ascii="Times New Roman" w:eastAsia="Times New Roman" w:hAnsi="Times New Roman"/>
      <w:sz w:val="24"/>
      <w:lang w:val="en-US"/>
    </w:rPr>
  </w:style>
  <w:style w:type="character" w:styleId="BookTitle">
    <w:name w:val="Book Title"/>
    <w:uiPriority w:val="33"/>
    <w:qFormat/>
    <w:rPr>
      <w:b/>
      <w:bCs/>
      <w:smallCaps/>
      <w:spacing w:val="5"/>
    </w:rPr>
  </w:style>
  <w:style w:type="paragraph" w:customStyle="1" w:styleId="Reference">
    <w:name w:val="Reference"/>
    <w:basedOn w:val="Normal"/>
    <w:link w:val="ReferenceChar"/>
    <w:qFormat/>
    <w:pPr>
      <w:keepLines/>
      <w:spacing w:before="40" w:after="120" w:line="240" w:lineRule="auto"/>
      <w:ind w:left="720" w:hanging="720"/>
    </w:pPr>
    <w:rPr>
      <w:rFonts w:ascii="Times New Roman" w:eastAsia="Times New Roman" w:hAnsi="Times New Roman"/>
      <w:noProof/>
      <w:lang w:val="en-US"/>
    </w:rPr>
  </w:style>
  <w:style w:type="character" w:customStyle="1" w:styleId="st1">
    <w:name w:val="st1"/>
  </w:style>
  <w:style w:type="character" w:customStyle="1" w:styleId="ReferenceChar">
    <w:name w:val="Reference Char"/>
    <w:link w:val="Reference"/>
    <w:rPr>
      <w:rFonts w:ascii="Times New Roman" w:eastAsia="Times New Roman" w:hAnsi="Times New Roman"/>
      <w:noProof/>
      <w:sz w:val="22"/>
      <w:szCs w:val="22"/>
      <w:lang w:val="en-US"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OCHeadingChar">
    <w:name w:val="TOC Heading Char"/>
    <w:link w:val="TOCHeading"/>
    <w:uiPriority w:val="99"/>
    <w:rPr>
      <w:rFonts w:ascii="Times New Roman" w:eastAsia="Times New Roman" w:hAnsi="Times New Roman"/>
      <w:b/>
      <w:sz w:val="28"/>
      <w:szCs w:val="24"/>
      <w:lang w:val="x-none"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top">
    <w:name w:val="top"/>
    <w:basedOn w:val="Normal"/>
    <w:link w:val="topChar"/>
    <w:qFormat/>
    <w:pPr>
      <w:spacing w:after="0" w:line="240" w:lineRule="auto"/>
      <w:jc w:val="both"/>
    </w:pPr>
    <w:rPr>
      <w:rFonts w:ascii="Times New Roman" w:eastAsia="Times New Roman" w:hAnsi="Times New Roman"/>
      <w:sz w:val="2"/>
      <w:szCs w:val="2"/>
      <w:lang w:val="en-US"/>
    </w:rPr>
  </w:style>
  <w:style w:type="paragraph" w:customStyle="1" w:styleId="Tiop">
    <w:name w:val="Tiop"/>
    <w:basedOn w:val="Normal"/>
    <w:qFormat/>
    <w:pPr>
      <w:spacing w:before="40" w:after="180" w:line="240" w:lineRule="auto"/>
      <w:jc w:val="both"/>
    </w:pPr>
    <w:rPr>
      <w:rFonts w:ascii="Times New Roman" w:eastAsia="Times New Roman" w:hAnsi="Times New Roman"/>
      <w:sz w:val="24"/>
      <w:lang w:val="en-US"/>
    </w:rPr>
  </w:style>
  <w:style w:type="character" w:customStyle="1" w:styleId="topChar">
    <w:name w:val="top Char"/>
    <w:link w:val="top"/>
    <w:rPr>
      <w:rFonts w:ascii="Times New Roman" w:eastAsia="Times New Roman" w:hAnsi="Times New Roman"/>
      <w:sz w:val="2"/>
      <w:szCs w:val="2"/>
      <w:lang w:val="en-US" w:eastAsia="en-US"/>
    </w:rPr>
  </w:style>
  <w:style w:type="paragraph" w:styleId="ListParagraph">
    <w:name w:val="List Paragraph"/>
    <w:basedOn w:val="Normal"/>
    <w:uiPriority w:val="34"/>
    <w:qFormat/>
    <w:pPr>
      <w:ind w:left="720"/>
    </w:p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link w:val="Yo0H1Char"/>
    <w:pPr>
      <w:numPr>
        <w:numId w:val="0"/>
      </w:numPr>
      <w:spacing w:before="240" w:after="300" w:line="300" w:lineRule="auto"/>
    </w:pPr>
    <w:rPr>
      <w:rFonts w:ascii="Verdana" w:eastAsia="Calibri" w:hAnsi="Verdana" w:cs="MyriadPro-Bold"/>
      <w:bCs w:val="0"/>
      <w:smallCaps w:val="0"/>
      <w:color w:val="DB1E48"/>
      <w:sz w:val="44"/>
      <w:szCs w:val="44"/>
      <w:lang w:val="en-US" w:eastAsia="fr-BE"/>
    </w:rPr>
  </w:style>
  <w:style w:type="paragraph" w:customStyle="1" w:styleId="Yo0H2">
    <w:name w:val="_Yo_0_H2"/>
    <w:basedOn w:val="Heading2"/>
    <w:pPr>
      <w:numPr>
        <w:ilvl w:val="0"/>
        <w:numId w:val="0"/>
      </w:numPr>
      <w:spacing w:before="360" w:after="160"/>
    </w:pPr>
    <w:rPr>
      <w:rFonts w:ascii="Arial Narrow" w:eastAsia="Calibri" w:hAnsi="Arial Narrow" w:cs="Arial"/>
      <w:b w:val="0"/>
      <w:iCs w:val="0"/>
      <w:caps/>
      <w:color w:val="DA1E48"/>
      <w:spacing w:val="10"/>
      <w:sz w:val="28"/>
      <w:lang w:val="en-US" w:eastAsia="en-US"/>
    </w:rPr>
  </w:style>
  <w:style w:type="paragraph" w:customStyle="1" w:styleId="Yo0H3">
    <w:name w:val="_Yo_0_H3"/>
    <w:basedOn w:val="Heading3"/>
    <w:pPr>
      <w:numPr>
        <w:ilvl w:val="0"/>
        <w:numId w:val="0"/>
      </w:numPr>
      <w:spacing w:before="270" w:after="160"/>
    </w:pPr>
    <w:rPr>
      <w:rFonts w:ascii="Calibri" w:eastAsia="Calibri" w:hAnsi="Calibri" w:cs="Calibri"/>
      <w:b/>
      <w:i w:val="0"/>
      <w:iCs/>
      <w:color w:val="C00000"/>
      <w:sz w:val="26"/>
      <w:lang w:eastAsia="fr-BE"/>
    </w:rPr>
  </w:style>
  <w:style w:type="paragraph" w:customStyle="1" w:styleId="Yo0H4">
    <w:name w:val="_Yo_0_H4"/>
    <w:pPr>
      <w:suppressAutoHyphens/>
      <w:spacing w:before="240"/>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keepNext/>
      <w:tabs>
        <w:tab w:val="left" w:pos="993"/>
      </w:tabs>
      <w:suppressAutoHyphens/>
      <w:spacing w:before="120" w:after="120" w:line="300" w:lineRule="auto"/>
      <w:jc w:val="both"/>
    </w:pPr>
    <w:rPr>
      <w:rFonts w:ascii="Verdana" w:hAnsi="Verdana" w:cs="Arial"/>
      <w:b/>
      <w:noProof/>
      <w:sz w:val="18"/>
      <w:szCs w:val="18"/>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40"/>
      </w:numPr>
      <w:tabs>
        <w:tab w:val="clear" w:pos="4253"/>
        <w:tab w:val="left" w:pos="426"/>
      </w:tabs>
      <w:spacing w:before="120"/>
    </w:pPr>
    <w:rPr>
      <w:lang w:val="en-US"/>
    </w:rPr>
  </w:style>
  <w:style w:type="paragraph" w:customStyle="1" w:styleId="Yo11Textbulletlvl2">
    <w:name w:val="_Yo_11_Text_bullet_lvl_2"/>
    <w:basedOn w:val="Yo1Textpara"/>
    <w:pPr>
      <w:numPr>
        <w:numId w:val="41"/>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42"/>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3"/>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44"/>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45"/>
      </w:numPr>
      <w:tabs>
        <w:tab w:val="clear" w:pos="4253"/>
        <w:tab w:val="left" w:pos="993"/>
      </w:tabs>
      <w:spacing w:before="120" w:after="120"/>
    </w:pPr>
    <w:rPr>
      <w:rFonts w:eastAsia="Times New Roman"/>
      <w:color w:val="1F497D"/>
      <w:lang w:val="fr-FR"/>
    </w:rPr>
  </w:style>
  <w:style w:type="paragraph" w:customStyle="1" w:styleId="Yo12Encart">
    <w:name w:val="_Yo_12_Encart"/>
    <w:qFormat/>
    <w:pPr>
      <w:framePr w:hSpace="180" w:wrap="around" w:vAnchor="text" w:hAnchor="margin" w:xAlign="right" w:y="675"/>
      <w:spacing w:before="60" w:after="60"/>
      <w:ind w:left="142" w:right="108"/>
      <w:suppressOverlap/>
      <w:jc w:val="both"/>
    </w:pPr>
    <w:rPr>
      <w:rFonts w:ascii="Arial Narrow" w:hAnsi="Arial Narrow"/>
      <w:sz w:val="18"/>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FootnoteSeparator">
    <w:name w:val="_Yo_4_Footnote_Separator"/>
    <w:qFormat/>
    <w:rPr>
      <w:color w:val="DA1E48"/>
      <w:sz w:val="22"/>
      <w:szCs w:val="22"/>
      <w:lang w:val="fr-BE"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sz w:val="16"/>
      <w:szCs w:val="16"/>
      <w:lang w:val="en-US" w:eastAsia="en-US"/>
    </w:rPr>
  </w:style>
  <w:style w:type="paragraph" w:customStyle="1" w:styleId="Yo5TextNotes">
    <w:name w:val="_Yo_5_Text_Notes"/>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6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Yo13YouthIndicator">
    <w:name w:val="_Yo_13_Youth_Indicator"/>
    <w:qFormat/>
    <w:pPr>
      <w:spacing w:line="300" w:lineRule="auto"/>
      <w:ind w:left="113" w:right="113"/>
    </w:pPr>
    <w:rPr>
      <w:b/>
      <w:color w:val="FFFFFF"/>
      <w:sz w:val="16"/>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Yo0H1Char">
    <w:name w:val="_Yo_0_H1 Char"/>
    <w:link w:val="Yo0H1"/>
    <w:rPr>
      <w:rFonts w:ascii="Verdana" w:eastAsia="Times New Roman" w:hAnsi="Verdana" w:cs="MyriadPro-Bold"/>
      <w:b/>
      <w:bCs w:val="0"/>
      <w:smallCaps w:val="0"/>
      <w:color w:val="DB1E48"/>
      <w:sz w:val="44"/>
      <w:szCs w:val="44"/>
      <w:lang w:val="en-US" w:eastAsia="fr-BE"/>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4179">
      <w:bodyDiv w:val="1"/>
      <w:marLeft w:val="0"/>
      <w:marRight w:val="0"/>
      <w:marTop w:val="0"/>
      <w:marBottom w:val="0"/>
      <w:divBdr>
        <w:top w:val="none" w:sz="0" w:space="0" w:color="auto"/>
        <w:left w:val="none" w:sz="0" w:space="0" w:color="auto"/>
        <w:bottom w:val="none" w:sz="0" w:space="0" w:color="auto"/>
        <w:right w:val="none" w:sz="0" w:space="0" w:color="auto"/>
      </w:divBdr>
    </w:div>
    <w:div w:id="313998124">
      <w:bodyDiv w:val="1"/>
      <w:marLeft w:val="0"/>
      <w:marRight w:val="0"/>
      <w:marTop w:val="0"/>
      <w:marBottom w:val="0"/>
      <w:divBdr>
        <w:top w:val="none" w:sz="0" w:space="0" w:color="auto"/>
        <w:left w:val="none" w:sz="0" w:space="0" w:color="auto"/>
        <w:bottom w:val="none" w:sz="0" w:space="0" w:color="auto"/>
        <w:right w:val="none" w:sz="0" w:space="0" w:color="auto"/>
      </w:divBdr>
      <w:divsChild>
        <w:div w:id="305010024">
          <w:marLeft w:val="0"/>
          <w:marRight w:val="0"/>
          <w:marTop w:val="0"/>
          <w:marBottom w:val="0"/>
          <w:divBdr>
            <w:top w:val="none" w:sz="0" w:space="0" w:color="auto"/>
            <w:left w:val="none" w:sz="0" w:space="0" w:color="auto"/>
            <w:bottom w:val="none" w:sz="0" w:space="0" w:color="auto"/>
            <w:right w:val="none" w:sz="0" w:space="0" w:color="auto"/>
          </w:divBdr>
        </w:div>
        <w:div w:id="749884924">
          <w:marLeft w:val="0"/>
          <w:marRight w:val="0"/>
          <w:marTop w:val="0"/>
          <w:marBottom w:val="0"/>
          <w:divBdr>
            <w:top w:val="none" w:sz="0" w:space="0" w:color="auto"/>
            <w:left w:val="none" w:sz="0" w:space="0" w:color="auto"/>
            <w:bottom w:val="none" w:sz="0" w:space="0" w:color="auto"/>
            <w:right w:val="none" w:sz="0" w:space="0" w:color="auto"/>
          </w:divBdr>
        </w:div>
        <w:div w:id="921839863">
          <w:marLeft w:val="0"/>
          <w:marRight w:val="0"/>
          <w:marTop w:val="0"/>
          <w:marBottom w:val="0"/>
          <w:divBdr>
            <w:top w:val="none" w:sz="0" w:space="0" w:color="auto"/>
            <w:left w:val="none" w:sz="0" w:space="0" w:color="auto"/>
            <w:bottom w:val="none" w:sz="0" w:space="0" w:color="auto"/>
            <w:right w:val="none" w:sz="0" w:space="0" w:color="auto"/>
          </w:divBdr>
        </w:div>
        <w:div w:id="1043561573">
          <w:marLeft w:val="0"/>
          <w:marRight w:val="0"/>
          <w:marTop w:val="0"/>
          <w:marBottom w:val="0"/>
          <w:divBdr>
            <w:top w:val="none" w:sz="0" w:space="0" w:color="auto"/>
            <w:left w:val="none" w:sz="0" w:space="0" w:color="auto"/>
            <w:bottom w:val="none" w:sz="0" w:space="0" w:color="auto"/>
            <w:right w:val="none" w:sz="0" w:space="0" w:color="auto"/>
          </w:divBdr>
        </w:div>
        <w:div w:id="1162966310">
          <w:marLeft w:val="0"/>
          <w:marRight w:val="0"/>
          <w:marTop w:val="0"/>
          <w:marBottom w:val="0"/>
          <w:divBdr>
            <w:top w:val="none" w:sz="0" w:space="0" w:color="auto"/>
            <w:left w:val="none" w:sz="0" w:space="0" w:color="auto"/>
            <w:bottom w:val="none" w:sz="0" w:space="0" w:color="auto"/>
            <w:right w:val="none" w:sz="0" w:space="0" w:color="auto"/>
          </w:divBdr>
        </w:div>
        <w:div w:id="1267469623">
          <w:marLeft w:val="0"/>
          <w:marRight w:val="0"/>
          <w:marTop w:val="0"/>
          <w:marBottom w:val="0"/>
          <w:divBdr>
            <w:top w:val="none" w:sz="0" w:space="0" w:color="auto"/>
            <w:left w:val="none" w:sz="0" w:space="0" w:color="auto"/>
            <w:bottom w:val="none" w:sz="0" w:space="0" w:color="auto"/>
            <w:right w:val="none" w:sz="0" w:space="0" w:color="auto"/>
          </w:divBdr>
        </w:div>
        <w:div w:id="1397435397">
          <w:marLeft w:val="0"/>
          <w:marRight w:val="0"/>
          <w:marTop w:val="0"/>
          <w:marBottom w:val="0"/>
          <w:divBdr>
            <w:top w:val="none" w:sz="0" w:space="0" w:color="auto"/>
            <w:left w:val="none" w:sz="0" w:space="0" w:color="auto"/>
            <w:bottom w:val="none" w:sz="0" w:space="0" w:color="auto"/>
            <w:right w:val="none" w:sz="0" w:space="0" w:color="auto"/>
          </w:divBdr>
        </w:div>
      </w:divsChild>
    </w:div>
    <w:div w:id="663512642">
      <w:bodyDiv w:val="1"/>
      <w:marLeft w:val="0"/>
      <w:marRight w:val="0"/>
      <w:marTop w:val="0"/>
      <w:marBottom w:val="0"/>
      <w:divBdr>
        <w:top w:val="none" w:sz="0" w:space="0" w:color="auto"/>
        <w:left w:val="none" w:sz="0" w:space="0" w:color="auto"/>
        <w:bottom w:val="none" w:sz="0" w:space="0" w:color="auto"/>
        <w:right w:val="none" w:sz="0" w:space="0" w:color="auto"/>
      </w:divBdr>
    </w:div>
    <w:div w:id="1038776825">
      <w:bodyDiv w:val="1"/>
      <w:marLeft w:val="0"/>
      <w:marRight w:val="0"/>
      <w:marTop w:val="0"/>
      <w:marBottom w:val="0"/>
      <w:divBdr>
        <w:top w:val="none" w:sz="0" w:space="0" w:color="auto"/>
        <w:left w:val="none" w:sz="0" w:space="0" w:color="auto"/>
        <w:bottom w:val="none" w:sz="0" w:space="0" w:color="auto"/>
        <w:right w:val="none" w:sz="0" w:space="0" w:color="auto"/>
      </w:divBdr>
    </w:div>
    <w:div w:id="1325553663">
      <w:bodyDiv w:val="1"/>
      <w:marLeft w:val="0"/>
      <w:marRight w:val="0"/>
      <w:marTop w:val="0"/>
      <w:marBottom w:val="0"/>
      <w:divBdr>
        <w:top w:val="none" w:sz="0" w:space="0" w:color="auto"/>
        <w:left w:val="none" w:sz="0" w:space="0" w:color="auto"/>
        <w:bottom w:val="none" w:sz="0" w:space="0" w:color="auto"/>
        <w:right w:val="none" w:sz="0" w:space="0" w:color="auto"/>
      </w:divBdr>
      <w:divsChild>
        <w:div w:id="698942189">
          <w:marLeft w:val="0"/>
          <w:marRight w:val="0"/>
          <w:marTop w:val="0"/>
          <w:marBottom w:val="0"/>
          <w:divBdr>
            <w:top w:val="none" w:sz="0" w:space="0" w:color="auto"/>
            <w:left w:val="none" w:sz="0" w:space="0" w:color="auto"/>
            <w:bottom w:val="none" w:sz="0" w:space="0" w:color="auto"/>
            <w:right w:val="none" w:sz="0" w:space="0" w:color="auto"/>
          </w:divBdr>
          <w:divsChild>
            <w:div w:id="341593485">
              <w:marLeft w:val="0"/>
              <w:marRight w:val="0"/>
              <w:marTop w:val="0"/>
              <w:marBottom w:val="0"/>
              <w:divBdr>
                <w:top w:val="none" w:sz="0" w:space="0" w:color="auto"/>
                <w:left w:val="none" w:sz="0" w:space="0" w:color="auto"/>
                <w:bottom w:val="none" w:sz="0" w:space="0" w:color="auto"/>
                <w:right w:val="none" w:sz="0" w:space="0" w:color="auto"/>
              </w:divBdr>
              <w:divsChild>
                <w:div w:id="2408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04226">
      <w:bodyDiv w:val="1"/>
      <w:marLeft w:val="0"/>
      <w:marRight w:val="0"/>
      <w:marTop w:val="0"/>
      <w:marBottom w:val="0"/>
      <w:divBdr>
        <w:top w:val="none" w:sz="0" w:space="0" w:color="auto"/>
        <w:left w:val="none" w:sz="0" w:space="0" w:color="auto"/>
        <w:bottom w:val="none" w:sz="0" w:space="0" w:color="auto"/>
        <w:right w:val="none" w:sz="0" w:space="0" w:color="auto"/>
      </w:divBdr>
    </w:div>
    <w:div w:id="1378818710">
      <w:bodyDiv w:val="1"/>
      <w:marLeft w:val="0"/>
      <w:marRight w:val="0"/>
      <w:marTop w:val="0"/>
      <w:marBottom w:val="0"/>
      <w:divBdr>
        <w:top w:val="none" w:sz="0" w:space="0" w:color="auto"/>
        <w:left w:val="none" w:sz="0" w:space="0" w:color="auto"/>
        <w:bottom w:val="none" w:sz="0" w:space="0" w:color="auto"/>
        <w:right w:val="none" w:sz="0" w:space="0" w:color="auto"/>
      </w:divBdr>
    </w:div>
    <w:div w:id="1613436329">
      <w:bodyDiv w:val="1"/>
      <w:marLeft w:val="0"/>
      <w:marRight w:val="0"/>
      <w:marTop w:val="0"/>
      <w:marBottom w:val="0"/>
      <w:divBdr>
        <w:top w:val="none" w:sz="0" w:space="0" w:color="auto"/>
        <w:left w:val="none" w:sz="0" w:space="0" w:color="auto"/>
        <w:bottom w:val="none" w:sz="0" w:space="0" w:color="auto"/>
        <w:right w:val="none" w:sz="0" w:space="0" w:color="auto"/>
      </w:divBdr>
      <w:divsChild>
        <w:div w:id="1233277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6.jpeg"/><Relationship Id="rId34" Type="http://schemas.openxmlformats.org/officeDocument/2006/relationships/image" Target="file:///\\s-eacea-fs03-p\EACEA.A7\Youth\04_Reports\a_EU_Youth_Reports\2018\03_graph\2_D_tertiary_attainment_TREND.jpg" TargetMode="External"/><Relationship Id="rId42" Type="http://schemas.openxmlformats.org/officeDocument/2006/relationships/image" Target="media/image22.jpeg"/><Relationship Id="rId47" Type="http://schemas.openxmlformats.org/officeDocument/2006/relationships/image" Target="file:///\\s-eacea-fs03-p\EACEA.A7\Youth\04_Reports\a_EU_Youth_Reports\2018\03_graph\2_F_early_leavers_MAP.jpg" TargetMode="External"/><Relationship Id="rId50" Type="http://schemas.openxmlformats.org/officeDocument/2006/relationships/image" Target="media/image26.jpeg"/><Relationship Id="rId55" Type="http://schemas.openxmlformats.org/officeDocument/2006/relationships/image" Target="file:///\\s-eacea-fs03-p\EACEA.A7\Youth\04_Reports\a_EU_Youth_Reports\2018\03_graph\2_H_Languages.jpg" TargetMode="External"/><Relationship Id="rId63" Type="http://schemas.openxmlformats.org/officeDocument/2006/relationships/image" Target="file:///C:\Users\paredcr\AppData\Local\Temp\03_graph\2_J_mobility.jpg" TargetMode="External"/><Relationship Id="rId68"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image" Target="file:///\\s-eacea-fs03-p\EACEA.A7\Youth\04_Reports\a_EU_Youth_Reports\2018\03_graph\2_B_at_least_upper_change_MAP.jpg" TargetMode="External"/><Relationship Id="rId32" Type="http://schemas.openxmlformats.org/officeDocument/2006/relationships/image" Target="file:///C:\Users\paredcr\AppData\Local\Temp\03_graph\2_C_tertiary.jpg"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file:///\\s-eacea-fs03-p\EACEA.A7\Youth\04_Reports\a_EU_Youth_Reports\2018\03_graph\2_F_early_leavers_TREND.jpg" TargetMode="External"/><Relationship Id="rId53" Type="http://schemas.openxmlformats.org/officeDocument/2006/relationships/image" Target="file:///\\s-eacea-fs03-p\EACEA.A7\Youth\04_Reports\a_EU_Youth_Reports\2018\03_graph\2_G_Low_achievers_science.jpg" TargetMode="External"/><Relationship Id="rId58" Type="http://schemas.openxmlformats.org/officeDocument/2006/relationships/image" Target="media/image31.jpe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file:///\\s-eacea-fs03-p\EACEA.A7\Youth\04_Reports\a_EU_Youth_Reports\2018\03_graph\2_D_tertiary_attainment_MAP.jpg" TargetMode="External"/><Relationship Id="rId49" Type="http://schemas.openxmlformats.org/officeDocument/2006/relationships/image" Target="file:///\\s-eacea-fs03-p\EACEA.A7\Youth\04_Reports\a_EU_Youth_Reports\2018\03_graph\2_G_Low_achievers_reading.jpg" TargetMode="External"/><Relationship Id="rId57" Type="http://schemas.openxmlformats.org/officeDocument/2006/relationships/image" Target="media/image30.png"/><Relationship Id="rId61" Type="http://schemas.openxmlformats.org/officeDocument/2006/relationships/image" Target="file:///\\s-eacea-fs03-p\EACEA.A7\Youth\04_Reports\a_EU_Youth_Reports\2018\03_graph\2_I_non_formal_learning.jpg"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2.jpeg"/><Relationship Id="rId65" Type="http://schemas.openxmlformats.org/officeDocument/2006/relationships/image" Target="media/image35.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file:///\\s-eacea-fs03-p\EACEA.A7\Youth\04_Reports\a_EU_Youth_Reports\2018\03_graph\2_B_at_least_upper_change_TREND.jpg"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file:///C:\Users\paredcr\AppData\Local\Temp\03_graph\2_E_early_leavers.jpg" TargetMode="External"/><Relationship Id="rId48" Type="http://schemas.openxmlformats.org/officeDocument/2006/relationships/image" Target="media/image25.jpeg"/><Relationship Id="rId56" Type="http://schemas.openxmlformats.org/officeDocument/2006/relationships/image" Target="media/image29.png"/><Relationship Id="rId64" Type="http://schemas.openxmlformats.org/officeDocument/2006/relationships/image" Target="media/image34.png"/><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file:///\\s-eacea-fs03-p\EACEA.A7\Youth\04_Reports\a_EU_Youth_Reports\2018\03_graph\2_G_Low_achievers_math.jp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file:///C:\Users\paredcr\AppData\Local\Temp\03_graph\2_A_upper_secondary.jpg"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media/image24.jpeg"/><Relationship Id="rId59" Type="http://schemas.openxmlformats.org/officeDocument/2006/relationships/image" Target="file:///\\s-eacea-fs03-p\EACEA.A7\Youth\04_Reports\a_EU_Youth_Reports\2018\03_graph\2_I_non_formal_learning_gender.jpg" TargetMode="External"/><Relationship Id="rId67" Type="http://schemas.openxmlformats.org/officeDocument/2006/relationships/header" Target="header5.xm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image" Target="media/image28.jpeg"/><Relationship Id="rId62" Type="http://schemas.openxmlformats.org/officeDocument/2006/relationships/image" Target="media/image33.jpe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programmes/erasmus-plus/about_en" TargetMode="External"/><Relationship Id="rId2" Type="http://schemas.openxmlformats.org/officeDocument/2006/relationships/hyperlink" Target="http://www.cedefop.europa.eu/en/events-and-projects/projects/validation-non-formal-and-informal-learning/european-inventory/european-inventory-glossary" TargetMode="External"/><Relationship Id="rId1" Type="http://schemas.openxmlformats.org/officeDocument/2006/relationships/hyperlink" Target="https://data.oecd.org/pisa/reading-performance-pi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4D80D-0B47-4D9A-919E-1C901405D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4803</Words>
  <Characters>26756</Characters>
  <Application>Microsoft Office Word</Application>
  <DocSecurity>0</DocSecurity>
  <Lines>581</Lines>
  <Paragraphs>194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31365</CharactersWithSpaces>
  <SharedDoc>false</SharedDoc>
  <HLinks>
    <vt:vector size="114" baseType="variant">
      <vt:variant>
        <vt:i4>2949189</vt:i4>
      </vt:variant>
      <vt:variant>
        <vt:i4>6</vt:i4>
      </vt:variant>
      <vt:variant>
        <vt:i4>0</vt:i4>
      </vt:variant>
      <vt:variant>
        <vt:i4>5</vt:i4>
      </vt:variant>
      <vt:variant>
        <vt:lpwstr>http://ec.europa.eu/programmes/erasmus-plus/about_en</vt:lpwstr>
      </vt:variant>
      <vt:variant>
        <vt:lpwstr/>
      </vt:variant>
      <vt:variant>
        <vt:i4>3407913</vt:i4>
      </vt:variant>
      <vt:variant>
        <vt:i4>3</vt:i4>
      </vt:variant>
      <vt:variant>
        <vt:i4>0</vt:i4>
      </vt:variant>
      <vt:variant>
        <vt:i4>5</vt:i4>
      </vt:variant>
      <vt:variant>
        <vt:lpwstr>http://www.cedefop.europa.eu/en/events-and-projects/projects/validation-non-formal-and-informal-learning/european-inventory/european-inventory-glossary</vt:lpwstr>
      </vt:variant>
      <vt:variant>
        <vt:lpwstr/>
      </vt:variant>
      <vt:variant>
        <vt:i4>2687015</vt:i4>
      </vt:variant>
      <vt:variant>
        <vt:i4>0</vt:i4>
      </vt:variant>
      <vt:variant>
        <vt:i4>0</vt:i4>
      </vt:variant>
      <vt:variant>
        <vt:i4>5</vt:i4>
      </vt:variant>
      <vt:variant>
        <vt:lpwstr>https://data.oecd.org/pisa/reading-performance-pisa.htm</vt:lpwstr>
      </vt:variant>
      <vt:variant>
        <vt:lpwstr/>
      </vt:variant>
      <vt:variant>
        <vt:i4>5111868</vt:i4>
      </vt:variant>
      <vt:variant>
        <vt:i4>6751</vt:i4>
      </vt:variant>
      <vt:variant>
        <vt:i4>1025</vt:i4>
      </vt:variant>
      <vt:variant>
        <vt:i4>1</vt:i4>
      </vt:variant>
      <vt:variant>
        <vt:lpwstr>\\s-eacea-fs03-p\EACEA.A7\Youth\04_Reports\a_EU_Youth_Reports\2018\03_graph\2_A_upper_secondary.jpg</vt:lpwstr>
      </vt:variant>
      <vt:variant>
        <vt:lpwstr/>
      </vt:variant>
      <vt:variant>
        <vt:i4>3735661</vt:i4>
      </vt:variant>
      <vt:variant>
        <vt:i4>8395</vt:i4>
      </vt:variant>
      <vt:variant>
        <vt:i4>1029</vt:i4>
      </vt:variant>
      <vt:variant>
        <vt:i4>1</vt:i4>
      </vt:variant>
      <vt:variant>
        <vt:lpwstr>\\s-eacea-fs03-p\EACEA.A7\Youth\04_Reports\a_EU_Youth_Reports\2018\03_graph\2_B_at_least_upper_change_MAP.jpg</vt:lpwstr>
      </vt:variant>
      <vt:variant>
        <vt:lpwstr/>
      </vt:variant>
      <vt:variant>
        <vt:i4>4325382</vt:i4>
      </vt:variant>
      <vt:variant>
        <vt:i4>10702</vt:i4>
      </vt:variant>
      <vt:variant>
        <vt:i4>1036</vt:i4>
      </vt:variant>
      <vt:variant>
        <vt:i4>1</vt:i4>
      </vt:variant>
      <vt:variant>
        <vt:lpwstr>\\s-eacea-fs03-p\EACEA.A7\Youth\04_Reports\a_EU_Youth_Reports\2018\03_graph\2_C_tertiary.jpg</vt:lpwstr>
      </vt:variant>
      <vt:variant>
        <vt:lpwstr/>
      </vt:variant>
      <vt:variant>
        <vt:i4>5242909</vt:i4>
      </vt:variant>
      <vt:variant>
        <vt:i4>12175</vt:i4>
      </vt:variant>
      <vt:variant>
        <vt:i4>1040</vt:i4>
      </vt:variant>
      <vt:variant>
        <vt:i4>1</vt:i4>
      </vt:variant>
      <vt:variant>
        <vt:lpwstr>\\s-eacea-fs03-p\EACEA.A7\Youth\04_Reports\a_EU_Youth_Reports\2018\03_graph\2_D_tertiary_attainment_MAP.jpg</vt:lpwstr>
      </vt:variant>
      <vt:variant>
        <vt:lpwstr/>
      </vt:variant>
      <vt:variant>
        <vt:i4>2818140</vt:i4>
      </vt:variant>
      <vt:variant>
        <vt:i4>15367</vt:i4>
      </vt:variant>
      <vt:variant>
        <vt:i4>1047</vt:i4>
      </vt:variant>
      <vt:variant>
        <vt:i4>1</vt:i4>
      </vt:variant>
      <vt:variant>
        <vt:lpwstr>\\s-eacea-fs03-p\EACEA.A7\Youth\04_Reports\a_EU_Youth_Reports\2018\03_graph\2_E_early_leavers.jpg</vt:lpwstr>
      </vt:variant>
      <vt:variant>
        <vt:lpwstr/>
      </vt:variant>
      <vt:variant>
        <vt:i4>1376322</vt:i4>
      </vt:variant>
      <vt:variant>
        <vt:i4>16640</vt:i4>
      </vt:variant>
      <vt:variant>
        <vt:i4>1051</vt:i4>
      </vt:variant>
      <vt:variant>
        <vt:i4>1</vt:i4>
      </vt:variant>
      <vt:variant>
        <vt:lpwstr>\\s-eacea-fs03-p\EACEA.A7\Youth\04_Reports\a_EU_Youth_Reports\2018\03_graph\2_F_early_leavers_MAP.jpg</vt:lpwstr>
      </vt:variant>
      <vt:variant>
        <vt:lpwstr/>
      </vt:variant>
      <vt:variant>
        <vt:i4>1441879</vt:i4>
      </vt:variant>
      <vt:variant>
        <vt:i4>18712</vt:i4>
      </vt:variant>
      <vt:variant>
        <vt:i4>1058</vt:i4>
      </vt:variant>
      <vt:variant>
        <vt:i4>1</vt:i4>
      </vt:variant>
      <vt:variant>
        <vt:lpwstr>\\s-eacea-fs03-p\EACEA.A7\Youth\04_Reports\a_EU_Youth_Reports\2018\03_graph\2_G_Low_achievers_reading.jpg</vt:lpwstr>
      </vt:variant>
      <vt:variant>
        <vt:lpwstr/>
      </vt:variant>
      <vt:variant>
        <vt:i4>2293863</vt:i4>
      </vt:variant>
      <vt:variant>
        <vt:i4>18939</vt:i4>
      </vt:variant>
      <vt:variant>
        <vt:i4>1059</vt:i4>
      </vt:variant>
      <vt:variant>
        <vt:i4>1</vt:i4>
      </vt:variant>
      <vt:variant>
        <vt:lpwstr>\\s-eacea-fs03-p\EACEA.A7\Youth\04_Reports\a_EU_Youth_Reports\2018\03_graph\2_G_Low_achievers_math.jpg</vt:lpwstr>
      </vt:variant>
      <vt:variant>
        <vt:lpwstr/>
      </vt:variant>
      <vt:variant>
        <vt:i4>1835099</vt:i4>
      </vt:variant>
      <vt:variant>
        <vt:i4>19187</vt:i4>
      </vt:variant>
      <vt:variant>
        <vt:i4>1060</vt:i4>
      </vt:variant>
      <vt:variant>
        <vt:i4>1</vt:i4>
      </vt:variant>
      <vt:variant>
        <vt:lpwstr>\\s-eacea-fs03-p\EACEA.A7\Youth\04_Reports\a_EU_Youth_Reports\2018\03_graph\2_G_Low_achievers_science.jpg</vt:lpwstr>
      </vt:variant>
      <vt:variant>
        <vt:lpwstr/>
      </vt:variant>
      <vt:variant>
        <vt:i4>1704007</vt:i4>
      </vt:variant>
      <vt:variant>
        <vt:i4>21897</vt:i4>
      </vt:variant>
      <vt:variant>
        <vt:i4>1061</vt:i4>
      </vt:variant>
      <vt:variant>
        <vt:i4>1</vt:i4>
      </vt:variant>
      <vt:variant>
        <vt:lpwstr>\\s-eacea-fs03-p\EACEA.A7\Youth\04_Reports\a_EU_Youth_Reports\2018\03_graph\2_H_Languages.jpg</vt:lpwstr>
      </vt:variant>
      <vt:variant>
        <vt:lpwstr/>
      </vt:variant>
      <vt:variant>
        <vt:i4>4915222</vt:i4>
      </vt:variant>
      <vt:variant>
        <vt:i4>25069</vt:i4>
      </vt:variant>
      <vt:variant>
        <vt:i4>1064</vt:i4>
      </vt:variant>
      <vt:variant>
        <vt:i4>1</vt:i4>
      </vt:variant>
      <vt:variant>
        <vt:lpwstr>\\s-eacea-fs03-p\EACEA.A7\Youth\04_Reports\a_EU_Youth_Reports\2018\03_graph\2_I_non_formal_learning.jpg</vt:lpwstr>
      </vt:variant>
      <vt:variant>
        <vt:lpwstr/>
      </vt:variant>
      <vt:variant>
        <vt:i4>6094853</vt:i4>
      </vt:variant>
      <vt:variant>
        <vt:i4>29334</vt:i4>
      </vt:variant>
      <vt:variant>
        <vt:i4>1065</vt:i4>
      </vt:variant>
      <vt:variant>
        <vt:i4>1</vt:i4>
      </vt:variant>
      <vt:variant>
        <vt:lpwstr>\\s-eacea-fs03-p\EACEA.A7\Youth\04_Reports\a_EU_Youth_Reports\2018\03_graph\2_J_mobility.jpg</vt:lpwstr>
      </vt:variant>
      <vt:variant>
        <vt:lpwstr/>
      </vt:variant>
      <vt:variant>
        <vt:i4>4456453</vt:i4>
      </vt:variant>
      <vt:variant>
        <vt:i4>38166</vt:i4>
      </vt:variant>
      <vt:variant>
        <vt:i4>1069</vt:i4>
      </vt:variant>
      <vt:variant>
        <vt:i4>1</vt:i4>
      </vt:variant>
      <vt:variant>
        <vt:lpwstr>\\s-eacea-fs03-p\EACEA.A7\Youth\04_Reports\a_EU_Youth_Reports\2018\03_graph\2_B_at_least_upper_change_TREND.jpg</vt:lpwstr>
      </vt:variant>
      <vt:variant>
        <vt:lpwstr/>
      </vt:variant>
      <vt:variant>
        <vt:i4>2949237</vt:i4>
      </vt:variant>
      <vt:variant>
        <vt:i4>38251</vt:i4>
      </vt:variant>
      <vt:variant>
        <vt:i4>1070</vt:i4>
      </vt:variant>
      <vt:variant>
        <vt:i4>1</vt:i4>
      </vt:variant>
      <vt:variant>
        <vt:lpwstr>\\s-eacea-fs03-p\EACEA.A7\Youth\04_Reports\a_EU_Youth_Reports\2018\03_graph\2_D_tertiary_attainment_TREND.jpg</vt:lpwstr>
      </vt:variant>
      <vt:variant>
        <vt:lpwstr/>
      </vt:variant>
      <vt:variant>
        <vt:i4>6815786</vt:i4>
      </vt:variant>
      <vt:variant>
        <vt:i4>38330</vt:i4>
      </vt:variant>
      <vt:variant>
        <vt:i4>1071</vt:i4>
      </vt:variant>
      <vt:variant>
        <vt:i4>1</vt:i4>
      </vt:variant>
      <vt:variant>
        <vt:lpwstr>\\s-eacea-fs03-p\EACEA.A7\Youth\04_Reports\a_EU_Youth_Reports\2018\03_graph\2_F_early_leavers_TREND.jpg</vt:lpwstr>
      </vt:variant>
      <vt:variant>
        <vt:lpwstr/>
      </vt:variant>
      <vt:variant>
        <vt:i4>3407950</vt:i4>
      </vt:variant>
      <vt:variant>
        <vt:i4>38416</vt:i4>
      </vt:variant>
      <vt:variant>
        <vt:i4>1072</vt:i4>
      </vt:variant>
      <vt:variant>
        <vt:i4>1</vt:i4>
      </vt:variant>
      <vt:variant>
        <vt:lpwstr>\\s-eacea-fs03-p\EACEA.A7\Youth\04_Reports\a_EU_Youth_Reports\2018\03_graph\2_I_non_formal_learning_gender.jpg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cp:lastPrinted>2017-11-08T10:30:00Z</cp:lastPrinted>
  <dcterms:created xsi:type="dcterms:W3CDTF">2018-04-27T12:35:00Z</dcterms:created>
  <dcterms:modified xsi:type="dcterms:W3CDTF">2018-05-18T07:27:00Z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7</vt:lpwstr>
  </property>
  <property fmtid="{D5CDD505-2E9C-101B-9397-08002B2CF9AE}" pid="5" name="DocStatus">
    <vt:lpwstr>Green</vt:lpwstr>
  </property>
</Properties>
</file>