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alt="64FA9EFD-D6FF-4C51-A4D2-C8D71AD7FD37" style="width:450.6pt;height:483.35pt">
            <v:imagedata r:id="rId9" o:title=""/>
          </v:shape>
        </w:pict>
      </w:r>
    </w:p>
    <w:bookmarkEnd w:id="0"/>
    <w:p>
      <w:pPr>
        <w:pStyle w:val="Pagedecouverture"/>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1"/>
          <w:cols w:space="720"/>
          <w:docGrid w:linePitch="360"/>
        </w:sectPr>
      </w:pPr>
    </w:p>
    <w:p>
      <w:pPr>
        <w:pStyle w:val="Yo0H1"/>
        <w:rPr>
          <w:noProof/>
          <w:lang w:val="en-GB"/>
        </w:rPr>
      </w:pPr>
      <w:bookmarkStart w:id="1" w:name="_Toc508380608"/>
      <w:bookmarkStart w:id="2" w:name="_GoBack"/>
      <w:bookmarkEnd w:id="2"/>
      <w:r>
        <w:rPr>
          <w:noProof/>
          <w:lang w:val="en-GB"/>
        </w:rPr>
        <w:lastRenderedPageBreak/>
        <w:t>8. Youth and the World</w:t>
      </w:r>
      <w:bookmarkEnd w:id="1"/>
    </w:p>
    <w:tbl>
      <w:tblPr>
        <w:tblpPr w:leftFromText="180" w:rightFromText="180" w:vertAnchor="text" w:horzAnchor="margin" w:tblpX="108" w:tblpY="100"/>
        <w:tblW w:w="5000" w:type="pct"/>
        <w:shd w:val="clear" w:color="auto" w:fill="FBD4B4"/>
        <w:tblLayout w:type="fixed"/>
        <w:tblCellMar>
          <w:top w:w="113" w:type="dxa"/>
          <w:bottom w:w="113" w:type="dxa"/>
        </w:tblCellMar>
        <w:tblLook w:val="04A0" w:firstRow="1" w:lastRow="0" w:firstColumn="1" w:lastColumn="0" w:noHBand="0" w:noVBand="1"/>
      </w:tblPr>
      <w:tblGrid>
        <w:gridCol w:w="7906"/>
        <w:gridCol w:w="2232"/>
      </w:tblGrid>
      <w:tr>
        <w:tc>
          <w:tcPr>
            <w:tcW w:w="3899" w:type="pct"/>
            <w:shd w:val="clear" w:color="auto" w:fill="FBD4B4"/>
            <w:vAlign w:val="center"/>
          </w:tcPr>
          <w:p>
            <w:pPr>
              <w:pStyle w:val="Yo5TextEUYouth"/>
              <w:framePr w:hSpace="0" w:wrap="auto" w:vAnchor="margin" w:hAnchor="text" w:xAlign="left" w:yAlign="inline"/>
              <w:rPr>
                <w:noProof/>
                <w:lang w:val="en-GB"/>
              </w:rPr>
            </w:pPr>
            <w:r>
              <w:rPr>
                <w:noProof/>
                <w:lang w:val="en-GB"/>
              </w:rPr>
              <w:t>EU youth indicators</w:t>
            </w:r>
          </w:p>
        </w:tc>
        <w:tc>
          <w:tcPr>
            <w:tcW w:w="1101" w:type="pct"/>
            <w:shd w:val="clear" w:color="auto" w:fill="FBD4B4"/>
            <w:vAlign w:val="center"/>
          </w:tcPr>
          <w:p>
            <w:pPr>
              <w:pStyle w:val="p90H2"/>
              <w:spacing w:before="0" w:after="0"/>
              <w:ind w:left="0" w:firstLine="0"/>
              <w:rPr>
                <w:noProof/>
                <w:sz w:val="20"/>
              </w:rPr>
            </w:pPr>
          </w:p>
        </w:tc>
      </w:tr>
      <w:tr>
        <w:trPr>
          <w:trHeight w:val="400"/>
        </w:trPr>
        <w:tc>
          <w:tcPr>
            <w:tcW w:w="3899" w:type="pct"/>
            <w:shd w:val="clear" w:color="auto" w:fill="FBD4B4"/>
          </w:tcPr>
          <w:p>
            <w:pPr>
              <w:pStyle w:val="Yo5TextEUYouthTOC"/>
              <w:framePr w:hSpace="0" w:wrap="auto" w:vAnchor="margin" w:hAnchor="text" w:xAlign="left" w:yAlign="inline"/>
            </w:pPr>
            <w:r>
              <w:t xml:space="preserve">Participation of young people in non-governmental organisations </w:t>
            </w:r>
          </w:p>
          <w:p>
            <w:pPr>
              <w:pStyle w:val="Yo5TextEUYouthTOC"/>
              <w:framePr w:hSpace="0" w:wrap="auto" w:vAnchor="margin" w:hAnchor="text" w:xAlign="left" w:yAlign="inline"/>
            </w:pPr>
            <w:r>
              <w:t>active in the domain of climate change/environmental issues</w:t>
            </w:r>
          </w:p>
        </w:tc>
        <w:tc>
          <w:tcPr>
            <w:tcW w:w="1101" w:type="pct"/>
            <w:shd w:val="clear" w:color="auto" w:fill="FBD4B4"/>
          </w:tcPr>
          <w:p>
            <w:pPr>
              <w:pStyle w:val="Yo5TextEUYouthTOC"/>
              <w:framePr w:hSpace="0" w:wrap="auto" w:vAnchor="margin" w:hAnchor="text" w:xAlign="left" w:yAlign="inline"/>
            </w:pPr>
            <w:r>
              <w:t>Figures 8-C and 8-E</w:t>
            </w:r>
          </w:p>
        </w:tc>
      </w:tr>
      <w:tr>
        <w:trPr>
          <w:trHeight w:val="398"/>
        </w:trPr>
        <w:tc>
          <w:tcPr>
            <w:tcW w:w="3899" w:type="pct"/>
            <w:shd w:val="clear" w:color="auto" w:fill="FBD4B4"/>
          </w:tcPr>
          <w:p>
            <w:pPr>
              <w:pStyle w:val="Yo5TextEUYouthTOC"/>
              <w:framePr w:hSpace="0" w:wrap="auto" w:vAnchor="margin" w:hAnchor="text" w:xAlign="left" w:yAlign="inline"/>
            </w:pPr>
            <w:r>
              <w:t xml:space="preserve">Participation of young people in non-governmental organisations </w:t>
            </w:r>
          </w:p>
          <w:p>
            <w:pPr>
              <w:pStyle w:val="Yo5TextEUYouthTOC"/>
              <w:framePr w:hSpace="0" w:wrap="auto" w:vAnchor="margin" w:hAnchor="text" w:xAlign="left" w:yAlign="inline"/>
            </w:pPr>
            <w:r>
              <w:t>promoting human rights or global development</w:t>
            </w:r>
          </w:p>
        </w:tc>
        <w:tc>
          <w:tcPr>
            <w:tcW w:w="1101" w:type="pct"/>
            <w:shd w:val="clear" w:color="auto" w:fill="FBD4B4"/>
          </w:tcPr>
          <w:p>
            <w:pPr>
              <w:pStyle w:val="Yo5TextEUYouthTOC"/>
              <w:framePr w:hSpace="0" w:wrap="auto" w:vAnchor="margin" w:hAnchor="text" w:xAlign="left" w:yAlign="inline"/>
            </w:pPr>
            <w:r>
              <w:t>Figure 8-D and 8-E</w:t>
            </w:r>
          </w:p>
        </w:tc>
      </w:tr>
      <w:tr>
        <w:trPr>
          <w:trHeight w:val="398"/>
        </w:trPr>
        <w:tc>
          <w:tcPr>
            <w:tcW w:w="3899" w:type="pct"/>
            <w:shd w:val="clear" w:color="auto" w:fill="FBD4B4"/>
          </w:tcPr>
          <w:p>
            <w:pPr>
              <w:pStyle w:val="Yo5TextEUYouthTOC"/>
              <w:framePr w:hSpace="0" w:wrap="auto" w:vAnchor="margin" w:hAnchor="text" w:xAlign="left" w:yAlign="inline"/>
            </w:pPr>
            <w:r>
              <w:t xml:space="preserve">Participation of young people in activities or projects aimed at </w:t>
            </w:r>
          </w:p>
          <w:p>
            <w:pPr>
              <w:pStyle w:val="Yo5TextEUYouthTOC"/>
              <w:framePr w:hSpace="0" w:wrap="auto" w:vAnchor="margin" w:hAnchor="text" w:xAlign="left" w:yAlign="inline"/>
            </w:pPr>
            <w:r>
              <w:t>fostering cooperation with youth from other continents</w:t>
            </w:r>
          </w:p>
        </w:tc>
        <w:tc>
          <w:tcPr>
            <w:tcW w:w="1101" w:type="pct"/>
            <w:shd w:val="clear" w:color="auto" w:fill="FBD4B4"/>
          </w:tcPr>
          <w:p>
            <w:pPr>
              <w:pStyle w:val="Yo5TextEUYouthTOC"/>
              <w:framePr w:hSpace="0" w:wrap="auto" w:vAnchor="margin" w:hAnchor="text" w:xAlign="left" w:yAlign="inline"/>
            </w:pPr>
            <w:r>
              <w:t>Figures 8-F and 8-G</w:t>
            </w:r>
          </w:p>
        </w:tc>
      </w:tr>
    </w:tbl>
    <w:p>
      <w:pPr>
        <w:pStyle w:val="Yo5TextNotes"/>
        <w:rPr>
          <w:noProof/>
          <w:lang w:val="en-GB"/>
        </w:rPr>
      </w:pPr>
    </w:p>
    <w:p>
      <w:pPr>
        <w:pStyle w:val="Yo5TextNotes"/>
        <w:rPr>
          <w:noProof/>
          <w:lang w:val="en-GB"/>
        </w:rPr>
      </w:pPr>
    </w:p>
    <w:p>
      <w:pPr>
        <w:rPr>
          <w:noProof/>
        </w:rPr>
      </w:pPr>
    </w:p>
    <w:p>
      <w:pPr>
        <w:pStyle w:val="Yo0H2"/>
        <w:rPr>
          <w:b w:val="0"/>
          <w:noProof/>
          <w:sz w:val="28"/>
          <w:szCs w:val="28"/>
          <w:lang w:val="en-GB"/>
        </w:rPr>
      </w:pPr>
      <w:r>
        <w:rPr>
          <w:noProof/>
          <w:lang w:val="en-GB"/>
        </w:rPr>
        <w:br w:type="page"/>
      </w:r>
      <w:bookmarkStart w:id="3" w:name="_Toc508380609"/>
      <w:r>
        <w:rPr>
          <w:b w:val="0"/>
          <w:noProof/>
          <w:sz w:val="28"/>
          <w:szCs w:val="28"/>
          <w:lang w:val="en-GB"/>
        </w:rPr>
        <w:lastRenderedPageBreak/>
        <w:t>8.1. Introduction</w:t>
      </w:r>
    </w:p>
    <w:p>
      <w:pPr>
        <w:pStyle w:val="Yo1Textpara"/>
        <w:rPr>
          <w:noProof/>
        </w:rPr>
      </w:pPr>
      <w:r>
        <w:rPr>
          <w:noProof/>
        </w:rPr>
        <w:t>Today’s young people are growing up in a world substantially different from the one in which their parents were raised. Globalisation shapes all aspects of their lives: they live in increasingly diverse societies, consume goods from around the world, are impacted by global culture, and have jobs in globally integrated economies. Globalisation affects not only young people’s work prospects, but also their identity, sense of citizenship and patterns of political engagement (</w:t>
      </w:r>
      <w:r>
        <w:rPr>
          <w:rStyle w:val="FootnoteReference"/>
          <w:noProof/>
        </w:rPr>
        <w:footnoteReference w:id="1"/>
      </w:r>
      <w:r>
        <w:rPr>
          <w:noProof/>
        </w:rPr>
        <w:t>) (see also Chapter 5). In this respect, their experiences have the potential to make them more prone to engage with global issues such as human rights, climate change or environmental protection (</w:t>
      </w:r>
      <w:r>
        <w:rPr>
          <w:rStyle w:val="FootnoteReference"/>
          <w:noProof/>
        </w:rPr>
        <w:footnoteReference w:id="2"/>
      </w:r>
      <w:r>
        <w:rPr>
          <w:noProof/>
        </w:rPr>
        <w:t>).</w:t>
      </w:r>
    </w:p>
    <w:p>
      <w:pPr>
        <w:pStyle w:val="Yo1Textpara"/>
        <w:rPr>
          <w:noProof/>
        </w:rPr>
      </w:pPr>
      <w:r>
        <w:rPr>
          <w:noProof/>
        </w:rPr>
        <w:t xml:space="preserve">Based on Eurobarometer surveys, this chapter therefore looks at the extent to which young Europeans are actually engaged with global issues, as well as at how much they participate in activities designed to foster cooperation between young people from different continents. </w:t>
      </w:r>
    </w:p>
    <w:p>
      <w:pPr>
        <w:pStyle w:val="Yo0H2"/>
        <w:rPr>
          <w:b w:val="0"/>
          <w:noProof/>
          <w:sz w:val="28"/>
          <w:szCs w:val="28"/>
          <w:lang w:val="en-GB"/>
        </w:rPr>
      </w:pPr>
      <w:r>
        <w:rPr>
          <w:b w:val="0"/>
          <w:noProof/>
          <w:sz w:val="28"/>
          <w:szCs w:val="28"/>
          <w:lang w:val="en-GB"/>
        </w:rPr>
        <w:t>8.2. Young people's engagement with global issues</w:t>
      </w:r>
    </w:p>
    <w:tbl>
      <w:tblPr>
        <w:tblpPr w:leftFromText="180" w:rightFromText="180" w:vertAnchor="text" w:horzAnchor="margin" w:tblpY="37"/>
        <w:tblOverlap w:val="never"/>
        <w:tblW w:w="0" w:type="auto"/>
        <w:tblLook w:val="04A0" w:firstRow="1" w:lastRow="0" w:firstColumn="1" w:lastColumn="0" w:noHBand="0" w:noVBand="1"/>
      </w:tblPr>
      <w:tblGrid>
        <w:gridCol w:w="533"/>
        <w:gridCol w:w="2835"/>
        <w:gridCol w:w="546"/>
        <w:gridCol w:w="2887"/>
      </w:tblGrid>
      <w:tr>
        <w:tc>
          <w:tcPr>
            <w:tcW w:w="6753" w:type="dxa"/>
            <w:gridSpan w:val="4"/>
            <w:shd w:val="clear" w:color="auto" w:fill="auto"/>
            <w:vAlign w:val="center"/>
          </w:tcPr>
          <w:p>
            <w:pPr>
              <w:pStyle w:val="Yo5TextNotesbeforeafter"/>
              <w:jc w:val="left"/>
              <w:rPr>
                <w:b/>
                <w:noProof/>
                <w:lang w:val="en-GB"/>
              </w:rPr>
            </w:pPr>
            <w:r>
              <w:rPr>
                <w:rFonts w:eastAsia="Cambria" w:cs="Calibri"/>
                <w:b/>
                <w:bCs/>
                <w:noProof/>
                <w:snapToGrid/>
                <w:color w:val="7F7F7F"/>
                <w:w w:val="80"/>
                <w:sz w:val="22"/>
                <w:szCs w:val="22"/>
                <w:lang w:val="en-GB"/>
              </w:rPr>
              <w:t>Figure 8-A</w:t>
            </w:r>
            <w:r>
              <w:rPr>
                <w:rFonts w:eastAsia="Cambria" w:cs="Calibri"/>
                <w:bCs/>
                <w:noProof/>
                <w:snapToGrid/>
                <w:color w:val="7F7F7F"/>
                <w:w w:val="80"/>
                <w:sz w:val="22"/>
                <w:szCs w:val="22"/>
                <w:lang w:val="en-GB"/>
              </w:rPr>
              <w:t>: Young people's opinions regarding climate change and support for global development, ages 15-24, EU-28 average, 2015</w:t>
            </w:r>
          </w:p>
        </w:tc>
      </w:tr>
      <w:tr>
        <w:tc>
          <w:tcPr>
            <w:tcW w:w="3368" w:type="dxa"/>
            <w:gridSpan w:val="2"/>
            <w:shd w:val="clear" w:color="auto" w:fill="auto"/>
            <w:vAlign w:val="center"/>
          </w:tcPr>
          <w:p>
            <w:pPr>
              <w:pStyle w:val="Yo5TextNotesbeforeafter"/>
              <w:jc w:val="center"/>
              <w:rPr>
                <w:b/>
                <w:noProof/>
                <w:sz w:val="16"/>
                <w:lang w:val="en-GB"/>
              </w:rPr>
            </w:pPr>
            <w:r>
              <w:rPr>
                <w:b/>
                <w:noProof/>
                <w:sz w:val="16"/>
                <w:lang w:val="en-GB"/>
              </w:rPr>
              <w:t>Climate change</w:t>
            </w:r>
          </w:p>
        </w:tc>
        <w:tc>
          <w:tcPr>
            <w:tcW w:w="3385" w:type="dxa"/>
            <w:gridSpan w:val="2"/>
            <w:shd w:val="clear" w:color="auto" w:fill="auto"/>
            <w:vAlign w:val="center"/>
          </w:tcPr>
          <w:p>
            <w:pPr>
              <w:pStyle w:val="Yo5TextNotesbeforeafter"/>
              <w:jc w:val="center"/>
              <w:rPr>
                <w:b/>
                <w:noProof/>
                <w:sz w:val="16"/>
                <w:lang w:val="en-GB"/>
              </w:rPr>
            </w:pPr>
            <w:r>
              <w:rPr>
                <w:b/>
                <w:noProof/>
                <w:sz w:val="16"/>
                <w:lang w:val="en-GB"/>
              </w:rPr>
              <w:t>Global development</w:t>
            </w:r>
          </w:p>
        </w:tc>
      </w:tr>
      <w:tr>
        <w:tc>
          <w:tcPr>
            <w:tcW w:w="3368" w:type="dxa"/>
            <w:gridSpan w:val="2"/>
            <w:shd w:val="clear" w:color="auto" w:fill="auto"/>
            <w:vAlign w:val="center"/>
          </w:tcPr>
          <w:p>
            <w:pPr>
              <w:pStyle w:val="Yo5TextNotesbeforeafter"/>
              <w:jc w:val="center"/>
              <w:rPr>
                <w:noProof/>
                <w:lang w:val="en-GB"/>
              </w:rPr>
            </w:pPr>
            <w:r>
              <w:rPr>
                <w:noProof/>
                <w:snapToGrid/>
                <w:lang w:val="en-US"/>
              </w:rPr>
              <w:drawing>
                <wp:inline distT="0" distB="0" distL="0" distR="0">
                  <wp:extent cx="1676400" cy="1790700"/>
                  <wp:effectExtent l="0" t="0" r="0" b="0"/>
                  <wp:docPr id="2" name="Picture 2" descr="8_A_a_climate_opini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_A_a_climate_opinion_N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790700"/>
                          </a:xfrm>
                          <a:prstGeom prst="rect">
                            <a:avLst/>
                          </a:prstGeom>
                          <a:noFill/>
                          <a:ln>
                            <a:noFill/>
                          </a:ln>
                        </pic:spPr>
                      </pic:pic>
                    </a:graphicData>
                  </a:graphic>
                </wp:inline>
              </w:drawing>
            </w:r>
          </w:p>
        </w:tc>
        <w:tc>
          <w:tcPr>
            <w:tcW w:w="3385" w:type="dxa"/>
            <w:gridSpan w:val="2"/>
            <w:shd w:val="clear" w:color="auto" w:fill="auto"/>
            <w:vAlign w:val="center"/>
          </w:tcPr>
          <w:p>
            <w:pPr>
              <w:pStyle w:val="Yo5TextNotesbeforeafter"/>
              <w:jc w:val="center"/>
              <w:rPr>
                <w:noProof/>
                <w:lang w:val="en-GB"/>
              </w:rPr>
            </w:pPr>
            <w:r>
              <w:rPr>
                <w:noProof/>
                <w:snapToGrid/>
                <w:lang w:val="en-US"/>
              </w:rPr>
              <w:drawing>
                <wp:inline distT="0" distB="0" distL="0" distR="0">
                  <wp:extent cx="1676400" cy="1790700"/>
                  <wp:effectExtent l="0" t="0" r="0" b="0"/>
                  <wp:docPr id="3" name="Picture 3" descr="8_A_b_development_opini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_A_b_development_opinion_N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790700"/>
                          </a:xfrm>
                          <a:prstGeom prst="rect">
                            <a:avLst/>
                          </a:prstGeom>
                          <a:noFill/>
                          <a:ln>
                            <a:noFill/>
                          </a:ln>
                        </pic:spPr>
                      </pic:pic>
                    </a:graphicData>
                  </a:graphic>
                </wp:inline>
              </w:drawing>
            </w:r>
          </w:p>
        </w:tc>
      </w:tr>
      <w:tr>
        <w:trPr>
          <w:trHeight w:val="61"/>
        </w:trPr>
        <w:tc>
          <w:tcPr>
            <w:tcW w:w="533" w:type="dxa"/>
            <w:shd w:val="clear" w:color="auto" w:fill="auto"/>
          </w:tcPr>
          <w:p>
            <w:pPr>
              <w:pStyle w:val="Yo5TextNotesbeforeafter"/>
              <w:spacing w:after="0"/>
              <w:jc w:val="right"/>
              <w:rPr>
                <w:noProof/>
                <w:lang w:val="en-GB"/>
              </w:rPr>
            </w:pPr>
            <w:r>
              <w:rPr>
                <w:noProof/>
                <w:snapToGrid/>
                <w:lang w:val="en-US"/>
              </w:rPr>
              <w:drawing>
                <wp:inline distT="0" distB="0" distL="0" distR="0">
                  <wp:extent cx="161925" cy="165735"/>
                  <wp:effectExtent l="0" t="0" r="9525"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 cy="165735"/>
                          </a:xfrm>
                          <a:prstGeom prst="rect">
                            <a:avLst/>
                          </a:prstGeom>
                          <a:noFill/>
                        </pic:spPr>
                      </pic:pic>
                    </a:graphicData>
                  </a:graphic>
                </wp:inline>
              </w:drawing>
            </w:r>
          </w:p>
        </w:tc>
        <w:tc>
          <w:tcPr>
            <w:tcW w:w="2835" w:type="dxa"/>
            <w:shd w:val="clear" w:color="auto" w:fill="auto"/>
          </w:tcPr>
          <w:p>
            <w:pPr>
              <w:pStyle w:val="Yo5TextNotesbeforeafter"/>
              <w:rPr>
                <w:noProof/>
                <w:lang w:val="en-GB"/>
              </w:rPr>
            </w:pPr>
            <w:r>
              <w:rPr>
                <w:noProof/>
                <w:lang w:val="en-GB"/>
              </w:rPr>
              <w:t xml:space="preserve">Very serious </w:t>
            </w:r>
          </w:p>
        </w:tc>
        <w:tc>
          <w:tcPr>
            <w:tcW w:w="498" w:type="dxa"/>
            <w:shd w:val="clear" w:color="auto" w:fill="auto"/>
          </w:tcPr>
          <w:p>
            <w:pPr>
              <w:pStyle w:val="Yo5TextNotesbeforeafter"/>
              <w:jc w:val="right"/>
              <w:rPr>
                <w:noProof/>
                <w:lang w:val="en-GB"/>
              </w:rPr>
            </w:pPr>
            <w:r>
              <w:rPr>
                <w:noProof/>
                <w:snapToGrid/>
                <w:lang w:val="en-US"/>
              </w:rPr>
              <w:drawing>
                <wp:inline distT="0" distB="0" distL="0" distR="0">
                  <wp:extent cx="161925" cy="171450"/>
                  <wp:effectExtent l="19050" t="19050" r="28575"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w="6350" cmpd="sng">
                            <a:solidFill>
                              <a:srgbClr val="000000"/>
                            </a:solidFill>
                            <a:miter lim="800000"/>
                            <a:headEnd/>
                            <a:tailEnd/>
                          </a:ln>
                          <a:effectLst/>
                        </pic:spPr>
                      </pic:pic>
                    </a:graphicData>
                  </a:graphic>
                </wp:inline>
              </w:drawing>
            </w:r>
          </w:p>
        </w:tc>
        <w:tc>
          <w:tcPr>
            <w:tcW w:w="2887" w:type="dxa"/>
            <w:shd w:val="clear" w:color="auto" w:fill="auto"/>
          </w:tcPr>
          <w:p>
            <w:pPr>
              <w:pStyle w:val="Yo5TextNotesbeforeafter"/>
              <w:rPr>
                <w:noProof/>
                <w:lang w:val="en-GB"/>
              </w:rPr>
            </w:pPr>
            <w:r>
              <w:rPr>
                <w:noProof/>
                <w:lang w:val="en-GB"/>
              </w:rPr>
              <w:t>Very important</w:t>
            </w:r>
          </w:p>
        </w:tc>
      </w:tr>
      <w:tr>
        <w:trPr>
          <w:trHeight w:val="59"/>
        </w:trPr>
        <w:tc>
          <w:tcPr>
            <w:tcW w:w="533" w:type="dxa"/>
            <w:shd w:val="clear" w:color="auto" w:fill="auto"/>
          </w:tcPr>
          <w:p>
            <w:pPr>
              <w:pStyle w:val="Yo5TextNotesbeforeafter"/>
              <w:spacing w:after="0"/>
              <w:jc w:val="right"/>
              <w:rPr>
                <w:noProof/>
                <w:lang w:val="en-GB"/>
              </w:rPr>
            </w:pPr>
            <w:r>
              <w:rPr>
                <w:noProof/>
                <w:snapToGrid/>
                <w:lang w:val="en-US"/>
              </w:rPr>
              <w:drawing>
                <wp:inline distT="0" distB="0" distL="0" distR="0">
                  <wp:extent cx="165735" cy="161925"/>
                  <wp:effectExtent l="0" t="0" r="571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 cy="161925"/>
                          </a:xfrm>
                          <a:prstGeom prst="rect">
                            <a:avLst/>
                          </a:prstGeom>
                          <a:noFill/>
                        </pic:spPr>
                      </pic:pic>
                    </a:graphicData>
                  </a:graphic>
                </wp:inline>
              </w:drawing>
            </w:r>
          </w:p>
        </w:tc>
        <w:tc>
          <w:tcPr>
            <w:tcW w:w="2835" w:type="dxa"/>
            <w:shd w:val="clear" w:color="auto" w:fill="auto"/>
          </w:tcPr>
          <w:p>
            <w:pPr>
              <w:pStyle w:val="Yo5TextNotesbeforeafter"/>
              <w:rPr>
                <w:noProof/>
                <w:lang w:val="en-GB"/>
              </w:rPr>
            </w:pPr>
            <w:r>
              <w:rPr>
                <w:noProof/>
                <w:lang w:val="en-GB"/>
              </w:rPr>
              <w:t>Fairly serious</w:t>
            </w:r>
          </w:p>
        </w:tc>
        <w:tc>
          <w:tcPr>
            <w:tcW w:w="498" w:type="dxa"/>
            <w:shd w:val="clear" w:color="auto" w:fill="auto"/>
          </w:tcPr>
          <w:p>
            <w:pPr>
              <w:pStyle w:val="Yo5TextNotesbeforeafter"/>
              <w:jc w:val="right"/>
              <w:rPr>
                <w:noProof/>
                <w:lang w:val="en-GB"/>
              </w:rPr>
            </w:pPr>
            <w:r>
              <w:rPr>
                <w:noProof/>
                <w:snapToGrid/>
                <w:lang w:val="en-US"/>
              </w:rPr>
              <w:drawing>
                <wp:inline distT="0" distB="0" distL="0" distR="0">
                  <wp:extent cx="161925" cy="161925"/>
                  <wp:effectExtent l="19050" t="19050" r="28575"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w="6350" cmpd="sng">
                            <a:solidFill>
                              <a:srgbClr val="000000"/>
                            </a:solidFill>
                            <a:miter lim="800000"/>
                            <a:headEnd/>
                            <a:tailEnd/>
                          </a:ln>
                          <a:effectLst/>
                        </pic:spPr>
                      </pic:pic>
                    </a:graphicData>
                  </a:graphic>
                </wp:inline>
              </w:drawing>
            </w:r>
          </w:p>
        </w:tc>
        <w:tc>
          <w:tcPr>
            <w:tcW w:w="2887" w:type="dxa"/>
            <w:shd w:val="clear" w:color="auto" w:fill="auto"/>
          </w:tcPr>
          <w:p>
            <w:pPr>
              <w:pStyle w:val="Yo5TextNotesbeforeafter"/>
              <w:rPr>
                <w:noProof/>
                <w:lang w:val="en-GB"/>
              </w:rPr>
            </w:pPr>
            <w:r>
              <w:rPr>
                <w:noProof/>
                <w:lang w:val="en-GB"/>
              </w:rPr>
              <w:t>Fairly important</w:t>
            </w:r>
          </w:p>
        </w:tc>
      </w:tr>
      <w:tr>
        <w:trPr>
          <w:trHeight w:val="59"/>
        </w:trPr>
        <w:tc>
          <w:tcPr>
            <w:tcW w:w="533" w:type="dxa"/>
            <w:shd w:val="clear" w:color="auto" w:fill="auto"/>
          </w:tcPr>
          <w:p>
            <w:pPr>
              <w:pStyle w:val="Yo5TextNotesbeforeafter"/>
              <w:spacing w:after="0"/>
              <w:jc w:val="right"/>
              <w:rPr>
                <w:noProof/>
                <w:lang w:val="en-GB"/>
              </w:rPr>
            </w:pPr>
            <w:r>
              <w:rPr>
                <w:noProof/>
                <w:snapToGrid/>
                <w:lang w:val="en-US"/>
              </w:rPr>
              <w:drawing>
                <wp:inline distT="0" distB="0" distL="0" distR="0">
                  <wp:extent cx="165735" cy="161290"/>
                  <wp:effectExtent l="0" t="0" r="571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 cy="161290"/>
                          </a:xfrm>
                          <a:prstGeom prst="rect">
                            <a:avLst/>
                          </a:prstGeom>
                          <a:noFill/>
                        </pic:spPr>
                      </pic:pic>
                    </a:graphicData>
                  </a:graphic>
                </wp:inline>
              </w:drawing>
            </w:r>
          </w:p>
        </w:tc>
        <w:tc>
          <w:tcPr>
            <w:tcW w:w="2835" w:type="dxa"/>
            <w:shd w:val="clear" w:color="auto" w:fill="auto"/>
          </w:tcPr>
          <w:p>
            <w:pPr>
              <w:pStyle w:val="Yo5TextNotesbeforeafter"/>
              <w:rPr>
                <w:noProof/>
                <w:lang w:val="en-GB"/>
              </w:rPr>
            </w:pPr>
            <w:r>
              <w:rPr>
                <w:noProof/>
                <w:lang w:val="en-GB"/>
              </w:rPr>
              <w:t>Not serious</w:t>
            </w:r>
          </w:p>
        </w:tc>
        <w:tc>
          <w:tcPr>
            <w:tcW w:w="498" w:type="dxa"/>
            <w:shd w:val="clear" w:color="auto" w:fill="auto"/>
          </w:tcPr>
          <w:p>
            <w:pPr>
              <w:pStyle w:val="Yo5TextNotesbeforeafter"/>
              <w:jc w:val="right"/>
              <w:rPr>
                <w:noProof/>
                <w:lang w:val="en-GB"/>
              </w:rPr>
            </w:pPr>
            <w:r>
              <w:rPr>
                <w:noProof/>
                <w:snapToGrid/>
                <w:lang w:val="en-US"/>
              </w:rPr>
              <w:drawing>
                <wp:inline distT="0" distB="0" distL="0" distR="0">
                  <wp:extent cx="161925" cy="161925"/>
                  <wp:effectExtent l="19050" t="19050" r="28575" b="285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w="6350" cmpd="sng">
                            <a:solidFill>
                              <a:srgbClr val="000000"/>
                            </a:solidFill>
                            <a:miter lim="800000"/>
                            <a:headEnd/>
                            <a:tailEnd/>
                          </a:ln>
                          <a:effectLst/>
                        </pic:spPr>
                      </pic:pic>
                    </a:graphicData>
                  </a:graphic>
                </wp:inline>
              </w:drawing>
            </w:r>
          </w:p>
        </w:tc>
        <w:tc>
          <w:tcPr>
            <w:tcW w:w="2887" w:type="dxa"/>
            <w:shd w:val="clear" w:color="auto" w:fill="auto"/>
          </w:tcPr>
          <w:p>
            <w:pPr>
              <w:pStyle w:val="Yo5TextNotesbeforeafter"/>
              <w:rPr>
                <w:noProof/>
                <w:lang w:val="en-GB"/>
              </w:rPr>
            </w:pPr>
            <w:r>
              <w:rPr>
                <w:noProof/>
                <w:lang w:val="en-GB"/>
              </w:rPr>
              <w:t>Not important</w:t>
            </w:r>
          </w:p>
        </w:tc>
      </w:tr>
      <w:tr>
        <w:trPr>
          <w:trHeight w:val="59"/>
        </w:trPr>
        <w:tc>
          <w:tcPr>
            <w:tcW w:w="533" w:type="dxa"/>
            <w:shd w:val="clear" w:color="auto" w:fill="auto"/>
          </w:tcPr>
          <w:p>
            <w:pPr>
              <w:pStyle w:val="Yo5TextNotesbeforeafter"/>
              <w:spacing w:after="0"/>
              <w:jc w:val="right"/>
              <w:rPr>
                <w:noProof/>
                <w:lang w:val="en-GB"/>
              </w:rPr>
            </w:pPr>
            <w:r>
              <w:rPr>
                <w:noProof/>
                <w:snapToGrid/>
                <w:lang w:val="en-US"/>
              </w:rPr>
              <w:drawing>
                <wp:inline distT="0" distB="0" distL="0" distR="0">
                  <wp:extent cx="165735" cy="163830"/>
                  <wp:effectExtent l="0" t="0" r="5715"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 cy="163830"/>
                          </a:xfrm>
                          <a:prstGeom prst="rect">
                            <a:avLst/>
                          </a:prstGeom>
                          <a:noFill/>
                        </pic:spPr>
                      </pic:pic>
                    </a:graphicData>
                  </a:graphic>
                </wp:inline>
              </w:drawing>
            </w:r>
          </w:p>
        </w:tc>
        <w:tc>
          <w:tcPr>
            <w:tcW w:w="2835" w:type="dxa"/>
            <w:shd w:val="clear" w:color="auto" w:fill="auto"/>
          </w:tcPr>
          <w:p>
            <w:pPr>
              <w:pStyle w:val="Yo5TextNotesbeforeafter"/>
              <w:rPr>
                <w:noProof/>
                <w:lang w:val="en-GB"/>
              </w:rPr>
            </w:pPr>
            <w:r>
              <w:rPr>
                <w:noProof/>
                <w:lang w:val="en-GB"/>
              </w:rPr>
              <w:t>No opinion</w:t>
            </w:r>
          </w:p>
        </w:tc>
        <w:tc>
          <w:tcPr>
            <w:tcW w:w="498" w:type="dxa"/>
            <w:shd w:val="clear" w:color="auto" w:fill="auto"/>
          </w:tcPr>
          <w:p>
            <w:pPr>
              <w:pStyle w:val="Yo5TextNotesbeforeafter"/>
              <w:jc w:val="center"/>
              <w:rPr>
                <w:noProof/>
                <w:lang w:val="en-GB"/>
              </w:rPr>
            </w:pPr>
            <w:r>
              <w:rPr>
                <w:noProof/>
                <w:snapToGrid/>
                <w:lang w:val="en-US"/>
              </w:rPr>
              <w:drawing>
                <wp:inline distT="0" distB="0" distL="0" distR="0">
                  <wp:extent cx="165735" cy="16383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735" cy="163830"/>
                          </a:xfrm>
                          <a:prstGeom prst="rect">
                            <a:avLst/>
                          </a:prstGeom>
                          <a:noFill/>
                        </pic:spPr>
                      </pic:pic>
                    </a:graphicData>
                  </a:graphic>
                </wp:inline>
              </w:drawing>
            </w:r>
          </w:p>
        </w:tc>
        <w:tc>
          <w:tcPr>
            <w:tcW w:w="2887" w:type="dxa"/>
            <w:shd w:val="clear" w:color="auto" w:fill="auto"/>
          </w:tcPr>
          <w:p>
            <w:pPr>
              <w:pStyle w:val="Yo5TextNotesbeforeafter"/>
              <w:rPr>
                <w:noProof/>
                <w:lang w:val="en-GB"/>
              </w:rPr>
            </w:pPr>
            <w:r>
              <w:rPr>
                <w:noProof/>
                <w:lang w:val="en-GB"/>
              </w:rPr>
              <w:t>No opinion</w:t>
            </w:r>
          </w:p>
        </w:tc>
      </w:tr>
      <w:tr>
        <w:tc>
          <w:tcPr>
            <w:tcW w:w="3368" w:type="dxa"/>
            <w:gridSpan w:val="2"/>
            <w:shd w:val="clear" w:color="auto" w:fill="auto"/>
          </w:tcPr>
          <w:p>
            <w:pPr>
              <w:pStyle w:val="Yo5TextNotesbeforeafter"/>
              <w:rPr>
                <w:noProof/>
                <w:lang w:val="en-GB"/>
              </w:rPr>
            </w:pPr>
            <w:r>
              <w:rPr>
                <w:i/>
                <w:noProof/>
                <w:lang w:val="en-GB"/>
              </w:rPr>
              <w:t>Notes</w:t>
            </w:r>
            <w:r>
              <w:rPr>
                <w:noProof/>
                <w:lang w:val="en-GB"/>
              </w:rPr>
              <w:t>: Question: 'How serious a problem do you think climate change is at this moment?'</w:t>
            </w:r>
          </w:p>
          <w:p>
            <w:pPr>
              <w:pStyle w:val="Yo5TextNotesbeforeafter"/>
              <w:rPr>
                <w:i/>
                <w:noProof/>
                <w:lang w:val="en-GB"/>
              </w:rPr>
            </w:pPr>
            <w:r>
              <w:rPr>
                <w:i/>
                <w:noProof/>
                <w:lang w:val="en-GB"/>
              </w:rPr>
              <w:t>Source:</w:t>
            </w:r>
            <w:r>
              <w:rPr>
                <w:noProof/>
                <w:lang w:val="en-GB"/>
              </w:rPr>
              <w:t xml:space="preserve"> Special Eurobarometer 83.4 'Climate Change', 2015.</w:t>
            </w:r>
          </w:p>
        </w:tc>
        <w:tc>
          <w:tcPr>
            <w:tcW w:w="3385" w:type="dxa"/>
            <w:gridSpan w:val="2"/>
            <w:shd w:val="clear" w:color="auto" w:fill="auto"/>
          </w:tcPr>
          <w:p>
            <w:pPr>
              <w:pStyle w:val="Yo5TextNotesbeforeafter"/>
              <w:rPr>
                <w:i/>
                <w:noProof/>
                <w:lang w:val="en-GB"/>
              </w:rPr>
            </w:pPr>
            <w:r>
              <w:rPr>
                <w:i/>
                <w:noProof/>
                <w:lang w:val="en-GB"/>
              </w:rPr>
              <w:t>Notes</w:t>
            </w:r>
            <w:r>
              <w:rPr>
                <w:noProof/>
                <w:lang w:val="en-GB"/>
              </w:rPr>
              <w:t>: Question: 'In your opinion, is it very important, fairly important, not very important or not at all important to help people in developing countries?'</w:t>
            </w:r>
            <w:r>
              <w:rPr>
                <w:i/>
                <w:noProof/>
                <w:lang w:val="en-GB"/>
              </w:rPr>
              <w:t xml:space="preserve"> </w:t>
            </w:r>
          </w:p>
          <w:p>
            <w:pPr>
              <w:pStyle w:val="Yo5TextNotesbeforeafter"/>
              <w:rPr>
                <w:noProof/>
                <w:lang w:val="en-GB"/>
              </w:rPr>
            </w:pPr>
            <w:r>
              <w:rPr>
                <w:i/>
                <w:noProof/>
                <w:lang w:val="en-GB"/>
              </w:rPr>
              <w:t>Source:</w:t>
            </w:r>
            <w:r>
              <w:rPr>
                <w:noProof/>
                <w:lang w:val="en-GB"/>
              </w:rPr>
              <w:t xml:space="preserve"> Special Eurobarometer 441 'EU Development Cooperation and Aid', 2015</w:t>
            </w:r>
          </w:p>
        </w:tc>
      </w:tr>
    </w:tbl>
    <w:p>
      <w:pPr>
        <w:pStyle w:val="Yo1Textpara"/>
        <w:rPr>
          <w:noProof/>
        </w:rPr>
      </w:pPr>
      <w:r>
        <w:rPr>
          <w:noProof/>
        </w:rPr>
        <w:t xml:space="preserve">Eurobarometer surveys exploring Europeans' opinions on global topics focus on two main challenges: on the one hand, climate change and its consequences for the environment; on the other, poverty and under-development affecting extensive regions of the world. Young Europeans report high levels of awareness of these issues, as indicated by the results displayed in Figure 8-A. Around 90 % of respondents see climate change as a serious problem, and attach great importance to aiding the development of poorer countries. </w:t>
      </w:r>
    </w:p>
    <w:p>
      <w:pPr>
        <w:pStyle w:val="Yo5TextNotesbeforeafter"/>
        <w:spacing w:before="160" w:line="300" w:lineRule="auto"/>
        <w:rPr>
          <w:rFonts w:ascii="Times New Roman" w:eastAsia="Calibri" w:hAnsi="Times New Roman" w:cs="Times New Roman"/>
          <w:noProof/>
          <w:snapToGrid/>
          <w:sz w:val="22"/>
          <w:szCs w:val="20"/>
          <w:lang w:val="en-GB" w:eastAsia="fr-BE"/>
        </w:rPr>
      </w:pPr>
      <w:r>
        <w:rPr>
          <w:rFonts w:ascii="Times New Roman" w:eastAsia="Calibri" w:hAnsi="Times New Roman" w:cs="Times New Roman"/>
          <w:noProof/>
          <w:snapToGrid/>
          <w:sz w:val="22"/>
          <w:szCs w:val="20"/>
          <w:lang w:val="en-GB" w:eastAsia="fr-BE"/>
        </w:rPr>
        <w:t>Against this background, the same surveys explored the inclination of young people to take action on these issues, in the form of small-scale, individual and everyday activities (Figure 8-B). Results show that a large proportion of young people are personally taking action to improve the environment and combat climate change.</w:t>
      </w:r>
      <w:r>
        <w:rPr>
          <w:rFonts w:ascii="Calibri" w:eastAsia="Calibri" w:hAnsi="Calibri" w:cs="Times New Roman"/>
          <w:noProof/>
          <w:snapToGrid/>
          <w:sz w:val="22"/>
          <w:szCs w:val="22"/>
          <w:lang w:val="en-GB"/>
        </w:rPr>
        <w:t xml:space="preserve"> </w:t>
      </w:r>
      <w:r>
        <w:rPr>
          <w:rFonts w:ascii="Times New Roman" w:eastAsia="Calibri" w:hAnsi="Times New Roman" w:cs="Times New Roman"/>
          <w:noProof/>
          <w:snapToGrid/>
          <w:sz w:val="22"/>
          <w:szCs w:val="20"/>
          <w:lang w:val="en-GB" w:eastAsia="fr-BE"/>
        </w:rPr>
        <w:t xml:space="preserve">The most common actions taken include reducing waste and recycling systematically, cutting down on disposable items (e.g. plastic bags and packaging), regularly opting for environmentally friendly ways of transport, and buying locally produced foods. </w:t>
      </w:r>
    </w:p>
    <w:tbl>
      <w:tblPr>
        <w:tblpPr w:leftFromText="180" w:rightFromText="180" w:vertAnchor="text" w:tblpY="1"/>
        <w:tblOverlap w:val="never"/>
        <w:tblW w:w="0" w:type="auto"/>
        <w:tblLook w:val="04A0" w:firstRow="1" w:lastRow="0" w:firstColumn="1" w:lastColumn="0" w:noHBand="0" w:noVBand="1"/>
      </w:tblPr>
      <w:tblGrid>
        <w:gridCol w:w="6216"/>
      </w:tblGrid>
      <w:tr>
        <w:tc>
          <w:tcPr>
            <w:tcW w:w="6201" w:type="dxa"/>
            <w:shd w:val="clear" w:color="auto" w:fill="auto"/>
          </w:tcPr>
          <w:p>
            <w:pPr>
              <w:pStyle w:val="Yo1Textpara"/>
              <w:rPr>
                <w:rFonts w:ascii="Verdana" w:eastAsia="Cambria" w:hAnsi="Verdana" w:cs="Calibri"/>
                <w:b/>
                <w:bCs/>
                <w:noProof/>
                <w:color w:val="7F7F7F"/>
                <w:w w:val="80"/>
                <w:szCs w:val="22"/>
                <w:lang w:eastAsia="en-US"/>
              </w:rPr>
            </w:pPr>
            <w:r>
              <w:rPr>
                <w:rFonts w:ascii="Verdana" w:eastAsia="Cambria" w:hAnsi="Verdana" w:cs="Calibri"/>
                <w:b/>
                <w:bCs/>
                <w:noProof/>
                <w:color w:val="7F7F7F"/>
                <w:w w:val="80"/>
                <w:szCs w:val="22"/>
                <w:lang w:eastAsia="en-US"/>
              </w:rPr>
              <w:t>Figure 8-B</w:t>
            </w:r>
            <w:r>
              <w:rPr>
                <w:rFonts w:ascii="Verdana" w:eastAsia="Cambria" w:hAnsi="Verdana" w:cs="Calibri"/>
                <w:bCs/>
                <w:noProof/>
                <w:color w:val="7F7F7F"/>
                <w:w w:val="80"/>
                <w:szCs w:val="22"/>
                <w:lang w:eastAsia="en-US"/>
              </w:rPr>
              <w:t>:</w:t>
            </w:r>
            <w:r>
              <w:rPr>
                <w:rFonts w:ascii="Verdana" w:eastAsia="Times New Roman" w:hAnsi="Verdana" w:cs="Arial"/>
                <w:b/>
                <w:noProof/>
                <w:snapToGrid w:val="0"/>
                <w:sz w:val="18"/>
                <w:szCs w:val="16"/>
                <w:lang w:eastAsia="en-US"/>
              </w:rPr>
              <w:t xml:space="preserve"> </w:t>
            </w:r>
            <w:r>
              <w:rPr>
                <w:rFonts w:ascii="Verdana" w:eastAsia="Cambria" w:hAnsi="Verdana" w:cs="Calibri"/>
                <w:bCs/>
                <w:noProof/>
                <w:color w:val="7F7F7F"/>
                <w:w w:val="80"/>
                <w:szCs w:val="22"/>
                <w:lang w:eastAsia="en-US"/>
              </w:rPr>
              <w:t>Specific actions by young people (aged 15-24) to combat climate change and support global development, EU-28, 2015</w:t>
            </w:r>
          </w:p>
        </w:tc>
      </w:tr>
      <w:tr>
        <w:tc>
          <w:tcPr>
            <w:tcW w:w="6201" w:type="dxa"/>
            <w:shd w:val="clear" w:color="auto" w:fill="auto"/>
          </w:tcPr>
          <w:p>
            <w:pPr>
              <w:pStyle w:val="Yo1Textpara"/>
              <w:ind w:left="2268"/>
              <w:rPr>
                <w:b/>
                <w:noProof/>
              </w:rPr>
            </w:pPr>
            <w:r>
              <w:rPr>
                <w:rFonts w:ascii="Verdana" w:eastAsia="Times New Roman" w:hAnsi="Verdana" w:cs="Arial"/>
                <w:b/>
                <w:noProof/>
                <w:snapToGrid w:val="0"/>
                <w:sz w:val="18"/>
                <w:szCs w:val="16"/>
                <w:lang w:eastAsia="en-US"/>
              </w:rPr>
              <w:t xml:space="preserve">Climate </w:t>
            </w:r>
            <w:r>
              <w:rPr>
                <w:rFonts w:ascii="Verdana" w:eastAsia="Times New Roman" w:hAnsi="Verdana" w:cs="Arial"/>
                <w:b/>
                <w:noProof/>
                <w:snapToGrid w:val="0"/>
                <w:sz w:val="18"/>
                <w:szCs w:val="16"/>
                <w:lang w:val="en-US" w:eastAsia="en-US"/>
              </w:rPr>
              <w:t>change</w:t>
            </w:r>
          </w:p>
        </w:tc>
      </w:tr>
      <w:tr>
        <w:tc>
          <w:tcPr>
            <w:tcW w:w="6201" w:type="dxa"/>
            <w:shd w:val="clear" w:color="auto" w:fill="auto"/>
          </w:tcPr>
          <w:p>
            <w:pPr>
              <w:pStyle w:val="Yo1Textpara"/>
              <w:spacing w:before="0"/>
              <w:rPr>
                <w:noProof/>
              </w:rPr>
            </w:pPr>
            <w:r>
              <w:rPr>
                <w:noProof/>
                <w:lang w:val="en-US" w:eastAsia="en-US"/>
              </w:rPr>
              <w:drawing>
                <wp:inline distT="0" distB="0" distL="0" distR="0">
                  <wp:extent cx="3800475" cy="2266950"/>
                  <wp:effectExtent l="0" t="0" r="9525" b="0"/>
                  <wp:docPr id="12" name="Picture 12" descr="8_B_specific_actions_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_B_specific_actions_clima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0475" cy="2266950"/>
                          </a:xfrm>
                          <a:prstGeom prst="rect">
                            <a:avLst/>
                          </a:prstGeom>
                          <a:noFill/>
                          <a:ln>
                            <a:noFill/>
                          </a:ln>
                        </pic:spPr>
                      </pic:pic>
                    </a:graphicData>
                  </a:graphic>
                </wp:inline>
              </w:drawing>
            </w:r>
          </w:p>
        </w:tc>
      </w:tr>
      <w:tr>
        <w:tc>
          <w:tcPr>
            <w:tcW w:w="6201" w:type="dxa"/>
            <w:shd w:val="clear" w:color="auto" w:fill="auto"/>
          </w:tcPr>
          <w:p>
            <w:pPr>
              <w:pStyle w:val="Yo1Textpara"/>
              <w:ind w:left="2268"/>
              <w:rPr>
                <w:noProof/>
              </w:rPr>
            </w:pPr>
            <w:r>
              <w:rPr>
                <w:rFonts w:ascii="Verdana" w:eastAsia="Times New Roman" w:hAnsi="Verdana" w:cs="Arial"/>
                <w:b/>
                <w:noProof/>
                <w:snapToGrid w:val="0"/>
                <w:sz w:val="18"/>
                <w:szCs w:val="16"/>
                <w:lang w:eastAsia="en-US"/>
              </w:rPr>
              <w:t>Global development</w:t>
            </w:r>
          </w:p>
        </w:tc>
      </w:tr>
      <w:tr>
        <w:tc>
          <w:tcPr>
            <w:tcW w:w="6201" w:type="dxa"/>
            <w:shd w:val="clear" w:color="auto" w:fill="auto"/>
          </w:tcPr>
          <w:p>
            <w:pPr>
              <w:pStyle w:val="Yo1Textpara"/>
              <w:spacing w:before="0"/>
              <w:rPr>
                <w:rFonts w:ascii="Verdana" w:eastAsia="Times New Roman" w:hAnsi="Verdana" w:cs="Arial"/>
                <w:b/>
                <w:noProof/>
                <w:snapToGrid w:val="0"/>
                <w:sz w:val="18"/>
                <w:szCs w:val="16"/>
                <w:lang w:eastAsia="en-US"/>
              </w:rPr>
            </w:pPr>
            <w:r>
              <w:rPr>
                <w:rFonts w:ascii="Verdana" w:eastAsia="Times New Roman" w:hAnsi="Verdana" w:cs="Arial"/>
                <w:b/>
                <w:noProof/>
                <w:sz w:val="18"/>
                <w:szCs w:val="16"/>
                <w:lang w:val="en-US" w:eastAsia="en-US"/>
              </w:rPr>
              <w:drawing>
                <wp:inline distT="0" distB="0" distL="0" distR="0">
                  <wp:extent cx="3800475" cy="2466975"/>
                  <wp:effectExtent l="0" t="0" r="9525" b="9525"/>
                  <wp:docPr id="13" name="Picture 13" descr="8_B_b_specific_actions_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_B_b_specific_actions_develop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0475" cy="2466975"/>
                          </a:xfrm>
                          <a:prstGeom prst="rect">
                            <a:avLst/>
                          </a:prstGeom>
                          <a:noFill/>
                          <a:ln>
                            <a:noFill/>
                          </a:ln>
                        </pic:spPr>
                      </pic:pic>
                    </a:graphicData>
                  </a:graphic>
                </wp:inline>
              </w:drawing>
            </w:r>
          </w:p>
        </w:tc>
      </w:tr>
      <w:tr>
        <w:tc>
          <w:tcPr>
            <w:tcW w:w="6201" w:type="dxa"/>
            <w:shd w:val="clear" w:color="auto" w:fill="auto"/>
          </w:tcPr>
          <w:p>
            <w:pPr>
              <w:pStyle w:val="Yo5TextNotesbeforeafter"/>
              <w:rPr>
                <w:noProof/>
                <w:snapToGrid/>
                <w:lang w:val="en-GB"/>
              </w:rPr>
            </w:pPr>
            <w:r>
              <w:rPr>
                <w:i/>
                <w:noProof/>
                <w:lang w:val="en-GB"/>
              </w:rPr>
              <w:t>Notes</w:t>
            </w:r>
            <w:r>
              <w:rPr>
                <w:noProof/>
                <w:lang w:val="en-GB"/>
              </w:rPr>
              <w:t xml:space="preserve">: Data on climate change – Question: Have you personally taken any action to fight climate change over the past six months? Which of the following actions, if any, apply to you? (Multiple answers possible)' </w:t>
            </w:r>
            <w:r>
              <w:rPr>
                <w:noProof/>
                <w:snapToGrid/>
                <w:lang w:val="en-GB"/>
              </w:rPr>
              <w:t>Source: Special Eurobarometer 83.4 'Climate Change', 2015.</w:t>
            </w:r>
          </w:p>
          <w:p>
            <w:pPr>
              <w:pStyle w:val="Yo5TextNotesbeforeafter"/>
              <w:rPr>
                <w:b/>
                <w:noProof/>
                <w:sz w:val="18"/>
                <w:lang w:val="en-GB"/>
              </w:rPr>
            </w:pPr>
            <w:r>
              <w:rPr>
                <w:noProof/>
                <w:snapToGrid/>
                <w:lang w:val="en-GB"/>
              </w:rPr>
              <w:t xml:space="preserve">Data on global development – </w:t>
            </w:r>
            <w:r>
              <w:rPr>
                <w:noProof/>
                <w:lang w:val="en-GB"/>
              </w:rPr>
              <w:t xml:space="preserve">Question: 'Regarding your personal involvement in helping developing countries, please let me know which of the following apply to you?' (Multiple answers possible). </w:t>
            </w:r>
            <w:r>
              <w:rPr>
                <w:noProof/>
                <w:snapToGrid/>
                <w:lang w:val="en-GB"/>
              </w:rPr>
              <w:t>Source: Special Eurobarometer 441 'EU Development Cooperation and Aid', 2015.</w:t>
            </w:r>
          </w:p>
        </w:tc>
      </w:tr>
    </w:tbl>
    <w:p>
      <w:pPr>
        <w:pStyle w:val="Yo1Textpara"/>
        <w:rPr>
          <w:noProof/>
        </w:rPr>
      </w:pPr>
      <w:r>
        <w:rPr>
          <w:noProof/>
        </w:rPr>
        <w:t xml:space="preserve">On the other hand, much smaller percentages of young respondents report committing to individual actions to foster global development. The highest proportion of young people (15 %) reported giving money to organisations and charities that provide help and relief to developing countries. However, when comparing the results from the two charts it has to be considered that lifestyle changes to protect the environment such as those covered by the survey on climate change are much easier – and less costly – to implement in daily life than committing time, energy and money to projects usually taking place in other parts of the world. </w:t>
      </w:r>
    </w:p>
    <w:p>
      <w:pPr>
        <w:pStyle w:val="Yo1Textpara"/>
        <w:rPr>
          <w:noProof/>
        </w:rPr>
      </w:pPr>
      <w:r>
        <w:rPr>
          <w:noProof/>
        </w:rPr>
        <w:t>In line with these findings, when it comes to young Europeans’ active engagement with more organised activities such as supporting or joining non-governmental organisations (NGOs) addressing global issues, their level of commitment is limited. Indeed, a recent Eurobarometer survey finds that only 5 % participate in NGOs active in the area of climate change or the environment, while 7 % do so in the areas of promoting human rights or global development (Figures 8-C and 8-D below). In contrast, according to the same survey, 13 % of young people in the EU-28 participate in NGOs aimed at improving their local community (</w:t>
      </w:r>
      <w:r>
        <w:rPr>
          <w:rStyle w:val="FootnoteReference"/>
          <w:noProof/>
        </w:rPr>
        <w:footnoteReference w:id="3"/>
      </w:r>
      <w:r>
        <w:rPr>
          <w:noProof/>
        </w:rPr>
        <w:t>).</w:t>
      </w:r>
    </w:p>
    <w:p>
      <w:pPr>
        <w:pStyle w:val="Yo1Textpara"/>
        <w:rPr>
          <w:noProof/>
        </w:rPr>
      </w:pPr>
    </w:p>
    <w:p>
      <w:pPr>
        <w:pStyle w:val="Yo1Textpara"/>
        <w:rPr>
          <w:noProof/>
        </w:rPr>
      </w:pPr>
    </w:p>
    <w:tbl>
      <w:tblPr>
        <w:tblpPr w:leftFromText="181" w:vertAnchor="text" w:horzAnchor="margin" w:tblpXSpec="right" w:tblpY="145"/>
        <w:tblOverlap w:val="never"/>
        <w:tblW w:w="0" w:type="auto"/>
        <w:shd w:val="clear" w:color="auto" w:fill="E5B8B7"/>
        <w:tblCellMar>
          <w:top w:w="28" w:type="dxa"/>
          <w:left w:w="142" w:type="dxa"/>
          <w:bottom w:w="28" w:type="dxa"/>
          <w:right w:w="142" w:type="dxa"/>
        </w:tblCellMar>
        <w:tblLook w:val="04A0" w:firstRow="1" w:lastRow="0" w:firstColumn="1" w:lastColumn="0" w:noHBand="0" w:noVBand="1"/>
      </w:tblPr>
      <w:tblGrid>
        <w:gridCol w:w="4155"/>
      </w:tblGrid>
      <w:tr>
        <w:trPr>
          <w:trHeight w:val="827"/>
        </w:trPr>
        <w:tc>
          <w:tcPr>
            <w:tcW w:w="4155" w:type="dxa"/>
            <w:shd w:val="clear" w:color="auto" w:fill="FFA3A4"/>
          </w:tcPr>
          <w:p>
            <w:pPr>
              <w:pStyle w:val="Yo12Encart"/>
              <w:spacing w:before="120" w:after="120"/>
              <w:rPr>
                <w:rFonts w:ascii="Arial Narrow" w:hAnsi="Arial Narrow"/>
                <w:i w:val="0"/>
                <w:noProof/>
                <w:sz w:val="22"/>
                <w:szCs w:val="22"/>
              </w:rPr>
            </w:pPr>
            <w:r>
              <w:rPr>
                <w:rFonts w:ascii="Arial Narrow" w:hAnsi="Arial Narrow"/>
                <w:i w:val="0"/>
                <w:noProof/>
                <w:sz w:val="22"/>
                <w:szCs w:val="22"/>
              </w:rPr>
              <w:t>Although a limited proportion of young Europeans are actively engaged in organisations pursuing global goals, a positive trend is apparent since 2011.</w:t>
            </w:r>
          </w:p>
        </w:tc>
      </w:tr>
    </w:tbl>
    <w:p>
      <w:pPr>
        <w:pStyle w:val="Yo1Textpara"/>
        <w:rPr>
          <w:noProof/>
        </w:rPr>
      </w:pPr>
      <w:r>
        <w:rPr>
          <w:noProof/>
        </w:rPr>
        <w:t>Looking at participation on a regional basis, Figures 8-C and 8-D show the Scandinavian countries to have the highest percentages of young people involved in NGOs addressing climate change/environmental issues and global development/human rights. Eastern European and Baltic Member States score much lower, while in Southern Europe the situation is mixed, with a few countries (Spain, Italy and, for human rights, Portugal) reporting very high rates of engagement.</w:t>
      </w:r>
    </w:p>
    <w:p>
      <w:pPr>
        <w:pStyle w:val="Yo5TitleFigure"/>
        <w:spacing w:after="0"/>
        <w:jc w:val="both"/>
      </w:pPr>
      <w:r>
        <w:rPr>
          <w:b/>
        </w:rPr>
        <w:t>Figure 8-C:</w:t>
      </w:r>
      <w:r>
        <w:t xml:space="preserve"> Participation of young people (aged 15-30) in non-governmental organisations active in the domain of climate change/environmental issues, self-reported participation in the 12 months preceding the survey, by country, 2011 and 2017,</w:t>
      </w:r>
      <w:r>
        <w:rPr>
          <w:rFonts w:ascii="Calibri" w:eastAsia="Calibri" w:hAnsi="Calibri" w:cs="Times New Roman"/>
          <w:bCs w:val="0"/>
          <w:color w:val="auto"/>
          <w:w w:val="100"/>
          <w:lang w:eastAsia="zh-CN"/>
        </w:rPr>
        <w:t xml:space="preserve"> </w:t>
      </w:r>
      <w:r>
        <w:t>and by sex, EU-28 average, 2017</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Pr>
          <w:p>
            <w:pPr>
              <w:pStyle w:val="Yo5TextNotes"/>
              <w:tabs>
                <w:tab w:val="clear" w:pos="1985"/>
                <w:tab w:val="left" w:pos="9289"/>
              </w:tabs>
              <w:ind w:left="217"/>
              <w:rPr>
                <w:noProof/>
                <w:lang w:val="en-GB"/>
              </w:rPr>
            </w:pPr>
            <w:r>
              <w:rPr>
                <w:noProof/>
                <w:lang w:val="en-GB"/>
              </w:rPr>
              <w:t>%</w:t>
            </w:r>
            <w:r>
              <w:rPr>
                <w:noProof/>
                <w:lang w:val="en-GB"/>
              </w:rPr>
              <w:tab/>
              <w:t>%</w:t>
            </w:r>
          </w:p>
          <w:p>
            <w:pPr>
              <w:pStyle w:val="Yo5TextNotes"/>
              <w:rPr>
                <w:noProof/>
                <w:lang w:val="en-GB"/>
              </w:rPr>
            </w:pPr>
            <w:r>
              <w:rPr>
                <w:noProof/>
                <w:snapToGrid/>
                <w:lang w:val="en-US"/>
              </w:rPr>
              <mc:AlternateContent>
                <mc:Choice Requires="wps">
                  <w:drawing>
                    <wp:anchor distT="0" distB="0" distL="114300" distR="114300" simplePos="0" relativeHeight="251637760" behindDoc="0" locked="0" layoutInCell="1" allowOverlap="1">
                      <wp:simplePos x="0" y="0"/>
                      <wp:positionH relativeFrom="column">
                        <wp:posOffset>4744720</wp:posOffset>
                      </wp:positionH>
                      <wp:positionV relativeFrom="paragraph">
                        <wp:posOffset>273050</wp:posOffset>
                      </wp:positionV>
                      <wp:extent cx="1110615" cy="1100455"/>
                      <wp:effectExtent l="10795" t="6350" r="12065" b="762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100455"/>
                              </a:xfrm>
                              <a:prstGeom prst="rect">
                                <a:avLst/>
                              </a:prstGeom>
                              <a:solidFill>
                                <a:srgbClr val="FFFFFF"/>
                              </a:solidFill>
                              <a:ln w="9525">
                                <a:solidFill>
                                  <a:srgbClr val="FFFFFF"/>
                                </a:solidFill>
                                <a:miter lim="800000"/>
                                <a:headEnd/>
                                <a:tailEnd/>
                              </a:ln>
                            </wps:spPr>
                            <wps:txbx>
                              <w:txbxContent>
                                <w:p>
                                  <w:pPr>
                                    <w:spacing w:after="0"/>
                                  </w:pPr>
                                  <w:r>
                                    <w:rPr>
                                      <w:noProof/>
                                      <w:lang w:val="en-US"/>
                                    </w:rPr>
                                    <w:drawing>
                                      <wp:inline distT="0" distB="0" distL="0" distR="0">
                                        <wp:extent cx="914400" cy="971550"/>
                                        <wp:effectExtent l="0" t="0" r="0" b="0"/>
                                        <wp:docPr id="91" name="Picture 91" descr="8_C_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_C_gen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3.6pt;margin-top:21.5pt;width:87.45pt;height:86.6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" strokecolor="white">
                      <v:textbox style="mso-fit-shape-to-text:t">
                        <w:txbxContent>
                          <w:p>
                            <w:pPr>
                              <w:spacing w:after="0"/>
                            </w:pPr>
                            <w:r>
                              <w:rPr>
                                <w:noProof/>
                                <w:lang w:val="en-US"/>
                              </w:rPr>
                              <w:drawing>
                                <wp:inline distT="0" distB="0" distL="0" distR="0">
                                  <wp:extent cx="914400" cy="971550"/>
                                  <wp:effectExtent l="0" t="0" r="0" b="0"/>
                                  <wp:docPr id="91" name="Picture 91" descr="8_C_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_C_gend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6181725" cy="2143125"/>
                  <wp:effectExtent l="0" t="0" r="9525" b="9525"/>
                  <wp:docPr id="14" name="Picture 14" descr="8_C_climate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_C_climate_chan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1725" cy="2143125"/>
                          </a:xfrm>
                          <a:prstGeom prst="rect">
                            <a:avLst/>
                          </a:prstGeom>
                          <a:noFill/>
                          <a:ln>
                            <a:noFill/>
                          </a:ln>
                        </pic:spPr>
                      </pic:pic>
                    </a:graphicData>
                  </a:graphic>
                </wp:inline>
              </w:drawing>
            </w:r>
          </w:p>
        </w:tc>
      </w:tr>
    </w:tbl>
    <w:p>
      <w:pPr>
        <w:pStyle w:val="Yo5TextNotesbeforeafter"/>
        <w:rPr>
          <w:noProof/>
          <w:lang w:val="en-GB"/>
        </w:rPr>
      </w:pPr>
      <w:r>
        <w:rPr>
          <w:i/>
          <w:noProof/>
          <w:lang w:val="en-GB"/>
        </w:rPr>
        <w:t>Notes</w:t>
      </w:r>
      <w:r>
        <w:rPr>
          <w:noProof/>
          <w:lang w:val="en-GB"/>
        </w:rPr>
        <w:t xml:space="preserve">: Question: 'Have you in the past year participated in any activities of the following organisations?' </w:t>
      </w:r>
    </w:p>
    <w:p>
      <w:pPr>
        <w:pStyle w:val="Yo5TextNotesbeforeafter"/>
        <w:rPr>
          <w:noProof/>
          <w:lang w:val="en-GB"/>
        </w:rPr>
      </w:pPr>
      <w:r>
        <w:rPr>
          <w:noProof/>
          <w:lang w:val="en-GB"/>
        </w:rPr>
        <w:t>Answers: 'An organisation active in the domains of global climate change/global warming' (2011), ‘An organisation active in the domain of climate change/environmental issues' (2017) (multiple answers possible).</w:t>
      </w:r>
    </w:p>
    <w:p>
      <w:pPr>
        <w:pStyle w:val="Yo5TextNotesbeforeafter"/>
        <w:rPr>
          <w:noProof/>
          <w:lang w:val="en-GB"/>
        </w:rPr>
      </w:pPr>
      <w:r>
        <w:rPr>
          <w:noProof/>
          <w:lang w:val="en-GB"/>
        </w:rPr>
        <w:t>Base: all respondents, % of ‘yes’ answers by country, EU-27 (2011) and EU-28 (2017).</w:t>
      </w:r>
    </w:p>
    <w:p>
      <w:pPr>
        <w:pStyle w:val="Yo5TextNotesbeforeafter"/>
        <w:rPr>
          <w:noProof/>
          <w:lang w:val="en-GB"/>
        </w:rPr>
      </w:pPr>
      <w:r>
        <w:rPr>
          <w:i/>
          <w:noProof/>
          <w:lang w:val="en-GB"/>
        </w:rPr>
        <w:t>Source</w:t>
      </w:r>
      <w:r>
        <w:rPr>
          <w:noProof/>
          <w:lang w:val="en-GB"/>
        </w:rPr>
        <w:t>: Flash Eurobarometer 319a, 'Youth on the Move', 2011 and Flash Eurobarometer 455, 'European Youth', 2017.</w:t>
      </w:r>
    </w:p>
    <w:p>
      <w:pPr>
        <w:pStyle w:val="Yo1Textpara"/>
        <w:rPr>
          <w:noProof/>
        </w:rPr>
      </w:pPr>
      <w:r>
        <w:rPr>
          <w:noProof/>
        </w:rPr>
        <w:t>Specifically for climate change/environmental issues (Figure 8-C above), Spain and Sweden report the highest percentages of young people active in organisations. At the other end of the spectrum, Croatia, Lithuania, Malta and Slovakia show the lowest rates with only 1 % of young people active in these areas. Overall figures have risen since 2011, especially in Czech Republic and Spain, where rates increased fivefold. In contrast, in a few countries (France, Lithuania, and Malta) participation fell by a few percentage points during the period in question.</w:t>
      </w:r>
    </w:p>
    <w:p>
      <w:pPr>
        <w:pStyle w:val="Yo1Textpara"/>
        <w:rPr>
          <w:noProof/>
        </w:rPr>
      </w:pPr>
      <w:r>
        <w:rPr>
          <w:noProof/>
        </w:rPr>
        <w:t>As with climate change, a positive trend is evident in the rates of participation of young people in NGOs devoted to human rights and global development, which have increased during the past seven years (Figure 8-D).</w:t>
      </w:r>
    </w:p>
    <w:p>
      <w:pPr>
        <w:pStyle w:val="Yo5TitleFigure"/>
        <w:spacing w:after="0"/>
        <w:jc w:val="both"/>
        <w:rPr>
          <w:b/>
        </w:rPr>
      </w:pPr>
      <w:r>
        <w:rPr>
          <w:b/>
        </w:rPr>
        <w:br w:type="page"/>
        <w:t xml:space="preserve">Figure 8-D: </w:t>
      </w:r>
      <w:r>
        <w:t>Participation of young people (aged 15-30) in non-governmental organisations promoting human rights or global development, self-reported participation in the 12 months preceding the survey, by country, 2011 and 2017, and by sex, EU-28 average, 2017</w:t>
      </w:r>
    </w:p>
    <w:tbl>
      <w:tblPr>
        <w:tblpPr w:leftFromText="181" w:rightFromText="181" w:vertAnchor="text" w:tblpX="-424"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92"/>
        <w:gridCol w:w="9964"/>
      </w:tblGrid>
      <w:tr>
        <w:trPr>
          <w:trHeight w:val="520"/>
        </w:trPr>
        <w:tc>
          <w:tcPr>
            <w:tcW w:w="492" w:type="dxa"/>
            <w:shd w:val="clear" w:color="auto" w:fill="FB5F5F"/>
            <w:textDirection w:val="btLr"/>
            <w:vAlign w:val="bottom"/>
          </w:tcPr>
          <w:p>
            <w:pPr>
              <w:pStyle w:val="Yo13YouthIndicator"/>
              <w:jc w:val="center"/>
              <w:rPr>
                <w:noProof/>
                <w:lang w:eastAsia="fr-BE"/>
              </w:rPr>
            </w:pPr>
            <w:r>
              <w:rPr>
                <w:noProof/>
              </w:rPr>
              <w:t>EU youth indicator</w:t>
            </w:r>
          </w:p>
        </w:tc>
        <w:tc>
          <w:tcPr>
            <w:tcW w:w="9964" w:type="dxa"/>
            <w:shd w:val="clear" w:color="auto" w:fill="auto"/>
          </w:tcPr>
          <w:p>
            <w:pPr>
              <w:pStyle w:val="Yo5TextNotes"/>
              <w:tabs>
                <w:tab w:val="clear" w:pos="1985"/>
                <w:tab w:val="left" w:pos="9289"/>
              </w:tabs>
              <w:ind w:left="217"/>
              <w:rPr>
                <w:noProof/>
                <w:lang w:val="en-GB"/>
              </w:rPr>
            </w:pPr>
            <w:r>
              <w:rPr>
                <w:noProof/>
                <w:lang w:val="en-GB"/>
              </w:rPr>
              <w:t>%</w:t>
            </w:r>
            <w:r>
              <w:rPr>
                <w:noProof/>
                <w:lang w:val="en-GB"/>
              </w:rPr>
              <w:tab/>
              <w:t>%</w:t>
            </w:r>
          </w:p>
          <w:p>
            <w:pPr>
              <w:pStyle w:val="Yo5TextNotes"/>
              <w:rPr>
                <w:noProof/>
                <w:lang w:val="en-GB"/>
              </w:rPr>
            </w:pPr>
            <w:r>
              <w:rPr>
                <w:noProof/>
                <w:snapToGrid/>
                <w:lang w:val="en-US"/>
              </w:rPr>
              <mc:AlternateContent>
                <mc:Choice Requires="wps">
                  <w:drawing>
                    <wp:anchor distT="0" distB="0" distL="114300" distR="114300" simplePos="0" relativeHeight="251629568" behindDoc="0" locked="0" layoutInCell="1" allowOverlap="1">
                      <wp:simplePos x="0" y="0"/>
                      <wp:positionH relativeFrom="column">
                        <wp:posOffset>4716780</wp:posOffset>
                      </wp:positionH>
                      <wp:positionV relativeFrom="paragraph">
                        <wp:posOffset>276860</wp:posOffset>
                      </wp:positionV>
                      <wp:extent cx="1009650" cy="1109345"/>
                      <wp:effectExtent l="11430" t="10160" r="7620" b="139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109345"/>
                              </a:xfrm>
                              <a:prstGeom prst="rect">
                                <a:avLst/>
                              </a:prstGeom>
                              <a:solidFill>
                                <a:srgbClr val="FFFFFF"/>
                              </a:solidFill>
                              <a:ln w="9525">
                                <a:solidFill>
                                  <a:srgbClr val="FFFFFF"/>
                                </a:solidFill>
                                <a:miter lim="800000"/>
                                <a:headEnd/>
                                <a:tailEnd/>
                              </a:ln>
                            </wps:spPr>
                            <wps:txbx>
                              <w:txbxContent>
                                <w:p>
                                  <w:r>
                                    <w:rPr>
                                      <w:noProof/>
                                      <w:lang w:val="en-US"/>
                                    </w:rPr>
                                    <w:drawing>
                                      <wp:inline distT="0" distB="0" distL="0" distR="0">
                                        <wp:extent cx="819150" cy="857250"/>
                                        <wp:effectExtent l="0" t="0" r="0" b="0"/>
                                        <wp:docPr id="92" name="Picture 92" descr="8_D_human_rights_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_D_human_rights_gen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71.4pt;margin-top:21.8pt;width:79.5pt;height:87.35pt;z-index:2516295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" strokecolor="white">
                      <v:textbox style="mso-fit-shape-to-text:t">
                        <w:txbxContent>
                          <w:p>
                            <w:r>
                              <w:rPr>
                                <w:noProof/>
                                <w:lang w:val="en-US"/>
                              </w:rPr>
                              <w:drawing>
                                <wp:inline distT="0" distB="0" distL="0" distR="0">
                                  <wp:extent cx="819150" cy="857250"/>
                                  <wp:effectExtent l="0" t="0" r="0" b="0"/>
                                  <wp:docPr id="92" name="Picture 92" descr="8_D_human_rights_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_D_human_rights_gen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6181725" cy="2143125"/>
                  <wp:effectExtent l="0" t="0" r="9525" b="9525"/>
                  <wp:docPr id="15" name="Picture 15" descr="8_D_human_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_D_human_righ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1725" cy="2143125"/>
                          </a:xfrm>
                          <a:prstGeom prst="rect">
                            <a:avLst/>
                          </a:prstGeom>
                          <a:noFill/>
                          <a:ln>
                            <a:noFill/>
                          </a:ln>
                        </pic:spPr>
                      </pic:pic>
                    </a:graphicData>
                  </a:graphic>
                </wp:inline>
              </w:drawing>
            </w:r>
          </w:p>
        </w:tc>
      </w:tr>
    </w:tbl>
    <w:p>
      <w:pPr>
        <w:pStyle w:val="Yo5TextNotesbeforeafter"/>
        <w:rPr>
          <w:noProof/>
          <w:lang w:val="en-GB"/>
        </w:rPr>
      </w:pPr>
      <w:r>
        <w:rPr>
          <w:i/>
          <w:noProof/>
          <w:lang w:val="en-GB"/>
        </w:rPr>
        <w:t>Notes</w:t>
      </w:r>
      <w:r>
        <w:rPr>
          <w:noProof/>
          <w:lang w:val="en-GB"/>
        </w:rPr>
        <w:t xml:space="preserve">: Question: 'Have you in the past year participated in any activities of the following organisations? </w:t>
      </w:r>
    </w:p>
    <w:p>
      <w:pPr>
        <w:pStyle w:val="Yo5TextNotesbeforeafter"/>
        <w:rPr>
          <w:noProof/>
          <w:lang w:val="en-GB"/>
        </w:rPr>
      </w:pPr>
      <w:r>
        <w:rPr>
          <w:noProof/>
          <w:lang w:val="en-GB"/>
        </w:rPr>
        <w:t>Answer: An organisation promoting human rights or global development' (multiple answers possible).</w:t>
      </w:r>
    </w:p>
    <w:p>
      <w:pPr>
        <w:pStyle w:val="Yo5TextNotesbeforeafter"/>
        <w:rPr>
          <w:noProof/>
          <w:lang w:val="en-GB"/>
        </w:rPr>
      </w:pPr>
      <w:r>
        <w:rPr>
          <w:noProof/>
          <w:lang w:val="en-GB"/>
        </w:rPr>
        <w:t>Base: All respondents, % of ‘yes’ answers by country, EU-27 (2011) and EU-28 (2017).</w:t>
      </w:r>
    </w:p>
    <w:p>
      <w:pPr>
        <w:pStyle w:val="Yo5TextNotesbeforeafter"/>
        <w:rPr>
          <w:noProof/>
          <w:lang w:val="en-GB"/>
        </w:rPr>
      </w:pPr>
      <w:r>
        <w:rPr>
          <w:i/>
          <w:noProof/>
          <w:lang w:val="en-GB"/>
        </w:rPr>
        <w:t>Source</w:t>
      </w:r>
      <w:r>
        <w:rPr>
          <w:noProof/>
          <w:lang w:val="en-GB"/>
        </w:rPr>
        <w:t>: Flash Eurobarometer 319a, 'Youth on the Move', 2011 and Flash Eurobarometer 455, 'European Youth', 2017.</w:t>
      </w:r>
    </w:p>
    <w:p>
      <w:pPr>
        <w:pStyle w:val="Yo5TextNotesbeforeafter"/>
        <w:rPr>
          <w:noProof/>
          <w:lang w:val="en-GB"/>
        </w:rPr>
      </w:pPr>
    </w:p>
    <w:p>
      <w:pPr>
        <w:pStyle w:val="Yo1Textpara"/>
        <w:rPr>
          <w:noProof/>
        </w:rPr>
      </w:pPr>
      <w:r>
        <w:rPr>
          <w:noProof/>
        </w:rPr>
        <w:t xml:space="preserve">The highest increases have taken place in Germany and Spain, where rates in 2017 were about four times higher than in 2011. A very significant rise has also occurred in Sweden, which has doubled its share of young people active in NGOs defending human rights and supporting global development – giving it the highest score of all EU Member States in 2017. In contrast, significant falls in young people's participation in NGOs in these areas occurred in France, Cyprus, Lithuania, Malta, the Netherlands and the United Kingdom. Data for the EU-28 indicate that young women and men are equally active in NGOs dealing with human rights and global issues. </w:t>
      </w:r>
    </w:p>
    <w:p>
      <w:pPr>
        <w:pStyle w:val="Yo1Textpara"/>
        <w:rPr>
          <w:noProof/>
        </w:rPr>
      </w:pPr>
      <w:r>
        <w:rPr>
          <w:noProof/>
        </w:rPr>
        <w:t xml:space="preserve">Figure 8-E shows the percentage increase in participation between 2011 and 2017 for climate change/environmental issues and human rights/global development. The increase for each field is the same in each age group but participation levels remain slightly lower for organisations dedicated to climate change/ environmental issues. </w:t>
      </w:r>
    </w:p>
    <w:p>
      <w:pPr>
        <w:pStyle w:val="Yo5TitleFigure"/>
        <w:spacing w:before="0"/>
        <w:jc w:val="both"/>
      </w:pPr>
      <w:r>
        <w:rPr>
          <w:b/>
        </w:rPr>
        <w:br w:type="page"/>
        <w:t>Figure 8-E:</w:t>
      </w:r>
      <w:r>
        <w:t xml:space="preserve"> Percentage increase in young people (aged 15-30) participating in non-governmental organisations active in the domains of climate change/environmental issues and human rights or global development in the 12 months preceding the survey, by age group, EU-28 average, 2017</w:t>
      </w:r>
    </w:p>
    <w:tbl>
      <w:tblPr>
        <w:tblW w:w="4240" w:type="pct"/>
        <w:tblLayout w:type="fixed"/>
        <w:tblLook w:val="04A0" w:firstRow="1" w:lastRow="0" w:firstColumn="1" w:lastColumn="0" w:noHBand="0" w:noVBand="1"/>
      </w:tblPr>
      <w:tblGrid>
        <w:gridCol w:w="459"/>
        <w:gridCol w:w="785"/>
        <w:gridCol w:w="849"/>
        <w:gridCol w:w="1146"/>
        <w:gridCol w:w="847"/>
        <w:gridCol w:w="465"/>
        <w:gridCol w:w="806"/>
        <w:gridCol w:w="987"/>
        <w:gridCol w:w="994"/>
        <w:gridCol w:w="900"/>
        <w:gridCol w:w="316"/>
      </w:tblGrid>
      <w:tr>
        <w:trPr>
          <w:trHeight w:val="262"/>
        </w:trPr>
        <w:tc>
          <w:tcPr>
            <w:tcW w:w="268" w:type="pct"/>
            <w:vMerge w:val="restart"/>
            <w:tcBorders>
              <w:top w:val="single" w:sz="4" w:space="0" w:color="auto"/>
              <w:left w:val="single" w:sz="4" w:space="0" w:color="auto"/>
              <w:bottom w:val="single" w:sz="4" w:space="0" w:color="auto"/>
              <w:right w:val="single" w:sz="4" w:space="0" w:color="auto"/>
            </w:tcBorders>
            <w:shd w:val="clear" w:color="auto" w:fill="FB5F5F"/>
            <w:textDirection w:val="btLr"/>
            <w:vAlign w:val="center"/>
          </w:tcPr>
          <w:p>
            <w:pPr>
              <w:pStyle w:val="Yo13YouthIndicator"/>
              <w:spacing w:before="240"/>
              <w:jc w:val="center"/>
              <w:rPr>
                <w:noProof/>
              </w:rPr>
            </w:pPr>
            <w:r>
              <w:rPr>
                <w:noProof/>
              </w:rPr>
              <w:t>EU youth indicator</w:t>
            </w:r>
          </w:p>
        </w:tc>
        <w:tc>
          <w:tcPr>
            <w:tcW w:w="2392" w:type="pct"/>
            <w:gridSpan w:val="5"/>
            <w:tcBorders>
              <w:top w:val="single" w:sz="4" w:space="0" w:color="auto"/>
              <w:left w:val="single" w:sz="4" w:space="0" w:color="auto"/>
              <w:right w:val="single" w:sz="4" w:space="0" w:color="auto"/>
            </w:tcBorders>
            <w:shd w:val="clear" w:color="auto" w:fill="auto"/>
          </w:tcPr>
          <w:p>
            <w:pPr>
              <w:pStyle w:val="Yo5TextNotes"/>
              <w:spacing w:before="240"/>
              <w:jc w:val="center"/>
              <w:rPr>
                <w:b/>
                <w:noProof/>
                <w:sz w:val="16"/>
                <w:lang w:val="en-GB"/>
              </w:rPr>
            </w:pPr>
            <w:r>
              <w:rPr>
                <w:b/>
                <w:noProof/>
                <w:sz w:val="16"/>
                <w:lang w:val="en-GB"/>
              </w:rPr>
              <w:t>Climate change/environmental issues</w:t>
            </w:r>
          </w:p>
        </w:tc>
        <w:tc>
          <w:tcPr>
            <w:tcW w:w="2340" w:type="pct"/>
            <w:gridSpan w:val="5"/>
            <w:tcBorders>
              <w:top w:val="single" w:sz="4" w:space="0" w:color="auto"/>
              <w:left w:val="single" w:sz="4" w:space="0" w:color="auto"/>
              <w:right w:val="single" w:sz="4" w:space="0" w:color="auto"/>
            </w:tcBorders>
            <w:shd w:val="clear" w:color="auto" w:fill="auto"/>
            <w:tcMar>
              <w:left w:w="57" w:type="dxa"/>
              <w:right w:w="57" w:type="dxa"/>
            </w:tcMar>
          </w:tcPr>
          <w:p>
            <w:pPr>
              <w:pStyle w:val="Yo5TextNotes"/>
              <w:tabs>
                <w:tab w:val="left" w:pos="936"/>
              </w:tabs>
              <w:spacing w:before="240"/>
              <w:ind w:left="181"/>
              <w:jc w:val="center"/>
              <w:rPr>
                <w:b/>
                <w:noProof/>
                <w:sz w:val="16"/>
                <w:lang w:val="en-GB"/>
              </w:rPr>
            </w:pPr>
            <w:r>
              <w:rPr>
                <w:b/>
                <w:noProof/>
                <w:sz w:val="16"/>
                <w:lang w:val="en-GB"/>
              </w:rPr>
              <w:t>Human rights or global development</w:t>
            </w:r>
          </w:p>
        </w:tc>
      </w:tr>
      <w:tr>
        <w:trPr>
          <w:trHeight w:val="172"/>
        </w:trPr>
        <w:tc>
          <w:tcPr>
            <w:tcW w:w="268" w:type="pct"/>
            <w:vMerge/>
            <w:tcBorders>
              <w:top w:val="single" w:sz="4" w:space="0" w:color="auto"/>
              <w:left w:val="single" w:sz="4" w:space="0" w:color="auto"/>
              <w:bottom w:val="single" w:sz="4" w:space="0" w:color="auto"/>
              <w:right w:val="single" w:sz="4" w:space="0" w:color="auto"/>
            </w:tcBorders>
            <w:shd w:val="clear" w:color="auto" w:fill="FB5F5F"/>
          </w:tcPr>
          <w:p>
            <w:pPr>
              <w:pStyle w:val="Yo5TextNotes"/>
              <w:jc w:val="center"/>
              <w:rPr>
                <w:b/>
                <w:noProof/>
                <w:lang w:val="en-GB"/>
              </w:rPr>
            </w:pPr>
          </w:p>
        </w:tc>
        <w:tc>
          <w:tcPr>
            <w:tcW w:w="2392" w:type="pct"/>
            <w:gridSpan w:val="5"/>
            <w:tcBorders>
              <w:left w:val="single" w:sz="4" w:space="0" w:color="auto"/>
              <w:bottom w:val="nil"/>
              <w:right w:val="single" w:sz="4" w:space="0" w:color="auto"/>
            </w:tcBorders>
            <w:shd w:val="clear" w:color="auto" w:fill="auto"/>
            <w:tcMar>
              <w:left w:w="57" w:type="dxa"/>
              <w:right w:w="28" w:type="dxa"/>
            </w:tcMar>
          </w:tcPr>
          <w:p>
            <w:pPr>
              <w:pStyle w:val="Yo5TextNotes"/>
              <w:jc w:val="left"/>
              <w:rPr>
                <w:b/>
                <w:noProof/>
                <w:lang w:val="en-GB"/>
              </w:rPr>
            </w:pPr>
            <w:r>
              <w:rPr>
                <w:b/>
                <w:noProof/>
                <w:lang w:val="en-GB"/>
              </w:rPr>
              <w:t xml:space="preserve">  %</w:t>
            </w:r>
          </w:p>
        </w:tc>
        <w:tc>
          <w:tcPr>
            <w:tcW w:w="2340" w:type="pct"/>
            <w:gridSpan w:val="5"/>
            <w:tcBorders>
              <w:left w:val="single" w:sz="4" w:space="0" w:color="auto"/>
              <w:bottom w:val="nil"/>
              <w:right w:val="single" w:sz="4" w:space="0" w:color="auto"/>
            </w:tcBorders>
            <w:shd w:val="clear" w:color="auto" w:fill="auto"/>
            <w:tcMar>
              <w:left w:w="57" w:type="dxa"/>
              <w:right w:w="57" w:type="dxa"/>
            </w:tcMar>
          </w:tcPr>
          <w:p>
            <w:pPr>
              <w:pStyle w:val="Yo5TextNotes"/>
              <w:jc w:val="left"/>
              <w:rPr>
                <w:b/>
                <w:noProof/>
                <w:lang w:val="en-GB"/>
              </w:rPr>
            </w:pPr>
            <w:r>
              <w:rPr>
                <w:noProof/>
                <w:lang w:val="en-GB"/>
              </w:rPr>
              <w:t xml:space="preserve">  </w:t>
            </w:r>
            <w:r>
              <w:rPr>
                <w:b/>
                <w:noProof/>
                <w:lang w:val="en-GB"/>
              </w:rPr>
              <w:t>%</w:t>
            </w:r>
          </w:p>
        </w:tc>
      </w:tr>
      <w:tr>
        <w:trPr>
          <w:trHeight w:val="3029"/>
        </w:trPr>
        <w:tc>
          <w:tcPr>
            <w:tcW w:w="268" w:type="pct"/>
            <w:vMerge/>
            <w:tcBorders>
              <w:top w:val="single" w:sz="4" w:space="0" w:color="auto"/>
              <w:left w:val="single" w:sz="4" w:space="0" w:color="auto"/>
              <w:bottom w:val="single" w:sz="4" w:space="0" w:color="auto"/>
              <w:right w:val="single" w:sz="4" w:space="0" w:color="auto"/>
            </w:tcBorders>
            <w:shd w:val="clear" w:color="auto" w:fill="FB5F5F"/>
          </w:tcPr>
          <w:p>
            <w:pPr>
              <w:pStyle w:val="Yo5TextNotes"/>
              <w:jc w:val="center"/>
              <w:rPr>
                <w:b/>
                <w:noProof/>
                <w:lang w:val="en-GB"/>
              </w:rPr>
            </w:pPr>
          </w:p>
        </w:tc>
        <w:tc>
          <w:tcPr>
            <w:tcW w:w="2392" w:type="pct"/>
            <w:gridSpan w:val="5"/>
            <w:tcBorders>
              <w:left w:val="single" w:sz="4" w:space="0" w:color="auto"/>
              <w:bottom w:val="nil"/>
              <w:right w:val="single" w:sz="4" w:space="0" w:color="auto"/>
            </w:tcBorders>
            <w:shd w:val="clear" w:color="auto" w:fill="auto"/>
            <w:tcMar>
              <w:left w:w="57" w:type="dxa"/>
              <w:right w:w="28" w:type="dxa"/>
            </w:tcMar>
            <w:vAlign w:val="center"/>
          </w:tcPr>
          <w:p>
            <w:pPr>
              <w:pStyle w:val="Yo5TextNotes"/>
              <w:jc w:val="left"/>
              <w:rPr>
                <w:noProof/>
                <w:lang w:val="en-GB"/>
              </w:rPr>
            </w:pPr>
            <w:r>
              <w:rPr>
                <w:noProof/>
                <w:snapToGrid/>
                <w:lang w:val="en-US"/>
              </w:rPr>
              <w:drawing>
                <wp:inline distT="0" distB="0" distL="0" distR="0">
                  <wp:extent cx="2276475" cy="1895475"/>
                  <wp:effectExtent l="0" t="0" r="9525" b="9525"/>
                  <wp:docPr id="16" name="Picture 16" descr="8_E_a_climate_change_age_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_E_a_climate_change_age_group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inline>
              </w:drawing>
            </w:r>
          </w:p>
        </w:tc>
        <w:tc>
          <w:tcPr>
            <w:tcW w:w="2340" w:type="pct"/>
            <w:gridSpan w:val="5"/>
            <w:tcBorders>
              <w:left w:val="single" w:sz="4" w:space="0" w:color="auto"/>
              <w:bottom w:val="nil"/>
              <w:right w:val="single" w:sz="4" w:space="0" w:color="auto"/>
            </w:tcBorders>
            <w:shd w:val="clear" w:color="auto" w:fill="auto"/>
            <w:tcMar>
              <w:left w:w="57" w:type="dxa"/>
              <w:right w:w="57" w:type="dxa"/>
            </w:tcMar>
          </w:tcPr>
          <w:p>
            <w:pPr>
              <w:pStyle w:val="Yo5TextNotes"/>
              <w:rPr>
                <w:noProof/>
                <w:lang w:val="en-GB"/>
              </w:rPr>
            </w:pPr>
            <w:r>
              <w:rPr>
                <w:noProof/>
                <w:snapToGrid/>
                <w:lang w:val="en-US"/>
              </w:rPr>
              <w:drawing>
                <wp:inline distT="0" distB="0" distL="0" distR="0">
                  <wp:extent cx="2409825" cy="1924050"/>
                  <wp:effectExtent l="0" t="0" r="9525" b="0"/>
                  <wp:docPr id="17" name="Picture 17" descr="8_E_b_human_rights_age_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_E_b_human_rights_age_group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9825" cy="1924050"/>
                          </a:xfrm>
                          <a:prstGeom prst="rect">
                            <a:avLst/>
                          </a:prstGeom>
                          <a:noFill/>
                          <a:ln>
                            <a:noFill/>
                          </a:ln>
                        </pic:spPr>
                      </pic:pic>
                    </a:graphicData>
                  </a:graphic>
                </wp:inline>
              </w:drawing>
            </w:r>
          </w:p>
        </w:tc>
      </w:tr>
      <w:tr>
        <w:trPr>
          <w:trHeight w:val="241"/>
        </w:trPr>
        <w:tc>
          <w:tcPr>
            <w:tcW w:w="268" w:type="pct"/>
            <w:vMerge/>
            <w:tcBorders>
              <w:top w:val="single" w:sz="4" w:space="0" w:color="auto"/>
              <w:left w:val="single" w:sz="4" w:space="0" w:color="auto"/>
              <w:bottom w:val="single" w:sz="4" w:space="0" w:color="auto"/>
              <w:right w:val="single" w:sz="4" w:space="0" w:color="auto"/>
            </w:tcBorders>
            <w:shd w:val="clear" w:color="auto" w:fill="FB5F5F"/>
          </w:tcPr>
          <w:p>
            <w:pPr>
              <w:pStyle w:val="Yo5TextNotes"/>
              <w:jc w:val="center"/>
              <w:rPr>
                <w:b/>
                <w:noProof/>
                <w:sz w:val="16"/>
                <w:lang w:val="en-GB"/>
              </w:rPr>
            </w:pPr>
          </w:p>
        </w:tc>
        <w:tc>
          <w:tcPr>
            <w:tcW w:w="459" w:type="pct"/>
            <w:tcBorders>
              <w:left w:val="single" w:sz="4" w:space="0" w:color="auto"/>
            </w:tcBorders>
            <w:shd w:val="clear" w:color="auto" w:fill="auto"/>
            <w:vAlign w:val="center"/>
          </w:tcPr>
          <w:p>
            <w:pPr>
              <w:pStyle w:val="Yo5TextNotes"/>
              <w:rPr>
                <w:noProof/>
                <w:lang w:val="en-GB"/>
              </w:rPr>
            </w:pPr>
          </w:p>
        </w:tc>
        <w:tc>
          <w:tcPr>
            <w:tcW w:w="496" w:type="pct"/>
            <w:shd w:val="clear" w:color="auto" w:fill="auto"/>
          </w:tcPr>
          <w:p>
            <w:pPr>
              <w:pStyle w:val="Yo5TextNotes"/>
              <w:rPr>
                <w:b/>
                <w:noProof/>
                <w:sz w:val="16"/>
                <w:lang w:val="en-GB"/>
              </w:rPr>
            </w:pPr>
            <w:r>
              <w:rPr>
                <w:b/>
                <w:noProof/>
                <w:sz w:val="16"/>
                <w:lang w:val="en-GB"/>
              </w:rPr>
              <w:t>15-19</w:t>
            </w:r>
          </w:p>
        </w:tc>
        <w:tc>
          <w:tcPr>
            <w:tcW w:w="670" w:type="pct"/>
            <w:shd w:val="clear" w:color="auto" w:fill="auto"/>
          </w:tcPr>
          <w:p>
            <w:pPr>
              <w:pStyle w:val="Yo5TextNotes"/>
              <w:rPr>
                <w:b/>
                <w:noProof/>
                <w:sz w:val="16"/>
                <w:lang w:val="en-GB"/>
              </w:rPr>
            </w:pPr>
            <w:r>
              <w:rPr>
                <w:b/>
                <w:noProof/>
                <w:sz w:val="16"/>
                <w:lang w:val="en-GB"/>
              </w:rPr>
              <w:t xml:space="preserve">  20-24</w:t>
            </w:r>
          </w:p>
        </w:tc>
        <w:tc>
          <w:tcPr>
            <w:tcW w:w="495" w:type="pct"/>
            <w:shd w:val="clear" w:color="auto" w:fill="auto"/>
          </w:tcPr>
          <w:p>
            <w:pPr>
              <w:pStyle w:val="Yo5TextNotes"/>
              <w:rPr>
                <w:b/>
                <w:noProof/>
                <w:sz w:val="16"/>
                <w:lang w:val="en-GB"/>
              </w:rPr>
            </w:pPr>
            <w:r>
              <w:rPr>
                <w:b/>
                <w:noProof/>
                <w:sz w:val="16"/>
                <w:lang w:val="en-GB"/>
              </w:rPr>
              <w:t>25-30</w:t>
            </w:r>
          </w:p>
        </w:tc>
        <w:tc>
          <w:tcPr>
            <w:tcW w:w="272" w:type="pct"/>
            <w:tcBorders>
              <w:right w:val="single" w:sz="4" w:space="0" w:color="auto"/>
            </w:tcBorders>
            <w:shd w:val="clear" w:color="auto" w:fill="auto"/>
            <w:vAlign w:val="center"/>
          </w:tcPr>
          <w:p>
            <w:pPr>
              <w:pStyle w:val="Yo5TextNotes"/>
              <w:rPr>
                <w:noProof/>
                <w:lang w:val="en-GB"/>
              </w:rPr>
            </w:pPr>
          </w:p>
        </w:tc>
        <w:tc>
          <w:tcPr>
            <w:tcW w:w="471" w:type="pct"/>
            <w:tcBorders>
              <w:left w:val="single" w:sz="4" w:space="0" w:color="auto"/>
            </w:tcBorders>
            <w:shd w:val="clear" w:color="auto" w:fill="auto"/>
            <w:tcMar>
              <w:left w:w="57" w:type="dxa"/>
              <w:right w:w="57" w:type="dxa"/>
            </w:tcMar>
          </w:tcPr>
          <w:p>
            <w:pPr>
              <w:pStyle w:val="Yo5TextNotes"/>
              <w:rPr>
                <w:noProof/>
                <w:lang w:val="en-GB"/>
              </w:rPr>
            </w:pPr>
          </w:p>
        </w:tc>
        <w:tc>
          <w:tcPr>
            <w:tcW w:w="577" w:type="pct"/>
            <w:shd w:val="clear" w:color="auto" w:fill="auto"/>
          </w:tcPr>
          <w:p>
            <w:pPr>
              <w:pStyle w:val="Yo5TextNotes"/>
              <w:rPr>
                <w:noProof/>
                <w:lang w:val="en-GB"/>
              </w:rPr>
            </w:pPr>
            <w:r>
              <w:rPr>
                <w:b/>
                <w:noProof/>
                <w:sz w:val="16"/>
                <w:lang w:val="en-GB"/>
              </w:rPr>
              <w:t>15-19</w:t>
            </w:r>
          </w:p>
        </w:tc>
        <w:tc>
          <w:tcPr>
            <w:tcW w:w="581" w:type="pct"/>
            <w:shd w:val="clear" w:color="auto" w:fill="auto"/>
          </w:tcPr>
          <w:p>
            <w:pPr>
              <w:pStyle w:val="Yo5TextNotes"/>
              <w:rPr>
                <w:noProof/>
                <w:lang w:val="en-GB"/>
              </w:rPr>
            </w:pPr>
            <w:r>
              <w:rPr>
                <w:b/>
                <w:noProof/>
                <w:sz w:val="16"/>
                <w:lang w:val="en-GB"/>
              </w:rPr>
              <w:t xml:space="preserve">  20-24</w:t>
            </w:r>
          </w:p>
        </w:tc>
        <w:tc>
          <w:tcPr>
            <w:tcW w:w="526" w:type="pct"/>
            <w:shd w:val="clear" w:color="auto" w:fill="auto"/>
          </w:tcPr>
          <w:p>
            <w:pPr>
              <w:pStyle w:val="Yo5TextNotes"/>
              <w:rPr>
                <w:noProof/>
                <w:lang w:val="en-GB"/>
              </w:rPr>
            </w:pPr>
            <w:r>
              <w:rPr>
                <w:b/>
                <w:noProof/>
                <w:sz w:val="16"/>
                <w:lang w:val="en-GB"/>
              </w:rPr>
              <w:t xml:space="preserve"> 25-30</w:t>
            </w:r>
          </w:p>
        </w:tc>
        <w:tc>
          <w:tcPr>
            <w:tcW w:w="185" w:type="pct"/>
            <w:tcBorders>
              <w:left w:val="nil"/>
              <w:right w:val="single" w:sz="4" w:space="0" w:color="auto"/>
            </w:tcBorders>
            <w:shd w:val="clear" w:color="auto" w:fill="auto"/>
          </w:tcPr>
          <w:p>
            <w:pPr>
              <w:pStyle w:val="Yo5TextNotes"/>
              <w:rPr>
                <w:noProof/>
                <w:lang w:val="en-GB"/>
              </w:rPr>
            </w:pPr>
          </w:p>
        </w:tc>
      </w:tr>
      <w:tr>
        <w:trPr>
          <w:trHeight w:val="241"/>
        </w:trPr>
        <w:tc>
          <w:tcPr>
            <w:tcW w:w="268" w:type="pct"/>
            <w:vMerge/>
            <w:tcBorders>
              <w:top w:val="single" w:sz="4" w:space="0" w:color="auto"/>
              <w:left w:val="single" w:sz="4" w:space="0" w:color="auto"/>
              <w:bottom w:val="single" w:sz="4" w:space="0" w:color="auto"/>
              <w:right w:val="single" w:sz="4" w:space="0" w:color="auto"/>
            </w:tcBorders>
            <w:shd w:val="clear" w:color="auto" w:fill="FB5F5F"/>
          </w:tcPr>
          <w:p>
            <w:pPr>
              <w:pStyle w:val="Yo5TextNotes"/>
              <w:jc w:val="center"/>
              <w:rPr>
                <w:b/>
                <w:noProof/>
                <w:sz w:val="16"/>
                <w:lang w:val="en-GB"/>
              </w:rPr>
            </w:pPr>
          </w:p>
        </w:tc>
        <w:tc>
          <w:tcPr>
            <w:tcW w:w="459" w:type="pct"/>
            <w:tcBorders>
              <w:left w:val="single" w:sz="4" w:space="0" w:color="auto"/>
            </w:tcBorders>
            <w:shd w:val="clear" w:color="auto" w:fill="auto"/>
            <w:vAlign w:val="center"/>
          </w:tcPr>
          <w:p>
            <w:pPr>
              <w:pStyle w:val="Yo5TextNotes"/>
              <w:rPr>
                <w:noProof/>
                <w:lang w:val="en-GB"/>
              </w:rPr>
            </w:pPr>
          </w:p>
        </w:tc>
        <w:tc>
          <w:tcPr>
            <w:tcW w:w="496" w:type="pct"/>
            <w:shd w:val="clear" w:color="auto" w:fill="auto"/>
            <w:vAlign w:val="center"/>
          </w:tcPr>
          <w:p>
            <w:pPr>
              <w:pStyle w:val="Yo5TextNotes"/>
              <w:jc w:val="right"/>
              <w:rPr>
                <w:b/>
                <w:noProof/>
                <w:sz w:val="16"/>
                <w:lang w:val="en-GB"/>
              </w:rPr>
            </w:pPr>
          </w:p>
        </w:tc>
        <w:tc>
          <w:tcPr>
            <w:tcW w:w="670" w:type="pct"/>
            <w:shd w:val="clear" w:color="auto" w:fill="auto"/>
            <w:vAlign w:val="center"/>
          </w:tcPr>
          <w:p>
            <w:pPr>
              <w:pStyle w:val="Yo5TextNotes"/>
              <w:jc w:val="right"/>
              <w:rPr>
                <w:b/>
                <w:noProof/>
                <w:sz w:val="16"/>
                <w:lang w:val="en-GB"/>
              </w:rPr>
            </w:pPr>
            <w:r>
              <w:rPr>
                <w:noProof/>
                <w:snapToGrid/>
                <w:lang w:val="en-US"/>
              </w:rPr>
              <w:drawing>
                <wp:inline distT="0" distB="0" distL="0" distR="0">
                  <wp:extent cx="211455" cy="18669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455" cy="186690"/>
                          </a:xfrm>
                          <a:prstGeom prst="rect">
                            <a:avLst/>
                          </a:prstGeom>
                          <a:noFill/>
                        </pic:spPr>
                      </pic:pic>
                    </a:graphicData>
                  </a:graphic>
                </wp:inline>
              </w:drawing>
            </w:r>
          </w:p>
        </w:tc>
        <w:tc>
          <w:tcPr>
            <w:tcW w:w="495" w:type="pct"/>
            <w:shd w:val="clear" w:color="auto" w:fill="auto"/>
            <w:vAlign w:val="center"/>
          </w:tcPr>
          <w:p>
            <w:pPr>
              <w:pStyle w:val="Yo5TextNotes"/>
              <w:jc w:val="left"/>
              <w:rPr>
                <w:b/>
                <w:noProof/>
                <w:sz w:val="16"/>
                <w:lang w:val="en-GB"/>
              </w:rPr>
            </w:pPr>
            <w:r>
              <w:rPr>
                <w:b/>
                <w:noProof/>
                <w:lang w:val="en-GB"/>
              </w:rPr>
              <w:t>2011</w:t>
            </w:r>
          </w:p>
        </w:tc>
        <w:tc>
          <w:tcPr>
            <w:tcW w:w="272" w:type="pct"/>
            <w:tcBorders>
              <w:right w:val="single" w:sz="4" w:space="0" w:color="auto"/>
            </w:tcBorders>
            <w:shd w:val="clear" w:color="auto" w:fill="auto"/>
            <w:vAlign w:val="center"/>
          </w:tcPr>
          <w:p>
            <w:pPr>
              <w:pStyle w:val="Yo5TextNotes"/>
              <w:rPr>
                <w:noProof/>
                <w:lang w:val="en-GB"/>
              </w:rPr>
            </w:pPr>
          </w:p>
        </w:tc>
        <w:tc>
          <w:tcPr>
            <w:tcW w:w="471" w:type="pct"/>
            <w:tcBorders>
              <w:left w:val="single" w:sz="4" w:space="0" w:color="auto"/>
            </w:tcBorders>
            <w:shd w:val="clear" w:color="auto" w:fill="auto"/>
            <w:tcMar>
              <w:left w:w="57" w:type="dxa"/>
              <w:right w:w="57" w:type="dxa"/>
            </w:tcMar>
            <w:vAlign w:val="center"/>
          </w:tcPr>
          <w:p>
            <w:pPr>
              <w:pStyle w:val="Yo5TextNotes"/>
              <w:jc w:val="right"/>
              <w:rPr>
                <w:noProof/>
                <w:lang w:val="en-GB"/>
              </w:rPr>
            </w:pPr>
            <w:r>
              <w:rPr>
                <w:b/>
                <w:noProof/>
                <w:snapToGrid/>
                <w:sz w:val="16"/>
                <w:lang w:val="en-US"/>
              </w:rPr>
              <w:drawing>
                <wp:inline distT="0" distB="0" distL="0" distR="0">
                  <wp:extent cx="219075" cy="193675"/>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 cy="193675"/>
                          </a:xfrm>
                          <a:prstGeom prst="rect">
                            <a:avLst/>
                          </a:prstGeom>
                          <a:noFill/>
                        </pic:spPr>
                      </pic:pic>
                    </a:graphicData>
                  </a:graphic>
                </wp:inline>
              </w:drawing>
            </w:r>
          </w:p>
        </w:tc>
        <w:tc>
          <w:tcPr>
            <w:tcW w:w="1158" w:type="pct"/>
            <w:gridSpan w:val="2"/>
            <w:shd w:val="clear" w:color="auto" w:fill="auto"/>
            <w:vAlign w:val="center"/>
          </w:tcPr>
          <w:p>
            <w:pPr>
              <w:pStyle w:val="Yo5TextNotes"/>
              <w:jc w:val="left"/>
              <w:rPr>
                <w:b/>
                <w:noProof/>
                <w:sz w:val="16"/>
                <w:lang w:val="en-GB"/>
              </w:rPr>
            </w:pPr>
            <w:r>
              <w:rPr>
                <w:b/>
                <w:noProof/>
                <w:lang w:val="en-GB"/>
              </w:rPr>
              <w:t>Increase 2011-2017</w:t>
            </w:r>
          </w:p>
        </w:tc>
        <w:tc>
          <w:tcPr>
            <w:tcW w:w="526" w:type="pct"/>
            <w:shd w:val="clear" w:color="auto" w:fill="auto"/>
          </w:tcPr>
          <w:p>
            <w:pPr>
              <w:pStyle w:val="Yo5TextNotes"/>
              <w:rPr>
                <w:b/>
                <w:noProof/>
                <w:sz w:val="16"/>
                <w:lang w:val="en-GB"/>
              </w:rPr>
            </w:pPr>
          </w:p>
        </w:tc>
        <w:tc>
          <w:tcPr>
            <w:tcW w:w="185" w:type="pct"/>
            <w:tcBorders>
              <w:left w:val="nil"/>
              <w:right w:val="single" w:sz="4" w:space="0" w:color="auto"/>
            </w:tcBorders>
            <w:shd w:val="clear" w:color="auto" w:fill="auto"/>
          </w:tcPr>
          <w:p>
            <w:pPr>
              <w:pStyle w:val="Yo5TextNotes"/>
              <w:rPr>
                <w:noProof/>
                <w:lang w:val="en-GB"/>
              </w:rPr>
            </w:pPr>
          </w:p>
        </w:tc>
      </w:tr>
      <w:tr>
        <w:trPr>
          <w:trHeight w:val="570"/>
        </w:trPr>
        <w:tc>
          <w:tcPr>
            <w:tcW w:w="268" w:type="pct"/>
            <w:vMerge/>
            <w:tcBorders>
              <w:top w:val="single" w:sz="4" w:space="0" w:color="auto"/>
              <w:left w:val="single" w:sz="4" w:space="0" w:color="auto"/>
              <w:bottom w:val="single" w:sz="4" w:space="0" w:color="auto"/>
              <w:right w:val="single" w:sz="4" w:space="0" w:color="auto"/>
            </w:tcBorders>
            <w:shd w:val="clear" w:color="auto" w:fill="auto"/>
          </w:tcPr>
          <w:p>
            <w:pPr>
              <w:pStyle w:val="Yo5TextNotesbeforeafter"/>
              <w:jc w:val="left"/>
              <w:rPr>
                <w:noProof/>
                <w:lang w:val="en-GB"/>
              </w:rPr>
            </w:pPr>
          </w:p>
        </w:tc>
        <w:tc>
          <w:tcPr>
            <w:tcW w:w="4732" w:type="pct"/>
            <w:gridSpan w:val="10"/>
            <w:tcBorders>
              <w:left w:val="single" w:sz="4" w:space="0" w:color="auto"/>
              <w:bottom w:val="single" w:sz="4" w:space="0" w:color="auto"/>
              <w:right w:val="single" w:sz="4" w:space="0" w:color="auto"/>
            </w:tcBorders>
            <w:shd w:val="clear" w:color="auto" w:fill="auto"/>
          </w:tcPr>
          <w:p>
            <w:pPr>
              <w:pStyle w:val="Yo5TextNotesbeforeafter"/>
              <w:jc w:val="left"/>
              <w:rPr>
                <w:noProof/>
                <w:lang w:val="en-GB"/>
              </w:rPr>
            </w:pPr>
            <w:r>
              <w:rPr>
                <w:i/>
                <w:noProof/>
                <w:lang w:val="en-GB"/>
              </w:rPr>
              <w:t>Notes</w:t>
            </w:r>
            <w:r>
              <w:rPr>
                <w:noProof/>
                <w:lang w:val="en-GB"/>
              </w:rPr>
              <w:t xml:space="preserve">: Question: Have you in the past year participated in any activities of the following organisations?’ </w:t>
            </w:r>
          </w:p>
          <w:p>
            <w:pPr>
              <w:pStyle w:val="Yo5TextNotesbeforeafter"/>
              <w:rPr>
                <w:noProof/>
                <w:lang w:val="en-GB"/>
              </w:rPr>
            </w:pPr>
            <w:r>
              <w:rPr>
                <w:noProof/>
                <w:lang w:val="en-GB"/>
              </w:rPr>
              <w:t>Answer options: ‘An organisation active in the domain of climate change/environmental issues'; ‘An organisation promoting human rights or global development’ (multiple answers possible).</w:t>
            </w:r>
          </w:p>
          <w:p>
            <w:pPr>
              <w:pStyle w:val="Yo5TextNotesbeforeafter"/>
              <w:rPr>
                <w:noProof/>
                <w:lang w:val="en-GB"/>
              </w:rPr>
            </w:pPr>
            <w:r>
              <w:rPr>
                <w:noProof/>
                <w:lang w:val="en-GB"/>
              </w:rPr>
              <w:t>Base: All respondents, % of ‘yes’ responses, EU-27 (2011) and EU-28 (2017).</w:t>
            </w:r>
          </w:p>
          <w:p>
            <w:pPr>
              <w:pStyle w:val="Yo5TextNotesbeforeafter"/>
              <w:rPr>
                <w:noProof/>
                <w:lang w:val="en-GB"/>
              </w:rPr>
            </w:pPr>
            <w:r>
              <w:rPr>
                <w:i/>
                <w:noProof/>
                <w:lang w:val="en-GB"/>
              </w:rPr>
              <w:t>Source</w:t>
            </w:r>
            <w:r>
              <w:rPr>
                <w:noProof/>
                <w:lang w:val="en-GB"/>
              </w:rPr>
              <w:t>: Flash Eurobarometer 319a, 'Youth on the Move', 2011 and Flash Eurobarometer 455, 'European Youth', 2017</w:t>
            </w:r>
          </w:p>
        </w:tc>
      </w:tr>
    </w:tbl>
    <w:p>
      <w:pPr>
        <w:pStyle w:val="Yo0H2"/>
        <w:rPr>
          <w:b w:val="0"/>
          <w:noProof/>
          <w:sz w:val="28"/>
          <w:szCs w:val="28"/>
          <w:lang w:val="en-GB"/>
        </w:rPr>
      </w:pPr>
      <w:r>
        <w:rPr>
          <w:b w:val="0"/>
          <w:noProof/>
          <w:sz w:val="28"/>
          <w:szCs w:val="28"/>
          <w:lang w:val="en-GB"/>
        </w:rPr>
        <w:t>8.3. Cooperation between young people from different continents</w:t>
      </w:r>
    </w:p>
    <w:p>
      <w:pPr>
        <w:pStyle w:val="Yo1Textpara"/>
        <w:rPr>
          <w:noProof/>
        </w:rPr>
      </w:pPr>
      <w:r>
        <w:rPr>
          <w:noProof/>
        </w:rPr>
        <w:t>Collaborating with peers from across the world on projects and activities addressing global issues is a valuable opportunity for young people to develop their critical thinking, enhance their intercultural competences, and cultivate open-mindedness (</w:t>
      </w:r>
      <w:r>
        <w:rPr>
          <w:rStyle w:val="FootnoteReference"/>
          <w:noProof/>
        </w:rPr>
        <w:footnoteReference w:id="4"/>
      </w:r>
      <w:r>
        <w:rPr>
          <w:noProof/>
        </w:rPr>
        <w:t>). Furthermore, by interacting with people from different cultures and backgrounds, young people can acquire greater knowledge and understanding of social, economic, and political issues in a global context (</w:t>
      </w:r>
      <w:r>
        <w:rPr>
          <w:rStyle w:val="FootnoteReference"/>
          <w:noProof/>
        </w:rPr>
        <w:footnoteReference w:id="5"/>
      </w:r>
      <w:r>
        <w:rPr>
          <w:noProof/>
        </w:rPr>
        <w:t xml:space="preserve">), which are becoming increasingly valuable in today’s world. </w:t>
      </w:r>
    </w:p>
    <w:tbl>
      <w:tblPr>
        <w:tblpPr w:leftFromText="181" w:vertAnchor="text" w:horzAnchor="margin" w:tblpXSpec="right" w:tblpY="201"/>
        <w:tblOverlap w:val="never"/>
        <w:tblW w:w="0" w:type="auto"/>
        <w:shd w:val="clear" w:color="auto" w:fill="E5B8B7"/>
        <w:tblCellMar>
          <w:top w:w="28" w:type="dxa"/>
          <w:left w:w="142" w:type="dxa"/>
          <w:bottom w:w="28" w:type="dxa"/>
          <w:right w:w="142" w:type="dxa"/>
        </w:tblCellMar>
        <w:tblLook w:val="04A0" w:firstRow="1" w:lastRow="0" w:firstColumn="1" w:lastColumn="0" w:noHBand="0" w:noVBand="1"/>
      </w:tblPr>
      <w:tblGrid>
        <w:gridCol w:w="2977"/>
      </w:tblGrid>
      <w:tr>
        <w:tc>
          <w:tcPr>
            <w:tcW w:w="2977" w:type="dxa"/>
            <w:shd w:val="clear" w:color="auto" w:fill="FFA3A4"/>
          </w:tcPr>
          <w:p>
            <w:pPr>
              <w:pStyle w:val="Yo12Encart"/>
              <w:rPr>
                <w:rFonts w:ascii="Arial Narrow" w:hAnsi="Arial Narrow"/>
                <w:i w:val="0"/>
                <w:noProof/>
                <w:sz w:val="22"/>
                <w:szCs w:val="22"/>
              </w:rPr>
            </w:pPr>
            <w:r>
              <w:rPr>
                <w:rFonts w:ascii="Arial Narrow" w:hAnsi="Arial Narrow"/>
                <w:i w:val="0"/>
                <w:noProof/>
                <w:sz w:val="22"/>
                <w:szCs w:val="22"/>
              </w:rPr>
              <w:br w:type="page"/>
              <w:t>Between 2011 and 2017, the proportion of young people working on projects with peers from other continents has doubled.</w:t>
            </w:r>
          </w:p>
        </w:tc>
      </w:tr>
    </w:tbl>
    <w:p>
      <w:pPr>
        <w:pStyle w:val="Yo1Textpara"/>
        <w:rPr>
          <w:noProof/>
        </w:rPr>
      </w:pPr>
      <w:r>
        <w:rPr>
          <w:noProof/>
        </w:rPr>
        <w:t xml:space="preserve">In 2017, 8 % of the young people interviewed reported having taken part in projects which involved cooperation with peers from other continents (Figure 8-F). While this is, admittedly, a small proportion of the whole youth population, it is important to note that it has doubled since 2011, indicating a significant increase in the level of engagement in these activities. The biggest increase occurred in Poland, where the rate went from 1 % in 2011 to 12 % in 2017. Notable rises also occurred in Czech Republic, Greece and Romania. </w:t>
      </w:r>
    </w:p>
    <w:p>
      <w:pPr>
        <w:pStyle w:val="Yo1Textpara"/>
        <w:rPr>
          <w:noProof/>
        </w:rPr>
      </w:pPr>
      <w:r>
        <w:rPr>
          <w:noProof/>
        </w:rPr>
        <w:t>Currently, in 2017, Belgium, Denmark, Germany, Poland and Sweden display the highest participation rates. On the other hand, the Baltic republics, some central European countries (Bulgaria, Hungary and Slovakia) as well as Croatia and Malta report the lowest figures. No gender differences are apparent in this data.</w:t>
      </w:r>
    </w:p>
    <w:p>
      <w:pPr>
        <w:pStyle w:val="Yo5TitleFigure"/>
        <w:spacing w:after="0"/>
        <w:jc w:val="both"/>
      </w:pPr>
      <w:r>
        <w:rPr>
          <w:b/>
        </w:rPr>
        <w:t>Figure 8-F:</w:t>
      </w:r>
      <w:r>
        <w:t xml:space="preserve"> Participation of young people (aged 15-30) in activities or projects aimed at fostering cooperation with young people from other continents, self-reported participation in the 12 months preceding the survey, by country, 2011 and 2017</w:t>
      </w:r>
      <w:r>
        <w:rPr>
          <w:bCs w:val="0"/>
        </w:rPr>
        <w:t>, and by sex, EU-28 average, 2017</w:t>
      </w:r>
    </w:p>
    <w:tbl>
      <w:tblPr>
        <w:tblpPr w:leftFromText="181" w:rightFromText="181" w:vertAnchor="text" w:tblpX="-100" w:tblpY="1"/>
        <w:tblOverlap w:val="never"/>
        <w:tblW w:w="10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60"/>
        <w:gridCol w:w="9672"/>
      </w:tblGrid>
      <w:tr>
        <w:trPr>
          <w:trHeight w:val="520"/>
        </w:trPr>
        <w:tc>
          <w:tcPr>
            <w:tcW w:w="460" w:type="dxa"/>
            <w:shd w:val="clear" w:color="auto" w:fill="FB5F5F"/>
            <w:textDirection w:val="btLr"/>
            <w:vAlign w:val="center"/>
          </w:tcPr>
          <w:p>
            <w:pPr>
              <w:pStyle w:val="Yo13YouthIndicator"/>
              <w:jc w:val="center"/>
              <w:rPr>
                <w:noProof/>
                <w:lang w:eastAsia="fr-BE"/>
              </w:rPr>
            </w:pPr>
            <w:r>
              <w:rPr>
                <w:noProof/>
              </w:rPr>
              <w:t>EU youth indicator</w:t>
            </w:r>
          </w:p>
        </w:tc>
        <w:tc>
          <w:tcPr>
            <w:tcW w:w="9672" w:type="dxa"/>
            <w:shd w:val="clear" w:color="auto" w:fill="auto"/>
          </w:tcPr>
          <w:p>
            <w:pPr>
              <w:pStyle w:val="Yo5TextNotes"/>
              <w:tabs>
                <w:tab w:val="clear" w:pos="1985"/>
                <w:tab w:val="left" w:pos="9289"/>
              </w:tabs>
              <w:ind w:left="217"/>
              <w:rPr>
                <w:noProof/>
                <w:lang w:val="en-GB"/>
              </w:rPr>
            </w:pPr>
            <w:r>
              <w:rPr>
                <w:noProof/>
                <w:lang w:val="en-GB"/>
              </w:rPr>
              <w:t>%</w:t>
            </w:r>
            <w:r>
              <w:rPr>
                <w:noProof/>
                <w:lang w:val="en-GB"/>
              </w:rPr>
              <w:tab/>
              <w:t>%</w:t>
            </w:r>
          </w:p>
          <w:p>
            <w:pPr>
              <w:pStyle w:val="Yo5TextNotes"/>
              <w:rPr>
                <w:noProof/>
                <w:lang w:val="en-GB"/>
              </w:rPr>
            </w:pPr>
            <w:r>
              <w:rPr>
                <w:noProof/>
                <w:snapToGrid/>
                <w:lang w:val="en-US"/>
              </w:rPr>
              <mc:AlternateContent>
                <mc:Choice Requires="wps">
                  <w:drawing>
                    <wp:anchor distT="0" distB="0" distL="114300" distR="114300" simplePos="0" relativeHeight="251633664" behindDoc="0" locked="0" layoutInCell="1" allowOverlap="1">
                      <wp:simplePos x="0" y="0"/>
                      <wp:positionH relativeFrom="column">
                        <wp:posOffset>4686300</wp:posOffset>
                      </wp:positionH>
                      <wp:positionV relativeFrom="paragraph">
                        <wp:posOffset>275590</wp:posOffset>
                      </wp:positionV>
                      <wp:extent cx="1096645" cy="1209040"/>
                      <wp:effectExtent l="9525" t="8890" r="8255" b="1079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645" cy="1209040"/>
                              </a:xfrm>
                              <a:prstGeom prst="rect">
                                <a:avLst/>
                              </a:prstGeom>
                              <a:solidFill>
                                <a:srgbClr val="FFFFFF"/>
                              </a:solidFill>
                              <a:ln w="9525">
                                <a:solidFill>
                                  <a:srgbClr val="FFFFFF"/>
                                </a:solidFill>
                                <a:miter lim="800000"/>
                                <a:headEnd/>
                                <a:tailEnd/>
                              </a:ln>
                            </wps:spPr>
                            <wps:txbx>
                              <w:txbxContent>
                                <w:p>
                                  <w:r>
                                    <w:rPr>
                                      <w:noProof/>
                                      <w:lang w:val="en-US"/>
                                    </w:rPr>
                                    <w:drawing>
                                      <wp:inline distT="0" distB="0" distL="0" distR="0">
                                        <wp:extent cx="904875" cy="952500"/>
                                        <wp:effectExtent l="0" t="0" r="9525" b="0"/>
                                        <wp:docPr id="93" name="Picture 93" descr="8_F_cooperation_other_continents_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8_F_cooperation_other_continents_gen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369pt;margin-top:21.7pt;width:86.35pt;height:95.2pt;z-index:2516336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" strokecolor="white">
                      <v:textbox style="mso-fit-shape-to-text:t">
                        <w:txbxContent>
                          <w:p>
                            <w:r>
                              <w:rPr>
                                <w:noProof/>
                                <w:lang w:val="en-US"/>
                              </w:rPr>
                              <w:drawing>
                                <wp:inline distT="0" distB="0" distL="0" distR="0">
                                  <wp:extent cx="904875" cy="952500"/>
                                  <wp:effectExtent l="0" t="0" r="9525" b="0"/>
                                  <wp:docPr id="93" name="Picture 93" descr="8_F_cooperation_other_continents_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8_F_cooperation_other_continents_gen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txbxContent>
                      </v:textbox>
                    </v:shape>
                  </w:pict>
                </mc:Fallback>
              </mc:AlternateContent>
            </w:r>
            <w:r>
              <w:rPr>
                <w:noProof/>
                <w:snapToGrid/>
                <w:lang w:val="en-US"/>
              </w:rPr>
              <w:drawing>
                <wp:inline distT="0" distB="0" distL="0" distR="0">
                  <wp:extent cx="6181725" cy="2143125"/>
                  <wp:effectExtent l="0" t="0" r="9525" b="9525"/>
                  <wp:docPr id="20" name="Picture 20" descr="8_F_cooperation_other_cont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_F_cooperation_other_continen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1725" cy="2143125"/>
                          </a:xfrm>
                          <a:prstGeom prst="rect">
                            <a:avLst/>
                          </a:prstGeom>
                          <a:noFill/>
                          <a:ln>
                            <a:noFill/>
                          </a:ln>
                        </pic:spPr>
                      </pic:pic>
                    </a:graphicData>
                  </a:graphic>
                </wp:inline>
              </w:drawing>
            </w:r>
          </w:p>
        </w:tc>
      </w:tr>
    </w:tbl>
    <w:p>
      <w:pPr>
        <w:pStyle w:val="Yo5TextNotesbeforeafter"/>
        <w:rPr>
          <w:noProof/>
          <w:lang w:val="en-GB"/>
        </w:rPr>
      </w:pPr>
      <w:r>
        <w:rPr>
          <w:i/>
          <w:noProof/>
          <w:lang w:val="en-GB"/>
        </w:rPr>
        <w:t>Notes</w:t>
      </w:r>
      <w:r>
        <w:rPr>
          <w:noProof/>
          <w:lang w:val="en-GB"/>
        </w:rPr>
        <w:t>: Question: ‘Have you participated in any activities or projects during the past year aimed at fostering cooperation with youth from other countries? Answer: Yes, in activities or projects with young people from other continents' (multiple answers possible).</w:t>
      </w:r>
    </w:p>
    <w:p>
      <w:pPr>
        <w:pStyle w:val="Yo5TextNotesbeforeafter"/>
        <w:rPr>
          <w:noProof/>
          <w:lang w:val="en-GB"/>
        </w:rPr>
      </w:pPr>
      <w:r>
        <w:rPr>
          <w:noProof/>
          <w:lang w:val="en-GB"/>
        </w:rPr>
        <w:t>Base: All respondents, % of ‘yes’ answers by country, EU-27 (2011) and EU-28 (2017).</w:t>
      </w:r>
    </w:p>
    <w:p>
      <w:pPr>
        <w:pStyle w:val="Yo5TextNotesbeforeafter"/>
        <w:rPr>
          <w:noProof/>
          <w:lang w:val="en-GB"/>
        </w:rPr>
      </w:pPr>
      <w:r>
        <w:rPr>
          <w:i/>
          <w:noProof/>
          <w:lang w:val="en-GB"/>
        </w:rPr>
        <w:t>Source</w:t>
      </w:r>
      <w:r>
        <w:rPr>
          <w:noProof/>
          <w:lang w:val="en-GB"/>
        </w:rPr>
        <w:t>: Flash Eurobarometer 319a, 'Youth on the Move', 2011 and Flash Eurobarometer 455, 'European Youth', 2017</w:t>
      </w:r>
    </w:p>
    <w:p>
      <w:pPr>
        <w:pStyle w:val="Yo5TextNotesbeforeafter"/>
        <w:rPr>
          <w:noProof/>
          <w:lang w:val="en-GB"/>
        </w:rPr>
      </w:pPr>
    </w:p>
    <w:tbl>
      <w:tblPr>
        <w:tblpPr w:leftFromText="180" w:rightFromText="180" w:vertAnchor="text" w:tblpY="1"/>
        <w:tblOverlap w:val="never"/>
        <w:tblW w:w="2430" w:type="pct"/>
        <w:tblLayout w:type="fixed"/>
        <w:tblLook w:val="04A0" w:firstRow="1" w:lastRow="0" w:firstColumn="1" w:lastColumn="0" w:noHBand="0" w:noVBand="1"/>
      </w:tblPr>
      <w:tblGrid>
        <w:gridCol w:w="459"/>
        <w:gridCol w:w="929"/>
        <w:gridCol w:w="280"/>
        <w:gridCol w:w="712"/>
        <w:gridCol w:w="711"/>
        <w:gridCol w:w="279"/>
        <w:gridCol w:w="993"/>
        <w:gridCol w:w="564"/>
      </w:tblGrid>
      <w:tr>
        <w:trPr>
          <w:trHeight w:val="642"/>
        </w:trPr>
        <w:tc>
          <w:tcPr>
            <w:tcW w:w="465" w:type="pct"/>
            <w:vMerge w:val="restart"/>
            <w:tcBorders>
              <w:top w:val="single" w:sz="4" w:space="0" w:color="auto"/>
              <w:left w:val="single" w:sz="4" w:space="0" w:color="auto"/>
              <w:bottom w:val="single" w:sz="4" w:space="0" w:color="auto"/>
            </w:tcBorders>
            <w:shd w:val="clear" w:color="auto" w:fill="FB5F5F"/>
            <w:textDirection w:val="btLr"/>
            <w:vAlign w:val="center"/>
          </w:tcPr>
          <w:p>
            <w:pPr>
              <w:pStyle w:val="Yo13YouthIndicator"/>
              <w:spacing w:before="240"/>
              <w:jc w:val="center"/>
              <w:rPr>
                <w:noProof/>
              </w:rPr>
            </w:pPr>
            <w:r>
              <w:rPr>
                <w:noProof/>
              </w:rPr>
              <w:t>EU youth indicator</w:t>
            </w:r>
          </w:p>
        </w:tc>
        <w:tc>
          <w:tcPr>
            <w:tcW w:w="4535" w:type="pct"/>
            <w:gridSpan w:val="7"/>
            <w:tcBorders>
              <w:top w:val="single" w:sz="4" w:space="0" w:color="auto"/>
              <w:right w:val="single" w:sz="4" w:space="0" w:color="auto"/>
            </w:tcBorders>
            <w:shd w:val="clear" w:color="auto" w:fill="auto"/>
          </w:tcPr>
          <w:p>
            <w:pPr>
              <w:pStyle w:val="Yo5TextNotes"/>
              <w:jc w:val="left"/>
              <w:rPr>
                <w:rFonts w:eastAsia="Cambria" w:cs="Calibri"/>
                <w:bCs/>
                <w:noProof/>
                <w:snapToGrid/>
                <w:color w:val="7F7F7F"/>
                <w:w w:val="80"/>
                <w:sz w:val="22"/>
                <w:szCs w:val="22"/>
                <w:lang w:val="en-GB"/>
              </w:rPr>
            </w:pPr>
            <w:r>
              <w:rPr>
                <w:rFonts w:eastAsia="Cambria" w:cs="Calibri"/>
                <w:b/>
                <w:bCs/>
                <w:noProof/>
                <w:snapToGrid/>
                <w:color w:val="7F7F7F"/>
                <w:w w:val="80"/>
                <w:sz w:val="22"/>
                <w:szCs w:val="22"/>
                <w:lang w:val="en-GB"/>
              </w:rPr>
              <w:t>Figure 8-G</w:t>
            </w:r>
            <w:r>
              <w:rPr>
                <w:rFonts w:eastAsia="Cambria" w:cs="Calibri"/>
                <w:bCs/>
                <w:noProof/>
                <w:snapToGrid/>
                <w:color w:val="7F7F7F"/>
                <w:w w:val="80"/>
                <w:sz w:val="22"/>
                <w:szCs w:val="22"/>
                <w:lang w:val="en-GB"/>
              </w:rPr>
              <w:t xml:space="preserve">: Percentage increase in young people (aged 15-30) participating in activities or projects aimed at fostering cooperation with young people from other continents in the 12 months preceding the survey, </w:t>
            </w:r>
            <w:r>
              <w:rPr>
                <w:rFonts w:eastAsia="Cambria" w:cs="Calibri"/>
                <w:bCs/>
                <w:noProof/>
                <w:snapToGrid/>
                <w:color w:val="7F7F7F"/>
                <w:w w:val="80"/>
                <w:sz w:val="22"/>
                <w:szCs w:val="22"/>
                <w:lang w:val="en-GB"/>
              </w:rPr>
              <w:br/>
              <w:t>EU-28 average, 2014</w:t>
            </w:r>
          </w:p>
        </w:tc>
      </w:tr>
      <w:tr>
        <w:trPr>
          <w:trHeight w:val="222"/>
        </w:trPr>
        <w:tc>
          <w:tcPr>
            <w:tcW w:w="465" w:type="pct"/>
            <w:vMerge/>
            <w:tcBorders>
              <w:top w:val="single" w:sz="4" w:space="0" w:color="auto"/>
              <w:left w:val="single" w:sz="4" w:space="0" w:color="auto"/>
              <w:bottom w:val="single" w:sz="4" w:space="0" w:color="auto"/>
            </w:tcBorders>
            <w:shd w:val="clear" w:color="auto" w:fill="FB5F5F"/>
            <w:textDirection w:val="btLr"/>
            <w:vAlign w:val="center"/>
          </w:tcPr>
          <w:p>
            <w:pPr>
              <w:pStyle w:val="Yo13YouthIndicator"/>
              <w:spacing w:before="240"/>
              <w:jc w:val="center"/>
              <w:rPr>
                <w:noProof/>
              </w:rPr>
            </w:pPr>
          </w:p>
        </w:tc>
        <w:tc>
          <w:tcPr>
            <w:tcW w:w="4535" w:type="pct"/>
            <w:gridSpan w:val="7"/>
            <w:tcBorders>
              <w:right w:val="single" w:sz="4" w:space="0" w:color="auto"/>
            </w:tcBorders>
            <w:shd w:val="clear" w:color="auto" w:fill="auto"/>
          </w:tcPr>
          <w:p>
            <w:pPr>
              <w:pStyle w:val="Yo5TextNotes"/>
              <w:jc w:val="left"/>
              <w:rPr>
                <w:b/>
                <w:noProof/>
                <w:lang w:val="en-GB"/>
              </w:rPr>
            </w:pPr>
            <w:r>
              <w:rPr>
                <w:b/>
                <w:noProof/>
                <w:lang w:val="en-GB"/>
              </w:rPr>
              <w:t xml:space="preserve">  %</w:t>
            </w:r>
          </w:p>
        </w:tc>
      </w:tr>
      <w:tr>
        <w:trPr>
          <w:trHeight w:val="2886"/>
        </w:trPr>
        <w:tc>
          <w:tcPr>
            <w:tcW w:w="465" w:type="pct"/>
            <w:vMerge/>
            <w:tcBorders>
              <w:top w:val="single" w:sz="4" w:space="0" w:color="auto"/>
              <w:left w:val="single" w:sz="4" w:space="0" w:color="auto"/>
              <w:bottom w:val="single" w:sz="4" w:space="0" w:color="auto"/>
            </w:tcBorders>
            <w:shd w:val="clear" w:color="auto" w:fill="FB5F5F"/>
            <w:textDirection w:val="btLr"/>
            <w:vAlign w:val="center"/>
          </w:tcPr>
          <w:p>
            <w:pPr>
              <w:pStyle w:val="Yo13YouthIndicator"/>
              <w:spacing w:before="240"/>
              <w:jc w:val="center"/>
              <w:rPr>
                <w:noProof/>
              </w:rPr>
            </w:pPr>
          </w:p>
        </w:tc>
        <w:tc>
          <w:tcPr>
            <w:tcW w:w="4535" w:type="pct"/>
            <w:gridSpan w:val="7"/>
            <w:tcBorders>
              <w:right w:val="single" w:sz="4" w:space="0" w:color="auto"/>
            </w:tcBorders>
            <w:shd w:val="clear" w:color="auto" w:fill="auto"/>
          </w:tcPr>
          <w:p>
            <w:pPr>
              <w:pStyle w:val="Yo5TextNotes"/>
              <w:jc w:val="left"/>
              <w:rPr>
                <w:b/>
                <w:noProof/>
                <w:sz w:val="16"/>
                <w:lang w:val="en-GB"/>
              </w:rPr>
            </w:pPr>
            <w:r>
              <w:rPr>
                <w:noProof/>
                <w:snapToGrid/>
                <w:lang w:val="en-US"/>
              </w:rPr>
              <w:drawing>
                <wp:inline distT="0" distB="0" distL="0" distR="0">
                  <wp:extent cx="2543175" cy="1828800"/>
                  <wp:effectExtent l="0" t="0" r="9525" b="0"/>
                  <wp:docPr id="21" name="Picture 21" descr="8_G_cooperation_age_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_G_cooperation_age_group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3175" cy="1828800"/>
                          </a:xfrm>
                          <a:prstGeom prst="rect">
                            <a:avLst/>
                          </a:prstGeom>
                          <a:noFill/>
                          <a:ln>
                            <a:noFill/>
                          </a:ln>
                        </pic:spPr>
                      </pic:pic>
                    </a:graphicData>
                  </a:graphic>
                </wp:inline>
              </w:drawing>
            </w:r>
          </w:p>
        </w:tc>
      </w:tr>
      <w:tr>
        <w:trPr>
          <w:trHeight w:val="241"/>
        </w:trPr>
        <w:tc>
          <w:tcPr>
            <w:tcW w:w="465" w:type="pct"/>
            <w:vMerge/>
            <w:tcBorders>
              <w:top w:val="single" w:sz="4" w:space="0" w:color="auto"/>
              <w:left w:val="single" w:sz="4" w:space="0" w:color="auto"/>
              <w:bottom w:val="single" w:sz="4" w:space="0" w:color="auto"/>
              <w:right w:val="single" w:sz="4" w:space="0" w:color="auto"/>
            </w:tcBorders>
            <w:shd w:val="clear" w:color="auto" w:fill="FB5F5F"/>
          </w:tcPr>
          <w:p>
            <w:pPr>
              <w:pStyle w:val="Yo5TextNotes"/>
              <w:jc w:val="center"/>
              <w:rPr>
                <w:b/>
                <w:noProof/>
                <w:sz w:val="16"/>
                <w:lang w:val="en-GB"/>
              </w:rPr>
            </w:pPr>
          </w:p>
        </w:tc>
        <w:tc>
          <w:tcPr>
            <w:tcW w:w="943" w:type="pct"/>
            <w:tcBorders>
              <w:left w:val="single" w:sz="4" w:space="0" w:color="auto"/>
            </w:tcBorders>
            <w:shd w:val="clear" w:color="auto" w:fill="auto"/>
            <w:vAlign w:val="center"/>
          </w:tcPr>
          <w:p>
            <w:pPr>
              <w:pStyle w:val="Yo5TextNotes"/>
              <w:rPr>
                <w:noProof/>
                <w:lang w:val="en-GB"/>
              </w:rPr>
            </w:pPr>
          </w:p>
        </w:tc>
        <w:tc>
          <w:tcPr>
            <w:tcW w:w="1007" w:type="pct"/>
            <w:gridSpan w:val="2"/>
            <w:shd w:val="clear" w:color="auto" w:fill="auto"/>
          </w:tcPr>
          <w:p>
            <w:pPr>
              <w:pStyle w:val="Yo5TextNotes"/>
              <w:rPr>
                <w:b/>
                <w:noProof/>
                <w:sz w:val="16"/>
                <w:lang w:val="en-GB"/>
              </w:rPr>
            </w:pPr>
            <w:r>
              <w:rPr>
                <w:b/>
                <w:noProof/>
                <w:sz w:val="16"/>
                <w:lang w:val="en-GB"/>
              </w:rPr>
              <w:t>15-19</w:t>
            </w:r>
          </w:p>
        </w:tc>
        <w:tc>
          <w:tcPr>
            <w:tcW w:w="1005" w:type="pct"/>
            <w:gridSpan w:val="2"/>
            <w:shd w:val="clear" w:color="auto" w:fill="auto"/>
          </w:tcPr>
          <w:p>
            <w:pPr>
              <w:pStyle w:val="Yo5TextNotes"/>
              <w:rPr>
                <w:b/>
                <w:noProof/>
                <w:sz w:val="16"/>
                <w:lang w:val="en-GB"/>
              </w:rPr>
            </w:pPr>
            <w:r>
              <w:rPr>
                <w:b/>
                <w:noProof/>
                <w:sz w:val="16"/>
                <w:lang w:val="en-GB"/>
              </w:rPr>
              <w:t xml:space="preserve"> 20-24</w:t>
            </w:r>
          </w:p>
        </w:tc>
        <w:tc>
          <w:tcPr>
            <w:tcW w:w="1008" w:type="pct"/>
            <w:shd w:val="clear" w:color="auto" w:fill="auto"/>
          </w:tcPr>
          <w:p>
            <w:pPr>
              <w:pStyle w:val="Yo5TextNotes"/>
              <w:rPr>
                <w:b/>
                <w:noProof/>
                <w:sz w:val="16"/>
                <w:lang w:val="en-GB"/>
              </w:rPr>
            </w:pPr>
            <w:r>
              <w:rPr>
                <w:b/>
                <w:noProof/>
                <w:sz w:val="16"/>
                <w:lang w:val="en-GB"/>
              </w:rPr>
              <w:t xml:space="preserve"> 25-30</w:t>
            </w:r>
          </w:p>
        </w:tc>
        <w:tc>
          <w:tcPr>
            <w:tcW w:w="573" w:type="pct"/>
            <w:tcBorders>
              <w:right w:val="single" w:sz="4" w:space="0" w:color="auto"/>
            </w:tcBorders>
            <w:shd w:val="clear" w:color="auto" w:fill="auto"/>
            <w:vAlign w:val="center"/>
          </w:tcPr>
          <w:p>
            <w:pPr>
              <w:pStyle w:val="Yo5TextNotes"/>
              <w:rPr>
                <w:noProof/>
                <w:lang w:val="en-GB"/>
              </w:rPr>
            </w:pPr>
          </w:p>
        </w:tc>
      </w:tr>
      <w:tr>
        <w:trPr>
          <w:trHeight w:val="241"/>
        </w:trPr>
        <w:tc>
          <w:tcPr>
            <w:tcW w:w="465" w:type="pct"/>
            <w:vMerge/>
            <w:tcBorders>
              <w:top w:val="single" w:sz="4" w:space="0" w:color="auto"/>
              <w:left w:val="single" w:sz="4" w:space="0" w:color="auto"/>
              <w:bottom w:val="single" w:sz="4" w:space="0" w:color="auto"/>
              <w:right w:val="single" w:sz="4" w:space="0" w:color="auto"/>
            </w:tcBorders>
            <w:shd w:val="clear" w:color="auto" w:fill="FB5F5F"/>
          </w:tcPr>
          <w:p>
            <w:pPr>
              <w:pStyle w:val="Yo5TextNotes"/>
              <w:jc w:val="center"/>
              <w:rPr>
                <w:b/>
                <w:noProof/>
                <w:sz w:val="16"/>
                <w:lang w:val="en-GB"/>
              </w:rPr>
            </w:pPr>
          </w:p>
        </w:tc>
        <w:tc>
          <w:tcPr>
            <w:tcW w:w="1227" w:type="pct"/>
            <w:gridSpan w:val="2"/>
            <w:tcBorders>
              <w:left w:val="single" w:sz="4" w:space="0" w:color="auto"/>
            </w:tcBorders>
            <w:shd w:val="clear" w:color="auto" w:fill="auto"/>
            <w:vAlign w:val="center"/>
          </w:tcPr>
          <w:p>
            <w:pPr>
              <w:pStyle w:val="Yo5TextNotes"/>
              <w:jc w:val="right"/>
              <w:rPr>
                <w:noProof/>
                <w:lang w:val="en-GB"/>
              </w:rPr>
            </w:pPr>
            <w:r>
              <w:rPr>
                <w:noProof/>
                <w:snapToGrid/>
                <w:lang w:val="en-US"/>
              </w:rPr>
              <w:drawing>
                <wp:inline distT="0" distB="0" distL="0" distR="0">
                  <wp:extent cx="211455" cy="186690"/>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455" cy="186690"/>
                          </a:xfrm>
                          <a:prstGeom prst="rect">
                            <a:avLst/>
                          </a:prstGeom>
                          <a:noFill/>
                        </pic:spPr>
                      </pic:pic>
                    </a:graphicData>
                  </a:graphic>
                </wp:inline>
              </w:drawing>
            </w:r>
          </w:p>
        </w:tc>
        <w:tc>
          <w:tcPr>
            <w:tcW w:w="723" w:type="pct"/>
            <w:shd w:val="clear" w:color="auto" w:fill="auto"/>
            <w:vAlign w:val="center"/>
          </w:tcPr>
          <w:p>
            <w:pPr>
              <w:pStyle w:val="Yo5TextNotes"/>
              <w:jc w:val="left"/>
              <w:rPr>
                <w:b/>
                <w:noProof/>
                <w:sz w:val="16"/>
                <w:lang w:val="en-GB"/>
              </w:rPr>
            </w:pPr>
            <w:r>
              <w:rPr>
                <w:b/>
                <w:noProof/>
                <w:lang w:val="en-GB"/>
              </w:rPr>
              <w:t>2011</w:t>
            </w:r>
          </w:p>
        </w:tc>
        <w:tc>
          <w:tcPr>
            <w:tcW w:w="722" w:type="pct"/>
            <w:shd w:val="clear" w:color="auto" w:fill="auto"/>
            <w:vAlign w:val="center"/>
          </w:tcPr>
          <w:p>
            <w:pPr>
              <w:pStyle w:val="Yo5TextNotes"/>
              <w:jc w:val="right"/>
              <w:rPr>
                <w:b/>
                <w:noProof/>
                <w:sz w:val="16"/>
                <w:lang w:val="en-GB"/>
              </w:rPr>
            </w:pPr>
            <w:r>
              <w:rPr>
                <w:b/>
                <w:noProof/>
                <w:snapToGrid/>
                <w:sz w:val="16"/>
                <w:lang w:val="en-US"/>
              </w:rPr>
              <w:drawing>
                <wp:inline distT="0" distB="0" distL="0" distR="0">
                  <wp:extent cx="219075" cy="193675"/>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 cy="193675"/>
                          </a:xfrm>
                          <a:prstGeom prst="rect">
                            <a:avLst/>
                          </a:prstGeom>
                          <a:noFill/>
                        </pic:spPr>
                      </pic:pic>
                    </a:graphicData>
                  </a:graphic>
                </wp:inline>
              </w:drawing>
            </w:r>
          </w:p>
        </w:tc>
        <w:tc>
          <w:tcPr>
            <w:tcW w:w="1864" w:type="pct"/>
            <w:gridSpan w:val="3"/>
            <w:tcBorders>
              <w:right w:val="single" w:sz="4" w:space="0" w:color="auto"/>
            </w:tcBorders>
            <w:shd w:val="clear" w:color="auto" w:fill="auto"/>
            <w:vAlign w:val="center"/>
          </w:tcPr>
          <w:p>
            <w:pPr>
              <w:pStyle w:val="Yo5TextNotes"/>
              <w:rPr>
                <w:noProof/>
                <w:lang w:val="en-GB"/>
              </w:rPr>
            </w:pPr>
            <w:r>
              <w:rPr>
                <w:b/>
                <w:noProof/>
                <w:lang w:val="en-GB"/>
              </w:rPr>
              <w:t>Increase 2011-2017</w:t>
            </w:r>
          </w:p>
        </w:tc>
      </w:tr>
      <w:tr>
        <w:trPr>
          <w:trHeight w:val="570"/>
        </w:trPr>
        <w:tc>
          <w:tcPr>
            <w:tcW w:w="465" w:type="pct"/>
            <w:vMerge/>
            <w:tcBorders>
              <w:top w:val="single" w:sz="4" w:space="0" w:color="auto"/>
              <w:left w:val="single" w:sz="4" w:space="0" w:color="auto"/>
              <w:bottom w:val="single" w:sz="4" w:space="0" w:color="auto"/>
              <w:right w:val="single" w:sz="4" w:space="0" w:color="auto"/>
            </w:tcBorders>
            <w:shd w:val="clear" w:color="auto" w:fill="auto"/>
          </w:tcPr>
          <w:p>
            <w:pPr>
              <w:pStyle w:val="Yo5TextNotesbeforeafter"/>
              <w:jc w:val="left"/>
              <w:rPr>
                <w:noProof/>
                <w:lang w:val="en-GB"/>
              </w:rPr>
            </w:pPr>
          </w:p>
        </w:tc>
        <w:tc>
          <w:tcPr>
            <w:tcW w:w="4535" w:type="pct"/>
            <w:gridSpan w:val="7"/>
            <w:tcBorders>
              <w:left w:val="single" w:sz="4" w:space="0" w:color="auto"/>
              <w:bottom w:val="single" w:sz="4" w:space="0" w:color="auto"/>
              <w:right w:val="single" w:sz="4" w:space="0" w:color="auto"/>
            </w:tcBorders>
            <w:shd w:val="clear" w:color="auto" w:fill="auto"/>
          </w:tcPr>
          <w:p>
            <w:pPr>
              <w:pStyle w:val="Yo5TextNotesbeforeafter"/>
              <w:jc w:val="left"/>
              <w:rPr>
                <w:noProof/>
                <w:lang w:val="en-GB"/>
              </w:rPr>
            </w:pPr>
            <w:r>
              <w:rPr>
                <w:i/>
                <w:noProof/>
                <w:lang w:val="en-GB"/>
              </w:rPr>
              <w:t>Notes</w:t>
            </w:r>
            <w:r>
              <w:rPr>
                <w:noProof/>
                <w:lang w:val="en-GB"/>
              </w:rPr>
              <w:t>: Question: Have you in the past year participated in any activities of the following organisations?’ ‘An organisation active in the domain of climate change/environmental issues'; ‘An organisation promoting human rights or global development’ (multiple answers possible).</w:t>
            </w:r>
          </w:p>
          <w:p>
            <w:pPr>
              <w:pStyle w:val="Yo5TextNotesbeforeafter"/>
              <w:rPr>
                <w:noProof/>
                <w:lang w:val="en-GB"/>
              </w:rPr>
            </w:pPr>
            <w:r>
              <w:rPr>
                <w:noProof/>
                <w:lang w:val="en-GB"/>
              </w:rPr>
              <w:t>Base: all respondents, % of ‘yes’ answers, EU-27 (2011) and EU-28 (2017).</w:t>
            </w:r>
          </w:p>
          <w:p>
            <w:pPr>
              <w:pStyle w:val="Yo5TextNotesbeforeafter"/>
              <w:rPr>
                <w:noProof/>
                <w:lang w:val="en-GB"/>
              </w:rPr>
            </w:pPr>
            <w:r>
              <w:rPr>
                <w:i/>
                <w:noProof/>
                <w:lang w:val="en-GB"/>
              </w:rPr>
              <w:t>Source</w:t>
            </w:r>
            <w:r>
              <w:rPr>
                <w:noProof/>
                <w:lang w:val="en-GB"/>
              </w:rPr>
              <w:t>: Flash Eurobarometer 319a, 'Youth on the Move', 2011 and Flash Eurobarometer 455, 'European Youth', 2017.</w:t>
            </w:r>
          </w:p>
        </w:tc>
      </w:tr>
    </w:tbl>
    <w:p>
      <w:pPr>
        <w:pStyle w:val="Yo1Textpara"/>
        <w:rPr>
          <w:noProof/>
        </w:rPr>
      </w:pPr>
      <w:r>
        <w:rPr>
          <w:noProof/>
        </w:rPr>
        <w:t>Breaking the data down by age group shows that young people between the ages of 20 and 24 appear to be the most likely to be engaged in projects involving participants from different continents (Figure 8-G). This is also the age cohort for which the biggest increase in the levels of participation has occurred over the past seven years. As most of the young people in this age group are still in education (as illustrated for example in Chapter 3, Figure 3-A), the results suggest that many of these cooperation activities might be linked to higher education studies and exchanges.</w:t>
      </w:r>
    </w:p>
    <w:p>
      <w:pPr>
        <w:pStyle w:val="Yo1Textpara"/>
        <w:rPr>
          <w:noProof/>
        </w:rPr>
      </w:pPr>
    </w:p>
    <w:p>
      <w:pPr>
        <w:pStyle w:val="Yo1Textpara"/>
        <w:rPr>
          <w:noProof/>
        </w:rPr>
      </w:pPr>
    </w:p>
    <w:p>
      <w:pPr>
        <w:pStyle w:val="Yo1Textpara"/>
        <w:rPr>
          <w:noProof/>
        </w:rPr>
      </w:pPr>
    </w:p>
    <w:p>
      <w:pPr>
        <w:pStyle w:val="Yo1Textpara"/>
        <w:rPr>
          <w:noProof/>
        </w:rPr>
      </w:pPr>
    </w:p>
    <w:p>
      <w:pPr>
        <w:pStyle w:val="Yo1Textpara"/>
        <w:rPr>
          <w:noProof/>
        </w:rPr>
      </w:pPr>
    </w:p>
    <w:p>
      <w:pPr>
        <w:pStyle w:val="Yo1Textpara"/>
        <w:rPr>
          <w:noProof/>
        </w:rPr>
      </w:pPr>
    </w:p>
    <w:p>
      <w:pPr>
        <w:pStyle w:val="Yo1Textpara"/>
        <w:rPr>
          <w:noProof/>
        </w:rPr>
      </w:pPr>
    </w:p>
    <w:p>
      <w:pPr>
        <w:pStyle w:val="Yo1Textpara"/>
        <w:rPr>
          <w:noProof/>
        </w:rPr>
      </w:pPr>
    </w:p>
    <w:p>
      <w:pPr>
        <w:pStyle w:val="Yo1Textpara"/>
        <w:rPr>
          <w:rFonts w:ascii="Arial Narrow" w:hAnsi="Arial Narrow" w:cs="Arial"/>
          <w:bCs/>
          <w:caps/>
          <w:noProof/>
          <w:color w:val="DA1E48"/>
          <w:spacing w:val="10"/>
          <w:sz w:val="28"/>
          <w:szCs w:val="28"/>
          <w:lang w:eastAsia="en-US"/>
        </w:rPr>
      </w:pPr>
      <w:r>
        <w:rPr>
          <w:rFonts w:ascii="Arial Narrow" w:hAnsi="Arial Narrow" w:cs="Arial"/>
          <w:bCs/>
          <w:caps/>
          <w:noProof/>
          <w:color w:val="DA1E48"/>
          <w:spacing w:val="10"/>
          <w:sz w:val="28"/>
          <w:szCs w:val="28"/>
          <w:lang w:eastAsia="en-US"/>
        </w:rPr>
        <w:t>Conclusion</w:t>
      </w:r>
    </w:p>
    <w:p>
      <w:pPr>
        <w:pStyle w:val="Yo1Textpara"/>
        <w:rPr>
          <w:noProof/>
        </w:rPr>
      </w:pPr>
      <w:r>
        <w:rPr>
          <w:noProof/>
        </w:rPr>
        <w:t xml:space="preserve">Overall, the data discussed in this chapter portray a positive trend in the levels of participation in and cooperation between young Europeans in organisations and projects with a global remit – in both areas </w:t>
      </w:r>
      <w:r>
        <w:rPr>
          <w:noProof/>
        </w:rPr>
        <w:sym w:font="Symbol" w:char="F02D"/>
      </w:r>
      <w:r>
        <w:rPr>
          <w:noProof/>
        </w:rPr>
        <w:t xml:space="preserve"> climate change/environment and human rights/development. Between 2011 and 2017, the proportion of young Europeans actively engaged in organisations pursuing global goals and those working on projects with peers from other continents have increased.</w:t>
      </w:r>
    </w:p>
    <w:p>
      <w:pPr>
        <w:pStyle w:val="Yo1Textpara"/>
        <w:rPr>
          <w:noProof/>
        </w:rPr>
      </w:pPr>
      <w:r>
        <w:rPr>
          <w:noProof/>
        </w:rPr>
        <w:t xml:space="preserve">However, the pattern of young people’s engagement is not homogeneous throughout Europe. In some areas of the European Union </w:t>
      </w:r>
      <w:r>
        <w:rPr>
          <w:noProof/>
        </w:rPr>
        <w:sym w:font="Symbol" w:char="F02D"/>
      </w:r>
      <w:r>
        <w:rPr>
          <w:noProof/>
        </w:rPr>
        <w:t xml:space="preserve"> particularly some countries in the Eastern and Baltic regions </w:t>
      </w:r>
      <w:r>
        <w:rPr>
          <w:noProof/>
        </w:rPr>
        <w:sym w:font="Symbol" w:char="F02D"/>
      </w:r>
      <w:r>
        <w:rPr>
          <w:noProof/>
        </w:rPr>
        <w:t xml:space="preserve"> young people have not had as many experiences of global activism as their counterparts elsewhere.</w:t>
      </w:r>
      <w:bookmarkEnd w:id="3"/>
    </w:p>
    <w:p>
      <w:pPr>
        <w:pStyle w:val="Yo1Textpara"/>
        <w:rPr>
          <w:noProof/>
        </w:rPr>
      </w:pPr>
    </w:p>
    <w:p>
      <w:pPr>
        <w:pStyle w:val="Yo1Textpara"/>
        <w:rPr>
          <w:noProof/>
        </w:rPr>
      </w:pPr>
    </w:p>
    <w:p>
      <w:pPr>
        <w:pStyle w:val="Yo0H1"/>
        <w:rPr>
          <w:noProof/>
        </w:rPr>
        <w:sectPr>
          <w:headerReference w:type="even" r:id="rId38"/>
          <w:headerReference w:type="default" r:id="rId39"/>
          <w:footerReference w:type="even" r:id="rId40"/>
          <w:footerReference w:type="default" r:id="rId41"/>
          <w:headerReference w:type="first" r:id="rId42"/>
          <w:footerReference w:type="first" r:id="rId43"/>
          <w:pgSz w:w="11906" w:h="16838" w:code="9"/>
          <w:pgMar w:top="1985" w:right="992" w:bottom="851" w:left="992" w:header="709" w:footer="397" w:gutter="0"/>
          <w:pgNumType w:start="120"/>
          <w:cols w:space="708"/>
          <w:docGrid w:linePitch="360"/>
        </w:sectPr>
      </w:pPr>
      <w:bookmarkStart w:id="4" w:name="_Toc508380612"/>
    </w:p>
    <w:p>
      <w:pPr>
        <w:pStyle w:val="Yo0H1"/>
        <w:rPr>
          <w:noProof/>
        </w:rPr>
      </w:pPr>
      <w:r>
        <w:rPr>
          <w:noProof/>
        </w:rPr>
        <w:t>9. Culture, Creativity and ICT</w:t>
      </w:r>
      <w:bookmarkEnd w:id="4"/>
    </w:p>
    <w:p>
      <w:pPr>
        <w:pStyle w:val="Yo5TextNotes"/>
        <w:rPr>
          <w:noProof/>
          <w:lang w:val="en-GB"/>
        </w:rPr>
      </w:pPr>
    </w:p>
    <w:tbl>
      <w:tblPr>
        <w:tblW w:w="5000" w:type="pct"/>
        <w:shd w:val="clear" w:color="auto" w:fill="FBD4B4"/>
        <w:tblLayout w:type="fixed"/>
        <w:tblCellMar>
          <w:top w:w="113" w:type="dxa"/>
          <w:bottom w:w="113" w:type="dxa"/>
        </w:tblCellMar>
        <w:tblLook w:val="04A0" w:firstRow="1" w:lastRow="0" w:firstColumn="1" w:lastColumn="0" w:noHBand="0" w:noVBand="1"/>
      </w:tblPr>
      <w:tblGrid>
        <w:gridCol w:w="8848"/>
        <w:gridCol w:w="1290"/>
      </w:tblGrid>
      <w:tr>
        <w:tc>
          <w:tcPr>
            <w:tcW w:w="4364" w:type="pct"/>
            <w:shd w:val="clear" w:color="auto" w:fill="FBD4B4"/>
            <w:vAlign w:val="center"/>
          </w:tcPr>
          <w:p>
            <w:pPr>
              <w:pStyle w:val="Yo5TextEUYouth"/>
              <w:framePr w:hSpace="0" w:wrap="auto" w:vAnchor="margin" w:hAnchor="text" w:xAlign="left" w:yAlign="inline"/>
              <w:rPr>
                <w:noProof/>
                <w:lang w:val="en-GB"/>
              </w:rPr>
            </w:pPr>
            <w:r>
              <w:rPr>
                <w:noProof/>
                <w:lang w:val="en-GB"/>
              </w:rPr>
              <w:t>EU youth indicators</w:t>
            </w:r>
          </w:p>
        </w:tc>
        <w:tc>
          <w:tcPr>
            <w:tcW w:w="636" w:type="pct"/>
            <w:shd w:val="clear" w:color="auto" w:fill="FBD4B4"/>
            <w:vAlign w:val="center"/>
          </w:tcPr>
          <w:p>
            <w:pPr>
              <w:pStyle w:val="p90H2"/>
              <w:spacing w:before="0" w:after="0"/>
              <w:ind w:left="0" w:firstLine="0"/>
              <w:rPr>
                <w:noProof/>
                <w:sz w:val="20"/>
              </w:rPr>
            </w:pPr>
          </w:p>
        </w:tc>
      </w:tr>
      <w:tr>
        <w:trPr>
          <w:trHeight w:val="400"/>
        </w:trPr>
        <w:tc>
          <w:tcPr>
            <w:tcW w:w="4364" w:type="pct"/>
            <w:shd w:val="clear" w:color="auto" w:fill="FBD4B4"/>
            <w:vAlign w:val="center"/>
          </w:tcPr>
          <w:p>
            <w:pPr>
              <w:pStyle w:val="Yo5TextEUYouthTOC"/>
              <w:framePr w:hSpace="0" w:wrap="auto" w:vAnchor="margin" w:hAnchor="text" w:xAlign="left" w:yAlign="inline"/>
            </w:pPr>
            <w:r>
              <w:t>Young people (aged 16-29) participating in cultural or sporting activities</w:t>
            </w:r>
          </w:p>
        </w:tc>
        <w:tc>
          <w:tcPr>
            <w:tcW w:w="636" w:type="pct"/>
            <w:shd w:val="clear" w:color="auto" w:fill="FBD4B4"/>
            <w:vAlign w:val="center"/>
          </w:tcPr>
          <w:p>
            <w:pPr>
              <w:pStyle w:val="Yo5TextEUYouthTOC"/>
              <w:framePr w:hSpace="0" w:wrap="auto" w:vAnchor="margin" w:hAnchor="text" w:xAlign="left" w:yAlign="inline"/>
            </w:pPr>
            <w:r>
              <w:t>Figure 9-A</w:t>
            </w:r>
          </w:p>
        </w:tc>
      </w:tr>
      <w:tr>
        <w:trPr>
          <w:trHeight w:val="398"/>
        </w:trPr>
        <w:tc>
          <w:tcPr>
            <w:tcW w:w="4364" w:type="pct"/>
            <w:shd w:val="clear" w:color="auto" w:fill="FBD4B4"/>
            <w:vAlign w:val="center"/>
          </w:tcPr>
          <w:p>
            <w:pPr>
              <w:pStyle w:val="Yo5TextEUYouthTOC"/>
              <w:framePr w:hSpace="0" w:wrap="auto" w:vAnchor="margin" w:hAnchor="text" w:xAlign="left" w:yAlign="inline"/>
            </w:pPr>
            <w:r>
              <w:t>Young people (aged 16-29) engaged in arts and craft activities</w:t>
            </w:r>
          </w:p>
        </w:tc>
        <w:tc>
          <w:tcPr>
            <w:tcW w:w="636" w:type="pct"/>
            <w:shd w:val="clear" w:color="auto" w:fill="FBD4B4"/>
            <w:vAlign w:val="center"/>
          </w:tcPr>
          <w:p>
            <w:pPr>
              <w:pStyle w:val="Yo5TextEUYouthTOC"/>
              <w:framePr w:hSpace="0" w:wrap="auto" w:vAnchor="margin" w:hAnchor="text" w:xAlign="left" w:yAlign="inline"/>
            </w:pPr>
            <w:r>
              <w:t>Figure 9-B</w:t>
            </w:r>
          </w:p>
        </w:tc>
      </w:tr>
      <w:tr>
        <w:trPr>
          <w:trHeight w:val="398"/>
        </w:trPr>
        <w:tc>
          <w:tcPr>
            <w:tcW w:w="4364" w:type="pct"/>
            <w:shd w:val="clear" w:color="auto" w:fill="FBD4B4"/>
            <w:vAlign w:val="center"/>
          </w:tcPr>
          <w:p>
            <w:pPr>
              <w:pStyle w:val="Yo5TextEUYouthTOC"/>
              <w:framePr w:hSpace="0" w:wrap="auto" w:vAnchor="margin" w:hAnchor="text" w:xAlign="left" w:yAlign="inline"/>
            </w:pPr>
            <w:r>
              <w:t xml:space="preserve">Young people (aged 15-30) active in a sports club, youth organisation/club or cultural organisation </w:t>
            </w:r>
          </w:p>
        </w:tc>
        <w:tc>
          <w:tcPr>
            <w:tcW w:w="636" w:type="pct"/>
            <w:shd w:val="clear" w:color="auto" w:fill="FBD4B4"/>
            <w:vAlign w:val="center"/>
          </w:tcPr>
          <w:p>
            <w:pPr>
              <w:pStyle w:val="Yo5TextEUYouthTOC"/>
              <w:framePr w:hSpace="0" w:wrap="auto" w:vAnchor="margin" w:hAnchor="text" w:xAlign="left" w:yAlign="inline"/>
            </w:pPr>
            <w:r>
              <w:t>Figure 9-C</w:t>
            </w:r>
          </w:p>
        </w:tc>
      </w:tr>
    </w:tbl>
    <w:p>
      <w:pPr>
        <w:pStyle w:val="Yo5TextNotes"/>
        <w:rPr>
          <w:noProof/>
          <w:lang w:val="en-GB"/>
        </w:rPr>
      </w:pPr>
    </w:p>
    <w:p>
      <w:pPr>
        <w:rPr>
          <w:noProof/>
        </w:rPr>
      </w:pPr>
    </w:p>
    <w:p>
      <w:pPr>
        <w:rPr>
          <w:noProof/>
        </w:rPr>
      </w:pPr>
    </w:p>
    <w:p>
      <w:pPr>
        <w:rPr>
          <w:noProof/>
        </w:rPr>
      </w:pPr>
    </w:p>
    <w:p>
      <w:pPr>
        <w:spacing w:after="0" w:line="240" w:lineRule="auto"/>
        <w:rPr>
          <w:rFonts w:ascii="Arial Narrow" w:hAnsi="Arial Narrow" w:cs="Arial"/>
          <w:bCs/>
          <w:caps/>
          <w:noProof/>
          <w:color w:val="DA1E48"/>
          <w:spacing w:val="10"/>
          <w:sz w:val="28"/>
          <w:szCs w:val="28"/>
        </w:rPr>
      </w:pPr>
      <w:bookmarkStart w:id="5" w:name="_Toc508380613"/>
      <w:r>
        <w:rPr>
          <w:b/>
          <w:noProof/>
          <w:sz w:val="28"/>
          <w:szCs w:val="28"/>
        </w:rPr>
        <w:br w:type="page"/>
      </w:r>
    </w:p>
    <w:p>
      <w:pPr>
        <w:pStyle w:val="Yo0H2"/>
        <w:rPr>
          <w:b w:val="0"/>
          <w:noProof/>
          <w:sz w:val="28"/>
          <w:szCs w:val="28"/>
          <w:lang w:val="en-GB"/>
        </w:rPr>
      </w:pPr>
      <w:r>
        <w:rPr>
          <w:b w:val="0"/>
          <w:noProof/>
          <w:sz w:val="28"/>
          <w:szCs w:val="28"/>
          <w:lang w:val="en-GB"/>
        </w:rPr>
        <w:t>9.1. Introduction</w:t>
      </w:r>
    </w:p>
    <w:p>
      <w:pPr>
        <w:pStyle w:val="Yo1Textpara"/>
        <w:rPr>
          <w:noProof/>
        </w:rPr>
      </w:pPr>
      <w:r>
        <w:rPr>
          <w:noProof/>
        </w:rPr>
        <w:t>Participation in cultural, artistic and recreational activities is a vital part of young people's lives. Besides providing an opportunity for enjoyment and stimulating creativity, involvement in these activities is an important way for young people to develop their personal, social and professional skills. Cultural engagement can provide them with the opportunities to acquire competencies through non-formal and informal learning that can be used in further education and vocational training as well as in professional development. In addition, involvement in cultural and artistic activities facilitates socialisation and integration into the community (</w:t>
      </w:r>
      <w:r>
        <w:rPr>
          <w:rStyle w:val="FootnoteReference"/>
          <w:noProof/>
        </w:rPr>
        <w:footnoteReference w:id="6"/>
      </w:r>
      <w:r>
        <w:rPr>
          <w:noProof/>
        </w:rPr>
        <w:t>).</w:t>
      </w:r>
    </w:p>
    <w:p>
      <w:pPr>
        <w:pStyle w:val="Yo1Textpara"/>
        <w:rPr>
          <w:noProof/>
        </w:rPr>
      </w:pPr>
      <w:r>
        <w:rPr>
          <w:noProof/>
        </w:rPr>
        <w:t xml:space="preserve">The development and increased use of new technologies applied to social communication and cultural enjoyment is rapidly transforming the way young people experience culture and the arts. Information and communication technologies are therefore becoming increasingly important to access cultural life, as well as to engage in artistic activities and creative processes. </w:t>
      </w:r>
    </w:p>
    <w:p>
      <w:pPr>
        <w:pStyle w:val="Yo1Textpara"/>
        <w:rPr>
          <w:noProof/>
        </w:rPr>
      </w:pPr>
      <w:r>
        <w:rPr>
          <w:noProof/>
        </w:rPr>
        <w:t xml:space="preserve">The chapter firstly presents data on youth participation in a variety of cultural, sporting and recreational activities. The second part focuses on young people's ICT skills and their use of ICT technologies for accessing cultural goods and services. The proportion of young people who use a computer or the internet on a daily basis is presented, as is data on the level of young people’s digital skills. The chapter also explores the ways that young people use information and communications technologies for cultural purposes. </w:t>
      </w:r>
    </w:p>
    <w:p>
      <w:pPr>
        <w:pStyle w:val="Yo0H2"/>
        <w:rPr>
          <w:b w:val="0"/>
          <w:noProof/>
          <w:sz w:val="28"/>
          <w:szCs w:val="28"/>
          <w:lang w:val="en-GB"/>
        </w:rPr>
      </w:pPr>
      <w:r>
        <w:rPr>
          <w:b w:val="0"/>
          <w:noProof/>
          <w:sz w:val="28"/>
          <w:szCs w:val="28"/>
          <w:lang w:val="en-GB"/>
        </w:rPr>
        <w:t>9.2. Cultural participation</w:t>
      </w:r>
    </w:p>
    <w:p>
      <w:pPr>
        <w:pStyle w:val="Yo1Textpara"/>
        <w:rPr>
          <w:noProof/>
        </w:rPr>
      </w:pPr>
      <w:r>
        <w:rPr>
          <w:noProof/>
        </w:rPr>
        <w:t xml:space="preserve">Cultural activities take various forms: sightseeing, travelling, listening to a concert, singing in a choir, playing in a rock band, creating digital videos, writing blogs, attending a sports club or youth organisation, to name just a few. Data on participation in various types of cultural activity is included in the EU youth indicators. Two ad-hoc modules of the EU-SILC survey show how people in Europe think and behave in the area of culture and allow comparisons over time (between 2006 and 2015). </w:t>
      </w:r>
    </w:p>
    <w:tbl>
      <w:tblPr>
        <w:tblpPr w:leftFromText="180" w:rightFromText="180" w:vertAnchor="text" w:horzAnchor="margin" w:tblpXSpec="right" w:tblpY="250"/>
        <w:tblOverlap w:val="never"/>
        <w:tblW w:w="0" w:type="auto"/>
        <w:shd w:val="clear" w:color="auto" w:fill="FDB1B1"/>
        <w:tblLayout w:type="fixed"/>
        <w:tblCellMar>
          <w:left w:w="0" w:type="dxa"/>
          <w:right w:w="0" w:type="dxa"/>
        </w:tblCellMar>
        <w:tblLook w:val="04A0" w:firstRow="1" w:lastRow="0" w:firstColumn="1" w:lastColumn="0" w:noHBand="0" w:noVBand="1"/>
      </w:tblPr>
      <w:tblGrid>
        <w:gridCol w:w="3083"/>
      </w:tblGrid>
      <w:tr>
        <w:tc>
          <w:tcPr>
            <w:tcW w:w="3083" w:type="dxa"/>
            <w:shd w:val="clear" w:color="auto" w:fill="FDB1B1"/>
          </w:tcPr>
          <w:p>
            <w:pPr>
              <w:pStyle w:val="Yo12Encart"/>
              <w:rPr>
                <w:noProof/>
                <w:sz w:val="22"/>
                <w:szCs w:val="22"/>
              </w:rPr>
            </w:pPr>
            <w:r>
              <w:rPr>
                <w:noProof/>
                <w:sz w:val="22"/>
                <w:szCs w:val="22"/>
              </w:rPr>
              <w:t>Going to the cinema is the most popular cultural activity among young people.</w:t>
            </w:r>
          </w:p>
        </w:tc>
      </w:tr>
    </w:tbl>
    <w:p>
      <w:pPr>
        <w:pStyle w:val="Yo1Textpara"/>
        <w:rPr>
          <w:bCs/>
          <w:noProof/>
        </w:rPr>
      </w:pPr>
      <w:r>
        <w:rPr>
          <w:noProof/>
        </w:rPr>
        <w:t xml:space="preserve">Figure 9-A shows the proportion of young people (aged 16-29) who have participated in cultural or sporting activities such as visiting museums, art galleries and sites of historical interest; visiting the cinema; attending </w:t>
      </w:r>
      <w:r>
        <w:rPr>
          <w:bCs/>
          <w:noProof/>
        </w:rPr>
        <w:t xml:space="preserve">live performances (theatre, concerts, ballet); or sporting events. Survey results indicate that in the EU, going to the cinema is the most common form of cultural activity among young people: 75.1 % of people aged 16-29 indicated that they went to the cinema at least once during 2015. Moreover, 36.4 % visited the cinema frequently (at least four times in the course of the year). Live performances (theatre, concerts and ballet) attracted 52.4 % of young people, while 47. 9% reported visiting cultural sites at least once. Of the four types of activities surveyed, sports events were the least frequented. Still, 44.8 % of young Europeans reported attending a sport event. </w:t>
      </w:r>
    </w:p>
    <w:p>
      <w:pPr>
        <w:pStyle w:val="Yo1Textpara"/>
        <w:rPr>
          <w:noProof/>
        </w:rPr>
      </w:pPr>
      <w:r>
        <w:rPr>
          <w:noProof/>
        </w:rPr>
        <w:t xml:space="preserve">In only a few countries did young people attend other types of cultural events more often than the cinema. In Lithuania, 76.3 % of young people had been to a live performance compared with 66.3 % who had been to the cinema. In Latvia, similar proportions of young people visited the cinema and went to live performances (64.5 % and 64.9 % respectively). In the former Yugoslav Republic of Macedonia, live performances (39.1 %) and sports events (37.5 %) were more popular than the cinema (28.3 %). </w:t>
      </w:r>
    </w:p>
    <w:p>
      <w:pPr>
        <w:pStyle w:val="Yo1Textpara"/>
        <w:rPr>
          <w:noProof/>
        </w:rPr>
      </w:pPr>
      <w:r>
        <w:rPr>
          <w:noProof/>
        </w:rPr>
        <w:t xml:space="preserve">In the Scandinavian countries, as well as Czech Republic, Germany, Estonia, Luxembourg and the Netherlands, young people were actively participating in all types of cultural and sports activities. In these countries, people aged 16-29 had higher participation rates than the EU average. In contrast, participation was low in Bulgaria, Spain, Italy, Malta and the former Yugoslav Republic of Macedonia </w:t>
      </w:r>
      <w:r>
        <w:rPr>
          <w:noProof/>
        </w:rPr>
        <w:sym w:font="Symbol" w:char="F02D"/>
      </w:r>
      <w:r>
        <w:rPr>
          <w:noProof/>
        </w:rPr>
        <w:t xml:space="preserve"> in these countries, people in this age group took part in the four types of cultural and sports activities under discussion less often than the EU average.</w:t>
      </w:r>
    </w:p>
    <w:p>
      <w:pPr>
        <w:pStyle w:val="Yo5TitleFigure"/>
        <w:jc w:val="both"/>
      </w:pPr>
      <w:r>
        <w:rPr>
          <w:b/>
        </w:rPr>
        <w:t>Figure 9-A:</w:t>
      </w:r>
      <w:r>
        <w:t xml:space="preserve"> Proportion of young people (aged 16-29) who participated in cultural or sports activities in the last 12 months, by frequency and country, 2015 and 2006</w:t>
      </w:r>
    </w:p>
    <w:p>
      <w:pPr>
        <w:pStyle w:val="Yo5TitleFigure"/>
      </w:pPr>
      <w:r>
        <w:t>a) Visited cultural sites (historical monuments, museums, art galleries or archaeological sites)</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tcBorders>
              <w:bottom w:val="nil"/>
            </w:tcBorders>
            <w:shd w:val="clear" w:color="auto" w:fill="auto"/>
          </w:tcPr>
          <w:p>
            <w:pPr>
              <w:pStyle w:val="Yo5TextNotesafter"/>
              <w:jc w:val="center"/>
              <w:rPr>
                <w:noProof/>
                <w:sz w:val="16"/>
              </w:rPr>
            </w:pPr>
            <w:r>
              <w:rPr>
                <w:noProof/>
                <w:snapToGrid/>
              </w:rPr>
              <w:drawing>
                <wp:inline distT="0" distB="0" distL="0" distR="0">
                  <wp:extent cx="5943600" cy="2038350"/>
                  <wp:effectExtent l="0" t="0" r="0" b="0"/>
                  <wp:docPr id="24" name="Picture 24" descr="\\s-eacea-fs03-p\EACEA.A7\Youth\04_Reports\a_EU_Youth_Reports\2018\03_graph\9_A_a_Cultural_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cea-fs03-p\EACEA.A7\Youth\04_Reports\a_EU_Youth_Reports\2018\03_graph\9_A_a_Cultural_sites.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tc>
      </w:tr>
      <w:tr>
        <w:trPr>
          <w:trHeight w:val="374"/>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9869" w:type="dxa"/>
            <w:tcBorders>
              <w:top w:val="nil"/>
            </w:tcBorders>
            <w:shd w:val="clear" w:color="auto" w:fill="auto"/>
          </w:tcPr>
          <w:tbl>
            <w:tblPr>
              <w:tblW w:w="0" w:type="auto"/>
              <w:jc w:val="center"/>
              <w:tblLayout w:type="fixed"/>
              <w:tblLook w:val="04A0" w:firstRow="1" w:lastRow="0" w:firstColumn="1" w:lastColumn="0" w:noHBand="0" w:noVBand="1"/>
            </w:tblPr>
            <w:tblGrid>
              <w:gridCol w:w="485"/>
              <w:gridCol w:w="1701"/>
              <w:gridCol w:w="419"/>
              <w:gridCol w:w="1563"/>
              <w:gridCol w:w="286"/>
              <w:gridCol w:w="1698"/>
            </w:tblGrid>
            <w:tr>
              <w:trPr>
                <w:jc w:val="center"/>
              </w:trPr>
              <w:tc>
                <w:tcPr>
                  <w:tcW w:w="485"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701" w:type="dxa"/>
                  <w:vAlign w:val="center"/>
                </w:tcPr>
                <w:p>
                  <w:pPr>
                    <w:pStyle w:val="p91Textpara"/>
                    <w:spacing w:before="60" w:after="60" w:line="240" w:lineRule="auto"/>
                    <w:jc w:val="left"/>
                    <w:rPr>
                      <w:rFonts w:eastAsia="Cambria"/>
                      <w:bCs/>
                      <w:noProof/>
                      <w:color w:val="auto"/>
                      <w:sz w:val="16"/>
                      <w:szCs w:val="16"/>
                    </w:rPr>
                  </w:pPr>
                  <w:r>
                    <w:rPr>
                      <w:rFonts w:eastAsia="Cambria"/>
                      <w:bCs/>
                      <w:noProof/>
                      <w:color w:val="auto"/>
                      <w:sz w:val="16"/>
                      <w:szCs w:val="16"/>
                    </w:rPr>
                    <w:t xml:space="preserve">In 2015 </w:t>
                  </w:r>
                  <w:r>
                    <w:rPr>
                      <w:rFonts w:eastAsia="Cambria"/>
                      <w:bCs/>
                      <w:noProof/>
                      <w:color w:val="auto"/>
                      <w:sz w:val="16"/>
                      <w:szCs w:val="16"/>
                    </w:rPr>
                    <w:br/>
                    <w:t>From 1 to 3 times</w:t>
                  </w:r>
                </w:p>
              </w:tc>
              <w:tc>
                <w:tcPr>
                  <w:tcW w:w="419"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563" w:type="dxa"/>
                  <w:vAlign w:val="center"/>
                </w:tcPr>
                <w:p>
                  <w:pPr>
                    <w:pStyle w:val="p91Textpara"/>
                    <w:spacing w:before="60" w:after="60" w:line="240" w:lineRule="auto"/>
                    <w:jc w:val="left"/>
                    <w:rPr>
                      <w:rFonts w:eastAsia="Cambria"/>
                      <w:bCs/>
                      <w:noProof/>
                      <w:color w:val="auto"/>
                      <w:sz w:val="16"/>
                      <w:szCs w:val="16"/>
                    </w:rPr>
                  </w:pPr>
                  <w:r>
                    <w:rPr>
                      <w:rFonts w:eastAsia="Cambria"/>
                      <w:bCs/>
                      <w:noProof/>
                      <w:color w:val="auto"/>
                      <w:sz w:val="16"/>
                      <w:szCs w:val="16"/>
                    </w:rPr>
                    <w:t xml:space="preserve">In 2015 </w:t>
                  </w:r>
                  <w:r>
                    <w:rPr>
                      <w:rFonts w:eastAsia="Cambria"/>
                      <w:bCs/>
                      <w:noProof/>
                      <w:color w:val="auto"/>
                      <w:sz w:val="16"/>
                      <w:szCs w:val="16"/>
                    </w:rPr>
                    <w:br/>
                    <w:t>At least 4 times</w:t>
                  </w:r>
                </w:p>
              </w:tc>
              <w:tc>
                <w:tcPr>
                  <w:tcW w:w="286" w:type="dxa"/>
                </w:tcPr>
                <w:p>
                  <w:pPr>
                    <w:pStyle w:val="p91Textpara"/>
                    <w:spacing w:before="60" w:after="60" w:line="240" w:lineRule="auto"/>
                    <w:jc w:val="left"/>
                    <w:rPr>
                      <w:noProof/>
                      <w:color w:val="auto"/>
                      <w:sz w:val="16"/>
                      <w:szCs w:val="16"/>
                    </w:rPr>
                  </w:pPr>
                  <w:r>
                    <w:rPr>
                      <w:noProof/>
                      <w:lang w:val="en-US"/>
                    </w:rPr>
                    <mc:AlternateContent>
                      <mc:Choice Requires="wps">
                        <w:drawing>
                          <wp:anchor distT="0" distB="0" distL="114300" distR="114300" simplePos="0" relativeHeight="251642880" behindDoc="0" locked="0" layoutInCell="1" allowOverlap="1">
                            <wp:simplePos x="0" y="0"/>
                            <wp:positionH relativeFrom="column">
                              <wp:posOffset>-6985</wp:posOffset>
                            </wp:positionH>
                            <wp:positionV relativeFrom="paragraph">
                              <wp:posOffset>112395</wp:posOffset>
                            </wp:positionV>
                            <wp:extent cx="55880" cy="66040"/>
                            <wp:effectExtent l="0" t="0" r="20320" b="10160"/>
                            <wp:wrapNone/>
                            <wp:docPr id="66"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6040"/>
                                    </a:xfrm>
                                    <a:prstGeom prst="diamond">
                                      <a:avLst/>
                                    </a:prstGeom>
                                    <a:solidFill>
                                      <a:sysClr val="windowText" lastClr="000000"/>
                                    </a:solidFill>
                                    <a:ln w="25400" cap="flat" cmpd="sng" algn="ctr">
                                      <a:solidFill>
                                        <a:sysClr val="windowText" lastClr="000000">
                                          <a:shade val="50000"/>
                                        </a:sysClr>
                                      </a:solidFill>
                                      <a:prstDash val="solid"/>
                                    </a:ln>
                                    <a:effectLst/>
                                  </wps:spPr>
                                  <wps:bodyPr vertOverflow="clip"/>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1A80FB" id="_x0000_t4" coordsize="21600,21600" o:spt="4" path="m10800,l,10800,10800,21600,21600,10800xe">
                            <v:stroke joinstyle="miter"/>
                            <v:path gradientshapeok="t" o:connecttype="rect" textboxrect="5400,5400,16200,16200"/>
                          </v:shapetype>
                          <v:shape id="Diamond 5" o:spid="_x0000_s1026" type="#_x0000_t4" style="position:absolute;margin-left:-.55pt;margin-top:8.85pt;width:4.4pt;height: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" fillcolor="windowText" strokeweight="2pt">
                            <v:path arrowok="t"/>
                          </v:shape>
                        </w:pict>
                      </mc:Fallback>
                    </mc:AlternateContent>
                  </w:r>
                </w:p>
              </w:tc>
              <w:tc>
                <w:tcPr>
                  <w:tcW w:w="1698" w:type="dxa"/>
                  <w:vAlign w:val="center"/>
                </w:tcPr>
                <w:p>
                  <w:pPr>
                    <w:pStyle w:val="p91Textpara"/>
                    <w:spacing w:before="60" w:after="60" w:line="240" w:lineRule="auto"/>
                    <w:jc w:val="left"/>
                    <w:rPr>
                      <w:rFonts w:eastAsia="Cambria"/>
                      <w:bCs/>
                      <w:noProof/>
                      <w:color w:val="auto"/>
                      <w:sz w:val="16"/>
                      <w:szCs w:val="16"/>
                    </w:rPr>
                  </w:pPr>
                  <w:r>
                    <w:rPr>
                      <w:noProof/>
                      <w:color w:val="auto"/>
                      <w:sz w:val="16"/>
                      <w:szCs w:val="16"/>
                    </w:rPr>
                    <w:t>In 2006</w:t>
                  </w:r>
                  <w:r>
                    <w:rPr>
                      <w:noProof/>
                      <w:color w:val="auto"/>
                      <w:sz w:val="16"/>
                      <w:szCs w:val="16"/>
                    </w:rPr>
                    <w:br/>
                    <w:t>At least once</w:t>
                  </w:r>
                </w:p>
              </w:tc>
            </w:tr>
          </w:tbl>
          <w:p>
            <w:pPr>
              <w:pStyle w:val="Yo5TextNotes"/>
              <w:tabs>
                <w:tab w:val="clear" w:pos="1985"/>
                <w:tab w:val="right" w:pos="8722"/>
              </w:tabs>
              <w:rPr>
                <w:noProof/>
                <w:lang w:val="en-GB" w:eastAsia="en-GB"/>
              </w:rPr>
            </w:pPr>
          </w:p>
        </w:tc>
      </w:tr>
    </w:tbl>
    <w:p>
      <w:pPr>
        <w:pStyle w:val="Yo5TitleFigure"/>
      </w:pPr>
      <w:r>
        <w:t xml:space="preserve">b) Visited the cinema </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tcBorders>
              <w:bottom w:val="nil"/>
            </w:tcBorders>
            <w:shd w:val="clear" w:color="auto" w:fill="auto"/>
          </w:tcPr>
          <w:p>
            <w:pPr>
              <w:pStyle w:val="Yo5TextNotesafter"/>
              <w:jc w:val="center"/>
              <w:rPr>
                <w:noProof/>
                <w:sz w:val="16"/>
              </w:rPr>
            </w:pPr>
            <w:r>
              <w:rPr>
                <w:noProof/>
                <w:snapToGrid/>
              </w:rPr>
              <w:drawing>
                <wp:inline distT="0" distB="0" distL="0" distR="0">
                  <wp:extent cx="5943600" cy="2009775"/>
                  <wp:effectExtent l="0" t="0" r="0" b="9525"/>
                  <wp:docPr id="27" name="Picture 27" descr="\\s-eacea-fs03-p\EACEA.A7\Youth\04_Reports\a_EU_Youth_Reports\2018\03_graph\9_A_b_Cine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s-eacea-fs03-p\EACEA.A7\Youth\04_Reports\a_EU_Youth_Reports\2018\03_graph\9_A_b_Cinema.jpg"/>
                          <pic:cNvPicPr>
                            <a:picLocks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943600" cy="2009775"/>
                          </a:xfrm>
                          <a:prstGeom prst="rect">
                            <a:avLst/>
                          </a:prstGeom>
                          <a:noFill/>
                          <a:ln>
                            <a:noFill/>
                          </a:ln>
                        </pic:spPr>
                      </pic:pic>
                    </a:graphicData>
                  </a:graphic>
                </wp:inline>
              </w:drawing>
            </w:r>
          </w:p>
        </w:tc>
      </w:tr>
      <w:tr>
        <w:trPr>
          <w:trHeight w:val="374"/>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9869" w:type="dxa"/>
            <w:tcBorders>
              <w:top w:val="nil"/>
            </w:tcBorders>
            <w:shd w:val="clear" w:color="auto" w:fill="auto"/>
          </w:tcPr>
          <w:tbl>
            <w:tblPr>
              <w:tblW w:w="0" w:type="auto"/>
              <w:jc w:val="center"/>
              <w:tblLayout w:type="fixed"/>
              <w:tblLook w:val="04A0" w:firstRow="1" w:lastRow="0" w:firstColumn="1" w:lastColumn="0" w:noHBand="0" w:noVBand="1"/>
            </w:tblPr>
            <w:tblGrid>
              <w:gridCol w:w="485"/>
              <w:gridCol w:w="1701"/>
              <w:gridCol w:w="419"/>
              <w:gridCol w:w="1563"/>
              <w:gridCol w:w="286"/>
              <w:gridCol w:w="1698"/>
            </w:tblGrid>
            <w:tr>
              <w:trPr>
                <w:jc w:val="center"/>
              </w:trPr>
              <w:tc>
                <w:tcPr>
                  <w:tcW w:w="485"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701" w:type="dxa"/>
                  <w:vAlign w:val="center"/>
                </w:tcPr>
                <w:p>
                  <w:pPr>
                    <w:pStyle w:val="p91Textpara"/>
                    <w:spacing w:before="60" w:after="60" w:line="240" w:lineRule="auto"/>
                    <w:jc w:val="left"/>
                    <w:rPr>
                      <w:rFonts w:eastAsia="Cambria"/>
                      <w:bCs/>
                      <w:noProof/>
                      <w:color w:val="auto"/>
                      <w:sz w:val="16"/>
                      <w:szCs w:val="16"/>
                    </w:rPr>
                  </w:pPr>
                  <w:r>
                    <w:rPr>
                      <w:noProof/>
                      <w:color w:val="auto"/>
                      <w:sz w:val="16"/>
                      <w:szCs w:val="16"/>
                    </w:rPr>
                    <w:t>In 2015</w:t>
                  </w:r>
                  <w:r>
                    <w:rPr>
                      <w:noProof/>
                      <w:color w:val="auto"/>
                      <w:sz w:val="16"/>
                      <w:szCs w:val="16"/>
                    </w:rPr>
                    <w:br/>
                    <w:t>From 1 to 3 times</w:t>
                  </w:r>
                </w:p>
              </w:tc>
              <w:tc>
                <w:tcPr>
                  <w:tcW w:w="419"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563" w:type="dxa"/>
                  <w:vAlign w:val="center"/>
                </w:tcPr>
                <w:p>
                  <w:pPr>
                    <w:pStyle w:val="p91Textpara"/>
                    <w:spacing w:before="60" w:after="60" w:line="240" w:lineRule="auto"/>
                    <w:jc w:val="left"/>
                    <w:rPr>
                      <w:rFonts w:eastAsia="Cambria"/>
                      <w:bCs/>
                      <w:noProof/>
                      <w:color w:val="auto"/>
                      <w:sz w:val="16"/>
                      <w:szCs w:val="16"/>
                    </w:rPr>
                  </w:pPr>
                  <w:r>
                    <w:rPr>
                      <w:rFonts w:eastAsia="Cambria"/>
                      <w:bCs/>
                      <w:noProof/>
                      <w:color w:val="auto"/>
                      <w:sz w:val="16"/>
                      <w:szCs w:val="16"/>
                    </w:rPr>
                    <w:t xml:space="preserve">In 2015 </w:t>
                  </w:r>
                  <w:r>
                    <w:rPr>
                      <w:rFonts w:eastAsia="Cambria"/>
                      <w:bCs/>
                      <w:noProof/>
                      <w:color w:val="auto"/>
                      <w:sz w:val="16"/>
                      <w:szCs w:val="16"/>
                    </w:rPr>
                    <w:br/>
                    <w:t>At least 4 times</w:t>
                  </w:r>
                </w:p>
              </w:tc>
              <w:tc>
                <w:tcPr>
                  <w:tcW w:w="286" w:type="dxa"/>
                </w:tcPr>
                <w:p>
                  <w:pPr>
                    <w:pStyle w:val="p91Textpara"/>
                    <w:spacing w:before="60" w:after="60" w:line="240" w:lineRule="auto"/>
                    <w:jc w:val="left"/>
                    <w:rPr>
                      <w:noProof/>
                      <w:color w:val="auto"/>
                      <w:sz w:val="16"/>
                      <w:szCs w:val="16"/>
                    </w:rPr>
                  </w:pPr>
                  <w:r>
                    <w:rPr>
                      <w:noProof/>
                      <w:lang w:val="en-US"/>
                    </w:rPr>
                    <mc:AlternateContent>
                      <mc:Choice Requires="wps">
                        <w:drawing>
                          <wp:anchor distT="0" distB="0" distL="114300" distR="114300" simplePos="0" relativeHeight="251648000" behindDoc="0" locked="0" layoutInCell="1" allowOverlap="1">
                            <wp:simplePos x="0" y="0"/>
                            <wp:positionH relativeFrom="column">
                              <wp:posOffset>-6985</wp:posOffset>
                            </wp:positionH>
                            <wp:positionV relativeFrom="paragraph">
                              <wp:posOffset>112395</wp:posOffset>
                            </wp:positionV>
                            <wp:extent cx="55880" cy="66040"/>
                            <wp:effectExtent l="0" t="0" r="20320" b="10160"/>
                            <wp:wrapNone/>
                            <wp:docPr id="23"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6040"/>
                                    </a:xfrm>
                                    <a:prstGeom prst="diamond">
                                      <a:avLst/>
                                    </a:prstGeom>
                                    <a:solidFill>
                                      <a:sysClr val="windowText" lastClr="000000"/>
                                    </a:solidFill>
                                    <a:ln w="25400" cap="flat" cmpd="sng" algn="ctr">
                                      <a:solidFill>
                                        <a:sysClr val="windowText" lastClr="000000">
                                          <a:shade val="50000"/>
                                        </a:sysClr>
                                      </a:solidFill>
                                      <a:prstDash val="solid"/>
                                    </a:ln>
                                    <a:effectLst/>
                                  </wps:spPr>
                                  <wps:bodyPr vertOverflow="clip"/>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4D6B14" id="Diamond 5" o:spid="_x0000_s1026" type="#_x0000_t4" style="position:absolute;margin-left:-.55pt;margin-top:8.85pt;width:4.4pt;height: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" fillcolor="windowText" strokeweight="2pt">
                            <v:path arrowok="t"/>
                          </v:shape>
                        </w:pict>
                      </mc:Fallback>
                    </mc:AlternateContent>
                  </w:r>
                </w:p>
              </w:tc>
              <w:tc>
                <w:tcPr>
                  <w:tcW w:w="1698" w:type="dxa"/>
                  <w:vAlign w:val="center"/>
                </w:tcPr>
                <w:p>
                  <w:pPr>
                    <w:pStyle w:val="p91Textpara"/>
                    <w:spacing w:before="60" w:after="60" w:line="240" w:lineRule="auto"/>
                    <w:jc w:val="left"/>
                    <w:rPr>
                      <w:rFonts w:eastAsia="Cambria"/>
                      <w:bCs/>
                      <w:noProof/>
                      <w:color w:val="auto"/>
                      <w:sz w:val="16"/>
                      <w:szCs w:val="16"/>
                    </w:rPr>
                  </w:pPr>
                  <w:r>
                    <w:rPr>
                      <w:noProof/>
                      <w:color w:val="auto"/>
                      <w:sz w:val="16"/>
                      <w:szCs w:val="16"/>
                    </w:rPr>
                    <w:t>In 2006</w:t>
                  </w:r>
                  <w:r>
                    <w:rPr>
                      <w:noProof/>
                      <w:color w:val="auto"/>
                      <w:sz w:val="16"/>
                      <w:szCs w:val="16"/>
                    </w:rPr>
                    <w:br/>
                    <w:t>At least once</w:t>
                  </w:r>
                </w:p>
              </w:tc>
            </w:tr>
          </w:tbl>
          <w:p>
            <w:pPr>
              <w:pStyle w:val="Yo5TextNotes"/>
              <w:tabs>
                <w:tab w:val="clear" w:pos="1985"/>
                <w:tab w:val="right" w:pos="8722"/>
              </w:tabs>
              <w:rPr>
                <w:noProof/>
                <w:lang w:val="en-GB" w:eastAsia="en-GB"/>
              </w:rPr>
            </w:pPr>
          </w:p>
        </w:tc>
      </w:tr>
    </w:tbl>
    <w:p>
      <w:pPr>
        <w:pStyle w:val="Yo5TitleFigure"/>
      </w:pPr>
      <w:r>
        <w:br w:type="page"/>
        <w:t>c) Attended live performances (theatre, concerts, ballet)</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tcBorders>
              <w:bottom w:val="nil"/>
            </w:tcBorders>
            <w:shd w:val="clear" w:color="auto" w:fill="auto"/>
          </w:tcPr>
          <w:p>
            <w:pPr>
              <w:pStyle w:val="Yo5TextNotesafter"/>
              <w:jc w:val="center"/>
              <w:rPr>
                <w:noProof/>
                <w:sz w:val="16"/>
              </w:rPr>
            </w:pPr>
            <w:r>
              <w:rPr>
                <w:noProof/>
                <w:snapToGrid/>
              </w:rPr>
              <w:drawing>
                <wp:inline distT="0" distB="0" distL="0" distR="0">
                  <wp:extent cx="5943600" cy="2038350"/>
                  <wp:effectExtent l="0" t="0" r="0" b="0"/>
                  <wp:docPr id="30" name="Picture 30" descr="\\s-eacea-fs03-p\EACEA.A7\Youth\04_Reports\a_EU_Youth_Reports\2018\03_graph\9_A_c_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cea-fs03-p\EACEA.A7\Youth\04_Reports\a_EU_Youth_Reports\2018\03_graph\9_A_c_live.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tc>
      </w:tr>
      <w:tr>
        <w:trPr>
          <w:trHeight w:val="374"/>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9869" w:type="dxa"/>
            <w:tcBorders>
              <w:top w:val="nil"/>
            </w:tcBorders>
            <w:shd w:val="clear" w:color="auto" w:fill="auto"/>
          </w:tcPr>
          <w:tbl>
            <w:tblPr>
              <w:tblW w:w="0" w:type="auto"/>
              <w:jc w:val="center"/>
              <w:tblLayout w:type="fixed"/>
              <w:tblLook w:val="04A0" w:firstRow="1" w:lastRow="0" w:firstColumn="1" w:lastColumn="0" w:noHBand="0" w:noVBand="1"/>
            </w:tblPr>
            <w:tblGrid>
              <w:gridCol w:w="485"/>
              <w:gridCol w:w="1701"/>
              <w:gridCol w:w="419"/>
              <w:gridCol w:w="1563"/>
              <w:gridCol w:w="286"/>
              <w:gridCol w:w="1698"/>
            </w:tblGrid>
            <w:tr>
              <w:trPr>
                <w:jc w:val="center"/>
              </w:trPr>
              <w:tc>
                <w:tcPr>
                  <w:tcW w:w="485"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701" w:type="dxa"/>
                  <w:vAlign w:val="center"/>
                </w:tcPr>
                <w:p>
                  <w:pPr>
                    <w:pStyle w:val="p91Textpara"/>
                    <w:spacing w:before="60" w:after="60" w:line="240" w:lineRule="auto"/>
                    <w:jc w:val="left"/>
                    <w:rPr>
                      <w:rFonts w:eastAsia="Cambria"/>
                      <w:bCs/>
                      <w:noProof/>
                      <w:color w:val="auto"/>
                      <w:sz w:val="16"/>
                      <w:szCs w:val="16"/>
                    </w:rPr>
                  </w:pPr>
                  <w:r>
                    <w:rPr>
                      <w:noProof/>
                      <w:color w:val="auto"/>
                      <w:sz w:val="16"/>
                      <w:szCs w:val="16"/>
                    </w:rPr>
                    <w:t>In 2015</w:t>
                  </w:r>
                  <w:r>
                    <w:rPr>
                      <w:noProof/>
                      <w:color w:val="auto"/>
                      <w:sz w:val="16"/>
                      <w:szCs w:val="16"/>
                    </w:rPr>
                    <w:br/>
                    <w:t>From 1 to 3 times</w:t>
                  </w:r>
                </w:p>
              </w:tc>
              <w:tc>
                <w:tcPr>
                  <w:tcW w:w="419"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563" w:type="dxa"/>
                  <w:vAlign w:val="center"/>
                </w:tcPr>
                <w:p>
                  <w:pPr>
                    <w:pStyle w:val="p91Textpara"/>
                    <w:spacing w:before="60" w:after="60" w:line="240" w:lineRule="auto"/>
                    <w:jc w:val="left"/>
                    <w:rPr>
                      <w:rFonts w:eastAsia="Cambria"/>
                      <w:bCs/>
                      <w:noProof/>
                      <w:color w:val="auto"/>
                      <w:sz w:val="16"/>
                      <w:szCs w:val="16"/>
                    </w:rPr>
                  </w:pPr>
                  <w:r>
                    <w:rPr>
                      <w:rFonts w:eastAsia="Cambria"/>
                      <w:bCs/>
                      <w:noProof/>
                      <w:color w:val="auto"/>
                      <w:sz w:val="16"/>
                      <w:szCs w:val="16"/>
                    </w:rPr>
                    <w:t xml:space="preserve">In 2015 </w:t>
                  </w:r>
                  <w:r>
                    <w:rPr>
                      <w:rFonts w:eastAsia="Cambria"/>
                      <w:bCs/>
                      <w:noProof/>
                      <w:color w:val="auto"/>
                      <w:sz w:val="16"/>
                      <w:szCs w:val="16"/>
                    </w:rPr>
                    <w:br/>
                    <w:t>At least 4 times</w:t>
                  </w:r>
                </w:p>
              </w:tc>
              <w:tc>
                <w:tcPr>
                  <w:tcW w:w="286" w:type="dxa"/>
                </w:tcPr>
                <w:p>
                  <w:pPr>
                    <w:pStyle w:val="p91Textpara"/>
                    <w:spacing w:before="60" w:after="60" w:line="240" w:lineRule="auto"/>
                    <w:jc w:val="left"/>
                    <w:rPr>
                      <w:noProof/>
                      <w:color w:val="auto"/>
                      <w:sz w:val="16"/>
                      <w:szCs w:val="16"/>
                    </w:rPr>
                  </w:pPr>
                  <w:r>
                    <w:rPr>
                      <w:noProof/>
                      <w:lang w:val="en-US"/>
                    </w:rPr>
                    <mc:AlternateContent>
                      <mc:Choice Requires="wps">
                        <w:drawing>
                          <wp:anchor distT="0" distB="0" distL="114300" distR="114300" simplePos="0" relativeHeight="251653120" behindDoc="0" locked="0" layoutInCell="1" allowOverlap="1">
                            <wp:simplePos x="0" y="0"/>
                            <wp:positionH relativeFrom="column">
                              <wp:posOffset>-6985</wp:posOffset>
                            </wp:positionH>
                            <wp:positionV relativeFrom="paragraph">
                              <wp:posOffset>112395</wp:posOffset>
                            </wp:positionV>
                            <wp:extent cx="55880" cy="66040"/>
                            <wp:effectExtent l="0" t="0" r="20320" b="10160"/>
                            <wp:wrapNone/>
                            <wp:docPr id="22"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6040"/>
                                    </a:xfrm>
                                    <a:prstGeom prst="diamond">
                                      <a:avLst/>
                                    </a:prstGeom>
                                    <a:solidFill>
                                      <a:sysClr val="windowText" lastClr="000000"/>
                                    </a:solidFill>
                                    <a:ln w="25400" cap="flat" cmpd="sng" algn="ctr">
                                      <a:solidFill>
                                        <a:sysClr val="windowText" lastClr="000000">
                                          <a:shade val="50000"/>
                                        </a:sysClr>
                                      </a:solidFill>
                                      <a:prstDash val="solid"/>
                                    </a:ln>
                                    <a:effectLst/>
                                  </wps:spPr>
                                  <wps:bodyPr vertOverflow="clip"/>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ECB635" id="Diamond 5" o:spid="_x0000_s1026" type="#_x0000_t4" style="position:absolute;margin-left:-.55pt;margin-top:8.85pt;width:4.4pt;height: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" fillcolor="windowText" strokeweight="2pt">
                            <v:path arrowok="t"/>
                          </v:shape>
                        </w:pict>
                      </mc:Fallback>
                    </mc:AlternateContent>
                  </w:r>
                </w:p>
              </w:tc>
              <w:tc>
                <w:tcPr>
                  <w:tcW w:w="1698" w:type="dxa"/>
                  <w:vAlign w:val="center"/>
                </w:tcPr>
                <w:p>
                  <w:pPr>
                    <w:pStyle w:val="p91Textpara"/>
                    <w:spacing w:before="60" w:after="60" w:line="240" w:lineRule="auto"/>
                    <w:jc w:val="left"/>
                    <w:rPr>
                      <w:rFonts w:eastAsia="Cambria"/>
                      <w:bCs/>
                      <w:noProof/>
                      <w:color w:val="auto"/>
                      <w:sz w:val="16"/>
                      <w:szCs w:val="16"/>
                    </w:rPr>
                  </w:pPr>
                  <w:r>
                    <w:rPr>
                      <w:noProof/>
                      <w:color w:val="auto"/>
                      <w:sz w:val="16"/>
                      <w:szCs w:val="16"/>
                    </w:rPr>
                    <w:t>In 2006</w:t>
                  </w:r>
                  <w:r>
                    <w:rPr>
                      <w:noProof/>
                      <w:color w:val="auto"/>
                      <w:sz w:val="16"/>
                      <w:szCs w:val="16"/>
                    </w:rPr>
                    <w:br/>
                    <w:t>At least once</w:t>
                  </w:r>
                </w:p>
              </w:tc>
            </w:tr>
          </w:tbl>
          <w:p>
            <w:pPr>
              <w:pStyle w:val="Yo5TextNotes"/>
              <w:tabs>
                <w:tab w:val="clear" w:pos="1985"/>
                <w:tab w:val="right" w:pos="8722"/>
              </w:tabs>
              <w:rPr>
                <w:noProof/>
                <w:lang w:val="en-GB" w:eastAsia="en-GB"/>
              </w:rPr>
            </w:pPr>
          </w:p>
        </w:tc>
      </w:tr>
    </w:tbl>
    <w:p>
      <w:pPr>
        <w:pStyle w:val="Yo5TitleFigure"/>
      </w:pPr>
      <w:r>
        <w:t>d) Attended sports events</w:t>
      </w:r>
    </w:p>
    <w:tbl>
      <w:tblPr>
        <w:tblW w:w="10402"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533"/>
        <w:gridCol w:w="9869"/>
      </w:tblGrid>
      <w:tr>
        <w:trPr>
          <w:trHeight w:val="520"/>
        </w:trPr>
        <w:tc>
          <w:tcPr>
            <w:tcW w:w="533"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869" w:type="dxa"/>
            <w:tcBorders>
              <w:bottom w:val="nil"/>
            </w:tcBorders>
            <w:shd w:val="clear" w:color="auto" w:fill="auto"/>
          </w:tcPr>
          <w:p>
            <w:pPr>
              <w:pStyle w:val="Yo5TextNotesafter"/>
              <w:jc w:val="center"/>
              <w:rPr>
                <w:noProof/>
                <w:sz w:val="16"/>
              </w:rPr>
            </w:pPr>
            <w:r>
              <w:rPr>
                <w:noProof/>
                <w:snapToGrid/>
                <w:sz w:val="16"/>
              </w:rPr>
              <w:drawing>
                <wp:inline distT="0" distB="0" distL="0" distR="0">
                  <wp:extent cx="5943600" cy="2038350"/>
                  <wp:effectExtent l="0" t="0" r="0" b="0"/>
                  <wp:docPr id="33" name="Picture 33" descr="\\s-eacea-fs03-p\EACEA.A7\Youth\04_Reports\a_EU_Youth_Reports\2018\03_graph\9_A_d_sports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acea-fs03-p\EACEA.A7\Youth\04_Reports\a_EU_Youth_Reports\2018\03_graph\9_A_d_sports_events.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tc>
      </w:tr>
      <w:tr>
        <w:trPr>
          <w:trHeight w:val="374"/>
        </w:trPr>
        <w:tc>
          <w:tcPr>
            <w:tcW w:w="533" w:type="dxa"/>
            <w:vMerge/>
            <w:shd w:val="clear" w:color="auto" w:fill="FB5F5F"/>
            <w:textDirection w:val="btLr"/>
            <w:vAlign w:val="bottom"/>
          </w:tcPr>
          <w:p>
            <w:pPr>
              <w:spacing w:after="0" w:line="240" w:lineRule="auto"/>
              <w:ind w:left="113" w:right="113"/>
              <w:rPr>
                <w:b/>
                <w:noProof/>
                <w:color w:val="FFFFFF"/>
                <w:sz w:val="16"/>
              </w:rPr>
            </w:pPr>
          </w:p>
        </w:tc>
        <w:tc>
          <w:tcPr>
            <w:tcW w:w="9869" w:type="dxa"/>
            <w:tcBorders>
              <w:top w:val="nil"/>
            </w:tcBorders>
            <w:shd w:val="clear" w:color="auto" w:fill="auto"/>
          </w:tcPr>
          <w:tbl>
            <w:tblPr>
              <w:tblW w:w="0" w:type="auto"/>
              <w:jc w:val="center"/>
              <w:tblLayout w:type="fixed"/>
              <w:tblLook w:val="04A0" w:firstRow="1" w:lastRow="0" w:firstColumn="1" w:lastColumn="0" w:noHBand="0" w:noVBand="1"/>
            </w:tblPr>
            <w:tblGrid>
              <w:gridCol w:w="485"/>
              <w:gridCol w:w="1701"/>
              <w:gridCol w:w="419"/>
              <w:gridCol w:w="1563"/>
              <w:gridCol w:w="286"/>
              <w:gridCol w:w="1698"/>
            </w:tblGrid>
            <w:tr>
              <w:trPr>
                <w:jc w:val="center"/>
              </w:trPr>
              <w:tc>
                <w:tcPr>
                  <w:tcW w:w="485"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701" w:type="dxa"/>
                  <w:vAlign w:val="center"/>
                </w:tcPr>
                <w:p>
                  <w:pPr>
                    <w:pStyle w:val="p91Textpara"/>
                    <w:spacing w:before="60" w:after="60" w:line="240" w:lineRule="auto"/>
                    <w:jc w:val="left"/>
                    <w:rPr>
                      <w:rFonts w:eastAsia="Cambria"/>
                      <w:bCs/>
                      <w:noProof/>
                      <w:color w:val="auto"/>
                      <w:sz w:val="16"/>
                      <w:szCs w:val="16"/>
                    </w:rPr>
                  </w:pPr>
                  <w:r>
                    <w:rPr>
                      <w:noProof/>
                      <w:color w:val="auto"/>
                      <w:sz w:val="16"/>
                      <w:szCs w:val="16"/>
                    </w:rPr>
                    <w:t>In 2015</w:t>
                  </w:r>
                  <w:r>
                    <w:rPr>
                      <w:noProof/>
                      <w:color w:val="auto"/>
                      <w:sz w:val="16"/>
                      <w:szCs w:val="16"/>
                    </w:rPr>
                    <w:br/>
                    <w:t>From 1 to 3 times</w:t>
                  </w:r>
                </w:p>
              </w:tc>
              <w:tc>
                <w:tcPr>
                  <w:tcW w:w="419"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563" w:type="dxa"/>
                  <w:vAlign w:val="center"/>
                </w:tcPr>
                <w:p>
                  <w:pPr>
                    <w:pStyle w:val="p91Textpara"/>
                    <w:spacing w:before="60" w:after="60" w:line="240" w:lineRule="auto"/>
                    <w:jc w:val="left"/>
                    <w:rPr>
                      <w:rFonts w:eastAsia="Cambria"/>
                      <w:bCs/>
                      <w:noProof/>
                      <w:color w:val="auto"/>
                      <w:sz w:val="16"/>
                      <w:szCs w:val="16"/>
                    </w:rPr>
                  </w:pPr>
                  <w:r>
                    <w:rPr>
                      <w:rFonts w:eastAsia="Cambria"/>
                      <w:bCs/>
                      <w:noProof/>
                      <w:color w:val="auto"/>
                      <w:sz w:val="16"/>
                      <w:szCs w:val="16"/>
                    </w:rPr>
                    <w:t xml:space="preserve">In 2015 </w:t>
                  </w:r>
                  <w:r>
                    <w:rPr>
                      <w:rFonts w:eastAsia="Cambria"/>
                      <w:bCs/>
                      <w:noProof/>
                      <w:color w:val="auto"/>
                      <w:sz w:val="16"/>
                      <w:szCs w:val="16"/>
                    </w:rPr>
                    <w:br/>
                    <w:t>At least 4 times</w:t>
                  </w:r>
                </w:p>
              </w:tc>
              <w:tc>
                <w:tcPr>
                  <w:tcW w:w="286" w:type="dxa"/>
                </w:tcPr>
                <w:p>
                  <w:pPr>
                    <w:pStyle w:val="p91Textpara"/>
                    <w:spacing w:before="60" w:after="60" w:line="240" w:lineRule="auto"/>
                    <w:jc w:val="left"/>
                    <w:rPr>
                      <w:noProof/>
                      <w:color w:val="auto"/>
                      <w:sz w:val="16"/>
                      <w:szCs w:val="16"/>
                    </w:rPr>
                  </w:pPr>
                  <w:r>
                    <w:rPr>
                      <w:noProof/>
                      <w:lang w:val="en-US"/>
                    </w:rPr>
                    <mc:AlternateContent>
                      <mc:Choice Requires="wps">
                        <w:drawing>
                          <wp:anchor distT="0" distB="0" distL="114300" distR="114300" simplePos="0" relativeHeight="251658240" behindDoc="0" locked="0" layoutInCell="1" allowOverlap="1">
                            <wp:simplePos x="0" y="0"/>
                            <wp:positionH relativeFrom="column">
                              <wp:posOffset>-6985</wp:posOffset>
                            </wp:positionH>
                            <wp:positionV relativeFrom="paragraph">
                              <wp:posOffset>112395</wp:posOffset>
                            </wp:positionV>
                            <wp:extent cx="55880" cy="66040"/>
                            <wp:effectExtent l="0" t="0" r="20320" b="10160"/>
                            <wp:wrapNone/>
                            <wp:docPr id="19"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 cy="66040"/>
                                    </a:xfrm>
                                    <a:prstGeom prst="diamond">
                                      <a:avLst/>
                                    </a:prstGeom>
                                    <a:solidFill>
                                      <a:sysClr val="windowText" lastClr="000000"/>
                                    </a:solidFill>
                                    <a:ln w="25400" cap="flat" cmpd="sng" algn="ctr">
                                      <a:solidFill>
                                        <a:sysClr val="windowText" lastClr="000000">
                                          <a:shade val="50000"/>
                                        </a:sysClr>
                                      </a:solidFill>
                                      <a:prstDash val="solid"/>
                                    </a:ln>
                                    <a:effectLst/>
                                  </wps:spPr>
                                  <wps:bodyPr vertOverflow="clip"/>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D2947" id="Diamond 5" o:spid="_x0000_s1026" type="#_x0000_t4" style="position:absolute;margin-left:-.55pt;margin-top:8.85pt;width:4.4pt;height: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" fillcolor="windowText" strokeweight="2pt">
                            <v:path arrowok="t"/>
                          </v:shape>
                        </w:pict>
                      </mc:Fallback>
                    </mc:AlternateContent>
                  </w:r>
                </w:p>
              </w:tc>
              <w:tc>
                <w:tcPr>
                  <w:tcW w:w="1698" w:type="dxa"/>
                  <w:vAlign w:val="center"/>
                </w:tcPr>
                <w:p>
                  <w:pPr>
                    <w:pStyle w:val="p91Textpara"/>
                    <w:spacing w:before="60" w:after="60" w:line="240" w:lineRule="auto"/>
                    <w:jc w:val="left"/>
                    <w:rPr>
                      <w:rFonts w:eastAsia="Cambria"/>
                      <w:bCs/>
                      <w:noProof/>
                      <w:color w:val="auto"/>
                      <w:sz w:val="16"/>
                      <w:szCs w:val="16"/>
                    </w:rPr>
                  </w:pPr>
                  <w:r>
                    <w:rPr>
                      <w:noProof/>
                      <w:color w:val="auto"/>
                      <w:sz w:val="16"/>
                      <w:szCs w:val="16"/>
                    </w:rPr>
                    <w:t>In 2006</w:t>
                  </w:r>
                  <w:r>
                    <w:rPr>
                      <w:noProof/>
                      <w:color w:val="auto"/>
                      <w:sz w:val="16"/>
                      <w:szCs w:val="16"/>
                    </w:rPr>
                    <w:br/>
                    <w:t>At least once</w:t>
                  </w:r>
                </w:p>
              </w:tc>
            </w:tr>
          </w:tbl>
          <w:p>
            <w:pPr>
              <w:pStyle w:val="Yo5TextNotes"/>
              <w:tabs>
                <w:tab w:val="clear" w:pos="1985"/>
                <w:tab w:val="right" w:pos="8722"/>
              </w:tabs>
              <w:rPr>
                <w:noProof/>
                <w:lang w:val="en-GB" w:eastAsia="en-GB"/>
              </w:rPr>
            </w:pPr>
          </w:p>
        </w:tc>
      </w:tr>
    </w:tbl>
    <w:p>
      <w:pPr>
        <w:pStyle w:val="Yo5TextNotesbeforeafter"/>
        <w:rPr>
          <w:noProof/>
          <w:lang w:val="en-GB" w:eastAsia="en-GB"/>
        </w:rPr>
      </w:pPr>
      <w:r>
        <w:rPr>
          <w:i/>
          <w:noProof/>
          <w:lang w:val="en-GB" w:eastAsia="en-GB"/>
        </w:rPr>
        <w:t>Note</w:t>
      </w:r>
      <w:r>
        <w:rPr>
          <w:noProof/>
          <w:lang w:val="en-GB" w:eastAsia="en-GB"/>
        </w:rPr>
        <w:t xml:space="preserve">: EU-28: estimated. 2015: IE, PL, UK: low reliability. 2006: IE, NL, NO: low reliability. The reference year 2015 and 2006 are the only data points available. The value for 2006 should be compared with the total bar length in 2015. </w:t>
      </w:r>
    </w:p>
    <w:p>
      <w:pPr>
        <w:pStyle w:val="Yo5TextNotesbeforeafter"/>
        <w:rPr>
          <w:noProof/>
          <w:lang w:val="en-GB" w:eastAsia="en-GB"/>
        </w:rPr>
      </w:pPr>
      <w:r>
        <w:rPr>
          <w:i/>
          <w:noProof/>
          <w:lang w:val="en-GB" w:eastAsia="en-GB"/>
        </w:rPr>
        <w:t>Source</w:t>
      </w:r>
      <w:r>
        <w:rPr>
          <w:noProof/>
          <w:lang w:val="en-GB" w:eastAsia="en-GB"/>
        </w:rPr>
        <w:t>: Eurostat EU-SILC [ilc_scp03], data extracted on 25/10/2017.</w:t>
      </w:r>
    </w:p>
    <w:p>
      <w:pPr>
        <w:pStyle w:val="Yo1Textpara"/>
        <w:rPr>
          <w:noProof/>
        </w:rPr>
      </w:pPr>
      <w:r>
        <w:rPr>
          <w:noProof/>
        </w:rPr>
        <w:t>Back in 2006, cinema was already the most popular cultural activity among young people in almost all European countries. Unfortunately, the EU average is not available for 2006 and this hampers the ability to analyse overall change over time. At the country level, a clear pattern of change over time does not emerge. In Czech Republic, Latvia, Luxembourg and the Netherlands the proportion of young people attending all four types of cultural activity increased in 2015 compared with 2006. In contrast, the proportions of young people attending cultural and sports events decreased in Slovakia (from 3 to 18 percentage points).</w:t>
      </w:r>
    </w:p>
    <w:p>
      <w:pPr>
        <w:pStyle w:val="Yo5TitleFigure"/>
        <w:jc w:val="both"/>
      </w:pPr>
      <w:r>
        <w:rPr>
          <w:b/>
        </w:rPr>
        <w:t>Figure 9-B:</w:t>
      </w:r>
      <w:r>
        <w:t xml:space="preserve"> Proportion of young people (aged 16-29) practising artistic activities, by country and frequency, 2015</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26"/>
        <w:gridCol w:w="9923"/>
      </w:tblGrid>
      <w:tr>
        <w:trPr>
          <w:cantSplit/>
          <w:trHeight w:val="1134"/>
        </w:trPr>
        <w:tc>
          <w:tcPr>
            <w:tcW w:w="426" w:type="dxa"/>
            <w:vMerge w:val="restart"/>
            <w:shd w:val="clear" w:color="auto" w:fill="FB5F5F"/>
            <w:textDirection w:val="btLr"/>
            <w:vAlign w:val="bottom"/>
          </w:tcPr>
          <w:p>
            <w:pPr>
              <w:pStyle w:val="Yo13YouthIndicator"/>
              <w:jc w:val="center"/>
              <w:rPr>
                <w:noProof/>
              </w:rPr>
            </w:pPr>
            <w:r>
              <w:rPr>
                <w:noProof/>
              </w:rPr>
              <w:t>EU youth indicator</w:t>
            </w:r>
          </w:p>
        </w:tc>
        <w:tc>
          <w:tcPr>
            <w:tcW w:w="9923" w:type="dxa"/>
            <w:tcBorders>
              <w:bottom w:val="nil"/>
            </w:tcBorders>
            <w:shd w:val="clear" w:color="auto" w:fill="auto"/>
          </w:tcPr>
          <w:p>
            <w:pPr>
              <w:pStyle w:val="Yo5TextNotesafter"/>
              <w:jc w:val="center"/>
              <w:rPr>
                <w:noProof/>
              </w:rPr>
            </w:pPr>
            <w:r>
              <w:rPr>
                <w:noProof/>
              </w:rPr>
              <w:fldChar w:fldCharType="begin"/>
            </w:r>
            <w:r>
              <w:rPr>
                <w:noProof/>
              </w:rPr>
              <w:instrText xml:space="preserve"> INCLUDEPICTURE  "U:\\B3\\Data from Old C1\\EU YOUTH REPORT\\EU Youth Report 2018\\Revised version between cabinets - 25.04\\03_graph\\9_B_artistic_hobbies.jpg" \* MERGEFORMATINET </w:instrText>
            </w:r>
            <w:r>
              <w:rPr>
                <w:noProof/>
              </w:rPr>
              <w:fldChar w:fldCharType="separate"/>
            </w:r>
            <w:r>
              <w:rPr>
                <w:noProof/>
              </w:rPr>
              <w:fldChar w:fldCharType="begin"/>
            </w:r>
            <w:r>
              <w:rPr>
                <w:noProof/>
              </w:rPr>
              <w:instrText xml:space="preserve"> INCLUDEPICTURE  "U:\\01\\Coordination legislative\\8. Files\\B3 - EU Youth Strategy Joint Report_new framework post 2018\\03_graph\\9_B_artistic_hobbies.jpg" \* MERGEFORMATINET </w:instrText>
            </w:r>
            <w:r>
              <w:rPr>
                <w:noProof/>
              </w:rPr>
              <w:fldChar w:fldCharType="separate"/>
            </w:r>
            <w:r>
              <w:rPr>
                <w:noProof/>
              </w:rPr>
              <w:fldChar w:fldCharType="begin"/>
            </w:r>
            <w:r>
              <w:rPr>
                <w:noProof/>
              </w:rPr>
              <w:instrText xml:space="preserve"> INCLUDEPICTURE  "C:\\Users\\paredcr\\AppData\\Local\\Temp\\03_graph\\9_B_artistic_hobbies.jpg" \* MERGEFORMATINET </w:instrText>
            </w:r>
            <w:r>
              <w:rPr>
                <w:noProof/>
              </w:rPr>
              <w:fldChar w:fldCharType="separate"/>
            </w:r>
            <w:r>
              <w:rPr>
                <w:noProof/>
              </w:rPr>
              <w:fldChar w:fldCharType="begin"/>
            </w:r>
            <w:r>
              <w:rPr>
                <w:noProof/>
              </w:rPr>
              <w:instrText xml:space="preserve"> INCLUDEPICTURE  "C:\\Users\\paredcr\\AppData\\Local\\Temp\\03_graph\\9_B_artistic_hobbies.jpg" \* MERGEFORMATINET </w:instrText>
            </w:r>
            <w:r>
              <w:rPr>
                <w:noProof/>
              </w:rPr>
              <w:fldChar w:fldCharType="separate"/>
            </w:r>
            <w:r>
              <w:rPr>
                <w:noProof/>
              </w:rPr>
              <w:fldChar w:fldCharType="begin"/>
            </w:r>
            <w:r>
              <w:rPr>
                <w:noProof/>
              </w:rPr>
              <w:instrText xml:space="preserve"> INCLUDEPICTURE  "C:\\Users\\paredcr\\AppData\\Local\\Temp\\03_graph\\9_B_artistic_hobbies.jpg" \* MERGEFORMATINET </w:instrText>
            </w:r>
            <w:r>
              <w:rPr>
                <w:noProof/>
              </w:rPr>
              <w:fldChar w:fldCharType="separate"/>
            </w:r>
            <w:r>
              <w:rPr>
                <w:noProof/>
              </w:rPr>
              <w:fldChar w:fldCharType="begin"/>
            </w:r>
            <w:r>
              <w:rPr>
                <w:noProof/>
              </w:rPr>
              <w:instrText xml:space="preserve"> INCLUDEPICTURE  "C:\\Users\\paredcr\\AppData\\Local\\Temp\\03_graph\\9_B_artistic_hobbies.jpg" \* MERGEFORMATINET </w:instrText>
            </w:r>
            <w:r>
              <w:rPr>
                <w:noProof/>
              </w:rPr>
              <w:fldChar w:fldCharType="separate"/>
            </w:r>
            <w:r>
              <w:rPr>
                <w:noProof/>
              </w:rPr>
              <w:pict>
                <v:shape id="_x0000_i1026" type="#_x0000_t75" style="width:463.35pt;height:158.05pt">
                  <v:imagedata r:id="rId54" r:href="rId55"/>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r>
      <w:tr>
        <w:trPr>
          <w:cantSplit/>
        </w:trPr>
        <w:tc>
          <w:tcPr>
            <w:tcW w:w="426" w:type="dxa"/>
            <w:vMerge/>
            <w:shd w:val="clear" w:color="auto" w:fill="FB5F5F"/>
            <w:textDirection w:val="btLr"/>
            <w:vAlign w:val="bottom"/>
          </w:tcPr>
          <w:p>
            <w:pPr>
              <w:pStyle w:val="Yo13YouthIndicator"/>
              <w:jc w:val="center"/>
              <w:rPr>
                <w:noProof/>
              </w:rPr>
            </w:pPr>
          </w:p>
        </w:tc>
        <w:tc>
          <w:tcPr>
            <w:tcW w:w="9923" w:type="dxa"/>
            <w:tcBorders>
              <w:top w:val="nil"/>
            </w:tcBorders>
            <w:shd w:val="clear" w:color="auto" w:fill="auto"/>
          </w:tcPr>
          <w:p>
            <w:pPr>
              <w:pStyle w:val="Yo5TextNotes"/>
              <w:tabs>
                <w:tab w:val="clear" w:pos="1985"/>
                <w:tab w:val="right" w:pos="9248"/>
              </w:tabs>
              <w:ind w:left="368"/>
              <w:rPr>
                <w:noProof/>
                <w:sz w:val="2"/>
              </w:rPr>
            </w:pPr>
          </w:p>
          <w:tbl>
            <w:tblPr>
              <w:tblW w:w="0" w:type="auto"/>
              <w:jc w:val="center"/>
              <w:tblLayout w:type="fixed"/>
              <w:tblLook w:val="04A0" w:firstRow="1" w:lastRow="0" w:firstColumn="1" w:lastColumn="0" w:noHBand="0" w:noVBand="1"/>
            </w:tblPr>
            <w:tblGrid>
              <w:gridCol w:w="485"/>
              <w:gridCol w:w="1701"/>
              <w:gridCol w:w="419"/>
              <w:gridCol w:w="2315"/>
            </w:tblGrid>
            <w:tr>
              <w:trPr>
                <w:jc w:val="center"/>
              </w:trPr>
              <w:tc>
                <w:tcPr>
                  <w:tcW w:w="485"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42875" cy="142875"/>
                        <wp:effectExtent l="0" t="0" r="9525" b="952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701" w:type="dxa"/>
                  <w:vAlign w:val="center"/>
                </w:tcPr>
                <w:p>
                  <w:pPr>
                    <w:pStyle w:val="p91Textpara"/>
                    <w:spacing w:before="60" w:after="60" w:line="240" w:lineRule="auto"/>
                    <w:jc w:val="left"/>
                    <w:rPr>
                      <w:noProof/>
                      <w:color w:val="auto"/>
                      <w:sz w:val="16"/>
                      <w:szCs w:val="16"/>
                    </w:rPr>
                  </w:pPr>
                  <w:r>
                    <w:rPr>
                      <w:noProof/>
                      <w:color w:val="auto"/>
                      <w:sz w:val="16"/>
                      <w:szCs w:val="16"/>
                    </w:rPr>
                    <w:t>Monthly or yearly</w:t>
                  </w:r>
                </w:p>
              </w:tc>
              <w:tc>
                <w:tcPr>
                  <w:tcW w:w="419" w:type="dxa"/>
                  <w:shd w:val="clear" w:color="auto" w:fill="auto"/>
                  <w:vAlign w:val="center"/>
                </w:tcPr>
                <w:p>
                  <w:pPr>
                    <w:pStyle w:val="p91Textpara"/>
                    <w:spacing w:before="60" w:after="60" w:line="240" w:lineRule="auto"/>
                    <w:jc w:val="left"/>
                    <w:rPr>
                      <w:noProof/>
                      <w:color w:val="auto"/>
                      <w:sz w:val="16"/>
                      <w:szCs w:val="16"/>
                    </w:rPr>
                  </w:pPr>
                  <w:r>
                    <w:rPr>
                      <w:noProof/>
                      <w:lang w:val="en-US"/>
                    </w:rPr>
                    <w:drawing>
                      <wp:inline distT="0" distB="0" distL="0" distR="0">
                        <wp:extent cx="152400" cy="142875"/>
                        <wp:effectExtent l="0" t="0" r="0" b="952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c>
                <w:tcPr>
                  <w:tcW w:w="2315" w:type="dxa"/>
                  <w:vAlign w:val="center"/>
                </w:tcPr>
                <w:p>
                  <w:pPr>
                    <w:pStyle w:val="p91Textpara"/>
                    <w:spacing w:before="60" w:after="60" w:line="240" w:lineRule="auto"/>
                    <w:jc w:val="left"/>
                    <w:rPr>
                      <w:noProof/>
                      <w:color w:val="auto"/>
                      <w:sz w:val="16"/>
                      <w:szCs w:val="16"/>
                    </w:rPr>
                  </w:pPr>
                  <w:r>
                    <w:rPr>
                      <w:noProof/>
                      <w:color w:val="auto"/>
                      <w:sz w:val="16"/>
                      <w:szCs w:val="16"/>
                    </w:rPr>
                    <w:t>At least once per week</w:t>
                  </w:r>
                </w:p>
              </w:tc>
            </w:tr>
          </w:tbl>
          <w:p>
            <w:pPr>
              <w:pStyle w:val="Yo5TextNotes"/>
              <w:tabs>
                <w:tab w:val="clear" w:pos="1985"/>
                <w:tab w:val="right" w:pos="9248"/>
              </w:tabs>
              <w:rPr>
                <w:noProof/>
                <w:lang w:val="en-GB"/>
              </w:rPr>
            </w:pPr>
          </w:p>
        </w:tc>
      </w:tr>
    </w:tbl>
    <w:p>
      <w:pPr>
        <w:pStyle w:val="Yo5TextNotesbeforeafter"/>
        <w:rPr>
          <w:noProof/>
          <w:lang w:val="en-GB" w:eastAsia="en-GB"/>
        </w:rPr>
      </w:pPr>
      <w:r>
        <w:rPr>
          <w:i/>
          <w:noProof/>
          <w:lang w:val="en-GB" w:eastAsia="en-GB"/>
        </w:rPr>
        <w:t>Notes</w:t>
      </w:r>
      <w:r>
        <w:rPr>
          <w:noProof/>
          <w:lang w:val="en-GB" w:eastAsia="en-GB"/>
        </w:rPr>
        <w:t>: The Figure reports the frequency with which the respondent usually practises artistic activities such as play an instrument, compose music, sing, dance, act, photograph, make video, draw, paint, carve or do other visual arts, handcraft, write poems, short stories, fiction, etc. Only activities performed as a hobby are included. It is not important if the activities are organised or not. If the respondent performs more than one activity, the time spent on all of them is counted. All activities performed as respondent's professional activity are excluded.</w:t>
      </w:r>
    </w:p>
    <w:p>
      <w:pPr>
        <w:pStyle w:val="Yo5TextNotesbeforeafter"/>
        <w:rPr>
          <w:noProof/>
          <w:lang w:val="en-GB" w:eastAsia="en-GB"/>
        </w:rPr>
      </w:pPr>
      <w:r>
        <w:rPr>
          <w:noProof/>
          <w:lang w:val="en-GB" w:eastAsia="en-GB"/>
        </w:rPr>
        <w:t xml:space="preserve">EU-28: estimated. Ireland, Poland, United Kingdom: low reliability. </w:t>
      </w:r>
    </w:p>
    <w:p>
      <w:pPr>
        <w:pStyle w:val="Yo5TextNotesbeforeafter"/>
        <w:rPr>
          <w:noProof/>
          <w:lang w:val="en-GB"/>
        </w:rPr>
      </w:pPr>
      <w:r>
        <w:rPr>
          <w:i/>
          <w:noProof/>
          <w:lang w:val="en-GB" w:eastAsia="en-GB"/>
        </w:rPr>
        <w:t>Source</w:t>
      </w:r>
      <w:r>
        <w:rPr>
          <w:noProof/>
          <w:lang w:val="en-GB" w:eastAsia="en-GB"/>
        </w:rPr>
        <w:t>: Eurostat [ilc_scp07], data extracted on 26/10/2017.</w:t>
      </w:r>
    </w:p>
    <w:p>
      <w:pPr>
        <w:pStyle w:val="Yo1Textpara"/>
        <w:rPr>
          <w:noProof/>
        </w:rPr>
      </w:pPr>
      <w:r>
        <w:rPr>
          <w:noProof/>
        </w:rPr>
        <w:t xml:space="preserve">Practising an art or craft on an amateur basis is another important aspect of youth culture and creativity. Figure 9-B indicates that 23.2 % of people aged 16-29 engage in such activities at least once a week in the EU; an additional 19.4 % report that they have done so at least once during the last 12 months. </w:t>
      </w:r>
    </w:p>
    <w:p>
      <w:pPr>
        <w:pStyle w:val="Yo1Textpara"/>
        <w:rPr>
          <w:noProof/>
        </w:rPr>
      </w:pPr>
      <w:r>
        <w:rPr>
          <w:noProof/>
        </w:rPr>
        <w:t xml:space="preserve">The proportion of young people practising amateur artistic activities is especially high (more than 60 %) in Denmark, Germany, Greece, Finland and Iceland. Finland stands out with the highest proportion of young people who have creative hobbies (75.5 %), as well as the highest proportion frequently engaging in artistic activities: 43.9 % reported practising these activities at least once a week. In contrast, less than 25 % of people aged 15-29 reported participating in creative hobbies at least once a year in Belgium, Bulgaria, France, Portugal and Romania. The proportion of young people involved in artistic activities weekly was especially low in Romania (3.8 %). </w:t>
      </w:r>
    </w:p>
    <w:tbl>
      <w:tblPr>
        <w:tblpPr w:leftFromText="180" w:rightFromText="180" w:vertAnchor="text" w:horzAnchor="margin" w:tblpXSpec="right" w:tblpY="259"/>
        <w:tblOverlap w:val="never"/>
        <w:tblW w:w="0" w:type="auto"/>
        <w:shd w:val="clear" w:color="auto" w:fill="FDB1B1"/>
        <w:tblLayout w:type="fixed"/>
        <w:tblCellMar>
          <w:left w:w="0" w:type="dxa"/>
          <w:right w:w="0" w:type="dxa"/>
        </w:tblCellMar>
        <w:tblLook w:val="04A0" w:firstRow="1" w:lastRow="0" w:firstColumn="1" w:lastColumn="0" w:noHBand="0" w:noVBand="1"/>
      </w:tblPr>
      <w:tblGrid>
        <w:gridCol w:w="3083"/>
      </w:tblGrid>
      <w:tr>
        <w:tc>
          <w:tcPr>
            <w:tcW w:w="3083" w:type="dxa"/>
            <w:shd w:val="clear" w:color="auto" w:fill="FDB1B1"/>
          </w:tcPr>
          <w:p>
            <w:pPr>
              <w:pStyle w:val="Yo12Encart"/>
              <w:rPr>
                <w:noProof/>
                <w:sz w:val="22"/>
                <w:szCs w:val="22"/>
              </w:rPr>
            </w:pPr>
            <w:r>
              <w:rPr>
                <w:noProof/>
                <w:sz w:val="22"/>
                <w:szCs w:val="22"/>
              </w:rPr>
              <w:t>In 2017, fewer young people attend a sports club than in 2011.</w:t>
            </w:r>
          </w:p>
        </w:tc>
      </w:tr>
    </w:tbl>
    <w:p>
      <w:pPr>
        <w:pStyle w:val="Yo1Textpara"/>
        <w:rPr>
          <w:noProof/>
        </w:rPr>
      </w:pPr>
      <w:r>
        <w:rPr>
          <w:noProof/>
        </w:rPr>
        <w:t>Cultural</w:t>
      </w:r>
      <w:r>
        <w:rPr>
          <w:noProof/>
          <w:lang w:val="en-US"/>
        </w:rPr>
        <w:t xml:space="preserve"> engagement also takes place collectively through participation in groups, clubs and other organisations. The latest Flash Eurobarometer data shows </w:t>
      </w:r>
      <w:r>
        <w:rPr>
          <w:noProof/>
        </w:rPr>
        <w:t xml:space="preserve">the proportion of young people who are active in a sports club, a youth organisation or club, or a cultural organisation (Figure 9-C). In most European countries, the sports club is the most common type of organisation to which young people belong. In the EU, 29 % of people aged 15 to 30 years reported being active in a sports club. The proportion of young people who belong to a sports club is higher (more than 35 %) in Germany, Ireland, France and the Netherlands. Across the EU, however, compared with the situation in 2011, young people's participation in sports clubs had fallen by 5 percentage points in 2017. The fall was particularly severe in the Netherlands (from 59 % to 39 %) and Slovakia (from 29 % to 12 %). The proportion of young people engaged in a sports club slightly increased (2-5 percentage points) in Bulgaria, Greece and Portugal. </w:t>
      </w:r>
    </w:p>
    <w:p>
      <w:pPr>
        <w:pStyle w:val="Yo1Textpara"/>
        <w:rPr>
          <w:noProof/>
        </w:rPr>
      </w:pPr>
      <w:r>
        <w:rPr>
          <w:noProof/>
        </w:rPr>
        <w:t xml:space="preserve">Every fifth young European participates in some kind of youth club or youth organisation. The proportion is considerably higher (more than 25 %) in Belgium, Ireland and Italy. In contrast, the proportion is considerably lower than the EU average (ranging from 5 % to 9 %) in Croatia, Cyprus, Lithuania, Malta and Slovakia. On average in the EU, the proportion of young people participating in such clubs and organisations increased by 2 percentage points (p.p.) from 2011 to 2017. The rise was especially noticeable (6 p.p.) in Portugal. In contrast, participation decreased considerably (8-9 p.p.) in Lithuania, Malta and Slovakia. </w:t>
      </w:r>
    </w:p>
    <w:p>
      <w:pPr>
        <w:pStyle w:val="Yo5TitleFigure"/>
        <w:jc w:val="both"/>
      </w:pPr>
      <w:r>
        <w:rPr>
          <w:b/>
        </w:rPr>
        <w:t>Figure 9-C:</w:t>
      </w:r>
      <w:r>
        <w:t xml:space="preserve"> Proportion of young people (aged 15-30) who have been active in a sports club, youth club/organisation or a cultural organisation at least once in the last 12 months, by country, 2017 and 2011</w:t>
      </w:r>
    </w:p>
    <w:p>
      <w:pPr>
        <w:pStyle w:val="Yo5TitleFigure"/>
      </w:pPr>
      <w:r>
        <w:t>a) A sports club</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26"/>
        <w:gridCol w:w="9923"/>
      </w:tblGrid>
      <w:tr>
        <w:trPr>
          <w:cantSplit/>
          <w:trHeight w:val="1134"/>
        </w:trPr>
        <w:tc>
          <w:tcPr>
            <w:tcW w:w="426" w:type="dxa"/>
            <w:shd w:val="clear" w:color="auto" w:fill="FB5F5F"/>
            <w:textDirection w:val="btLr"/>
            <w:vAlign w:val="bottom"/>
          </w:tcPr>
          <w:p>
            <w:pPr>
              <w:pStyle w:val="Yo13YouthIndicator"/>
              <w:jc w:val="center"/>
              <w:rPr>
                <w:noProof/>
                <w:lang w:eastAsia="fr-BE"/>
              </w:rPr>
            </w:pPr>
            <w:r>
              <w:rPr>
                <w:noProof/>
              </w:rPr>
              <w:t>EU youth indicator</w:t>
            </w:r>
          </w:p>
        </w:tc>
        <w:tc>
          <w:tcPr>
            <w:tcW w:w="9923" w:type="dxa"/>
            <w:shd w:val="clear" w:color="auto" w:fill="auto"/>
          </w:tcPr>
          <w:p>
            <w:pPr>
              <w:pStyle w:val="Yo5TextNotesafter"/>
              <w:jc w:val="center"/>
              <w:rPr>
                <w:noProof/>
              </w:rPr>
            </w:pPr>
            <w:r>
              <w:rPr>
                <w:noProof/>
                <w:snapToGrid/>
              </w:rPr>
              <mc:AlternateContent>
                <mc:Choice Requires="wps">
                  <w:drawing>
                    <wp:anchor distT="0" distB="0" distL="114300" distR="114300" simplePos="0" relativeHeight="251663360" behindDoc="0" locked="0" layoutInCell="1" allowOverlap="1">
                      <wp:simplePos x="0" y="0"/>
                      <wp:positionH relativeFrom="column">
                        <wp:posOffset>4680585</wp:posOffset>
                      </wp:positionH>
                      <wp:positionV relativeFrom="paragraph">
                        <wp:posOffset>498475</wp:posOffset>
                      </wp:positionV>
                      <wp:extent cx="1209040" cy="1324610"/>
                      <wp:effectExtent l="3810" t="3175"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132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noProof/>
                                      <w:lang w:val="en-US"/>
                                    </w:rPr>
                                    <w:drawing>
                                      <wp:inline distT="0" distB="0" distL="0" distR="0">
                                        <wp:extent cx="1028700" cy="1076325"/>
                                        <wp:effectExtent l="0" t="0" r="0" b="9525"/>
                                        <wp:docPr id="73" name="Picture 73" descr="\\s-eacea-fs03-p\EACEA.A7\Youth\04_Reports\a_EU_Youth_Reports\2018\03_graph\9_C_a_sports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acea-fs03-p\EACEA.A7\Youth\04_Reports\a_EU_Youth_Reports\2018\03_graph\9_C_a_sports_gender.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8.55pt;margin-top:39.25pt;width:95.2pt;height:104.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HtgIAAMA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" filled="f" stroked="f">
                      <v:textbox style="mso-fit-shape-to-text:t">
                        <w:txbxContent>
                          <w:p>
                            <w:r>
                              <w:rPr>
                                <w:noProof/>
                                <w:lang w:val="en-US"/>
                              </w:rPr>
                              <w:drawing>
                                <wp:inline distT="0" distB="0" distL="0" distR="0">
                                  <wp:extent cx="1028700" cy="1076325"/>
                                  <wp:effectExtent l="0" t="0" r="0" b="9525"/>
                                  <wp:docPr id="73" name="Picture 73" descr="\\s-eacea-fs03-p\EACEA.A7\Youth\04_Reports\a_EU_Youth_Reports\2018\03_graph\9_C_a_sports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acea-fs03-p\EACEA.A7\Youth\04_Reports\a_EU_Youth_Reports\2018\03_graph\9_C_a_sports_gender.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028700" cy="1076325"/>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5791200" cy="2000250"/>
                  <wp:effectExtent l="0" t="0" r="0" b="0"/>
                  <wp:docPr id="39" name="Picture 39" descr="\\s-eacea-fs03-p\EACEA.A7\Youth\04_Reports\a_EU_Youth_Reports\2018\03_graph\9_C_a_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acea-fs03-p\EACEA.A7\Youth\04_Reports\a_EU_Youth_Reports\2018\03_graph\9_C_a_sports.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5791200" cy="2000250"/>
                          </a:xfrm>
                          <a:prstGeom prst="rect">
                            <a:avLst/>
                          </a:prstGeom>
                          <a:noFill/>
                          <a:ln>
                            <a:noFill/>
                          </a:ln>
                        </pic:spPr>
                      </pic:pic>
                    </a:graphicData>
                  </a:graphic>
                </wp:inline>
              </w:drawing>
            </w:r>
          </w:p>
        </w:tc>
      </w:tr>
    </w:tbl>
    <w:p>
      <w:pPr>
        <w:pStyle w:val="Yo5TitleFigure"/>
      </w:pPr>
      <w:r>
        <w:t>b) A youth club, leisure-time club or any kind of youth organisation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26"/>
        <w:gridCol w:w="9923"/>
      </w:tblGrid>
      <w:tr>
        <w:trPr>
          <w:cantSplit/>
          <w:trHeight w:val="1134"/>
        </w:trPr>
        <w:tc>
          <w:tcPr>
            <w:tcW w:w="426" w:type="dxa"/>
            <w:shd w:val="clear" w:color="auto" w:fill="FB5F5F"/>
            <w:textDirection w:val="btLr"/>
            <w:vAlign w:val="bottom"/>
          </w:tcPr>
          <w:p>
            <w:pPr>
              <w:pStyle w:val="Yo13YouthIndicator"/>
              <w:jc w:val="center"/>
              <w:rPr>
                <w:noProof/>
                <w:lang w:eastAsia="fr-BE"/>
              </w:rPr>
            </w:pPr>
            <w:r>
              <w:rPr>
                <w:noProof/>
              </w:rPr>
              <w:t>EU youth indicator</w:t>
            </w:r>
          </w:p>
        </w:tc>
        <w:tc>
          <w:tcPr>
            <w:tcW w:w="9923" w:type="dxa"/>
            <w:shd w:val="clear" w:color="auto" w:fill="auto"/>
          </w:tcPr>
          <w:p>
            <w:pPr>
              <w:pStyle w:val="Yo5TextNotesafter"/>
              <w:jc w:val="center"/>
              <w:rPr>
                <w:noProof/>
              </w:rPr>
            </w:pPr>
            <w:r>
              <w:rPr>
                <w:noProof/>
                <w:snapToGrid/>
              </w:rPr>
              <mc:AlternateContent>
                <mc:Choice Requires="wps">
                  <w:drawing>
                    <wp:anchor distT="0" distB="0" distL="114300" distR="114300" simplePos="0" relativeHeight="251668480" behindDoc="0" locked="0" layoutInCell="1" allowOverlap="1">
                      <wp:simplePos x="0" y="0"/>
                      <wp:positionH relativeFrom="column">
                        <wp:posOffset>4680585</wp:posOffset>
                      </wp:positionH>
                      <wp:positionV relativeFrom="paragraph">
                        <wp:posOffset>476885</wp:posOffset>
                      </wp:positionV>
                      <wp:extent cx="1198880" cy="1176655"/>
                      <wp:effectExtent l="3810" t="635"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noProof/>
                                      <w:lang w:val="en-US"/>
                                    </w:rPr>
                                    <w:drawing>
                                      <wp:inline distT="0" distB="0" distL="0" distR="0">
                                        <wp:extent cx="1019175" cy="1076325"/>
                                        <wp:effectExtent l="0" t="0" r="9525" b="9525"/>
                                        <wp:docPr id="74" name="Picture 74" descr="\\s-eacea-fs03-p\EACEA.A7\Youth\04_Reports\a_EU_Youth_Reports\2018\03_graph\9_C_b_youth_club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acea-fs03-p\EACEA.A7\Youth\04_Reports\a_EU_Youth_Reports\2018\03_graph\9_C_b_youth_club_gender.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368.55pt;margin-top:37.55pt;width:94.4pt;height:92.65pt;z-index:25166848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1n6tgIAAMA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" filled="f" stroked="f">
                      <v:textbox>
                        <w:txbxContent>
                          <w:p>
                            <w:r>
                              <w:rPr>
                                <w:noProof/>
                                <w:lang w:val="en-US"/>
                              </w:rPr>
                              <w:drawing>
                                <wp:inline distT="0" distB="0" distL="0" distR="0">
                                  <wp:extent cx="1019175" cy="1076325"/>
                                  <wp:effectExtent l="0" t="0" r="9525" b="9525"/>
                                  <wp:docPr id="74" name="Picture 74" descr="\\s-eacea-fs03-p\EACEA.A7\Youth\04_Reports\a_EU_Youth_Reports\2018\03_graph\9_C_b_youth_club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acea-fs03-p\EACEA.A7\Youth\04_Reports\a_EU_Youth_Reports\2018\03_graph\9_C_b_youth_club_gender.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inline>
                              </w:drawing>
                            </w:r>
                          </w:p>
                        </w:txbxContent>
                      </v:textbox>
                    </v:shape>
                  </w:pict>
                </mc:Fallback>
              </mc:AlternateContent>
            </w:r>
            <w:r>
              <w:rPr>
                <w:noProof/>
                <w:snapToGrid/>
              </w:rPr>
              <w:drawing>
                <wp:inline distT="0" distB="0" distL="0" distR="0">
                  <wp:extent cx="5791200" cy="1981200"/>
                  <wp:effectExtent l="0" t="0" r="0" b="0"/>
                  <wp:docPr id="40" name="Picture 40" descr="\\s-eacea-fs03-p\EACEA.A7\Youth\04_Reports\a_EU_Youth_Reports\2018\03_graph\9_C_b_youth_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acea-fs03-p\EACEA.A7\Youth\04_Reports\a_EU_Youth_Reports\2018\03_graph\9_C_b_youth_club.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5791200" cy="1981200"/>
                          </a:xfrm>
                          <a:prstGeom prst="rect">
                            <a:avLst/>
                          </a:prstGeom>
                          <a:noFill/>
                          <a:ln>
                            <a:noFill/>
                          </a:ln>
                        </pic:spPr>
                      </pic:pic>
                    </a:graphicData>
                  </a:graphic>
                </wp:inline>
              </w:drawing>
            </w:r>
          </w:p>
        </w:tc>
      </w:tr>
    </w:tbl>
    <w:p>
      <w:pPr>
        <w:pStyle w:val="Yo5TitleFigure"/>
      </w:pPr>
      <w:r>
        <w:t>c) A cultural organisation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3"/>
      </w:tblGrid>
      <w:tr>
        <w:trPr>
          <w:cantSplit/>
          <w:trHeight w:val="1134"/>
        </w:trPr>
        <w:tc>
          <w:tcPr>
            <w:tcW w:w="426" w:type="dxa"/>
            <w:shd w:val="clear" w:color="auto" w:fill="FB5F5F"/>
            <w:textDirection w:val="btLr"/>
            <w:vAlign w:val="bottom"/>
          </w:tcPr>
          <w:p>
            <w:pPr>
              <w:pStyle w:val="Yo13YouthIndicator"/>
              <w:jc w:val="center"/>
              <w:rPr>
                <w:noProof/>
                <w:lang w:eastAsia="fr-BE"/>
              </w:rPr>
            </w:pPr>
            <w:r>
              <w:rPr>
                <w:noProof/>
              </w:rPr>
              <w:t>EU youth indicator</w:t>
            </w:r>
          </w:p>
        </w:tc>
        <w:tc>
          <w:tcPr>
            <w:tcW w:w="9923" w:type="dxa"/>
            <w:shd w:val="clear" w:color="auto" w:fill="auto"/>
          </w:tcPr>
          <w:p>
            <w:pPr>
              <w:pStyle w:val="Yo5TextNotesafter"/>
              <w:jc w:val="center"/>
              <w:rPr>
                <w:noProof/>
              </w:rPr>
            </w:pPr>
            <w:r>
              <w:rPr>
                <w:noProof/>
                <w:snapToGrid/>
              </w:rPr>
              <mc:AlternateContent>
                <mc:Choice Requires="wps">
                  <w:drawing>
                    <wp:anchor distT="0" distB="0" distL="114300" distR="114300" simplePos="0" relativeHeight="251673600" behindDoc="0" locked="0" layoutInCell="1" allowOverlap="1">
                      <wp:simplePos x="0" y="0"/>
                      <wp:positionH relativeFrom="column">
                        <wp:posOffset>4680585</wp:posOffset>
                      </wp:positionH>
                      <wp:positionV relativeFrom="paragraph">
                        <wp:posOffset>498475</wp:posOffset>
                      </wp:positionV>
                      <wp:extent cx="1205865" cy="1141730"/>
                      <wp:effectExtent l="3810" t="3175"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noProof/>
                                      <w:lang w:val="en-US"/>
                                    </w:rPr>
                                    <w:drawing>
                                      <wp:inline distT="0" distB="0" distL="0" distR="0">
                                        <wp:extent cx="1019175" cy="1076325"/>
                                        <wp:effectExtent l="0" t="0" r="9525" b="9525"/>
                                        <wp:docPr id="75" name="Picture 75" descr="\\s-eacea-fs03-p\EACEA.A7\Youth\04_Reports\a_EU_Youth_Reports\2018\03_graph\9_C_c_cultural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acea-fs03-p\EACEA.A7\Youth\04_Reports\a_EU_Youth_Reports\2018\03_graph\9_C_c_cultural_gender.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inline>
                                    </w:drawing>
                                  </w:r>
                                </w:p>
                              </w:txbxContent>
                            </wps:txbx>
                            <wps:bodyPr rot="0" vert="horz" wrap="none" lIns="91440" tIns="45720" rIns="91440" bIns="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368.55pt;margin-top:39.25pt;width:94.95pt;height:89.9pt;z-index:25167360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" filled="f" stroked="f">
                      <v:textbox inset=",,,0">
                        <w:txbxContent>
                          <w:p>
                            <w:r>
                              <w:rPr>
                                <w:noProof/>
                                <w:lang w:val="en-US"/>
                              </w:rPr>
                              <w:drawing>
                                <wp:inline distT="0" distB="0" distL="0" distR="0">
                                  <wp:extent cx="1019175" cy="1076325"/>
                                  <wp:effectExtent l="0" t="0" r="9525" b="9525"/>
                                  <wp:docPr id="75" name="Picture 75" descr="\\s-eacea-fs03-p\EACEA.A7\Youth\04_Reports\a_EU_Youth_Reports\2018\03_graph\9_C_c_cultural_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acea-fs03-p\EACEA.A7\Youth\04_Reports\a_EU_Youth_Reports\2018\03_graph\9_C_c_cultural_gender.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019175" cy="1076325"/>
                                          </a:xfrm>
                                          <a:prstGeom prst="rect">
                                            <a:avLst/>
                                          </a:prstGeom>
                                          <a:noFill/>
                                          <a:ln>
                                            <a:noFill/>
                                          </a:ln>
                                        </pic:spPr>
                                      </pic:pic>
                                    </a:graphicData>
                                  </a:graphic>
                                </wp:inline>
                              </w:drawing>
                            </w:r>
                          </w:p>
                        </w:txbxContent>
                      </v:textbox>
                    </v:shape>
                  </w:pict>
                </mc:Fallback>
              </mc:AlternateContent>
            </w:r>
            <w:r>
              <w:rPr>
                <w:noProof/>
              </w:rPr>
              <w:fldChar w:fldCharType="begin"/>
            </w:r>
            <w:r>
              <w:rPr>
                <w:noProof/>
              </w:rPr>
              <w:instrText xml:space="preserve"> INCLUDEPICTURE  "U:\\B3\\Data from Old C1\\EU YOUTH REPORT\\EU Youth Report 2018\\Revised version between cabinets - 25.04\\03_graph\\9_C_c_cultural.jpg" \* MERGEFORMATINET </w:instrText>
            </w:r>
            <w:r>
              <w:rPr>
                <w:noProof/>
              </w:rPr>
              <w:fldChar w:fldCharType="separate"/>
            </w:r>
            <w:r>
              <w:rPr>
                <w:noProof/>
              </w:rPr>
              <w:fldChar w:fldCharType="begin"/>
            </w:r>
            <w:r>
              <w:rPr>
                <w:noProof/>
              </w:rPr>
              <w:instrText xml:space="preserve"> INCLUDEPICTURE  "U:\\01\\Coordination legislative\\8. Files\\B3 - EU Youth Strategy Joint Report_new framework post 2018\\03_graph\\9_C_c_cultural.jpg" \* MERGEFORMATINET </w:instrText>
            </w:r>
            <w:r>
              <w:rPr>
                <w:noProof/>
              </w:rPr>
              <w:fldChar w:fldCharType="separate"/>
            </w:r>
            <w:r>
              <w:rPr>
                <w:noProof/>
              </w:rPr>
              <w:fldChar w:fldCharType="begin"/>
            </w:r>
            <w:r>
              <w:rPr>
                <w:noProof/>
              </w:rPr>
              <w:instrText xml:space="preserve"> INCLUDEPICTURE  "C:\\Users\\paredcr\\AppData\\Local\\Temp\\03_graph\\9_C_c_cultural.jpg" \* MERGEFORMATINET </w:instrText>
            </w:r>
            <w:r>
              <w:rPr>
                <w:noProof/>
              </w:rPr>
              <w:fldChar w:fldCharType="separate"/>
            </w:r>
            <w:r>
              <w:rPr>
                <w:noProof/>
              </w:rPr>
              <w:fldChar w:fldCharType="begin"/>
            </w:r>
            <w:r>
              <w:rPr>
                <w:noProof/>
              </w:rPr>
              <w:instrText xml:space="preserve"> INCLUDEPICTURE  "C:\\Users\\paredcr\\AppData\\Local\\Temp\\03_graph\\9_C_c_cultural.jpg" \* MERGEFORMATINET </w:instrText>
            </w:r>
            <w:r>
              <w:rPr>
                <w:noProof/>
              </w:rPr>
              <w:fldChar w:fldCharType="separate"/>
            </w:r>
            <w:r>
              <w:rPr>
                <w:noProof/>
              </w:rPr>
              <w:fldChar w:fldCharType="begin"/>
            </w:r>
            <w:r>
              <w:rPr>
                <w:noProof/>
              </w:rPr>
              <w:instrText xml:space="preserve"> INCLUDEPICTURE  "C:\\Users\\paredcr\\AppData\\Local\\Temp\\03_graph\\9_C_c_cultural.jpg" \* MERGEFORMATINET </w:instrText>
            </w:r>
            <w:r>
              <w:rPr>
                <w:noProof/>
              </w:rPr>
              <w:fldChar w:fldCharType="separate"/>
            </w:r>
            <w:r>
              <w:rPr>
                <w:noProof/>
              </w:rPr>
              <w:fldChar w:fldCharType="begin"/>
            </w:r>
            <w:r>
              <w:rPr>
                <w:noProof/>
              </w:rPr>
              <w:instrText xml:space="preserve"> INCLUDEPICTURE  "C:\\Users\\paredcr\\AppData\\Local\\Temp\\03_graph\\9_C_c_cultural.jpg" \* MERGEFORMATINET </w:instrText>
            </w:r>
            <w:r>
              <w:rPr>
                <w:noProof/>
              </w:rPr>
              <w:fldChar w:fldCharType="separate"/>
            </w:r>
            <w:r>
              <w:rPr>
                <w:noProof/>
              </w:rPr>
              <w:pict>
                <v:shape id="_x0000_i1027" type="#_x0000_t75" style="width:456pt;height:156.05pt">
                  <v:imagedata r:id="rId67" r:href="rId68"/>
                </v:shape>
              </w:pict>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tc>
      </w:tr>
    </w:tbl>
    <w:p>
      <w:pPr>
        <w:pStyle w:val="Yo5TextNotesbeforeafter"/>
        <w:rPr>
          <w:noProof/>
          <w:lang w:val="en-GB" w:eastAsia="en-GB"/>
        </w:rPr>
      </w:pPr>
      <w:r>
        <w:rPr>
          <w:i/>
          <w:noProof/>
          <w:lang w:val="en-GB" w:eastAsia="en-GB"/>
        </w:rPr>
        <w:t>Note</w:t>
      </w:r>
      <w:r>
        <w:rPr>
          <w:noProof/>
          <w:lang w:val="en-GB" w:eastAsia="en-GB"/>
        </w:rPr>
        <w:t xml:space="preserve">: The question was ‘In the last 12 months, have you participated in any activities of the following organisations?’. </w:t>
      </w:r>
    </w:p>
    <w:p>
      <w:pPr>
        <w:pStyle w:val="Yo5TextNotesbeforeafter"/>
        <w:rPr>
          <w:noProof/>
          <w:lang w:val="en-GB" w:eastAsia="en-GB"/>
        </w:rPr>
      </w:pPr>
      <w:r>
        <w:rPr>
          <w:noProof/>
          <w:lang w:val="en-GB" w:eastAsia="en-GB"/>
        </w:rPr>
        <w:t xml:space="preserve">Base: All respondents. </w:t>
      </w:r>
    </w:p>
    <w:p>
      <w:pPr>
        <w:pStyle w:val="Yo5TextNotesbeforeafter"/>
        <w:rPr>
          <w:noProof/>
          <w:lang w:val="en-GB"/>
        </w:rPr>
      </w:pPr>
      <w:r>
        <w:rPr>
          <w:i/>
          <w:noProof/>
          <w:lang w:val="en-GB" w:eastAsia="en-GB"/>
        </w:rPr>
        <w:t>Source</w:t>
      </w:r>
      <w:r>
        <w:rPr>
          <w:noProof/>
          <w:lang w:val="en-GB" w:eastAsia="en-GB"/>
        </w:rPr>
        <w:t>: Flash Eurobarometer ‘European Youth’ 455 and Flash Eurobarometer 'Youth on the move' 319a.</w:t>
      </w:r>
    </w:p>
    <w:tbl>
      <w:tblPr>
        <w:tblpPr w:leftFromText="180" w:rightFromText="180" w:vertAnchor="text" w:horzAnchor="margin" w:tblpXSpec="right" w:tblpY="1092"/>
        <w:tblOverlap w:val="never"/>
        <w:tblW w:w="0" w:type="auto"/>
        <w:shd w:val="clear" w:color="auto" w:fill="FDB1B1"/>
        <w:tblLayout w:type="fixed"/>
        <w:tblCellMar>
          <w:left w:w="0" w:type="dxa"/>
          <w:right w:w="0" w:type="dxa"/>
        </w:tblCellMar>
        <w:tblLook w:val="04A0" w:firstRow="1" w:lastRow="0" w:firstColumn="1" w:lastColumn="0" w:noHBand="0" w:noVBand="1"/>
      </w:tblPr>
      <w:tblGrid>
        <w:gridCol w:w="3083"/>
      </w:tblGrid>
      <w:tr>
        <w:tc>
          <w:tcPr>
            <w:tcW w:w="3083" w:type="dxa"/>
            <w:shd w:val="clear" w:color="auto" w:fill="FDB1B1"/>
          </w:tcPr>
          <w:p>
            <w:pPr>
              <w:pStyle w:val="Yo12Encart"/>
              <w:rPr>
                <w:noProof/>
                <w:sz w:val="22"/>
                <w:szCs w:val="22"/>
              </w:rPr>
            </w:pPr>
            <w:r>
              <w:rPr>
                <w:noProof/>
                <w:sz w:val="22"/>
                <w:szCs w:val="22"/>
              </w:rPr>
              <w:t>Every fifth young German and Italian is a member of a cultural organisation.</w:t>
            </w:r>
          </w:p>
        </w:tc>
      </w:tr>
    </w:tbl>
    <w:p>
      <w:pPr>
        <w:pStyle w:val="Yo1Textpara"/>
        <w:rPr>
          <w:noProof/>
        </w:rPr>
      </w:pPr>
      <w:r>
        <w:rPr>
          <w:noProof/>
        </w:rPr>
        <w:t xml:space="preserve">Young people's participation is lowest in cultural organisations. Across the EU, only 15 % of people aged 15-30 reported being active in a cultural organisation. This proportion remains approximately the same as in 2011. Of the countries examined, the most active young people in cultural organisations are German and Italian. </w:t>
      </w:r>
    </w:p>
    <w:p>
      <w:pPr>
        <w:pStyle w:val="Yo1Textpara"/>
        <w:rPr>
          <w:noProof/>
        </w:rPr>
      </w:pPr>
      <w:r>
        <w:rPr>
          <w:noProof/>
        </w:rPr>
        <w:t>In terms of gender, being active in a sports club is the activity where differences between young men and women are most apparent. According to Eurobarometer data, men tend to participate more than women, a result in line with men's higher propensity to engage in physical activities, as illustrated in the chapter on health and well-being (Chapter 4).</w:t>
      </w:r>
    </w:p>
    <w:p>
      <w:pPr>
        <w:pStyle w:val="Yo1Textpara"/>
        <w:rPr>
          <w:noProof/>
        </w:rPr>
      </w:pPr>
      <w:r>
        <w:rPr>
          <w:noProof/>
        </w:rPr>
        <w:t>So far the effects of the new developments in information and communications technology on young people’s cultural life have not been addressed. However, these technologies play an ever increasing role in shaping the way people access and enjoy cultural experiences, especially young people who are the most receptive to the opportunities provided by the new media. The next section will therefore look at the extent to which young Europeans use the new digital technologies in general, and as a medium for accessing cultural experiences. Particular attention will be paid to the levels of digital skills young people have and how this relates to their level of formal education.</w:t>
      </w:r>
    </w:p>
    <w:p>
      <w:pPr>
        <w:pStyle w:val="Yo0H2"/>
        <w:rPr>
          <w:b w:val="0"/>
          <w:noProof/>
          <w:sz w:val="28"/>
          <w:szCs w:val="28"/>
          <w:lang w:val="en-GB"/>
        </w:rPr>
      </w:pPr>
      <w:r>
        <w:rPr>
          <w:noProof/>
        </w:rPr>
        <w:br w:type="page"/>
      </w:r>
      <w:r>
        <w:rPr>
          <w:b w:val="0"/>
          <w:noProof/>
          <w:sz w:val="28"/>
          <w:szCs w:val="28"/>
          <w:lang w:val="en-GB"/>
        </w:rPr>
        <w:t>9.3. Young people and their use of ICT</w:t>
      </w:r>
    </w:p>
    <w:tbl>
      <w:tblPr>
        <w:tblpPr w:leftFromText="180" w:rightFromText="180" w:vertAnchor="text" w:horzAnchor="margin" w:tblpXSpec="right" w:tblpY="249"/>
        <w:tblOverlap w:val="never"/>
        <w:tblW w:w="0" w:type="auto"/>
        <w:shd w:val="clear" w:color="auto" w:fill="FDB1B1"/>
        <w:tblCellMar>
          <w:left w:w="0" w:type="dxa"/>
          <w:right w:w="0" w:type="dxa"/>
        </w:tblCellMar>
        <w:tblLook w:val="04A0" w:firstRow="1" w:lastRow="0" w:firstColumn="1" w:lastColumn="0" w:noHBand="0" w:noVBand="1"/>
      </w:tblPr>
      <w:tblGrid>
        <w:gridCol w:w="2926"/>
      </w:tblGrid>
      <w:tr>
        <w:tc>
          <w:tcPr>
            <w:tcW w:w="2926" w:type="dxa"/>
            <w:shd w:val="clear" w:color="auto" w:fill="FDB1B1"/>
          </w:tcPr>
          <w:p>
            <w:pPr>
              <w:pStyle w:val="Yo12Encart"/>
              <w:rPr>
                <w:noProof/>
                <w:sz w:val="22"/>
                <w:szCs w:val="22"/>
              </w:rPr>
            </w:pPr>
            <w:r>
              <w:rPr>
                <w:noProof/>
                <w:sz w:val="22"/>
                <w:szCs w:val="22"/>
              </w:rPr>
              <w:t>In the EU, 91</w:t>
            </w:r>
            <w:r>
              <w:rPr>
                <w:noProof/>
              </w:rPr>
              <w:t> </w:t>
            </w:r>
            <w:r>
              <w:rPr>
                <w:noProof/>
                <w:sz w:val="22"/>
                <w:szCs w:val="22"/>
              </w:rPr>
              <w:t>% of young people use the internet daily; 77 % use a computer every day.</w:t>
            </w:r>
          </w:p>
        </w:tc>
      </w:tr>
    </w:tbl>
    <w:p>
      <w:pPr>
        <w:pStyle w:val="Yo1Textpara"/>
        <w:rPr>
          <w:noProof/>
        </w:rPr>
      </w:pPr>
      <w:r>
        <w:rPr>
          <w:noProof/>
        </w:rPr>
        <w:t>As with political participation (discussed in Chapter 5), young people have been the first to apply communication technologies to their social interactions. This also impacts on the way they access, enjoy and initiate cultural experiences. To this end, access to and proficiency in the use of computers and the internet are essential. According to data collected by Eurostat, 77 % of people aged 16-29 reported daily computer use in the EU (Figure 9-D). The proportion of young people who use the internet daily is even higher (91 %). Compared with the total population, young people use both computer and the internet more frequently. In EU-28, 64 % of the total population reported daily computer use and 72 % indicated that they use the internet every day.</w:t>
      </w:r>
    </w:p>
    <w:p>
      <w:pPr>
        <w:pStyle w:val="Yo1Textpara"/>
        <w:rPr>
          <w:noProof/>
        </w:rPr>
      </w:pPr>
      <w:r>
        <w:rPr>
          <w:noProof/>
        </w:rPr>
        <w:t>Daily computer use is especially widespread among young people in Czech Republic, Lithuania, Poland, Slovakia and Iceland. In these countries, the difference between young people accessing the internet daily and using a computer daily was rather small. Almost every young person (98-99 %) accesses the internet daily in the Nordic countries (Denmark, Finland, Sweden, Iceland and Norway). In contrast, considerably lower proportions of young people reported daily computer and internet use in Romania and Turkey (both indicators show less than 80 %). In Turkey, the difference between the proportion of young people that use a computer daily and those that access the internet daily is very high (34 percentage points) suggesting that many young people access the internet through mobile devices. The difference is also pronounced in Spain, Italy, Portugal and Norway.</w:t>
      </w:r>
    </w:p>
    <w:p>
      <w:pPr>
        <w:pStyle w:val="Yo5TitleFigure"/>
        <w:jc w:val="both"/>
      </w:pPr>
      <w:r>
        <w:rPr>
          <w:b/>
        </w:rPr>
        <w:t>Figure 9-D:</w:t>
      </w:r>
      <w:r>
        <w:t xml:space="preserve"> Daily computer and internet use among young people (aged 16-29), by country, 2017</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10"/>
        <w:gridCol w:w="7513"/>
      </w:tblGrid>
      <w:tr>
        <w:trPr>
          <w:cantSplit/>
          <w:trHeight w:val="1134"/>
        </w:trPr>
        <w:tc>
          <w:tcPr>
            <w:tcW w:w="426" w:type="dxa"/>
            <w:vMerge w:val="restart"/>
            <w:shd w:val="clear" w:color="auto" w:fill="FB5F5F"/>
            <w:textDirection w:val="btLr"/>
            <w:vAlign w:val="bottom"/>
          </w:tcPr>
          <w:p>
            <w:pPr>
              <w:pStyle w:val="Yo13YouthIndicator"/>
              <w:jc w:val="center"/>
              <w:rPr>
                <w:noProof/>
                <w:lang w:eastAsia="fr-BE"/>
              </w:rPr>
            </w:pPr>
            <w:r>
              <w:rPr>
                <w:noProof/>
              </w:rPr>
              <w:t>EU youth indicator</w:t>
            </w:r>
          </w:p>
        </w:tc>
        <w:tc>
          <w:tcPr>
            <w:tcW w:w="9923" w:type="dxa"/>
            <w:gridSpan w:val="2"/>
            <w:tcBorders>
              <w:bottom w:val="nil"/>
            </w:tcBorders>
            <w:shd w:val="clear" w:color="auto" w:fill="auto"/>
          </w:tcPr>
          <w:p>
            <w:pPr>
              <w:pStyle w:val="Yo5TextNotesafter"/>
              <w:jc w:val="center"/>
              <w:rPr>
                <w:noProof/>
                <w:lang w:eastAsia="en-GB"/>
              </w:rPr>
            </w:pPr>
            <w:r>
              <w:rPr>
                <w:noProof/>
                <w:lang w:eastAsia="fr-BE"/>
              </w:rPr>
              <w:fldChar w:fldCharType="begin"/>
            </w:r>
            <w:r>
              <w:rPr>
                <w:noProof/>
                <w:lang w:eastAsia="fr-BE"/>
              </w:rPr>
              <w:instrText xml:space="preserve"> INCLUDEPICTURE  "U:\\B3\\Data from Old C1\\EU YOUTH REPORT\\EU Youth Report 2018\\Revised version between cabinets - 25.04\\03_graph\\9_D_pc_internet_country.jpg" \* MERGEFORMATINET </w:instrText>
            </w:r>
            <w:r>
              <w:rPr>
                <w:noProof/>
                <w:lang w:eastAsia="fr-BE"/>
              </w:rPr>
              <w:fldChar w:fldCharType="separate"/>
            </w:r>
            <w:r>
              <w:rPr>
                <w:noProof/>
                <w:lang w:eastAsia="fr-BE"/>
              </w:rPr>
              <w:fldChar w:fldCharType="begin"/>
            </w:r>
            <w:r>
              <w:rPr>
                <w:noProof/>
                <w:lang w:eastAsia="fr-BE"/>
              </w:rPr>
              <w:instrText xml:space="preserve"> INCLUDEPICTURE  "U:\\01\\Coordination legislative\\8. Files\\B3 - EU Youth Strategy Joint Report_new framework post 2018\\03_graph\\9_D_pc_internet_country.jpg" \* MERGEFORMATINET </w:instrText>
            </w:r>
            <w:r>
              <w:rPr>
                <w:noProof/>
                <w:lang w:eastAsia="fr-BE"/>
              </w:rPr>
              <w:fldChar w:fldCharType="separate"/>
            </w:r>
            <w:r>
              <w:rPr>
                <w:noProof/>
                <w:lang w:eastAsia="fr-BE"/>
              </w:rPr>
              <w:fldChar w:fldCharType="begin"/>
            </w:r>
            <w:r>
              <w:rPr>
                <w:noProof/>
                <w:lang w:eastAsia="fr-BE"/>
              </w:rPr>
              <w:instrText xml:space="preserve"> INCLUDEPICTURE  "C:\\Users\\paredcr\\AppData\\Local\\Temp\\03_graph\\9_D_pc_internet_country.jpg" \* MERGEFORMATINET </w:instrText>
            </w:r>
            <w:r>
              <w:rPr>
                <w:noProof/>
                <w:lang w:eastAsia="fr-BE"/>
              </w:rPr>
              <w:fldChar w:fldCharType="separate"/>
            </w:r>
            <w:r>
              <w:rPr>
                <w:noProof/>
                <w:lang w:eastAsia="fr-BE"/>
              </w:rPr>
              <w:fldChar w:fldCharType="begin"/>
            </w:r>
            <w:r>
              <w:rPr>
                <w:noProof/>
                <w:lang w:eastAsia="fr-BE"/>
              </w:rPr>
              <w:instrText xml:space="preserve"> INCLUDEPICTURE  "C:\\Users\\paredcr\\AppData\\Local\\Temp\\03_graph\\9_D_pc_internet_country.jpg" \* MERGEFORMATINET </w:instrText>
            </w:r>
            <w:r>
              <w:rPr>
                <w:noProof/>
                <w:lang w:eastAsia="fr-BE"/>
              </w:rPr>
              <w:fldChar w:fldCharType="separate"/>
            </w:r>
            <w:r>
              <w:rPr>
                <w:noProof/>
                <w:lang w:eastAsia="fr-BE"/>
              </w:rPr>
              <w:fldChar w:fldCharType="begin"/>
            </w:r>
            <w:r>
              <w:rPr>
                <w:noProof/>
                <w:lang w:eastAsia="fr-BE"/>
              </w:rPr>
              <w:instrText xml:space="preserve"> INCLUDEPICTURE  "C:\\Users\\paredcr\\AppData\\Local\\Temp\\03_graph\\9_D_pc_internet_country.jpg" \* MERGEFORMATINET </w:instrText>
            </w:r>
            <w:r>
              <w:rPr>
                <w:noProof/>
                <w:lang w:eastAsia="fr-BE"/>
              </w:rPr>
              <w:fldChar w:fldCharType="separate"/>
            </w:r>
            <w:r>
              <w:rPr>
                <w:noProof/>
                <w:lang w:eastAsia="fr-BE"/>
              </w:rPr>
              <w:fldChar w:fldCharType="begin"/>
            </w:r>
            <w:r>
              <w:rPr>
                <w:noProof/>
                <w:lang w:eastAsia="fr-BE"/>
              </w:rPr>
              <w:instrText xml:space="preserve"> INCLUDEPICTURE  "C:\\Users\\paredcr\\AppData\\Local\\Temp\\03_graph\\9_D_pc_internet_country.jpg" \* MERGEFORMATINET </w:instrText>
            </w:r>
            <w:r>
              <w:rPr>
                <w:noProof/>
                <w:lang w:eastAsia="fr-BE"/>
              </w:rPr>
              <w:fldChar w:fldCharType="separate"/>
            </w:r>
            <w:r>
              <w:rPr>
                <w:noProof/>
                <w:lang w:eastAsia="fr-BE"/>
              </w:rPr>
              <w:pict>
                <v:shape id="_x0000_i1028" type="#_x0000_t75" style="width:456pt;height:156.05pt">
                  <v:imagedata r:id="rId69" r:href="rId70"/>
                </v:shape>
              </w:pict>
            </w:r>
            <w:r>
              <w:rPr>
                <w:noProof/>
                <w:lang w:eastAsia="fr-BE"/>
              </w:rPr>
              <w:fldChar w:fldCharType="end"/>
            </w:r>
            <w:r>
              <w:rPr>
                <w:noProof/>
                <w:lang w:eastAsia="fr-BE"/>
              </w:rPr>
              <w:fldChar w:fldCharType="end"/>
            </w:r>
            <w:r>
              <w:rPr>
                <w:noProof/>
                <w:lang w:eastAsia="fr-BE"/>
              </w:rPr>
              <w:fldChar w:fldCharType="end"/>
            </w:r>
            <w:r>
              <w:rPr>
                <w:noProof/>
                <w:lang w:eastAsia="fr-BE"/>
              </w:rPr>
              <w:fldChar w:fldCharType="end"/>
            </w:r>
            <w:r>
              <w:rPr>
                <w:noProof/>
                <w:lang w:eastAsia="fr-BE"/>
              </w:rPr>
              <w:fldChar w:fldCharType="end"/>
            </w:r>
            <w:r>
              <w:rPr>
                <w:noProof/>
                <w:lang w:eastAsia="fr-BE"/>
              </w:rPr>
              <w:fldChar w:fldCharType="end"/>
            </w:r>
          </w:p>
        </w:tc>
      </w:tr>
      <w:tr>
        <w:trPr>
          <w:cantSplit/>
          <w:trHeight w:val="1134"/>
        </w:trPr>
        <w:tc>
          <w:tcPr>
            <w:tcW w:w="426" w:type="dxa"/>
            <w:vMerge/>
            <w:shd w:val="clear" w:color="auto" w:fill="FB5F5F"/>
            <w:textDirection w:val="btLr"/>
          </w:tcPr>
          <w:p>
            <w:pPr>
              <w:pStyle w:val="Yo13YouthIndicator"/>
              <w:rPr>
                <w:noProof/>
              </w:rPr>
            </w:pPr>
          </w:p>
        </w:tc>
        <w:tc>
          <w:tcPr>
            <w:tcW w:w="2410" w:type="dxa"/>
            <w:vMerge w:val="restart"/>
            <w:tcBorders>
              <w:top w:val="nil"/>
              <w:right w:val="nil"/>
            </w:tcBorders>
            <w:shd w:val="clear" w:color="auto" w:fill="auto"/>
          </w:tcPr>
          <w:p>
            <w:pPr>
              <w:pStyle w:val="Yo5TextNotes"/>
              <w:tabs>
                <w:tab w:val="clear" w:pos="1985"/>
                <w:tab w:val="right" w:pos="8722"/>
              </w:tabs>
              <w:rPr>
                <w:noProof/>
                <w:lang w:val="en-GB" w:eastAsia="en-GB"/>
              </w:rPr>
            </w:pPr>
            <w:r>
              <w:rPr>
                <w:noProof/>
                <w:snapToGrid/>
                <w:lang w:val="en-US"/>
              </w:rPr>
              <w:drawing>
                <wp:inline distT="0" distB="0" distL="0" distR="0">
                  <wp:extent cx="1219200" cy="1628775"/>
                  <wp:effectExtent l="0" t="0" r="0" b="9525"/>
                  <wp:docPr id="43" name="Picture 43" descr="\\s-eacea-fs03-p\EACEA.A7\Youth\04_Reports\a_EU_Youth_Reports\2018\03_graph\9_D_pc_internet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acea-fs03-p\EACEA.A7\Youth\04_Reports\a_EU_Youth_Reports\2018\03_graph\9_D_pc_internet_EU.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219200" cy="1628775"/>
                          </a:xfrm>
                          <a:prstGeom prst="rect">
                            <a:avLst/>
                          </a:prstGeom>
                          <a:noFill/>
                          <a:ln>
                            <a:noFill/>
                          </a:ln>
                        </pic:spPr>
                      </pic:pic>
                    </a:graphicData>
                  </a:graphic>
                </wp:inline>
              </w:drawing>
            </w:r>
          </w:p>
        </w:tc>
        <w:tc>
          <w:tcPr>
            <w:tcW w:w="7513" w:type="dxa"/>
            <w:tcBorders>
              <w:top w:val="nil"/>
              <w:left w:val="nil"/>
              <w:bottom w:val="nil"/>
            </w:tcBorders>
            <w:shd w:val="clear" w:color="auto" w:fill="auto"/>
          </w:tcPr>
          <w:p>
            <w:pPr>
              <w:pStyle w:val="Yo5TextNotes"/>
              <w:jc w:val="center"/>
              <w:rPr>
                <w:noProof/>
                <w:sz w:val="6"/>
              </w:rPr>
            </w:pPr>
          </w:p>
          <w:tbl>
            <w:tblPr>
              <w:tblW w:w="0" w:type="auto"/>
              <w:jc w:val="center"/>
              <w:tblLayout w:type="fixed"/>
              <w:tblLook w:val="04A0" w:firstRow="1" w:lastRow="0" w:firstColumn="1" w:lastColumn="0" w:noHBand="0" w:noVBand="1"/>
            </w:tblPr>
            <w:tblGrid>
              <w:gridCol w:w="510"/>
              <w:gridCol w:w="1284"/>
              <w:gridCol w:w="342"/>
              <w:gridCol w:w="1283"/>
              <w:gridCol w:w="367"/>
            </w:tblGrid>
            <w:tr>
              <w:trPr>
                <w:trHeight w:val="437"/>
                <w:jc w:val="center"/>
              </w:trPr>
              <w:tc>
                <w:tcPr>
                  <w:tcW w:w="510" w:type="dxa"/>
                  <w:shd w:val="clear" w:color="auto" w:fill="auto"/>
                  <w:vAlign w:val="center"/>
                </w:tcPr>
                <w:p>
                  <w:pPr>
                    <w:pStyle w:val="Yo5TextNotes"/>
                    <w:jc w:val="center"/>
                    <w:rPr>
                      <w:noProof/>
                      <w:sz w:val="16"/>
                      <w:lang w:val="en-GB"/>
                    </w:rPr>
                  </w:pPr>
                  <w:r>
                    <w:rPr>
                      <w:noProof/>
                      <w:snapToGrid/>
                      <w:lang w:val="en-US"/>
                    </w:rPr>
                    <w:drawing>
                      <wp:inline distT="0" distB="0" distL="0" distR="0">
                        <wp:extent cx="142875" cy="142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284" w:type="dxa"/>
                  <w:shd w:val="clear" w:color="auto" w:fill="auto"/>
                  <w:vAlign w:val="center"/>
                </w:tcPr>
                <w:p>
                  <w:pPr>
                    <w:pStyle w:val="p91Textpara"/>
                    <w:spacing w:before="60" w:after="60" w:line="240" w:lineRule="auto"/>
                    <w:jc w:val="center"/>
                    <w:rPr>
                      <w:noProof/>
                      <w:color w:val="auto"/>
                      <w:sz w:val="16"/>
                      <w:szCs w:val="16"/>
                    </w:rPr>
                  </w:pPr>
                  <w:r>
                    <w:rPr>
                      <w:noProof/>
                      <w:color w:val="auto"/>
                      <w:sz w:val="16"/>
                      <w:szCs w:val="16"/>
                    </w:rPr>
                    <w:t>Computer use</w:t>
                  </w:r>
                </w:p>
              </w:tc>
              <w:tc>
                <w:tcPr>
                  <w:tcW w:w="342" w:type="dxa"/>
                  <w:shd w:val="clear" w:color="auto" w:fill="auto"/>
                  <w:vAlign w:val="center"/>
                </w:tcPr>
                <w:p>
                  <w:pPr>
                    <w:pStyle w:val="Yo5TextNotes"/>
                    <w:jc w:val="center"/>
                    <w:rPr>
                      <w:noProof/>
                      <w:lang w:val="en-GB"/>
                    </w:rPr>
                  </w:pPr>
                  <w:r>
                    <w:rPr>
                      <w:noProof/>
                      <w:snapToGrid/>
                      <w:lang w:val="en-US"/>
                    </w:rPr>
                    <w:drawing>
                      <wp:inline distT="0" distB="0" distL="0" distR="0">
                        <wp:extent cx="104775" cy="1238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tc>
              <w:tc>
                <w:tcPr>
                  <w:tcW w:w="1283" w:type="dxa"/>
                  <w:vAlign w:val="center"/>
                </w:tcPr>
                <w:p>
                  <w:pPr>
                    <w:pStyle w:val="p91Textpara"/>
                    <w:spacing w:before="60" w:after="60" w:line="240" w:lineRule="auto"/>
                    <w:jc w:val="center"/>
                    <w:rPr>
                      <w:noProof/>
                      <w:color w:val="auto"/>
                      <w:sz w:val="16"/>
                      <w:szCs w:val="16"/>
                    </w:rPr>
                  </w:pPr>
                  <w:r>
                    <w:rPr>
                      <w:noProof/>
                      <w:color w:val="auto"/>
                      <w:sz w:val="16"/>
                      <w:szCs w:val="16"/>
                    </w:rPr>
                    <w:t>Internet use</w:t>
                  </w:r>
                </w:p>
              </w:tc>
              <w:tc>
                <w:tcPr>
                  <w:tcW w:w="367" w:type="dxa"/>
                  <w:vAlign w:val="center"/>
                </w:tcPr>
                <w:p>
                  <w:pPr>
                    <w:pStyle w:val="p91Textpara"/>
                    <w:spacing w:before="60" w:after="60" w:line="240" w:lineRule="auto"/>
                    <w:jc w:val="center"/>
                    <w:rPr>
                      <w:noProof/>
                      <w:color w:val="auto"/>
                      <w:sz w:val="16"/>
                      <w:szCs w:val="16"/>
                    </w:rPr>
                  </w:pPr>
                </w:p>
              </w:tc>
            </w:tr>
          </w:tbl>
          <w:p>
            <w:pPr>
              <w:pStyle w:val="Yo5TextNotes"/>
              <w:tabs>
                <w:tab w:val="right" w:pos="8722"/>
              </w:tabs>
              <w:jc w:val="center"/>
              <w:rPr>
                <w:noProof/>
                <w:lang w:val="it-IT" w:eastAsia="en-GB"/>
              </w:rPr>
            </w:pPr>
          </w:p>
        </w:tc>
      </w:tr>
      <w:tr>
        <w:trPr>
          <w:cantSplit/>
          <w:trHeight w:val="1134"/>
        </w:trPr>
        <w:tc>
          <w:tcPr>
            <w:tcW w:w="426" w:type="dxa"/>
            <w:vMerge/>
            <w:shd w:val="clear" w:color="auto" w:fill="FB5F5F"/>
            <w:textDirection w:val="btLr"/>
          </w:tcPr>
          <w:p>
            <w:pPr>
              <w:pStyle w:val="Yo13YouthIndicator"/>
              <w:rPr>
                <w:noProof/>
              </w:rPr>
            </w:pPr>
          </w:p>
        </w:tc>
        <w:tc>
          <w:tcPr>
            <w:tcW w:w="2410" w:type="dxa"/>
            <w:vMerge/>
            <w:tcBorders>
              <w:right w:val="nil"/>
            </w:tcBorders>
            <w:shd w:val="clear" w:color="auto" w:fill="auto"/>
          </w:tcPr>
          <w:p>
            <w:pPr>
              <w:pStyle w:val="Yo5TextNotes"/>
              <w:rPr>
                <w:noProof/>
                <w:lang w:eastAsia="en-GB"/>
              </w:rPr>
            </w:pPr>
          </w:p>
        </w:tc>
        <w:tc>
          <w:tcPr>
            <w:tcW w:w="7513" w:type="dxa"/>
            <w:tcBorders>
              <w:top w:val="nil"/>
              <w:left w:val="nil"/>
            </w:tcBorders>
            <w:shd w:val="clear" w:color="auto" w:fill="auto"/>
            <w:vAlign w:val="bottom"/>
          </w:tcPr>
          <w:p>
            <w:pPr>
              <w:spacing w:after="0"/>
              <w:rPr>
                <w:rFonts w:ascii="Verdana" w:eastAsia="Times New Roman" w:hAnsi="Verdana" w:cs="Arial"/>
                <w:noProof/>
                <w:snapToGrid w:val="0"/>
                <w:sz w:val="14"/>
                <w:szCs w:val="16"/>
                <w:lang w:eastAsia="en-GB"/>
              </w:rPr>
            </w:pPr>
            <w:r>
              <w:rPr>
                <w:rFonts w:ascii="Verdana" w:eastAsia="Times New Roman" w:hAnsi="Verdana" w:cs="Arial"/>
                <w:i/>
                <w:noProof/>
                <w:snapToGrid w:val="0"/>
                <w:sz w:val="14"/>
                <w:szCs w:val="16"/>
                <w:lang w:eastAsia="en-GB"/>
              </w:rPr>
              <w:t>Notes:</w:t>
            </w:r>
            <w:r>
              <w:rPr>
                <w:rFonts w:ascii="Verdana" w:eastAsia="Times New Roman" w:hAnsi="Verdana" w:cs="Arial"/>
                <w:noProof/>
                <w:snapToGrid w:val="0"/>
                <w:sz w:val="14"/>
                <w:szCs w:val="16"/>
                <w:lang w:eastAsia="en-GB"/>
              </w:rPr>
              <w:t xml:space="preserve"> The total in the insert shows the total population.</w:t>
            </w:r>
          </w:p>
          <w:p>
            <w:pPr>
              <w:spacing w:after="0"/>
              <w:rPr>
                <w:noProof/>
                <w:lang w:val="it-IT" w:eastAsia="en-GB"/>
              </w:rPr>
            </w:pPr>
            <w:r>
              <w:rPr>
                <w:rFonts w:ascii="Verdana" w:eastAsia="Times New Roman" w:hAnsi="Verdana" w:cs="Arial"/>
                <w:i/>
                <w:noProof/>
                <w:snapToGrid w:val="0"/>
                <w:sz w:val="14"/>
                <w:szCs w:val="16"/>
                <w:lang w:val="it-IT" w:eastAsia="en-GB"/>
              </w:rPr>
              <w:t>Source:</w:t>
            </w:r>
            <w:r>
              <w:rPr>
                <w:rFonts w:ascii="Verdana" w:eastAsia="Times New Roman" w:hAnsi="Verdana" w:cs="Arial"/>
                <w:noProof/>
                <w:snapToGrid w:val="0"/>
                <w:sz w:val="14"/>
                <w:szCs w:val="16"/>
                <w:lang w:val="it-IT" w:eastAsia="en-GB"/>
              </w:rPr>
              <w:t xml:space="preserve"> Eurostat [isoc_ci_cfp_fu] and [isoc_ci_ifp_fu], data extracted on 22/01/2018.</w:t>
            </w:r>
          </w:p>
        </w:tc>
      </w:tr>
    </w:tbl>
    <w:p>
      <w:pPr>
        <w:pStyle w:val="Yo1Textpara"/>
        <w:rPr>
          <w:noProof/>
          <w:lang w:val="it-IT"/>
        </w:rPr>
      </w:pPr>
    </w:p>
    <w:p>
      <w:pPr>
        <w:pStyle w:val="Yo1Textpara"/>
        <w:rPr>
          <w:noProof/>
        </w:rPr>
      </w:pPr>
      <w:r>
        <w:rPr>
          <w:noProof/>
        </w:rPr>
        <w:br w:type="page"/>
        <w:t xml:space="preserve">There is not much difference between the general data on the frequency of ICT use among all young people and that of particular age groups. The proportion of people in all age groups (16-19, 20-24 and 25-29) using a computer and the internet daily is similar (ranging between 76-78 % and 90-92 % respectively). </w:t>
      </w:r>
    </w:p>
    <w:p>
      <w:pPr>
        <w:pStyle w:val="Yo1Textpara"/>
        <w:rPr>
          <w:noProof/>
        </w:rPr>
      </w:pPr>
      <w:r>
        <w:rPr>
          <w:noProof/>
        </w:rPr>
        <w:t xml:space="preserve">However, Eurostat data (Figure 9-E) show that there is a considerable difference between young people’s daily computer use depending on their level of formal education regarding their daily use of computer. 90 % of highly educated people aged 16 to 29 use a computer every day compared with 68 % of those who have low levels of formal education. However, daily internet use is less affected by education level. Although more educated young people use the internet more often, the difference is less pronounced: 96 % of young people with a high level of formal education reported daily use of the internet compared with 92 % of those with a medium level and 87 % of those with a low level of education. </w:t>
      </w:r>
    </w:p>
    <w:tbl>
      <w:tblPr>
        <w:tblpPr w:leftFromText="180" w:rightFromText="180" w:vertAnchor="text" w:horzAnchor="margin" w:tblpXSpec="right" w:tblpY="249"/>
        <w:tblOverlap w:val="never"/>
        <w:tblW w:w="0" w:type="auto"/>
        <w:shd w:val="clear" w:color="auto" w:fill="FDB1B1"/>
        <w:tblCellMar>
          <w:left w:w="0" w:type="dxa"/>
          <w:right w:w="0" w:type="dxa"/>
        </w:tblCellMar>
        <w:tblLook w:val="04A0" w:firstRow="1" w:lastRow="0" w:firstColumn="1" w:lastColumn="0" w:noHBand="0" w:noVBand="1"/>
      </w:tblPr>
      <w:tblGrid>
        <w:gridCol w:w="3068"/>
      </w:tblGrid>
      <w:tr>
        <w:tc>
          <w:tcPr>
            <w:tcW w:w="3068" w:type="dxa"/>
            <w:shd w:val="clear" w:color="auto" w:fill="FDB1B1"/>
          </w:tcPr>
          <w:p>
            <w:pPr>
              <w:pStyle w:val="Yo12Encart"/>
              <w:rPr>
                <w:noProof/>
                <w:sz w:val="22"/>
                <w:szCs w:val="22"/>
              </w:rPr>
            </w:pPr>
            <w:r>
              <w:rPr>
                <w:noProof/>
                <w:sz w:val="22"/>
                <w:szCs w:val="22"/>
              </w:rPr>
              <w:t>Fewer young people now use a computer daily compared with 2011. In contrast, the daily use of the internet is increasing rapidly.</w:t>
            </w:r>
          </w:p>
        </w:tc>
      </w:tr>
    </w:tbl>
    <w:p>
      <w:pPr>
        <w:pStyle w:val="Yo1Textpara"/>
        <w:rPr>
          <w:noProof/>
        </w:rPr>
      </w:pPr>
      <w:r>
        <w:rPr>
          <w:noProof/>
        </w:rPr>
        <w:t xml:space="preserve">The developments over time indicate that the daily computer use is in decline while the daily internet use is increasing, especially among young people with lower levels of education. This data reflects the trend that computing is rapidly shifting to mobile devices. Currently, </w:t>
      </w:r>
      <w:r>
        <w:rPr>
          <w:noProof/>
          <w:color w:val="0A0A0A"/>
          <w:lang w:val="en"/>
        </w:rPr>
        <w:t>8 out of 10</w:t>
      </w:r>
      <w:r>
        <w:rPr>
          <w:noProof/>
        </w:rPr>
        <w:t> </w:t>
      </w:r>
      <w:r>
        <w:rPr>
          <w:noProof/>
          <w:color w:val="0A0A0A"/>
          <w:lang w:val="en"/>
        </w:rPr>
        <w:t>EU internet users go online with a mobile phone</w:t>
      </w:r>
      <w:r>
        <w:rPr>
          <w:noProof/>
        </w:rPr>
        <w:t> (</w:t>
      </w:r>
      <w:r>
        <w:rPr>
          <w:rStyle w:val="FootnoteReference"/>
          <w:noProof/>
        </w:rPr>
        <w:footnoteReference w:id="7"/>
      </w:r>
      <w:r>
        <w:rPr>
          <w:noProof/>
        </w:rPr>
        <w:t xml:space="preserve">). </w:t>
      </w:r>
    </w:p>
    <w:p>
      <w:pPr>
        <w:pStyle w:val="Yo1Textpara"/>
        <w:rPr>
          <w:noProof/>
        </w:rPr>
      </w:pPr>
      <w:r>
        <w:rPr>
          <w:noProof/>
        </w:rPr>
        <w:t xml:space="preserve">The proportion of young people with a low level of formal education who use a computer daily decreased from 73 % in 2011 to 66 % in 2017. Similarly, during this time period the proportion of highly educated young people who use computer every day declined from 94 % to 88 %. In contrast, the proportion of young people with low and medium levels of education that use the internet daily increased by 13-15 percentage points between 2011 and 2017. Internet use among young people with a high level of formal education was already very high in 2011 (93 %). Nevertheless, it increased by 3 percentage points during the recent six years and now reaches 96 %. </w:t>
      </w:r>
    </w:p>
    <w:p>
      <w:pPr>
        <w:pStyle w:val="Yo5TitleFigure"/>
        <w:spacing w:after="120"/>
        <w:jc w:val="both"/>
      </w:pPr>
      <w:r>
        <w:rPr>
          <w:b/>
        </w:rPr>
        <w:t>Figure 9-E:</w:t>
      </w:r>
      <w:r>
        <w:t xml:space="preserve"> Daily computer and internet use among young people (aged 16-29) by level of education, EU-28 average, 2011 and 2017</w:t>
      </w:r>
    </w:p>
    <w:tbl>
      <w:tblPr>
        <w:tblW w:w="4947" w:type="pct"/>
        <w:tblInd w:w="108" w:type="dxa"/>
        <w:tblLook w:val="04A0" w:firstRow="1" w:lastRow="0" w:firstColumn="1" w:lastColumn="0" w:noHBand="0" w:noVBand="1"/>
      </w:tblPr>
      <w:tblGrid>
        <w:gridCol w:w="3164"/>
        <w:gridCol w:w="3238"/>
        <w:gridCol w:w="3629"/>
      </w:tblGrid>
      <w:tr>
        <w:tc>
          <w:tcPr>
            <w:tcW w:w="1577" w:type="pct"/>
            <w:shd w:val="clear" w:color="auto" w:fill="auto"/>
          </w:tcPr>
          <w:p>
            <w:pPr>
              <w:pStyle w:val="Yo5TitleFigure"/>
              <w:spacing w:before="0" w:after="0"/>
              <w:rPr>
                <w:lang w:eastAsia="en-GB"/>
              </w:rPr>
            </w:pPr>
            <w:r>
              <w:t>a) Daily computer use</w:t>
            </w:r>
          </w:p>
        </w:tc>
        <w:tc>
          <w:tcPr>
            <w:tcW w:w="1614" w:type="pct"/>
          </w:tcPr>
          <w:p>
            <w:pPr>
              <w:pStyle w:val="Yo5TitleFigure"/>
              <w:spacing w:before="0" w:after="0"/>
            </w:pPr>
            <w:r>
              <w:t>b) Daily internet use</w:t>
            </w:r>
          </w:p>
        </w:tc>
        <w:tc>
          <w:tcPr>
            <w:tcW w:w="1809" w:type="pct"/>
          </w:tcPr>
          <w:p>
            <w:pPr>
              <w:pStyle w:val="Yo5TitleFigure"/>
              <w:spacing w:before="0" w:after="0"/>
            </w:pPr>
          </w:p>
        </w:tc>
      </w:tr>
      <w:tr>
        <w:tc>
          <w:tcPr>
            <w:tcW w:w="1577" w:type="pct"/>
            <w:shd w:val="clear" w:color="auto" w:fill="auto"/>
          </w:tcPr>
          <w:p>
            <w:pPr>
              <w:pStyle w:val="Yo5TextNotes"/>
              <w:jc w:val="center"/>
              <w:rPr>
                <w:noProof/>
                <w:lang w:eastAsia="en-GB"/>
              </w:rPr>
            </w:pPr>
            <w:r>
              <w:rPr>
                <w:noProof/>
                <w:snapToGrid/>
                <w:lang w:val="en-US"/>
              </w:rPr>
              <w:drawing>
                <wp:inline distT="0" distB="0" distL="0" distR="0">
                  <wp:extent cx="1762125" cy="1962150"/>
                  <wp:effectExtent l="0" t="0" r="9525" b="0"/>
                  <wp:docPr id="46" name="Picture 46" descr="\\s-eacea-fs03-p\EACEA.A7\Youth\04_Reports\a_EU_Youth_Reports\2018\03_graph\9_E_a_pc_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acea-fs03-p\EACEA.A7\Youth\04_Reports\a_EU_Youth_Reports\2018\03_graph\9_E_a_pc_educ.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762125" cy="1962150"/>
                          </a:xfrm>
                          <a:prstGeom prst="rect">
                            <a:avLst/>
                          </a:prstGeom>
                          <a:noFill/>
                          <a:ln>
                            <a:noFill/>
                          </a:ln>
                        </pic:spPr>
                      </pic:pic>
                    </a:graphicData>
                  </a:graphic>
                </wp:inline>
              </w:drawing>
            </w:r>
          </w:p>
        </w:tc>
        <w:tc>
          <w:tcPr>
            <w:tcW w:w="1614" w:type="pct"/>
          </w:tcPr>
          <w:p>
            <w:pPr>
              <w:pStyle w:val="Yo5TextNotes"/>
              <w:jc w:val="center"/>
              <w:rPr>
                <w:noProof/>
                <w:lang w:eastAsia="en-GB"/>
              </w:rPr>
            </w:pPr>
            <w:r>
              <w:rPr>
                <w:noProof/>
                <w:snapToGrid/>
                <w:lang w:val="en-US"/>
              </w:rPr>
              <w:drawing>
                <wp:inline distT="0" distB="0" distL="0" distR="0">
                  <wp:extent cx="1762125" cy="1962150"/>
                  <wp:effectExtent l="0" t="0" r="9525" b="0"/>
                  <wp:docPr id="47" name="Picture 47" descr="\\s-eacea-fs03-p\EACEA.A7\Youth\04_Reports\a_EU_Youth_Reports\2018\03_graph\9_E_b_internet_e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acea-fs03-p\EACEA.A7\Youth\04_Reports\a_EU_Youth_Reports\2018\03_graph\9_E_b_internet_educ.jpg"/>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762125" cy="1962150"/>
                          </a:xfrm>
                          <a:prstGeom prst="rect">
                            <a:avLst/>
                          </a:prstGeom>
                          <a:noFill/>
                          <a:ln>
                            <a:noFill/>
                          </a:ln>
                        </pic:spPr>
                      </pic:pic>
                    </a:graphicData>
                  </a:graphic>
                </wp:inline>
              </w:drawing>
            </w:r>
          </w:p>
        </w:tc>
        <w:tc>
          <w:tcPr>
            <w:tcW w:w="1809" w:type="pct"/>
            <w:vMerge w:val="restart"/>
            <w:vAlign w:val="bottom"/>
          </w:tcPr>
          <w:p>
            <w:pPr>
              <w:pStyle w:val="Yo5TextNotesbeforeafter"/>
              <w:jc w:val="left"/>
              <w:rPr>
                <w:noProof/>
                <w:spacing w:val="-2"/>
                <w:lang w:val="en-GB" w:eastAsia="en-GB"/>
              </w:rPr>
            </w:pPr>
            <w:r>
              <w:rPr>
                <w:i/>
                <w:noProof/>
                <w:spacing w:val="-2"/>
                <w:lang w:val="en-GB" w:eastAsia="en-GB"/>
              </w:rPr>
              <w:t>Note</w:t>
            </w:r>
            <w:r>
              <w:rPr>
                <w:noProof/>
                <w:spacing w:val="-2"/>
                <w:lang w:val="en-GB" w:eastAsia="en-GB"/>
              </w:rPr>
              <w:t>: According to Eurostat's Statistics Manual, a low level of formal education corresponds to those with no formal education at all, or those who have only completed primary or lower secondary education (ISCED 0, 1 or 2); a medium level of formal education corresponds to those who have completed upper secondary education (ISCED 3 and 4); and a high level of formal education corresponds to those who have completed tertiary education (ISCED 5, 6, 7 or 8). The International Standard Classification of Education 2011 (ISCED 2011) is applied for 2015/16. ISCED 1997 classification is used for the year 2011.</w:t>
            </w:r>
          </w:p>
          <w:p>
            <w:pPr>
              <w:pStyle w:val="Yo5TextNotesbeforeafter"/>
              <w:jc w:val="left"/>
              <w:rPr>
                <w:i/>
                <w:noProof/>
                <w:lang w:val="en-GB" w:eastAsia="en-GB"/>
              </w:rPr>
            </w:pPr>
            <w:r>
              <w:rPr>
                <w:noProof/>
                <w:lang w:val="en-GB" w:eastAsia="en-GB"/>
              </w:rPr>
              <w:t>Year 2010 not available.</w:t>
            </w:r>
          </w:p>
          <w:p>
            <w:pPr>
              <w:pStyle w:val="Yo5TextNotesbeforeafter"/>
              <w:jc w:val="left"/>
              <w:rPr>
                <w:noProof/>
                <w:lang w:val="it-IT" w:eastAsia="en-GB"/>
              </w:rPr>
            </w:pPr>
            <w:r>
              <w:rPr>
                <w:i/>
                <w:noProof/>
                <w:lang w:val="it-IT" w:eastAsia="en-GB"/>
              </w:rPr>
              <w:t>Source</w:t>
            </w:r>
            <w:r>
              <w:rPr>
                <w:noProof/>
                <w:lang w:val="it-IT" w:eastAsia="en-GB"/>
              </w:rPr>
              <w:t>: Eurostat [isoc_ci_cfp_fu] and [isoc_ci_ifp_fu], data extracted on 02/02/2018.</w:t>
            </w:r>
          </w:p>
        </w:tc>
      </w:tr>
      <w:tr>
        <w:tc>
          <w:tcPr>
            <w:tcW w:w="3191" w:type="pct"/>
            <w:gridSpan w:val="2"/>
            <w:shd w:val="clear" w:color="auto" w:fill="auto"/>
          </w:tcPr>
          <w:p>
            <w:pPr>
              <w:pStyle w:val="Yo5TextNotes"/>
              <w:jc w:val="center"/>
              <w:rPr>
                <w:noProof/>
                <w:sz w:val="4"/>
                <w:lang w:val="it-IT" w:eastAsia="en-GB"/>
              </w:rPr>
            </w:pPr>
          </w:p>
          <w:p>
            <w:pPr>
              <w:pStyle w:val="Yo5TextNotes"/>
              <w:rPr>
                <w:noProof/>
                <w:sz w:val="6"/>
                <w:lang w:val="it-IT" w:eastAsia="en-GB"/>
              </w:rPr>
            </w:pPr>
          </w:p>
          <w:tbl>
            <w:tblPr>
              <w:tblW w:w="0" w:type="auto"/>
              <w:jc w:val="center"/>
              <w:tblCellMar>
                <w:left w:w="28" w:type="dxa"/>
                <w:right w:w="28" w:type="dxa"/>
              </w:tblCellMar>
              <w:tblLook w:val="04A0" w:firstRow="1" w:lastRow="0" w:firstColumn="1" w:lastColumn="0" w:noHBand="0" w:noVBand="1"/>
            </w:tblPr>
            <w:tblGrid>
              <w:gridCol w:w="296"/>
              <w:gridCol w:w="1670"/>
              <w:gridCol w:w="296"/>
              <w:gridCol w:w="1531"/>
              <w:gridCol w:w="253"/>
              <w:gridCol w:w="421"/>
            </w:tblGrid>
            <w:tr>
              <w:trPr>
                <w:jc w:val="center"/>
              </w:trPr>
              <w:tc>
                <w:tcPr>
                  <w:tcW w:w="0" w:type="auto"/>
                  <w:vAlign w:val="center"/>
                </w:tcPr>
                <w:p>
                  <w:pPr>
                    <w:spacing w:after="0"/>
                    <w:rPr>
                      <w:b/>
                      <w:noProof/>
                    </w:rPr>
                  </w:pPr>
                  <w:r>
                    <w:rPr>
                      <w:noProof/>
                      <w:lang w:val="en-US"/>
                    </w:rPr>
                    <w:drawing>
                      <wp:inline distT="0" distB="0" distL="0" distR="0">
                        <wp:extent cx="142875" cy="14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vAlign w:val="center"/>
                </w:tcPr>
                <w:p>
                  <w:pPr>
                    <w:spacing w:after="0"/>
                    <w:rPr>
                      <w:noProof/>
                      <w:sz w:val="18"/>
                    </w:rPr>
                  </w:pPr>
                  <w:r>
                    <w:rPr>
                      <w:noProof/>
                      <w:sz w:val="18"/>
                    </w:rPr>
                    <w:t>Computer use in 2017</w:t>
                  </w:r>
                </w:p>
              </w:tc>
              <w:tc>
                <w:tcPr>
                  <w:tcW w:w="0" w:type="auto"/>
                  <w:vAlign w:val="center"/>
                </w:tcPr>
                <w:p>
                  <w:pPr>
                    <w:spacing w:after="0"/>
                    <w:rPr>
                      <w:b/>
                      <w:noProof/>
                    </w:rPr>
                  </w:pPr>
                  <w:r>
                    <w:rPr>
                      <w:noProof/>
                      <w:lang w:val="en-US"/>
                    </w:rPr>
                    <w:drawing>
                      <wp:inline distT="0" distB="0" distL="0" distR="0">
                        <wp:extent cx="142875" cy="1428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shd w:val="clear" w:color="auto" w:fill="auto"/>
                  <w:vAlign w:val="center"/>
                </w:tcPr>
                <w:p>
                  <w:pPr>
                    <w:spacing w:after="0"/>
                    <w:rPr>
                      <w:noProof/>
                      <w:sz w:val="18"/>
                      <w:lang w:eastAsia="en-GB"/>
                    </w:rPr>
                  </w:pPr>
                  <w:r>
                    <w:rPr>
                      <w:noProof/>
                      <w:sz w:val="18"/>
                      <w:lang w:eastAsia="en-GB"/>
                    </w:rPr>
                    <w:t>Internet use in 2017</w:t>
                  </w:r>
                </w:p>
              </w:tc>
              <w:tc>
                <w:tcPr>
                  <w:tcW w:w="0" w:type="auto"/>
                  <w:vAlign w:val="center"/>
                </w:tcPr>
                <w:p>
                  <w:pPr>
                    <w:spacing w:after="0"/>
                    <w:jc w:val="center"/>
                    <w:rPr>
                      <w:b/>
                      <w:noProof/>
                    </w:rPr>
                  </w:pPr>
                  <w:r>
                    <w:rPr>
                      <w:b/>
                      <w:noProof/>
                    </w:rPr>
                    <w:sym w:font="Wingdings 2" w:char="F0BF"/>
                  </w:r>
                </w:p>
              </w:tc>
              <w:tc>
                <w:tcPr>
                  <w:tcW w:w="0" w:type="auto"/>
                  <w:shd w:val="clear" w:color="auto" w:fill="auto"/>
                  <w:vAlign w:val="center"/>
                </w:tcPr>
                <w:p>
                  <w:pPr>
                    <w:spacing w:after="0" w:line="240" w:lineRule="auto"/>
                    <w:rPr>
                      <w:noProof/>
                      <w:sz w:val="18"/>
                      <w:lang w:eastAsia="en-GB"/>
                    </w:rPr>
                  </w:pPr>
                  <w:r>
                    <w:rPr>
                      <w:noProof/>
                      <w:sz w:val="18"/>
                      <w:lang w:eastAsia="en-GB"/>
                    </w:rPr>
                    <w:t>2011</w:t>
                  </w:r>
                </w:p>
              </w:tc>
            </w:tr>
          </w:tbl>
          <w:p>
            <w:pPr>
              <w:pStyle w:val="Yo5TextNotes"/>
              <w:rPr>
                <w:noProof/>
                <w:lang w:eastAsia="en-GB"/>
              </w:rPr>
            </w:pPr>
          </w:p>
        </w:tc>
        <w:tc>
          <w:tcPr>
            <w:tcW w:w="1809" w:type="pct"/>
            <w:vMerge/>
          </w:tcPr>
          <w:p>
            <w:pPr>
              <w:pStyle w:val="Yo5TextNotesbeforeafter"/>
              <w:rPr>
                <w:i/>
                <w:noProof/>
                <w:spacing w:val="-2"/>
                <w:lang w:val="en-GB" w:eastAsia="en-GB"/>
              </w:rPr>
            </w:pPr>
          </w:p>
        </w:tc>
      </w:tr>
    </w:tbl>
    <w:p>
      <w:pPr>
        <w:pStyle w:val="Yo1Textpara"/>
        <w:rPr>
          <w:noProof/>
        </w:rPr>
      </w:pPr>
    </w:p>
    <w:tbl>
      <w:tblPr>
        <w:tblpPr w:leftFromText="180" w:rightFromText="180" w:vertAnchor="text" w:horzAnchor="margin" w:tblpY="234"/>
        <w:tblW w:w="0" w:type="auto"/>
        <w:tblCellMar>
          <w:left w:w="0" w:type="dxa"/>
          <w:right w:w="0" w:type="dxa"/>
        </w:tblCellMar>
        <w:tblLook w:val="04A0" w:firstRow="1" w:lastRow="0" w:firstColumn="1" w:lastColumn="0" w:noHBand="0" w:noVBand="1"/>
      </w:tblPr>
      <w:tblGrid>
        <w:gridCol w:w="402"/>
        <w:gridCol w:w="401"/>
        <w:gridCol w:w="878"/>
        <w:gridCol w:w="1287"/>
        <w:gridCol w:w="998"/>
        <w:gridCol w:w="1179"/>
        <w:gridCol w:w="361"/>
        <w:gridCol w:w="502"/>
        <w:gridCol w:w="3914"/>
      </w:tblGrid>
      <w:tr>
        <w:tc>
          <w:tcPr>
            <w:tcW w:w="9922" w:type="dxa"/>
            <w:gridSpan w:val="9"/>
            <w:shd w:val="clear" w:color="auto" w:fill="auto"/>
          </w:tcPr>
          <w:p>
            <w:pPr>
              <w:pStyle w:val="Yo5TitleFigure"/>
              <w:keepLines/>
              <w:spacing w:before="0" w:after="0"/>
              <w:jc w:val="both"/>
            </w:pPr>
            <w:r>
              <w:br w:type="page"/>
            </w:r>
            <w:r>
              <w:rPr>
                <w:b/>
              </w:rPr>
              <w:t xml:space="preserve">Figure 9-F: </w:t>
            </w:r>
            <w:r>
              <w:t>Overall</w:t>
            </w:r>
            <w:r>
              <w:rPr>
                <w:b/>
              </w:rPr>
              <w:t xml:space="preserve"> </w:t>
            </w:r>
            <w:r>
              <w:t>digital skills level of young people (aged 16-29), by level of education, EU-28 average, 2017</w:t>
            </w:r>
          </w:p>
        </w:tc>
      </w:tr>
      <w:tr>
        <w:trPr>
          <w:trHeight w:hRule="exact" w:val="397"/>
        </w:trPr>
        <w:tc>
          <w:tcPr>
            <w:tcW w:w="4962" w:type="dxa"/>
            <w:gridSpan w:val="7"/>
            <w:vMerge w:val="restart"/>
            <w:shd w:val="clear" w:color="auto" w:fill="auto"/>
          </w:tcPr>
          <w:p>
            <w:pPr>
              <w:pStyle w:val="Yo1Textpara"/>
              <w:spacing w:before="0"/>
              <w:rPr>
                <w:noProof/>
              </w:rPr>
            </w:pPr>
            <w:r>
              <w:rPr>
                <w:noProof/>
                <w:lang w:val="en-US" w:eastAsia="en-US"/>
              </w:rPr>
              <w:drawing>
                <wp:inline distT="0" distB="0" distL="0" distR="0">
                  <wp:extent cx="3390900" cy="2571750"/>
                  <wp:effectExtent l="0" t="0" r="0" b="0"/>
                  <wp:docPr id="50" name="Picture 50" descr="\\s-eacea-fs03-p\EACEA.A7\Youth\04_Reports\a_EU_Youth_Reports\2018\03_graph\9_F_digital_skills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acea-fs03-p\EACEA.A7\Youth\04_Reports\a_EU_Youth_Reports\2018\03_graph\9_F_digital_skills_EU.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3390900" cy="2571750"/>
                          </a:xfrm>
                          <a:prstGeom prst="rect">
                            <a:avLst/>
                          </a:prstGeom>
                          <a:noFill/>
                          <a:ln>
                            <a:noFill/>
                          </a:ln>
                        </pic:spPr>
                      </pic:pic>
                    </a:graphicData>
                  </a:graphic>
                </wp:inline>
              </w:drawing>
            </w:r>
          </w:p>
        </w:tc>
        <w:tc>
          <w:tcPr>
            <w:tcW w:w="567" w:type="dxa"/>
            <w:shd w:val="clear" w:color="auto" w:fill="auto"/>
            <w:vAlign w:val="center"/>
          </w:tcPr>
          <w:p>
            <w:pPr>
              <w:pStyle w:val="Yo1Textpara"/>
              <w:jc w:val="left"/>
              <w:rPr>
                <w:noProof/>
              </w:rPr>
            </w:pPr>
          </w:p>
        </w:tc>
        <w:tc>
          <w:tcPr>
            <w:tcW w:w="4393" w:type="dxa"/>
            <w:shd w:val="clear" w:color="auto" w:fill="auto"/>
            <w:vAlign w:val="center"/>
          </w:tcPr>
          <w:p>
            <w:pPr>
              <w:pStyle w:val="Yo5TextNotes"/>
              <w:keepNext/>
              <w:keepLines/>
              <w:jc w:val="left"/>
              <w:rPr>
                <w:noProof/>
                <w:lang w:val="en-GB"/>
              </w:rPr>
            </w:pPr>
          </w:p>
        </w:tc>
      </w:tr>
      <w:tr>
        <w:trPr>
          <w:trHeight w:hRule="exact" w:val="397"/>
        </w:trPr>
        <w:tc>
          <w:tcPr>
            <w:tcW w:w="4962" w:type="dxa"/>
            <w:gridSpan w:val="7"/>
            <w:vMerge/>
            <w:shd w:val="clear" w:color="auto" w:fill="auto"/>
          </w:tcPr>
          <w:p>
            <w:pPr>
              <w:pStyle w:val="Yo1Textpara"/>
              <w:spacing w:before="0"/>
              <w:rPr>
                <w:noProof/>
              </w:rPr>
            </w:pPr>
          </w:p>
        </w:tc>
        <w:tc>
          <w:tcPr>
            <w:tcW w:w="567" w:type="dxa"/>
            <w:shd w:val="clear" w:color="auto" w:fill="auto"/>
            <w:vAlign w:val="center"/>
          </w:tcPr>
          <w:p>
            <w:pPr>
              <w:pStyle w:val="Yo1Textpara"/>
              <w:jc w:val="left"/>
              <w:rPr>
                <w:noProof/>
              </w:rPr>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63500</wp:posOffset>
                      </wp:positionH>
                      <wp:positionV relativeFrom="paragraph">
                        <wp:posOffset>76200</wp:posOffset>
                      </wp:positionV>
                      <wp:extent cx="161925" cy="161925"/>
                      <wp:effectExtent l="0" t="0" r="28575" b="285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4F81BD"/>
                              </a:solidFill>
                              <a:ln w="9525" algn="ctr">
                                <a:solidFill>
                                  <a:srgbClr val="385D8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4D99FD" id="Rectangle 6" o:spid="_x0000_s1026" style="position:absolute;margin-left:5pt;margin-top:6pt;width:12.7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" fillcolor="#4f81bd" strokecolor="#385d8a"/>
                  </w:pict>
                </mc:Fallback>
              </mc:AlternateContent>
            </w:r>
          </w:p>
        </w:tc>
        <w:tc>
          <w:tcPr>
            <w:tcW w:w="4393" w:type="dxa"/>
            <w:shd w:val="clear" w:color="auto" w:fill="auto"/>
            <w:vAlign w:val="center"/>
          </w:tcPr>
          <w:p>
            <w:pPr>
              <w:pStyle w:val="Yo5TextNotes"/>
              <w:keepNext/>
              <w:keepLines/>
              <w:jc w:val="left"/>
              <w:rPr>
                <w:noProof/>
                <w:lang w:val="en-GB"/>
              </w:rPr>
            </w:pPr>
            <w:r>
              <w:rPr>
                <w:noProof/>
                <w:lang w:val="en-GB"/>
              </w:rPr>
              <w:t>Above basic overall digital skills</w:t>
            </w:r>
          </w:p>
        </w:tc>
      </w:tr>
      <w:tr>
        <w:trPr>
          <w:trHeight w:hRule="exact" w:val="397"/>
        </w:trPr>
        <w:tc>
          <w:tcPr>
            <w:tcW w:w="4962" w:type="dxa"/>
            <w:gridSpan w:val="7"/>
            <w:vMerge/>
            <w:shd w:val="clear" w:color="auto" w:fill="auto"/>
          </w:tcPr>
          <w:p>
            <w:pPr>
              <w:pStyle w:val="Yo1Textpara"/>
              <w:rPr>
                <w:noProof/>
              </w:rPr>
            </w:pPr>
          </w:p>
        </w:tc>
        <w:tc>
          <w:tcPr>
            <w:tcW w:w="567" w:type="dxa"/>
            <w:shd w:val="clear" w:color="auto" w:fill="auto"/>
            <w:vAlign w:val="center"/>
          </w:tcPr>
          <w:p>
            <w:pPr>
              <w:pStyle w:val="Yo1Textpara"/>
              <w:jc w:val="left"/>
              <w:rPr>
                <w:noProof/>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62230</wp:posOffset>
                      </wp:positionH>
                      <wp:positionV relativeFrom="paragraph">
                        <wp:posOffset>55880</wp:posOffset>
                      </wp:positionV>
                      <wp:extent cx="161925" cy="161925"/>
                      <wp:effectExtent l="0" t="0" r="28575"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C1053D"/>
                              </a:solidFill>
                              <a:ln w="9525" algn="ctr">
                                <a:solidFill>
                                  <a:srgbClr val="385D8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12315F" id="Rectangle 4" o:spid="_x0000_s1026" style="position:absolute;margin-left:4.9pt;margin-top:4.4pt;width:12.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" fillcolor="#c1053d" strokecolor="#385d8a"/>
                  </w:pict>
                </mc:Fallback>
              </mc:AlternateContent>
            </w:r>
          </w:p>
        </w:tc>
        <w:tc>
          <w:tcPr>
            <w:tcW w:w="4393" w:type="dxa"/>
            <w:shd w:val="clear" w:color="auto" w:fill="auto"/>
            <w:vAlign w:val="center"/>
          </w:tcPr>
          <w:p>
            <w:pPr>
              <w:pStyle w:val="Yo5TextNotes"/>
              <w:keepNext/>
              <w:keepLines/>
              <w:jc w:val="left"/>
              <w:rPr>
                <w:noProof/>
                <w:lang w:val="en-GB"/>
              </w:rPr>
            </w:pPr>
            <w:r>
              <w:rPr>
                <w:noProof/>
                <w:lang w:val="en-GB"/>
              </w:rPr>
              <w:t>Basic overall digital skills</w:t>
            </w:r>
          </w:p>
        </w:tc>
      </w:tr>
      <w:tr>
        <w:trPr>
          <w:trHeight w:hRule="exact" w:val="397"/>
        </w:trPr>
        <w:tc>
          <w:tcPr>
            <w:tcW w:w="4962" w:type="dxa"/>
            <w:gridSpan w:val="7"/>
            <w:vMerge/>
            <w:shd w:val="clear" w:color="auto" w:fill="auto"/>
          </w:tcPr>
          <w:p>
            <w:pPr>
              <w:pStyle w:val="Yo1Textpara"/>
              <w:rPr>
                <w:noProof/>
              </w:rPr>
            </w:pPr>
          </w:p>
        </w:tc>
        <w:tc>
          <w:tcPr>
            <w:tcW w:w="567" w:type="dxa"/>
            <w:shd w:val="clear" w:color="auto" w:fill="auto"/>
            <w:vAlign w:val="center"/>
          </w:tcPr>
          <w:p>
            <w:pPr>
              <w:pStyle w:val="Yo1Textpara"/>
              <w:jc w:val="left"/>
              <w:rPr>
                <w:noProof/>
              </w:rPr>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62865</wp:posOffset>
                      </wp:positionH>
                      <wp:positionV relativeFrom="paragraph">
                        <wp:posOffset>66040</wp:posOffset>
                      </wp:positionV>
                      <wp:extent cx="161290" cy="161290"/>
                      <wp:effectExtent l="0" t="0" r="10160" b="1016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61290"/>
                              </a:xfrm>
                              <a:prstGeom prst="rect">
                                <a:avLst/>
                              </a:prstGeom>
                              <a:solidFill>
                                <a:srgbClr val="FFA3A4"/>
                              </a:solidFill>
                              <a:ln w="9525" cap="flat" cmpd="sng" algn="ctr">
                                <a:solidFill>
                                  <a:srgbClr val="4F81BD">
                                    <a:shade val="50000"/>
                                  </a:srgbClr>
                                </a:solidFill>
                                <a:prstDash val="solid"/>
                              </a:ln>
                              <a:effectLst/>
                            </wps:spPr>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A1392A" id="Rectangle 2" o:spid="_x0000_s1026" style="position:absolute;margin-left:4.95pt;margin-top:5.2pt;width:12.7pt;height:1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" fillcolor="#ffa3a4" strokecolor="#385d8a">
                      <v:path arrowok="t"/>
                    </v:rect>
                  </w:pict>
                </mc:Fallback>
              </mc:AlternateContent>
            </w:r>
          </w:p>
        </w:tc>
        <w:tc>
          <w:tcPr>
            <w:tcW w:w="4393" w:type="dxa"/>
            <w:shd w:val="clear" w:color="auto" w:fill="auto"/>
            <w:vAlign w:val="center"/>
          </w:tcPr>
          <w:p>
            <w:pPr>
              <w:pStyle w:val="Yo5TextNotes"/>
              <w:keepNext/>
              <w:keepLines/>
              <w:jc w:val="left"/>
              <w:rPr>
                <w:noProof/>
                <w:lang w:val="en-GB"/>
              </w:rPr>
            </w:pPr>
            <w:r>
              <w:rPr>
                <w:noProof/>
                <w:lang w:val="en-GB"/>
              </w:rPr>
              <w:t>Low overall digital skills</w:t>
            </w:r>
          </w:p>
        </w:tc>
      </w:tr>
      <w:tr>
        <w:trPr>
          <w:trHeight w:val="1333"/>
        </w:trPr>
        <w:tc>
          <w:tcPr>
            <w:tcW w:w="4962" w:type="dxa"/>
            <w:gridSpan w:val="7"/>
            <w:vMerge/>
            <w:shd w:val="clear" w:color="auto" w:fill="auto"/>
          </w:tcPr>
          <w:p>
            <w:pPr>
              <w:pStyle w:val="Yo1Textpara"/>
              <w:rPr>
                <w:noProof/>
              </w:rPr>
            </w:pPr>
          </w:p>
        </w:tc>
        <w:tc>
          <w:tcPr>
            <w:tcW w:w="4960" w:type="dxa"/>
            <w:gridSpan w:val="2"/>
            <w:vMerge w:val="restart"/>
            <w:shd w:val="clear" w:color="auto" w:fill="auto"/>
            <w:vAlign w:val="bottom"/>
          </w:tcPr>
          <w:p>
            <w:pPr>
              <w:pStyle w:val="Yo1Textpara"/>
              <w:jc w:val="left"/>
              <w:rPr>
                <w:rFonts w:ascii="Verdana" w:eastAsia="Times New Roman" w:hAnsi="Verdana" w:cs="Arial"/>
                <w:noProof/>
                <w:snapToGrid w:val="0"/>
                <w:sz w:val="14"/>
                <w:szCs w:val="14"/>
                <w:lang w:eastAsia="en-US"/>
              </w:rPr>
            </w:pPr>
            <w:r>
              <w:rPr>
                <w:rFonts w:ascii="Verdana" w:eastAsia="Times New Roman" w:hAnsi="Verdana" w:cs="Arial"/>
                <w:i/>
                <w:noProof/>
                <w:snapToGrid w:val="0"/>
                <w:sz w:val="14"/>
                <w:szCs w:val="14"/>
                <w:lang w:eastAsia="en-US"/>
              </w:rPr>
              <w:t xml:space="preserve">Note: </w:t>
            </w:r>
            <w:r>
              <w:rPr>
                <w:rFonts w:ascii="Verdana" w:eastAsia="Times New Roman" w:hAnsi="Verdana" w:cs="Arial"/>
                <w:noProof/>
                <w:snapToGrid w:val="0"/>
                <w:sz w:val="14"/>
                <w:szCs w:val="14"/>
                <w:lang w:eastAsia="en-US"/>
              </w:rPr>
              <w:t>The ‘overall digital skills' indicator combines skills in four areas: information, communication, problem-solving and software (for content manipulation). For formulae, please see Eurostat (2018).</w:t>
            </w:r>
          </w:p>
          <w:p>
            <w:pPr>
              <w:pStyle w:val="Yo1Textpara"/>
              <w:jc w:val="left"/>
              <w:rPr>
                <w:rFonts w:ascii="Verdana" w:eastAsia="Times New Roman" w:hAnsi="Verdana" w:cs="Arial"/>
                <w:noProof/>
                <w:snapToGrid w:val="0"/>
                <w:sz w:val="14"/>
                <w:szCs w:val="14"/>
                <w:lang w:eastAsia="en-US"/>
              </w:rPr>
            </w:pPr>
            <w:r>
              <w:rPr>
                <w:rFonts w:ascii="Verdana" w:eastAsia="Times New Roman" w:hAnsi="Verdana" w:cs="Arial"/>
                <w:noProof/>
                <w:snapToGrid w:val="0"/>
                <w:sz w:val="14"/>
                <w:szCs w:val="14"/>
                <w:lang w:eastAsia="en-US"/>
              </w:rPr>
              <w:t>The remaining percentages include individuals with 'no skills' and individuals that have not used the internet in the last 3 months.</w:t>
            </w:r>
          </w:p>
          <w:p>
            <w:pPr>
              <w:pStyle w:val="Yo1Textpara"/>
              <w:jc w:val="left"/>
              <w:rPr>
                <w:rFonts w:ascii="Verdana" w:eastAsia="Times New Roman" w:hAnsi="Verdana" w:cs="Arial"/>
                <w:i/>
                <w:noProof/>
                <w:snapToGrid w:val="0"/>
                <w:sz w:val="14"/>
                <w:szCs w:val="14"/>
                <w:lang w:eastAsia="en-US"/>
              </w:rPr>
            </w:pPr>
            <w:r>
              <w:rPr>
                <w:rFonts w:ascii="Verdana" w:eastAsia="Times New Roman" w:hAnsi="Verdana" w:cs="Arial"/>
                <w:noProof/>
                <w:snapToGrid w:val="0"/>
                <w:sz w:val="14"/>
                <w:szCs w:val="14"/>
                <w:lang w:eastAsia="en-US"/>
              </w:rPr>
              <w:t>More details on education levels see Figure 3-F.</w:t>
            </w:r>
          </w:p>
          <w:p>
            <w:pPr>
              <w:pStyle w:val="Yo1Textpara"/>
              <w:jc w:val="left"/>
              <w:rPr>
                <w:rFonts w:ascii="Verdana" w:hAnsi="Verdana"/>
                <w:noProof/>
                <w:sz w:val="16"/>
                <w:szCs w:val="16"/>
              </w:rPr>
            </w:pPr>
            <w:r>
              <w:rPr>
                <w:rFonts w:ascii="Verdana" w:eastAsia="Times New Roman" w:hAnsi="Verdana" w:cs="Arial"/>
                <w:i/>
                <w:noProof/>
                <w:snapToGrid w:val="0"/>
                <w:sz w:val="14"/>
                <w:szCs w:val="14"/>
                <w:lang w:eastAsia="en-US"/>
              </w:rPr>
              <w:t xml:space="preserve">Source: </w:t>
            </w:r>
            <w:r>
              <w:rPr>
                <w:rFonts w:ascii="Verdana" w:eastAsia="Times New Roman" w:hAnsi="Verdana" w:cs="Arial"/>
                <w:noProof/>
                <w:snapToGrid w:val="0"/>
                <w:sz w:val="14"/>
                <w:szCs w:val="14"/>
                <w:lang w:eastAsia="en-US"/>
              </w:rPr>
              <w:t xml:space="preserve">Eurostat [isoc_sk_dskl_i], </w:t>
            </w:r>
            <w:r>
              <w:rPr>
                <w:rFonts w:ascii="Verdana" w:eastAsia="Times New Roman" w:hAnsi="Verdana" w:cs="Arial"/>
                <w:noProof/>
                <w:snapToGrid w:val="0"/>
                <w:sz w:val="14"/>
                <w:szCs w:val="14"/>
                <w:lang w:eastAsia="en-US"/>
              </w:rPr>
              <w:br/>
            </w:r>
            <w:r>
              <w:rPr>
                <w:rFonts w:ascii="Verdana" w:eastAsia="Times New Roman" w:hAnsi="Verdana" w:cs="Arial"/>
                <w:noProof/>
                <w:snapToGrid w:val="0"/>
                <w:sz w:val="14"/>
                <w:szCs w:val="14"/>
              </w:rPr>
              <w:t>data extracted on 05/02/2018.</w:t>
            </w:r>
          </w:p>
        </w:tc>
      </w:tr>
      <w:tr>
        <w:trPr>
          <w:trHeight w:hRule="exact" w:val="227"/>
        </w:trPr>
        <w:tc>
          <w:tcPr>
            <w:tcW w:w="412" w:type="dxa"/>
            <w:shd w:val="clear" w:color="auto" w:fill="auto"/>
          </w:tcPr>
          <w:p>
            <w:pPr>
              <w:pStyle w:val="Yo1Textpara"/>
              <w:jc w:val="center"/>
              <w:rPr>
                <w:rFonts w:ascii="Verdana" w:hAnsi="Verdana"/>
                <w:noProof/>
                <w:sz w:val="16"/>
                <w:szCs w:val="16"/>
              </w:rPr>
            </w:pPr>
          </w:p>
        </w:tc>
        <w:tc>
          <w:tcPr>
            <w:tcW w:w="411" w:type="dxa"/>
            <w:shd w:val="clear" w:color="auto" w:fill="auto"/>
          </w:tcPr>
          <w:p>
            <w:pPr>
              <w:pStyle w:val="Yo1Textpara"/>
              <w:jc w:val="center"/>
              <w:rPr>
                <w:rFonts w:ascii="Verdana" w:hAnsi="Verdana"/>
                <w:noProof/>
                <w:sz w:val="16"/>
                <w:szCs w:val="16"/>
              </w:rPr>
            </w:pPr>
          </w:p>
        </w:tc>
        <w:tc>
          <w:tcPr>
            <w:tcW w:w="829" w:type="dxa"/>
            <w:tcBorders>
              <w:bottom w:val="single" w:sz="4" w:space="0" w:color="auto"/>
            </w:tcBorders>
            <w:shd w:val="clear" w:color="auto" w:fill="auto"/>
            <w:vAlign w:val="center"/>
          </w:tcPr>
          <w:p>
            <w:pPr>
              <w:pStyle w:val="Yo5TextNotes"/>
              <w:keepNext/>
              <w:keepLines/>
              <w:jc w:val="center"/>
              <w:rPr>
                <w:b/>
                <w:noProof/>
                <w:lang w:val="en-GB"/>
              </w:rPr>
            </w:pPr>
            <w:r>
              <w:rPr>
                <w:noProof/>
                <w:lang w:val="en-GB"/>
              </w:rPr>
              <w:t>low</w:t>
            </w:r>
          </w:p>
        </w:tc>
        <w:tc>
          <w:tcPr>
            <w:tcW w:w="994" w:type="dxa"/>
            <w:tcBorders>
              <w:bottom w:val="single" w:sz="4" w:space="0" w:color="auto"/>
            </w:tcBorders>
            <w:shd w:val="clear" w:color="auto" w:fill="auto"/>
            <w:vAlign w:val="center"/>
          </w:tcPr>
          <w:p>
            <w:pPr>
              <w:pStyle w:val="Yo5TextNotes"/>
              <w:keepNext/>
              <w:keepLines/>
              <w:jc w:val="center"/>
              <w:rPr>
                <w:b/>
                <w:noProof/>
                <w:lang w:val="en-GB"/>
              </w:rPr>
            </w:pPr>
            <w:r>
              <w:rPr>
                <w:noProof/>
                <w:lang w:val="en-GB"/>
              </w:rPr>
              <w:t>medium</w:t>
            </w:r>
          </w:p>
        </w:tc>
        <w:tc>
          <w:tcPr>
            <w:tcW w:w="910" w:type="dxa"/>
            <w:tcBorders>
              <w:bottom w:val="single" w:sz="4" w:space="0" w:color="auto"/>
            </w:tcBorders>
            <w:shd w:val="clear" w:color="auto" w:fill="auto"/>
            <w:vAlign w:val="center"/>
          </w:tcPr>
          <w:p>
            <w:pPr>
              <w:pStyle w:val="Yo5TextNotes"/>
              <w:keepNext/>
              <w:keepLines/>
              <w:jc w:val="center"/>
              <w:rPr>
                <w:b/>
                <w:noProof/>
                <w:lang w:val="en-GB"/>
              </w:rPr>
            </w:pPr>
            <w:r>
              <w:rPr>
                <w:noProof/>
                <w:lang w:val="en-GB"/>
              </w:rPr>
              <w:t>high</w:t>
            </w:r>
          </w:p>
        </w:tc>
        <w:tc>
          <w:tcPr>
            <w:tcW w:w="1036" w:type="dxa"/>
            <w:shd w:val="clear" w:color="auto" w:fill="auto"/>
            <w:vAlign w:val="center"/>
          </w:tcPr>
          <w:p>
            <w:pPr>
              <w:pStyle w:val="Yo5TextNotes"/>
              <w:keepNext/>
              <w:keepLines/>
              <w:jc w:val="center"/>
              <w:rPr>
                <w:b/>
                <w:noProof/>
                <w:lang w:val="en-GB"/>
              </w:rPr>
            </w:pPr>
            <w:r>
              <w:rPr>
                <w:b/>
                <w:noProof/>
                <w:lang w:val="en-GB"/>
              </w:rPr>
              <w:t xml:space="preserve">Total </w:t>
            </w:r>
          </w:p>
        </w:tc>
        <w:tc>
          <w:tcPr>
            <w:tcW w:w="370" w:type="dxa"/>
            <w:shd w:val="clear" w:color="auto" w:fill="auto"/>
          </w:tcPr>
          <w:p>
            <w:pPr>
              <w:pStyle w:val="Yo1Textpara"/>
              <w:jc w:val="center"/>
              <w:rPr>
                <w:rFonts w:ascii="Verdana" w:hAnsi="Verdana"/>
                <w:noProof/>
                <w:sz w:val="16"/>
                <w:szCs w:val="16"/>
              </w:rPr>
            </w:pPr>
          </w:p>
        </w:tc>
        <w:tc>
          <w:tcPr>
            <w:tcW w:w="4960" w:type="dxa"/>
            <w:gridSpan w:val="2"/>
            <w:vMerge/>
            <w:shd w:val="clear" w:color="auto" w:fill="auto"/>
          </w:tcPr>
          <w:p>
            <w:pPr>
              <w:pStyle w:val="Yo1Textpara"/>
              <w:jc w:val="center"/>
              <w:rPr>
                <w:rFonts w:ascii="Verdana" w:hAnsi="Verdana"/>
                <w:noProof/>
                <w:sz w:val="16"/>
                <w:szCs w:val="16"/>
              </w:rPr>
            </w:pPr>
          </w:p>
        </w:tc>
      </w:tr>
      <w:tr>
        <w:trPr>
          <w:trHeight w:hRule="exact" w:val="227"/>
        </w:trPr>
        <w:tc>
          <w:tcPr>
            <w:tcW w:w="412" w:type="dxa"/>
            <w:shd w:val="clear" w:color="auto" w:fill="auto"/>
          </w:tcPr>
          <w:p>
            <w:pPr>
              <w:pStyle w:val="Yo1Textpara"/>
              <w:jc w:val="center"/>
              <w:rPr>
                <w:rFonts w:ascii="Verdana" w:hAnsi="Verdana"/>
                <w:noProof/>
                <w:sz w:val="16"/>
                <w:szCs w:val="16"/>
              </w:rPr>
            </w:pPr>
          </w:p>
        </w:tc>
        <w:tc>
          <w:tcPr>
            <w:tcW w:w="411" w:type="dxa"/>
            <w:shd w:val="clear" w:color="auto" w:fill="auto"/>
          </w:tcPr>
          <w:p>
            <w:pPr>
              <w:pStyle w:val="Yo1Textpara"/>
              <w:jc w:val="center"/>
              <w:rPr>
                <w:rFonts w:ascii="Verdana" w:hAnsi="Verdana"/>
                <w:noProof/>
                <w:sz w:val="16"/>
                <w:szCs w:val="16"/>
              </w:rPr>
            </w:pPr>
          </w:p>
        </w:tc>
        <w:tc>
          <w:tcPr>
            <w:tcW w:w="2733" w:type="dxa"/>
            <w:gridSpan w:val="3"/>
            <w:tcBorders>
              <w:top w:val="single" w:sz="4" w:space="0" w:color="auto"/>
            </w:tcBorders>
            <w:shd w:val="clear" w:color="auto" w:fill="auto"/>
            <w:vAlign w:val="center"/>
          </w:tcPr>
          <w:p>
            <w:pPr>
              <w:pStyle w:val="Yo5TextNotes"/>
              <w:keepNext/>
              <w:keepLines/>
              <w:jc w:val="center"/>
              <w:rPr>
                <w:noProof/>
                <w:lang w:val="en-GB"/>
              </w:rPr>
            </w:pPr>
            <w:r>
              <w:rPr>
                <w:noProof/>
                <w:lang w:val="en-GB"/>
              </w:rPr>
              <w:t>level of formal education</w:t>
            </w:r>
          </w:p>
        </w:tc>
        <w:tc>
          <w:tcPr>
            <w:tcW w:w="1036" w:type="dxa"/>
            <w:shd w:val="clear" w:color="auto" w:fill="auto"/>
            <w:vAlign w:val="center"/>
          </w:tcPr>
          <w:p>
            <w:pPr>
              <w:pStyle w:val="Yo5TextNotes"/>
              <w:keepNext/>
              <w:keepLines/>
              <w:jc w:val="center"/>
              <w:rPr>
                <w:noProof/>
                <w:lang w:val="en-GB"/>
              </w:rPr>
            </w:pPr>
            <w:r>
              <w:rPr>
                <w:b/>
                <w:noProof/>
                <w:lang w:val="en-GB"/>
              </w:rPr>
              <w:t>(16-29)</w:t>
            </w:r>
          </w:p>
        </w:tc>
        <w:tc>
          <w:tcPr>
            <w:tcW w:w="370" w:type="dxa"/>
            <w:shd w:val="clear" w:color="auto" w:fill="auto"/>
          </w:tcPr>
          <w:p>
            <w:pPr>
              <w:pStyle w:val="Yo1Textpara"/>
              <w:jc w:val="center"/>
              <w:rPr>
                <w:rFonts w:ascii="Verdana" w:hAnsi="Verdana"/>
                <w:noProof/>
                <w:sz w:val="16"/>
                <w:szCs w:val="16"/>
              </w:rPr>
            </w:pPr>
          </w:p>
        </w:tc>
        <w:tc>
          <w:tcPr>
            <w:tcW w:w="4960" w:type="dxa"/>
            <w:gridSpan w:val="2"/>
            <w:vMerge/>
            <w:shd w:val="clear" w:color="auto" w:fill="auto"/>
          </w:tcPr>
          <w:p>
            <w:pPr>
              <w:pStyle w:val="Yo1Textpara"/>
              <w:jc w:val="center"/>
              <w:rPr>
                <w:rFonts w:ascii="Verdana" w:hAnsi="Verdana"/>
                <w:noProof/>
                <w:sz w:val="16"/>
                <w:szCs w:val="16"/>
              </w:rPr>
            </w:pPr>
          </w:p>
        </w:tc>
      </w:tr>
    </w:tbl>
    <w:p>
      <w:pPr>
        <w:pStyle w:val="Yo1Textpara"/>
        <w:rPr>
          <w:noProof/>
        </w:rPr>
      </w:pPr>
      <w:r>
        <w:rPr>
          <w:noProof/>
        </w:rPr>
        <w:t>Digital skills are becoming increasingly important in modern workplaces. Nearly all professions use ICT for carrying out certain tasks. Jobs in engineering, accountancy, nursing, medicine, art, architecture, and many more require increasing levels of digital skills (</w:t>
      </w:r>
      <w:r>
        <w:rPr>
          <w:noProof/>
          <w:vertAlign w:val="superscript"/>
        </w:rPr>
        <w:footnoteReference w:id="8"/>
      </w:r>
      <w:r>
        <w:rPr>
          <w:noProof/>
        </w:rPr>
        <w:t>). The use of digital technologies is beginning to have a profound effect on the tasks carried out and the skills required for many jobs outside the traditional office (</w:t>
      </w:r>
      <w:r>
        <w:rPr>
          <w:noProof/>
          <w:vertAlign w:val="superscript"/>
        </w:rPr>
        <w:footnoteReference w:id="9"/>
      </w:r>
      <w:r>
        <w:rPr>
          <w:noProof/>
        </w:rPr>
        <w:t xml:space="preserve">). Moreover, digital awareness is essential in order to avoid online dangers, protect privacy and assess the validity of information. The Eurostat survey on ICT usage by households and individuals (Figure 9-F) indicates that on average, in the EU-28, 17 % of young people have low overall digital skills levels (i.e. information, communication, problem-solving and software skills), 26 % have basic levels and 54 % of young people have above basic level skills. </w:t>
      </w:r>
    </w:p>
    <w:p>
      <w:pPr>
        <w:pStyle w:val="Yo1Textpara"/>
        <w:rPr>
          <w:noProof/>
        </w:rPr>
      </w:pPr>
      <w:r>
        <w:rPr>
          <w:noProof/>
        </w:rPr>
        <w:t xml:space="preserve">Similarly, as with the daily use of ICT technologies, the overall digital skills level is largely influenced by the level of formal education. 74 % of young people with a high level of formal education have above basic level skills compared with 52 % of those with a medium level of formal education, and 41 % of those with a low level of formal education. The proportion of young people with a low overall digital skills level was the highest among those with low level of formal education (24 %). The proportion of young people with a high level of formal education that demonstrated low overall digital skills was only 6 %. </w:t>
      </w:r>
    </w:p>
    <w:p>
      <w:pPr>
        <w:pStyle w:val="Yo1Textpara"/>
        <w:rPr>
          <w:noProof/>
        </w:rPr>
      </w:pPr>
      <w:r>
        <w:rPr>
          <w:noProof/>
        </w:rPr>
        <w:t xml:space="preserve">There is a considerable variation between European countries in young people's abilities in using digital technologies (Figure 9-G). A very high proportion (more than 70 %) of people aged 16-29 are above the basic level in information, communication, problem-solving and software skills in Luxembourg, the Netherlands and the Nordic countries. Many young people (60-69 %) demonstrate above basic level digital skills in Germany, Estonia, Malta, Austria, Portugal and the United Kingdom. In contrast, only every fourth or fifth young person has high overall digital competency in Bulgaria, Romania, Montenegro and the former Yugoslav Republic of Macedonia. The proportions vary between 31 and 34 % in Italy, Cyprus and Turkey. </w:t>
      </w:r>
    </w:p>
    <w:p>
      <w:pPr>
        <w:pStyle w:val="Yo5TitleFigure"/>
        <w:jc w:val="both"/>
      </w:pPr>
      <w:r>
        <w:rPr>
          <w:b/>
        </w:rPr>
        <w:t>Figure 9-G:</w:t>
      </w:r>
      <w:r>
        <w:t xml:space="preserve"> Proportion of young (16-29) people with above basic overall digital skills, by country, 2017</w:t>
      </w:r>
    </w:p>
    <w:tbl>
      <w:tblPr>
        <w:tblW w:w="9673"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153"/>
        <w:gridCol w:w="425"/>
        <w:gridCol w:w="3095"/>
      </w:tblGrid>
      <w:tr>
        <w:trPr>
          <w:trHeight w:hRule="exact" w:val="454"/>
        </w:trPr>
        <w:tc>
          <w:tcPr>
            <w:tcW w:w="6153" w:type="dxa"/>
            <w:vMerge w:val="restart"/>
            <w:tcBorders>
              <w:right w:val="nil"/>
            </w:tcBorders>
            <w:shd w:val="clear" w:color="auto" w:fill="auto"/>
          </w:tcPr>
          <w:p>
            <w:pPr>
              <w:pStyle w:val="a75TextbaseTable"/>
              <w:rPr>
                <w:noProof/>
                <w:lang w:val="en-GB"/>
              </w:rPr>
            </w:pPr>
            <w:r>
              <w:rPr>
                <w:noProof/>
                <w:snapToGrid/>
              </w:rPr>
              <w:drawing>
                <wp:inline distT="0" distB="0" distL="0" distR="0">
                  <wp:extent cx="3762375" cy="2819400"/>
                  <wp:effectExtent l="0" t="0" r="9525" b="0"/>
                  <wp:docPr id="51" name="Picture 51" descr="\\s-eacea-fs03-p\EACEA.A7\Youth\04_Reports\a_EU_Youth_Reports\2018\03_graph\9_G_digital_skill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acea-fs03-p\EACEA.A7\Youth\04_Reports\a_EU_Youth_Reports\2018\03_graph\9_G_digital_skills_map.jp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tc>
        <w:tc>
          <w:tcPr>
            <w:tcW w:w="425" w:type="dxa"/>
            <w:tcBorders>
              <w:top w:val="nil"/>
              <w:left w:val="nil"/>
              <w:bottom w:val="nil"/>
              <w:right w:val="nil"/>
            </w:tcBorders>
            <w:vAlign w:val="bottom"/>
          </w:tcPr>
          <w:p>
            <w:pPr>
              <w:pStyle w:val="a75TextbaseTable"/>
              <w:spacing w:beforeLines="20" w:before="48" w:after="20"/>
              <w:rPr>
                <w:noProof/>
                <w:lang w:val="en-GB"/>
              </w:rPr>
            </w:pPr>
            <w:r>
              <w:rPr>
                <w:noProof/>
                <w:snapToGrid/>
              </w:rPr>
              <w:drawing>
                <wp:inline distT="0" distB="0" distL="0" distR="0">
                  <wp:extent cx="142875" cy="14287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095" w:type="dxa"/>
            <w:tcBorders>
              <w:top w:val="nil"/>
              <w:left w:val="nil"/>
              <w:bottom w:val="nil"/>
            </w:tcBorders>
            <w:shd w:val="clear" w:color="auto" w:fill="auto"/>
            <w:vAlign w:val="center"/>
          </w:tcPr>
          <w:p>
            <w:pPr>
              <w:pStyle w:val="a75TextbaseTable"/>
              <w:rPr>
                <w:noProof/>
                <w:lang w:val="en-GB"/>
              </w:rPr>
            </w:pPr>
            <w:r>
              <w:rPr>
                <w:rFonts w:ascii="Verdana" w:hAnsi="Verdana"/>
                <w:noProof/>
                <w:color w:val="auto"/>
                <w:sz w:val="14"/>
                <w:szCs w:val="14"/>
                <w:lang w:val="en-GB"/>
              </w:rPr>
              <w:t>70-79 %</w:t>
            </w:r>
          </w:p>
        </w:tc>
      </w:tr>
      <w:tr>
        <w:trPr>
          <w:trHeight w:hRule="exact" w:val="454"/>
        </w:trPr>
        <w:tc>
          <w:tcPr>
            <w:tcW w:w="6153"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tabs>
                <w:tab w:val="left" w:pos="1985"/>
              </w:tabs>
              <w:spacing w:beforeLines="20" w:before="48" w:after="20" w:line="240" w:lineRule="auto"/>
              <w:jc w:val="center"/>
              <w:rPr>
                <w:rFonts w:ascii="Arial" w:eastAsia="Times New Roman" w:hAnsi="Arial" w:cs="Arial"/>
                <w:noProof/>
                <w:snapToGrid w:val="0"/>
                <w:color w:val="1F497D"/>
                <w:sz w:val="16"/>
                <w:szCs w:val="16"/>
              </w:rPr>
            </w:pPr>
            <w:r>
              <w:rPr>
                <w:noProof/>
                <w:lang w:val="en-US"/>
              </w:rPr>
              <w:drawing>
                <wp:inline distT="0" distB="0" distL="0" distR="0">
                  <wp:extent cx="142875" cy="1428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3095"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60-69 %</w:t>
            </w:r>
          </w:p>
        </w:tc>
      </w:tr>
      <w:tr>
        <w:trPr>
          <w:trHeight w:hRule="exact" w:val="454"/>
        </w:trPr>
        <w:tc>
          <w:tcPr>
            <w:tcW w:w="6153"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2875" cy="14287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095"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50-59 %</w:t>
            </w:r>
          </w:p>
        </w:tc>
      </w:tr>
      <w:tr>
        <w:trPr>
          <w:trHeight w:hRule="exact" w:val="454"/>
        </w:trPr>
        <w:tc>
          <w:tcPr>
            <w:tcW w:w="6153"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2875" cy="1428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095"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40-49 %</w:t>
            </w:r>
          </w:p>
        </w:tc>
      </w:tr>
      <w:tr>
        <w:trPr>
          <w:trHeight w:hRule="exact" w:val="454"/>
        </w:trPr>
        <w:tc>
          <w:tcPr>
            <w:tcW w:w="6153"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tabs>
                <w:tab w:val="left" w:pos="1985"/>
              </w:tabs>
              <w:spacing w:beforeLines="20" w:before="48" w:after="20" w:line="240" w:lineRule="auto"/>
              <w:rPr>
                <w:rFonts w:ascii="Arial" w:eastAsia="Times New Roman" w:hAnsi="Arial" w:cs="Arial"/>
                <w:noProof/>
                <w:snapToGrid w:val="0"/>
                <w:color w:val="1F497D"/>
                <w:sz w:val="16"/>
                <w:szCs w:val="16"/>
              </w:rPr>
            </w:pPr>
            <w:r>
              <w:rPr>
                <w:noProof/>
                <w:lang w:val="en-US"/>
              </w:rPr>
              <w:drawing>
                <wp:inline distT="0" distB="0" distL="0" distR="0">
                  <wp:extent cx="142875" cy="142875"/>
                  <wp:effectExtent l="19050" t="19050" r="2857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9525" cmpd="sng">
                            <a:solidFill>
                              <a:srgbClr val="000000"/>
                            </a:solidFill>
                            <a:miter lim="800000"/>
                            <a:headEnd/>
                            <a:tailEnd/>
                          </a:ln>
                          <a:effectLst/>
                        </pic:spPr>
                      </pic:pic>
                    </a:graphicData>
                  </a:graphic>
                </wp:inline>
              </w:drawing>
            </w:r>
          </w:p>
        </w:tc>
        <w:tc>
          <w:tcPr>
            <w:tcW w:w="3095"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30-39 %</w:t>
            </w:r>
          </w:p>
        </w:tc>
      </w:tr>
      <w:tr>
        <w:trPr>
          <w:trHeight w:hRule="exact" w:val="454"/>
        </w:trPr>
        <w:tc>
          <w:tcPr>
            <w:tcW w:w="6153"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42875" cy="142875"/>
                  <wp:effectExtent l="19050" t="19050" r="28575" b="28575"/>
                  <wp:docPr id="57" name="Picture 57" descr="dotDarkRedBkgWhite_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tDarkRedBkgWhite_KEY"/>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w="6350" cmpd="sng">
                            <a:solidFill>
                              <a:srgbClr val="000000"/>
                            </a:solidFill>
                            <a:miter lim="800000"/>
                            <a:headEnd/>
                            <a:tailEnd/>
                          </a:ln>
                          <a:effectLst/>
                        </pic:spPr>
                      </pic:pic>
                    </a:graphicData>
                  </a:graphic>
                </wp:inline>
              </w:drawing>
            </w:r>
          </w:p>
        </w:tc>
        <w:tc>
          <w:tcPr>
            <w:tcW w:w="3095"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Less than 30 %</w:t>
            </w:r>
          </w:p>
        </w:tc>
      </w:tr>
      <w:tr>
        <w:trPr>
          <w:trHeight w:hRule="exact" w:val="454"/>
        </w:trPr>
        <w:tc>
          <w:tcPr>
            <w:tcW w:w="6153" w:type="dxa"/>
            <w:vMerge/>
            <w:tcBorders>
              <w:right w:val="nil"/>
            </w:tcBorders>
            <w:shd w:val="clear" w:color="auto" w:fill="auto"/>
          </w:tcPr>
          <w:p>
            <w:pPr>
              <w:pStyle w:val="a75TextbaseTable"/>
              <w:rPr>
                <w:noProof/>
                <w:lang w:val="en-GB"/>
              </w:rPr>
            </w:pPr>
          </w:p>
        </w:tc>
        <w:tc>
          <w:tcPr>
            <w:tcW w:w="425" w:type="dxa"/>
            <w:tcBorders>
              <w:top w:val="nil"/>
              <w:left w:val="nil"/>
              <w:bottom w:val="nil"/>
              <w:right w:val="nil"/>
            </w:tcBorders>
            <w:vAlign w:val="center"/>
          </w:tcPr>
          <w:p>
            <w:pPr>
              <w:pStyle w:val="a75TextbaseTable"/>
              <w:spacing w:beforeLines="20" w:before="48" w:after="20"/>
              <w:jc w:val="center"/>
              <w:rPr>
                <w:noProof/>
                <w:lang w:val="en-GB"/>
              </w:rPr>
            </w:pPr>
            <w:r>
              <w:rPr>
                <w:noProof/>
                <w:snapToGrid/>
              </w:rPr>
              <w:drawing>
                <wp:inline distT="0" distB="0" distL="0" distR="0">
                  <wp:extent cx="152400" cy="152400"/>
                  <wp:effectExtent l="19050" t="19050" r="19050" b="19050"/>
                  <wp:docPr id="58" name="Picture 36" descr="NAv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NAvaiT"/>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w="6350" cmpd="sng">
                            <a:solidFill>
                              <a:srgbClr val="000000"/>
                            </a:solidFill>
                            <a:miter lim="800000"/>
                            <a:headEnd/>
                            <a:tailEnd/>
                          </a:ln>
                          <a:effectLst/>
                        </pic:spPr>
                      </pic:pic>
                    </a:graphicData>
                  </a:graphic>
                </wp:inline>
              </w:drawing>
            </w:r>
          </w:p>
        </w:tc>
        <w:tc>
          <w:tcPr>
            <w:tcW w:w="3095" w:type="dxa"/>
            <w:tcBorders>
              <w:top w:val="nil"/>
              <w:left w:val="nil"/>
              <w:bottom w:val="nil"/>
            </w:tcBorders>
            <w:shd w:val="clear" w:color="auto" w:fill="auto"/>
            <w:vAlign w:val="center"/>
          </w:tcPr>
          <w:p>
            <w:pPr>
              <w:pStyle w:val="a75TextbaseTable"/>
              <w:rPr>
                <w:rFonts w:ascii="Verdana" w:hAnsi="Verdana"/>
                <w:noProof/>
                <w:color w:val="auto"/>
                <w:sz w:val="14"/>
                <w:szCs w:val="14"/>
                <w:lang w:val="en-GB"/>
              </w:rPr>
            </w:pPr>
            <w:r>
              <w:rPr>
                <w:rFonts w:ascii="Verdana" w:hAnsi="Verdana"/>
                <w:noProof/>
                <w:color w:val="auto"/>
                <w:sz w:val="14"/>
                <w:szCs w:val="14"/>
                <w:lang w:val="en-GB"/>
              </w:rPr>
              <w:t>Data not available/not collected</w:t>
            </w:r>
          </w:p>
        </w:tc>
      </w:tr>
      <w:tr>
        <w:trPr>
          <w:trHeight w:val="402"/>
        </w:trPr>
        <w:tc>
          <w:tcPr>
            <w:tcW w:w="6153" w:type="dxa"/>
            <w:vMerge/>
            <w:tcBorders>
              <w:right w:val="nil"/>
            </w:tcBorders>
            <w:shd w:val="clear" w:color="auto" w:fill="auto"/>
          </w:tcPr>
          <w:p>
            <w:pPr>
              <w:pStyle w:val="a75TextbaseTable"/>
              <w:rPr>
                <w:noProof/>
                <w:lang w:val="en-GB"/>
              </w:rPr>
            </w:pPr>
          </w:p>
        </w:tc>
        <w:tc>
          <w:tcPr>
            <w:tcW w:w="3520" w:type="dxa"/>
            <w:gridSpan w:val="2"/>
            <w:tcBorders>
              <w:top w:val="nil"/>
              <w:left w:val="nil"/>
              <w:bottom w:val="nil"/>
            </w:tcBorders>
            <w:vAlign w:val="bottom"/>
          </w:tcPr>
          <w:p>
            <w:pPr>
              <w:pStyle w:val="a75TextbaseTable"/>
              <w:rPr>
                <w:rFonts w:ascii="Verdana" w:hAnsi="Verdana"/>
                <w:noProof/>
                <w:color w:val="auto"/>
                <w:sz w:val="14"/>
                <w:szCs w:val="14"/>
                <w:lang w:val="en-GB"/>
              </w:rPr>
            </w:pPr>
            <w:r>
              <w:rPr>
                <w:rFonts w:ascii="Verdana" w:hAnsi="Verdana"/>
                <w:i/>
                <w:noProof/>
                <w:color w:val="auto"/>
                <w:sz w:val="14"/>
                <w:szCs w:val="14"/>
                <w:lang w:val="en-GB"/>
              </w:rPr>
              <w:t xml:space="preserve">Note: </w:t>
            </w:r>
            <w:r>
              <w:rPr>
                <w:rFonts w:ascii="Verdana" w:hAnsi="Verdana"/>
                <w:noProof/>
                <w:color w:val="auto"/>
                <w:sz w:val="14"/>
                <w:szCs w:val="14"/>
                <w:lang w:val="en-GB"/>
              </w:rPr>
              <w:t>For definition of 'overall digital skills’, see notes in Figure 9-F.</w:t>
            </w:r>
          </w:p>
          <w:p>
            <w:pPr>
              <w:pStyle w:val="a75TextbaseTable"/>
              <w:rPr>
                <w:rFonts w:ascii="Verdana" w:hAnsi="Verdana"/>
                <w:i/>
                <w:noProof/>
                <w:color w:val="auto"/>
                <w:sz w:val="14"/>
                <w:szCs w:val="14"/>
                <w:lang w:val="en-GB"/>
              </w:rPr>
            </w:pPr>
            <w:r>
              <w:rPr>
                <w:rFonts w:ascii="Verdana" w:hAnsi="Verdana"/>
                <w:noProof/>
                <w:color w:val="auto"/>
                <w:sz w:val="14"/>
                <w:szCs w:val="14"/>
                <w:lang w:val="en-GB"/>
              </w:rPr>
              <w:t>Italy: 2016 data.</w:t>
            </w:r>
          </w:p>
          <w:p>
            <w:pPr>
              <w:pStyle w:val="a75TextbaseTable"/>
              <w:rPr>
                <w:noProof/>
                <w:color w:val="auto"/>
                <w:lang w:val="en-GB"/>
              </w:rPr>
            </w:pPr>
            <w:r>
              <w:rPr>
                <w:rFonts w:ascii="Verdana" w:hAnsi="Verdana"/>
                <w:i/>
                <w:noProof/>
                <w:color w:val="auto"/>
                <w:sz w:val="14"/>
                <w:szCs w:val="14"/>
                <w:lang w:val="en-GB"/>
              </w:rPr>
              <w:t xml:space="preserve">Source: </w:t>
            </w:r>
            <w:r>
              <w:rPr>
                <w:rFonts w:ascii="Verdana" w:hAnsi="Verdana"/>
                <w:noProof/>
                <w:color w:val="auto"/>
                <w:sz w:val="14"/>
                <w:szCs w:val="14"/>
                <w:lang w:val="en-GB"/>
              </w:rPr>
              <w:t xml:space="preserve">Eurostat [isoc_sk_dskl_i], </w:t>
            </w:r>
            <w:r>
              <w:rPr>
                <w:rFonts w:ascii="Verdana" w:hAnsi="Verdana"/>
                <w:noProof/>
                <w:color w:val="auto"/>
                <w:sz w:val="14"/>
                <w:szCs w:val="14"/>
                <w:lang w:val="en-GB"/>
              </w:rPr>
              <w:br/>
              <w:t>data extracted on</w:t>
            </w:r>
            <w:r>
              <w:rPr>
                <w:noProof/>
                <w:color w:val="auto"/>
                <w:lang w:val="en-GB"/>
              </w:rPr>
              <w:t xml:space="preserve"> </w:t>
            </w:r>
            <w:r>
              <w:rPr>
                <w:rFonts w:ascii="Verdana" w:hAnsi="Verdana"/>
                <w:noProof/>
                <w:color w:val="auto"/>
                <w:sz w:val="14"/>
                <w:szCs w:val="14"/>
                <w:lang w:val="en-GB"/>
              </w:rPr>
              <w:t>24/01/2018.</w:t>
            </w:r>
          </w:p>
        </w:tc>
      </w:tr>
    </w:tbl>
    <w:p>
      <w:pPr>
        <w:pStyle w:val="Yo5TextNotes"/>
        <w:rPr>
          <w:noProof/>
          <w:lang w:val="en-GB"/>
        </w:rPr>
      </w:pPr>
    </w:p>
    <w:p>
      <w:pPr>
        <w:pStyle w:val="Yo1Textpara"/>
        <w:rPr>
          <w:noProof/>
        </w:rPr>
      </w:pPr>
      <w:r>
        <w:rPr>
          <w:noProof/>
        </w:rPr>
        <w:t>The proportion of young people with above basic overall digital skills seems to be related to the proportion of young people that use the internet on a daily basis (Figure 9-D). At the country level (</w:t>
      </w:r>
      <w:r>
        <w:rPr>
          <w:noProof/>
          <w:vertAlign w:val="superscript"/>
        </w:rPr>
        <w:footnoteReference w:id="10"/>
      </w:r>
      <w:r>
        <w:rPr>
          <w:noProof/>
        </w:rPr>
        <w:t>), there is a strong positive correlation between these two variables (</w:t>
      </w:r>
      <w:r>
        <w:rPr>
          <w:i/>
          <w:noProof/>
        </w:rPr>
        <w:t>r</w:t>
      </w:r>
      <w:r>
        <w:rPr>
          <w:noProof/>
        </w:rPr>
        <w:t>=0.73).</w:t>
      </w:r>
    </w:p>
    <w:tbl>
      <w:tblPr>
        <w:tblpPr w:leftFromText="181" w:rightFromText="181" w:topFromText="91" w:vertAnchor="text" w:horzAnchor="margin" w:tblpXSpec="right" w:tblpY="114"/>
        <w:tblOverlap w:val="never"/>
        <w:tblW w:w="0" w:type="auto"/>
        <w:tblLook w:val="04A0" w:firstRow="1" w:lastRow="0" w:firstColumn="1" w:lastColumn="0" w:noHBand="0" w:noVBand="1"/>
      </w:tblPr>
      <w:tblGrid>
        <w:gridCol w:w="402"/>
        <w:gridCol w:w="1050"/>
        <w:gridCol w:w="1022"/>
        <w:gridCol w:w="1022"/>
        <w:gridCol w:w="404"/>
      </w:tblGrid>
      <w:tr>
        <w:tc>
          <w:tcPr>
            <w:tcW w:w="3900" w:type="dxa"/>
            <w:gridSpan w:val="5"/>
            <w:shd w:val="clear" w:color="auto" w:fill="auto"/>
          </w:tcPr>
          <w:p>
            <w:pPr>
              <w:pStyle w:val="Yo5TitleFigure"/>
              <w:keepLines/>
              <w:spacing w:before="0" w:after="0"/>
              <w:jc w:val="both"/>
              <w:rPr>
                <w:bCs w:val="0"/>
              </w:rPr>
            </w:pPr>
            <w:r>
              <w:rPr>
                <w:b/>
              </w:rPr>
              <w:t xml:space="preserve">Figure 9-H: </w:t>
            </w:r>
            <w:r>
              <w:t>Proportion of young people (aged 16-29) buying cultural goods and services online (books/magazines/ news</w:t>
            </w:r>
            <w:r>
              <w:softHyphen/>
              <w:t>papers, films/music, tickets for events) compared to the total population, EU-28 average, 2017</w:t>
            </w:r>
          </w:p>
        </w:tc>
      </w:tr>
      <w:tr>
        <w:tc>
          <w:tcPr>
            <w:tcW w:w="3900" w:type="dxa"/>
            <w:gridSpan w:val="5"/>
            <w:shd w:val="clear" w:color="auto" w:fill="auto"/>
          </w:tcPr>
          <w:p>
            <w:pPr>
              <w:pStyle w:val="Yo5TextNotes"/>
              <w:rPr>
                <w:noProof/>
              </w:rPr>
            </w:pPr>
            <w:r>
              <w:rPr>
                <w:noProof/>
                <w:snapToGrid/>
                <w:lang w:val="en-US"/>
              </w:rPr>
              <w:drawing>
                <wp:inline distT="0" distB="0" distL="0" distR="0">
                  <wp:extent cx="2200275" cy="1771650"/>
                  <wp:effectExtent l="0" t="0" r="9525" b="0"/>
                  <wp:docPr id="59" name="Picture 59" descr="\\s-eacea-fs03-p\EACEA.A7\Youth\04_Reports\a_EU_Youth_Reports\2018\03_graph\9_H_internet_bu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s-eacea-fs03-p\EACEA.A7\Youth\04_Reports\a_EU_Youth_Reports\2018\03_graph\9_H_internet_buy.jpg"/>
                          <pic:cNvPicPr>
                            <a:picLocks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200275" cy="1771650"/>
                          </a:xfrm>
                          <a:prstGeom prst="rect">
                            <a:avLst/>
                          </a:prstGeom>
                          <a:noFill/>
                          <a:ln>
                            <a:noFill/>
                          </a:ln>
                        </pic:spPr>
                      </pic:pic>
                    </a:graphicData>
                  </a:graphic>
                </wp:inline>
              </w:drawing>
            </w:r>
          </w:p>
        </w:tc>
      </w:tr>
      <w:tr>
        <w:tc>
          <w:tcPr>
            <w:tcW w:w="402" w:type="dxa"/>
            <w:shd w:val="clear" w:color="auto" w:fill="auto"/>
          </w:tcPr>
          <w:p>
            <w:pPr>
              <w:pStyle w:val="Yo1Textpara"/>
              <w:spacing w:before="0"/>
              <w:jc w:val="left"/>
              <w:rPr>
                <w:rFonts w:ascii="Verdana" w:eastAsia="Times New Roman" w:hAnsi="Verdana" w:cs="Arial"/>
                <w:noProof/>
                <w:snapToGrid w:val="0"/>
                <w:sz w:val="16"/>
                <w:szCs w:val="14"/>
              </w:rPr>
            </w:pPr>
          </w:p>
        </w:tc>
        <w:tc>
          <w:tcPr>
            <w:tcW w:w="1050" w:type="dxa"/>
            <w:shd w:val="clear" w:color="auto" w:fill="auto"/>
            <w:vAlign w:val="center"/>
          </w:tcPr>
          <w:p>
            <w:pPr>
              <w:pStyle w:val="Yo1Textpara"/>
              <w:spacing w:before="0"/>
              <w:jc w:val="center"/>
              <w:rPr>
                <w:rFonts w:ascii="Arial Narrow" w:eastAsia="Times New Roman" w:hAnsi="Arial Narrow" w:cs="Arial"/>
                <w:noProof/>
                <w:snapToGrid w:val="0"/>
                <w:sz w:val="16"/>
                <w:szCs w:val="14"/>
              </w:rPr>
            </w:pPr>
            <w:r>
              <w:rPr>
                <w:rFonts w:ascii="Arial Narrow" w:eastAsia="Times New Roman" w:hAnsi="Arial Narrow" w:cs="Arial"/>
                <w:noProof/>
                <w:snapToGrid w:val="0"/>
                <w:sz w:val="16"/>
                <w:szCs w:val="14"/>
              </w:rPr>
              <w:t>books/ magazines/ newspapers</w:t>
            </w:r>
          </w:p>
        </w:tc>
        <w:tc>
          <w:tcPr>
            <w:tcW w:w="1022" w:type="dxa"/>
            <w:shd w:val="clear" w:color="auto" w:fill="auto"/>
            <w:vAlign w:val="center"/>
          </w:tcPr>
          <w:p>
            <w:pPr>
              <w:pStyle w:val="Yo1Textpara"/>
              <w:spacing w:before="0"/>
              <w:jc w:val="center"/>
              <w:rPr>
                <w:rFonts w:ascii="Arial Narrow" w:eastAsia="Times New Roman" w:hAnsi="Arial Narrow" w:cs="Arial"/>
                <w:noProof/>
                <w:snapToGrid w:val="0"/>
                <w:sz w:val="16"/>
                <w:szCs w:val="14"/>
              </w:rPr>
            </w:pPr>
            <w:r>
              <w:rPr>
                <w:rFonts w:ascii="Arial Narrow" w:eastAsia="Times New Roman" w:hAnsi="Arial Narrow" w:cs="Arial"/>
                <w:noProof/>
                <w:snapToGrid w:val="0"/>
                <w:sz w:val="16"/>
                <w:szCs w:val="14"/>
              </w:rPr>
              <w:t>films/</w:t>
            </w:r>
            <w:r>
              <w:rPr>
                <w:rFonts w:ascii="Arial Narrow" w:eastAsia="Times New Roman" w:hAnsi="Arial Narrow" w:cs="Arial"/>
                <w:noProof/>
                <w:snapToGrid w:val="0"/>
                <w:sz w:val="16"/>
                <w:szCs w:val="14"/>
              </w:rPr>
              <w:br/>
              <w:t>music</w:t>
            </w:r>
          </w:p>
        </w:tc>
        <w:tc>
          <w:tcPr>
            <w:tcW w:w="1022" w:type="dxa"/>
            <w:shd w:val="clear" w:color="auto" w:fill="auto"/>
            <w:vAlign w:val="center"/>
          </w:tcPr>
          <w:p>
            <w:pPr>
              <w:pStyle w:val="Yo1Textpara"/>
              <w:spacing w:before="0"/>
              <w:jc w:val="center"/>
              <w:rPr>
                <w:rFonts w:ascii="Arial Narrow" w:eastAsia="Times New Roman" w:hAnsi="Arial Narrow" w:cs="Arial"/>
                <w:noProof/>
                <w:snapToGrid w:val="0"/>
                <w:sz w:val="16"/>
                <w:szCs w:val="14"/>
              </w:rPr>
            </w:pPr>
            <w:r>
              <w:rPr>
                <w:rFonts w:ascii="Arial Narrow" w:eastAsia="Times New Roman" w:hAnsi="Arial Narrow" w:cs="Arial"/>
                <w:noProof/>
                <w:snapToGrid w:val="0"/>
                <w:sz w:val="16"/>
                <w:szCs w:val="14"/>
              </w:rPr>
              <w:t>tickets for events</w:t>
            </w:r>
          </w:p>
        </w:tc>
        <w:tc>
          <w:tcPr>
            <w:tcW w:w="404" w:type="dxa"/>
            <w:shd w:val="clear" w:color="auto" w:fill="auto"/>
          </w:tcPr>
          <w:p>
            <w:pPr>
              <w:pStyle w:val="Yo1Textpara"/>
              <w:spacing w:before="0"/>
              <w:jc w:val="left"/>
              <w:rPr>
                <w:rFonts w:ascii="Verdana" w:eastAsia="Times New Roman" w:hAnsi="Verdana" w:cs="Arial"/>
                <w:noProof/>
                <w:snapToGrid w:val="0"/>
                <w:sz w:val="16"/>
                <w:szCs w:val="14"/>
              </w:rPr>
            </w:pPr>
          </w:p>
        </w:tc>
      </w:tr>
      <w:tr>
        <w:tc>
          <w:tcPr>
            <w:tcW w:w="3900" w:type="dxa"/>
            <w:gridSpan w:val="5"/>
            <w:shd w:val="clear" w:color="auto" w:fill="auto"/>
          </w:tcPr>
          <w:p>
            <w:pPr>
              <w:pStyle w:val="Yo1Textpara"/>
              <w:spacing w:before="0"/>
              <w:jc w:val="left"/>
              <w:rPr>
                <w:rFonts w:ascii="Verdana" w:eastAsia="Times New Roman" w:hAnsi="Verdana" w:cs="Arial"/>
                <w:i/>
                <w:noProof/>
                <w:snapToGrid w:val="0"/>
                <w:sz w:val="14"/>
                <w:szCs w:val="14"/>
              </w:rPr>
            </w:pPr>
            <w:r>
              <w:rPr>
                <w:rFonts w:ascii="Verdana" w:eastAsia="Times New Roman" w:hAnsi="Verdana" w:cs="Arial"/>
                <w:i/>
                <w:noProof/>
                <w:snapToGrid w:val="0"/>
                <w:sz w:val="14"/>
                <w:szCs w:val="14"/>
              </w:rPr>
              <w:t xml:space="preserve">Source: </w:t>
            </w:r>
            <w:r>
              <w:rPr>
                <w:rFonts w:ascii="Verdana" w:eastAsia="Times New Roman" w:hAnsi="Verdana" w:cs="Arial"/>
                <w:noProof/>
                <w:snapToGrid w:val="0"/>
                <w:sz w:val="14"/>
                <w:szCs w:val="14"/>
              </w:rPr>
              <w:t xml:space="preserve">Eurostat [isoc_ec_ibuy], </w:t>
            </w:r>
            <w:r>
              <w:rPr>
                <w:rFonts w:ascii="Verdana" w:eastAsia="Times New Roman" w:hAnsi="Verdana" w:cs="Arial"/>
                <w:noProof/>
                <w:snapToGrid w:val="0"/>
                <w:sz w:val="14"/>
                <w:szCs w:val="14"/>
              </w:rPr>
              <w:br/>
              <w:t>data extracted on 22/01/2018.</w:t>
            </w:r>
          </w:p>
        </w:tc>
      </w:tr>
    </w:tbl>
    <w:p>
      <w:pPr>
        <w:pStyle w:val="Yo1Textpara"/>
        <w:rPr>
          <w:noProof/>
        </w:rPr>
      </w:pPr>
      <w:r>
        <w:rPr>
          <w:noProof/>
        </w:rPr>
        <w:t>Information and communications technology is becoming an increasingly important instrument for participating in cultural life (</w:t>
      </w:r>
      <w:r>
        <w:rPr>
          <w:rStyle w:val="FootnoteReference"/>
          <w:noProof/>
        </w:rPr>
        <w:footnoteReference w:id="11"/>
      </w:r>
      <w:r>
        <w:rPr>
          <w:noProof/>
        </w:rPr>
        <w:t>). The internet currently allows people immediate and easy access to various types of media; they may download films, stream live concerts, listen to the radio and podcasts, watch videos, etc. ICT provides endless possibilities to improve audience engagement and participation, as well as offers simple ways for young people to present their own ideas, be creative and engage in digital dialogue (</w:t>
      </w:r>
      <w:r>
        <w:rPr>
          <w:rStyle w:val="FootnoteReference"/>
          <w:noProof/>
        </w:rPr>
        <w:footnoteReference w:id="12"/>
      </w:r>
      <w:r>
        <w:rPr>
          <w:noProof/>
        </w:rPr>
        <w:t xml:space="preserve">). Moreover, it is increasingly easy to buy all types of goods and services online, including those relating to culture. </w:t>
      </w:r>
    </w:p>
    <w:p>
      <w:pPr>
        <w:pStyle w:val="Yo1Textpara"/>
        <w:rPr>
          <w:noProof/>
        </w:rPr>
      </w:pPr>
      <w:r>
        <w:rPr>
          <w:noProof/>
        </w:rPr>
        <w:t xml:space="preserve">Eurostat data indicates (Figure 9-H) that young people are somewhat more active in buying cultural goods online than the total population. 29 % of young people buy tickets for events online, compared to 22 % in the total population. The proportion of young people who purchase films or music online is also higher than the total population: 23 % compared to 16 %. Online purchases of books, magazines and newspapers attract similar proportions of young people as the general population (20-21 %). </w:t>
      </w:r>
    </w:p>
    <w:p>
      <w:pPr>
        <w:pStyle w:val="Yo1Textpara"/>
        <w:rPr>
          <w:rFonts w:ascii="Arial Narrow" w:hAnsi="Arial Narrow" w:cs="Arial"/>
          <w:bCs/>
          <w:caps/>
          <w:noProof/>
          <w:color w:val="DA1E48"/>
          <w:spacing w:val="10"/>
          <w:sz w:val="28"/>
          <w:szCs w:val="28"/>
          <w:lang w:eastAsia="en-US"/>
        </w:rPr>
      </w:pPr>
      <w:r>
        <w:rPr>
          <w:rFonts w:ascii="Arial Narrow" w:hAnsi="Arial Narrow" w:cs="Arial"/>
          <w:bCs/>
          <w:caps/>
          <w:noProof/>
          <w:color w:val="DA1E48"/>
          <w:spacing w:val="10"/>
          <w:sz w:val="28"/>
          <w:szCs w:val="28"/>
          <w:lang w:eastAsia="en-US"/>
        </w:rPr>
        <w:t>Conclusions</w:t>
      </w:r>
    </w:p>
    <w:p>
      <w:pPr>
        <w:pStyle w:val="Yo1Textpara"/>
        <w:rPr>
          <w:bCs/>
          <w:noProof/>
        </w:rPr>
      </w:pPr>
      <w:r>
        <w:rPr>
          <w:noProof/>
        </w:rPr>
        <w:t xml:space="preserve">This brief overview reveals that many young people across Europe are involved in various cultural and creative activities. Going to the cinema is the most popular cultural activity among young people. Three out of four people aged 16 to 29 indicate they have been to the cinema at least once in the past year, while more than a third visit the cinema frequently. </w:t>
      </w:r>
      <w:r>
        <w:rPr>
          <w:bCs/>
          <w:noProof/>
        </w:rPr>
        <w:t xml:space="preserve">Live performances (theatre, concerts and ballet), and </w:t>
      </w:r>
      <w:r>
        <w:rPr>
          <w:noProof/>
        </w:rPr>
        <w:t>museums, galleries and historical sites</w:t>
      </w:r>
      <w:r>
        <w:rPr>
          <w:bCs/>
          <w:noProof/>
        </w:rPr>
        <w:t xml:space="preserve"> attracted approximately 50 % of young people (16-29). Every fourth young person in the EU practises artistic activities – Finland stands out with the highest proportion of young people who have creative hobbies.</w:t>
      </w:r>
    </w:p>
    <w:p>
      <w:pPr>
        <w:pStyle w:val="Yo1Textpara"/>
        <w:rPr>
          <w:bCs/>
          <w:noProof/>
        </w:rPr>
      </w:pPr>
      <w:r>
        <w:rPr>
          <w:bCs/>
          <w:noProof/>
        </w:rPr>
        <w:t>45 % of young Europeans reported attending a sport event. Moreover, in most European countries, a sports club is the most common type of organisation that young people belong to. In the EU, 29 % of people aged 15 to 30 years reported being active in a sports club. Compared with the situation in 2011, however, young people's membership of sports clubs had decreased by 5 percentage points across the EU by 2017.</w:t>
      </w:r>
    </w:p>
    <w:p>
      <w:pPr>
        <w:pStyle w:val="Yo1Textpara"/>
        <w:rPr>
          <w:bCs/>
          <w:noProof/>
        </w:rPr>
      </w:pPr>
      <w:r>
        <w:rPr>
          <w:bCs/>
          <w:noProof/>
        </w:rPr>
        <w:t>Increasing numbers of young people access the internet every day, and more and more of them use mobile devices. Daily computer use, although still high (77 % of people aged 16-29), is decreasing. This trend is especially strong among young people with lower levels of formal education.</w:t>
      </w:r>
    </w:p>
    <w:p>
      <w:pPr>
        <w:pStyle w:val="Yo1Textpara"/>
        <w:rPr>
          <w:bCs/>
          <w:noProof/>
        </w:rPr>
      </w:pPr>
    </w:p>
    <w:p>
      <w:pPr>
        <w:pStyle w:val="Yo1Textpara"/>
        <w:rPr>
          <w:bCs/>
          <w:noProof/>
        </w:rPr>
        <w:sectPr>
          <w:headerReference w:type="even" r:id="rId91"/>
          <w:headerReference w:type="default" r:id="rId92"/>
          <w:footerReference w:type="even" r:id="rId93"/>
          <w:footerReference w:type="default" r:id="rId94"/>
          <w:headerReference w:type="first" r:id="rId95"/>
          <w:footerReference w:type="first" r:id="rId96"/>
          <w:pgSz w:w="11906" w:h="16838" w:code="9"/>
          <w:pgMar w:top="1985" w:right="992" w:bottom="851" w:left="992" w:header="709" w:footer="397" w:gutter="0"/>
          <w:cols w:space="708"/>
          <w:docGrid w:linePitch="360"/>
        </w:sectPr>
      </w:pPr>
    </w:p>
    <w:p>
      <w:pPr>
        <w:pStyle w:val="Yo1Textpara"/>
        <w:rPr>
          <w:rFonts w:ascii="Arial Narrow" w:hAnsi="Arial Narrow" w:cs="Arial"/>
          <w:bCs/>
          <w:caps/>
          <w:noProof/>
          <w:color w:val="DA1E48"/>
          <w:spacing w:val="10"/>
          <w:sz w:val="28"/>
          <w:szCs w:val="28"/>
          <w:lang w:val="pt-PT" w:eastAsia="en-US"/>
        </w:rPr>
      </w:pPr>
      <w:r>
        <w:rPr>
          <w:rFonts w:ascii="Arial Narrow" w:hAnsi="Arial Narrow" w:cs="Arial"/>
          <w:bCs/>
          <w:caps/>
          <w:noProof/>
          <w:color w:val="DA1E48"/>
          <w:spacing w:val="10"/>
          <w:sz w:val="28"/>
          <w:szCs w:val="28"/>
          <w:lang w:val="pt-PT" w:eastAsia="en-US"/>
        </w:rPr>
        <w:t>References</w:t>
      </w:r>
    </w:p>
    <w:p>
      <w:pPr>
        <w:pStyle w:val="Yo1Textpara"/>
        <w:rPr>
          <w:noProof/>
          <w:lang w:val="pt-PT"/>
        </w:rPr>
      </w:pPr>
    </w:p>
    <w:p>
      <w:pPr>
        <w:jc w:val="both"/>
        <w:rPr>
          <w:rFonts w:ascii="Times New Roman" w:hAnsi="Times New Roman"/>
          <w:noProof/>
        </w:rPr>
      </w:pPr>
      <w:r>
        <w:rPr>
          <w:rFonts w:ascii="Times New Roman" w:hAnsi="Times New Roman"/>
          <w:noProof/>
          <w:lang w:val="pt-PT"/>
        </w:rPr>
        <w:t xml:space="preserve">Aassve, A., Davia, M.A., Iacovou, M. and Mazzuco, S., 2007. </w:t>
      </w:r>
      <w:r>
        <w:rPr>
          <w:rFonts w:ascii="Times New Roman" w:hAnsi="Times New Roman"/>
          <w:noProof/>
        </w:rPr>
        <w:t xml:space="preserve">Does leaving home make you poor? Evidence from 13 European countries. </w:t>
      </w:r>
      <w:r>
        <w:rPr>
          <w:rFonts w:ascii="Times New Roman" w:hAnsi="Times New Roman"/>
          <w:i/>
          <w:noProof/>
        </w:rPr>
        <w:t>European Journal of Population</w:t>
      </w:r>
      <w:r>
        <w:rPr>
          <w:rFonts w:ascii="Times New Roman" w:hAnsi="Times New Roman"/>
          <w:noProof/>
        </w:rPr>
        <w:t xml:space="preserve"> 23(3), pp. 315-338.</w:t>
      </w:r>
    </w:p>
    <w:p>
      <w:pPr>
        <w:jc w:val="both"/>
        <w:rPr>
          <w:rFonts w:ascii="Times New Roman" w:hAnsi="Times New Roman"/>
          <w:bCs/>
          <w:noProof/>
          <w:lang w:eastAsia="fr-BE"/>
        </w:rPr>
      </w:pPr>
      <w:r>
        <w:rPr>
          <w:rFonts w:ascii="Times New Roman" w:hAnsi="Times New Roman"/>
          <w:bCs/>
          <w:noProof/>
          <w:lang w:eastAsia="fr-BE"/>
        </w:rPr>
        <w:t>Amin, V. and Behrman, J.R., 2013. Do more-schooled women have fewer children and delay childbearing</w:t>
      </w:r>
      <w:r>
        <w:rPr>
          <w:rFonts w:ascii="Times New Roman" w:hAnsi="Times New Roman"/>
          <w:noProof/>
          <w:lang w:eastAsia="fr-BE"/>
        </w:rPr>
        <w:t>? In:</w:t>
      </w:r>
      <w:r>
        <w:rPr>
          <w:rFonts w:ascii="Times New Roman" w:hAnsi="Times New Roman"/>
          <w:noProof/>
          <w:lang w:eastAsia="en-GB"/>
        </w:rPr>
        <w:t xml:space="preserve"> </w:t>
      </w:r>
      <w:r>
        <w:rPr>
          <w:rFonts w:ascii="Times New Roman" w:hAnsi="Times New Roman"/>
          <w:bCs/>
          <w:i/>
          <w:noProof/>
          <w:lang w:eastAsia="fr-BE"/>
        </w:rPr>
        <w:t>Journal of Population Economics</w:t>
      </w:r>
      <w:r>
        <w:rPr>
          <w:rFonts w:ascii="Times New Roman" w:hAnsi="Times New Roman"/>
          <w:bCs/>
          <w:noProof/>
          <w:lang w:eastAsia="fr-BE"/>
        </w:rPr>
        <w:t>, 27:1-31.</w:t>
      </w:r>
    </w:p>
    <w:p>
      <w:pPr>
        <w:pStyle w:val="Yo1Textpara"/>
        <w:spacing w:before="0" w:afterLines="120" w:after="288" w:line="276" w:lineRule="auto"/>
        <w:rPr>
          <w:noProof/>
          <w:szCs w:val="22"/>
          <w:lang w:val="de-AT"/>
        </w:rPr>
      </w:pPr>
      <w:r>
        <w:rPr>
          <w:noProof/>
          <w:szCs w:val="22"/>
        </w:rPr>
        <w:t xml:space="preserve">Andersson Joona, P. and Wadensjö, E., 2008. </w:t>
      </w:r>
      <w:r>
        <w:rPr>
          <w:i/>
          <w:noProof/>
          <w:szCs w:val="22"/>
        </w:rPr>
        <w:t>A Gender Perspective on Self-Employment Entry and Performance as Self-Employed</w:t>
      </w:r>
      <w:r>
        <w:rPr>
          <w:noProof/>
          <w:szCs w:val="22"/>
        </w:rPr>
        <w:t xml:space="preserve">. </w:t>
      </w:r>
      <w:r>
        <w:rPr>
          <w:noProof/>
          <w:szCs w:val="22"/>
          <w:lang w:val="de-AT"/>
        </w:rPr>
        <w:t>Forschungsinstitut zur Zukunft der Arbeit Institute for the Study of Labor July 2008. IZA DP No. 3581.</w:t>
      </w:r>
    </w:p>
    <w:p>
      <w:pPr>
        <w:jc w:val="both"/>
        <w:rPr>
          <w:rFonts w:ascii="Times New Roman" w:hAnsi="Times New Roman"/>
          <w:noProof/>
        </w:rPr>
      </w:pPr>
      <w:r>
        <w:rPr>
          <w:rFonts w:ascii="Times New Roman" w:hAnsi="Times New Roman"/>
          <w:noProof/>
          <w:lang w:val="de-AT"/>
        </w:rPr>
        <w:t xml:space="preserve">Ayllón, S. and Ferreira-Batista, N.N., 2017. Unemployment, drugs and attitudes among European youth. </w:t>
      </w:r>
      <w:r>
        <w:rPr>
          <w:rFonts w:ascii="Times New Roman" w:hAnsi="Times New Roman"/>
          <w:noProof/>
        </w:rPr>
        <w:t xml:space="preserve">In: </w:t>
      </w:r>
      <w:r>
        <w:rPr>
          <w:rFonts w:ascii="Times New Roman" w:hAnsi="Times New Roman"/>
          <w:i/>
          <w:noProof/>
        </w:rPr>
        <w:t>Journal of Health Economics</w:t>
      </w:r>
      <w:r>
        <w:rPr>
          <w:rFonts w:ascii="Times New Roman" w:hAnsi="Times New Roman"/>
          <w:noProof/>
        </w:rPr>
        <w:t xml:space="preserve"> (2017) [Online]. Available at: </w:t>
      </w:r>
      <w:hyperlink r:id="rId97" w:history="1">
        <w:r>
          <w:rPr>
            <w:rStyle w:val="Hyperlink"/>
            <w:rFonts w:ascii="Times New Roman" w:hAnsi="Times New Roman"/>
            <w:noProof/>
            <w:lang w:eastAsia="fr-BE"/>
          </w:rPr>
          <w:t>http://dx.doi.org/10.1016/j.jhealeco.2017.08.005</w:t>
        </w:r>
      </w:hyperlink>
      <w:r>
        <w:rPr>
          <w:rFonts w:ascii="Times New Roman" w:hAnsi="Times New Roman"/>
          <w:noProof/>
        </w:rPr>
        <w:t xml:space="preserve"> [Accessed 26 October 2017].</w:t>
      </w:r>
    </w:p>
    <w:p>
      <w:pPr>
        <w:pStyle w:val="Yo1Textpara"/>
        <w:spacing w:after="240"/>
        <w:rPr>
          <w:noProof/>
          <w:szCs w:val="22"/>
        </w:rPr>
      </w:pPr>
      <w:r>
        <w:rPr>
          <w:noProof/>
          <w:szCs w:val="22"/>
        </w:rPr>
        <w:t xml:space="preserve">Banaji, S., and Buckingham, D., 2011. Young people, the internet, and civic participation: an overview of key findings from the CivicWeb project. In: </w:t>
      </w:r>
      <w:r>
        <w:rPr>
          <w:i/>
          <w:noProof/>
          <w:szCs w:val="22"/>
        </w:rPr>
        <w:t>International Journal of Learning and Media</w:t>
      </w:r>
      <w:r>
        <w:rPr>
          <w:noProof/>
          <w:szCs w:val="22"/>
        </w:rPr>
        <w:t>, Volume 2, Number 1.</w:t>
      </w:r>
    </w:p>
    <w:p>
      <w:pPr>
        <w:pStyle w:val="Yo1Textpara"/>
        <w:spacing w:before="0" w:afterLines="120" w:after="288" w:line="276" w:lineRule="auto"/>
        <w:rPr>
          <w:noProof/>
          <w:szCs w:val="22"/>
        </w:rPr>
      </w:pPr>
      <w:r>
        <w:rPr>
          <w:noProof/>
          <w:szCs w:val="22"/>
        </w:rPr>
        <w:t xml:space="preserve">Baumol, W. J., 1990. </w:t>
      </w:r>
      <w:r>
        <w:rPr>
          <w:i/>
          <w:noProof/>
          <w:szCs w:val="22"/>
        </w:rPr>
        <w:t>Entrepreneurship: Productive, unproductive and destructive</w:t>
      </w:r>
      <w:r>
        <w:rPr>
          <w:noProof/>
          <w:szCs w:val="22"/>
        </w:rPr>
        <w:t>. Journal of Political Economy, 98(5), 893-921.</w:t>
      </w:r>
    </w:p>
    <w:p>
      <w:pPr>
        <w:pStyle w:val="Yo1Textpara"/>
        <w:spacing w:afterLines="120" w:after="288"/>
        <w:rPr>
          <w:noProof/>
          <w:szCs w:val="22"/>
        </w:rPr>
      </w:pPr>
      <w:r>
        <w:rPr>
          <w:noProof/>
          <w:szCs w:val="22"/>
        </w:rPr>
        <w:t xml:space="preserve">Bell, D.N.F., and Blanchflower, D.G., 2011. Young people and the Great Recession. In: </w:t>
      </w:r>
      <w:r>
        <w:rPr>
          <w:i/>
          <w:noProof/>
          <w:szCs w:val="22"/>
        </w:rPr>
        <w:t>Oxford Review of Economic Policy</w:t>
      </w:r>
      <w:r>
        <w:rPr>
          <w:noProof/>
          <w:szCs w:val="22"/>
        </w:rPr>
        <w:t>, 27, p. 241-267.</w:t>
      </w:r>
    </w:p>
    <w:p>
      <w:pPr>
        <w:jc w:val="both"/>
        <w:rPr>
          <w:rFonts w:ascii="Times New Roman" w:hAnsi="Times New Roman"/>
          <w:noProof/>
        </w:rPr>
      </w:pPr>
      <w:r>
        <w:rPr>
          <w:rFonts w:ascii="Times New Roman" w:hAnsi="Times New Roman"/>
          <w:noProof/>
        </w:rPr>
        <w:t xml:space="preserve">Bellani, L. and Bia, M., 2013. </w:t>
      </w:r>
      <w:r>
        <w:rPr>
          <w:rFonts w:ascii="Times New Roman" w:hAnsi="Times New Roman"/>
          <w:i/>
          <w:noProof/>
        </w:rPr>
        <w:t>Measuring intergenerational transmission of poverty</w:t>
      </w:r>
      <w:r>
        <w:rPr>
          <w:rFonts w:ascii="Times New Roman" w:hAnsi="Times New Roman"/>
          <w:noProof/>
        </w:rPr>
        <w:t xml:space="preserve">. Paper presented at the fifth meeting of the Society for the Study of Economic Inequality (ECINEQ), Bari (Italy), July 22-24, 2013 [Online]. Available at: </w:t>
      </w:r>
      <w:hyperlink r:id="rId98" w:history="1">
        <w:r>
          <w:rPr>
            <w:rStyle w:val="Hyperlink"/>
            <w:rFonts w:ascii="Times New Roman" w:hAnsi="Times New Roman"/>
            <w:noProof/>
            <w:lang w:eastAsia="fr-BE"/>
          </w:rPr>
          <w:t>www.ecineq.org/ecineq_bari13/FILESxBari13/CR2/p72.pdf</w:t>
        </w:r>
      </w:hyperlink>
      <w:r>
        <w:rPr>
          <w:rFonts w:ascii="Times New Roman" w:hAnsi="Times New Roman"/>
          <w:noProof/>
        </w:rPr>
        <w:t xml:space="preserve"> [Accessed 15 January 2018].</w:t>
      </w:r>
    </w:p>
    <w:p>
      <w:pPr>
        <w:pStyle w:val="Yo1Textpara"/>
        <w:spacing w:after="240"/>
        <w:rPr>
          <w:noProof/>
          <w:szCs w:val="22"/>
        </w:rPr>
      </w:pPr>
      <w:r>
        <w:rPr>
          <w:noProof/>
          <w:szCs w:val="22"/>
        </w:rPr>
        <w:t xml:space="preserve">Berinsky, A. J., and Lenz, G. S., 2011. Education and political participation: exploring the causal link. In: </w:t>
      </w:r>
      <w:r>
        <w:rPr>
          <w:i/>
          <w:noProof/>
          <w:szCs w:val="22"/>
        </w:rPr>
        <w:t>Political Behavior</w:t>
      </w:r>
      <w:r>
        <w:rPr>
          <w:noProof/>
          <w:szCs w:val="22"/>
        </w:rPr>
        <w:t>, 33.3, pp. 357-73.</w:t>
      </w:r>
    </w:p>
    <w:p>
      <w:pPr>
        <w:pStyle w:val="Yo1Textpara"/>
        <w:spacing w:before="0" w:afterLines="120" w:after="288" w:line="276" w:lineRule="auto"/>
        <w:rPr>
          <w:noProof/>
          <w:szCs w:val="22"/>
        </w:rPr>
      </w:pPr>
      <w:r>
        <w:rPr>
          <w:noProof/>
          <w:szCs w:val="22"/>
        </w:rPr>
        <w:t xml:space="preserve">Binder, M. and Coad, A. 2013. </w:t>
      </w:r>
      <w:r>
        <w:rPr>
          <w:i/>
          <w:noProof/>
          <w:szCs w:val="22"/>
        </w:rPr>
        <w:t xml:space="preserve">Life satisfaction and self-employment: a matching approach. </w:t>
      </w:r>
      <w:r>
        <w:rPr>
          <w:noProof/>
          <w:szCs w:val="22"/>
        </w:rPr>
        <w:t>Small Business Economics, 40, pp.1009-1033.</w:t>
      </w:r>
    </w:p>
    <w:p>
      <w:pPr>
        <w:pStyle w:val="Yo1Textpara"/>
        <w:spacing w:after="240"/>
        <w:rPr>
          <w:noProof/>
          <w:szCs w:val="22"/>
        </w:rPr>
      </w:pPr>
      <w:r>
        <w:rPr>
          <w:noProof/>
          <w:szCs w:val="22"/>
        </w:rPr>
        <w:t xml:space="preserve">Blais, A. and Dobrzynska, A., 1998. Turnout in electoral democracies. In: </w:t>
      </w:r>
      <w:r>
        <w:rPr>
          <w:i/>
          <w:noProof/>
          <w:szCs w:val="22"/>
        </w:rPr>
        <w:t>European Journal of Political Research</w:t>
      </w:r>
      <w:r>
        <w:rPr>
          <w:noProof/>
          <w:szCs w:val="22"/>
        </w:rPr>
        <w:t>, 33(2), pp.239-261.</w:t>
      </w:r>
    </w:p>
    <w:p>
      <w:pPr>
        <w:pStyle w:val="Yo1Textpara"/>
        <w:spacing w:before="0" w:afterLines="120" w:after="288" w:line="276" w:lineRule="auto"/>
        <w:rPr>
          <w:noProof/>
          <w:szCs w:val="22"/>
        </w:rPr>
      </w:pPr>
      <w:r>
        <w:rPr>
          <w:noProof/>
          <w:szCs w:val="22"/>
        </w:rPr>
        <w:t xml:space="preserve">Blanchflower, D.G., 2000. </w:t>
      </w:r>
      <w:r>
        <w:rPr>
          <w:i/>
          <w:noProof/>
          <w:szCs w:val="22"/>
        </w:rPr>
        <w:t>Self-employment in OECD countries</w:t>
      </w:r>
      <w:r>
        <w:rPr>
          <w:noProof/>
          <w:szCs w:val="22"/>
        </w:rPr>
        <w:t>. In: Labour Economics, 7, pp.471-505.</w:t>
      </w:r>
    </w:p>
    <w:p>
      <w:pPr>
        <w:jc w:val="both"/>
        <w:rPr>
          <w:rFonts w:ascii="Times New Roman" w:hAnsi="Times New Roman"/>
          <w:noProof/>
          <w:lang w:eastAsia="fr-BE"/>
        </w:rPr>
      </w:pPr>
      <w:r>
        <w:rPr>
          <w:rFonts w:ascii="Times New Roman" w:hAnsi="Times New Roman"/>
          <w:noProof/>
          <w:lang w:eastAsia="fr-BE"/>
        </w:rPr>
        <w:t xml:space="preserve">Bloom, D.E., Canning, D., Fink, G. and Finlay, J.E., 2008. The high cost of low fertility in Europe. In: </w:t>
      </w:r>
      <w:r>
        <w:rPr>
          <w:rFonts w:ascii="Times New Roman" w:hAnsi="Times New Roman"/>
          <w:i/>
          <w:noProof/>
          <w:lang w:eastAsia="fr-BE"/>
        </w:rPr>
        <w:t>Working Paper Series.</w:t>
      </w:r>
      <w:r>
        <w:rPr>
          <w:rFonts w:ascii="Times New Roman" w:hAnsi="Times New Roman"/>
          <w:noProof/>
          <w:lang w:eastAsia="fr-BE"/>
        </w:rPr>
        <w:t xml:space="preserve"> </w:t>
      </w:r>
      <w:r>
        <w:rPr>
          <w:rFonts w:ascii="Times New Roman" w:hAnsi="Times New Roman"/>
          <w:i/>
          <w:noProof/>
          <w:lang w:eastAsia="fr-BE"/>
        </w:rPr>
        <w:t xml:space="preserve">Harvard University Programme on the Global Demography of Ageing. </w:t>
      </w:r>
      <w:r>
        <w:rPr>
          <w:rFonts w:ascii="Times New Roman" w:hAnsi="Times New Roman"/>
          <w:noProof/>
          <w:lang w:eastAsia="fr-BE"/>
        </w:rPr>
        <w:t>Working Paper 32.</w:t>
      </w:r>
      <w:r>
        <w:rPr>
          <w:rFonts w:ascii="Times New Roman" w:hAnsi="Times New Roman"/>
          <w:noProof/>
        </w:rPr>
        <w:t xml:space="preserve"> </w:t>
      </w:r>
      <w:r>
        <w:rPr>
          <w:rFonts w:ascii="Times New Roman" w:hAnsi="Times New Roman"/>
          <w:noProof/>
          <w:lang w:eastAsia="fr-BE"/>
        </w:rPr>
        <w:t>[Online] Available at:</w:t>
      </w:r>
      <w:r>
        <w:rPr>
          <w:rFonts w:ascii="Times New Roman" w:hAnsi="Times New Roman"/>
          <w:i/>
          <w:noProof/>
          <w:lang w:eastAsia="fr-BE"/>
        </w:rPr>
        <w:t xml:space="preserve"> </w:t>
      </w:r>
      <w:hyperlink r:id="rId99" w:history="1">
        <w:r>
          <w:rPr>
            <w:rStyle w:val="Hyperlink"/>
            <w:rFonts w:ascii="Times New Roman" w:hAnsi="Times New Roman"/>
            <w:noProof/>
            <w:lang w:eastAsia="fr-BE"/>
          </w:rPr>
          <w:t>https://cdn1.sph.harvard.edu/wp-content/uploads/sites/1288/2013/10/PGDA_WP_32.pdf</w:t>
        </w:r>
      </w:hyperlink>
      <w:r>
        <w:rPr>
          <w:rFonts w:ascii="Times New Roman" w:hAnsi="Times New Roman"/>
          <w:noProof/>
          <w:lang w:eastAsia="fr-BE"/>
        </w:rPr>
        <w:t xml:space="preserve"> [Accessed 1 March 2018]</w:t>
      </w:r>
    </w:p>
    <w:p>
      <w:pPr>
        <w:pStyle w:val="FootnoteText"/>
        <w:spacing w:afterLines="120" w:after="288"/>
        <w:rPr>
          <w:rFonts w:ascii="Times New Roman" w:hAnsi="Times New Roman"/>
          <w:noProof/>
          <w:sz w:val="22"/>
          <w:szCs w:val="22"/>
          <w:lang w:val="en-GB"/>
        </w:rPr>
      </w:pPr>
      <w:r>
        <w:rPr>
          <w:rFonts w:ascii="Times New Roman" w:hAnsi="Times New Roman"/>
          <w:noProof/>
          <w:sz w:val="22"/>
          <w:szCs w:val="22"/>
          <w:lang w:val="fr-BE"/>
        </w:rPr>
        <w:t xml:space="preserve">Boisard, P. 1990. </w:t>
      </w:r>
      <w:r>
        <w:rPr>
          <w:rFonts w:ascii="Times New Roman" w:hAnsi="Times New Roman"/>
          <w:i/>
          <w:noProof/>
          <w:sz w:val="22"/>
          <w:szCs w:val="22"/>
          <w:lang w:val="fr-BE"/>
        </w:rPr>
        <w:t>Conséquences des horaires atypiques sur la vie quotidienne des salariés.</w:t>
      </w:r>
      <w:r>
        <w:rPr>
          <w:rFonts w:ascii="Times New Roman" w:hAnsi="Times New Roman"/>
          <w:noProof/>
          <w:sz w:val="22"/>
          <w:szCs w:val="22"/>
          <w:lang w:val="fr-BE"/>
        </w:rPr>
        <w:t xml:space="preserve"> </w:t>
      </w:r>
      <w:r>
        <w:rPr>
          <w:rFonts w:ascii="Times New Roman" w:hAnsi="Times New Roman"/>
          <w:noProof/>
          <w:sz w:val="22"/>
          <w:szCs w:val="22"/>
          <w:lang w:val="en-GB"/>
        </w:rPr>
        <w:t xml:space="preserve">[Online] Available at: </w:t>
      </w:r>
      <w:hyperlink r:id="rId100" w:history="1">
        <w:r>
          <w:rPr>
            <w:rStyle w:val="Hyperlink"/>
            <w:rFonts w:ascii="Times New Roman" w:hAnsi="Times New Roman"/>
            <w:noProof/>
            <w:sz w:val="22"/>
            <w:szCs w:val="22"/>
            <w:lang w:val="en-GB" w:eastAsia="fr-BE"/>
          </w:rPr>
          <w:t>http://www.fondation-seligmann.org/ApresDemain/AD333-334/333-334_3642.pdf</w:t>
        </w:r>
      </w:hyperlink>
      <w:r>
        <w:rPr>
          <w:rFonts w:ascii="Times New Roman" w:hAnsi="Times New Roman"/>
          <w:noProof/>
          <w:sz w:val="22"/>
          <w:szCs w:val="22"/>
          <w:lang w:val="en-GB"/>
        </w:rPr>
        <w:t xml:space="preserve"> [Accessed 19 September 2017].</w:t>
      </w:r>
    </w:p>
    <w:p>
      <w:pPr>
        <w:pStyle w:val="Yo1Textpara"/>
        <w:spacing w:before="0" w:afterLines="120" w:after="288" w:line="276" w:lineRule="auto"/>
        <w:rPr>
          <w:noProof/>
          <w:szCs w:val="22"/>
          <w:lang w:val="fr-BE"/>
        </w:rPr>
      </w:pPr>
      <w:r>
        <w:rPr>
          <w:noProof/>
          <w:szCs w:val="22"/>
          <w:lang w:val="fr-BE"/>
        </w:rPr>
        <w:t xml:space="preserve">Boisard, P. et al. 2002. </w:t>
      </w:r>
      <w:r>
        <w:rPr>
          <w:i/>
          <w:noProof/>
          <w:szCs w:val="22"/>
          <w:lang w:val="fr-BE"/>
        </w:rPr>
        <w:t>Temps et travail: la durée du travail.</w:t>
      </w:r>
      <w:r>
        <w:rPr>
          <w:noProof/>
          <w:szCs w:val="22"/>
          <w:lang w:val="fr-BE"/>
        </w:rPr>
        <w:t xml:space="preserve"> Dublin: Fondation européenne pour l’amélioration des conditions de vie et de travail.</w:t>
      </w:r>
    </w:p>
    <w:p>
      <w:pPr>
        <w:pStyle w:val="Yo1Textpara"/>
        <w:spacing w:after="240"/>
        <w:rPr>
          <w:noProof/>
          <w:szCs w:val="22"/>
        </w:rPr>
      </w:pPr>
      <w:r>
        <w:rPr>
          <w:noProof/>
          <w:szCs w:val="22"/>
        </w:rPr>
        <w:t xml:space="preserve">Bourn, D., 2008. Young people, identity and living in a global society. In: </w:t>
      </w:r>
      <w:r>
        <w:rPr>
          <w:i/>
          <w:noProof/>
          <w:szCs w:val="22"/>
        </w:rPr>
        <w:t>Policy &amp; Practice – A Development Education Review</w:t>
      </w:r>
      <w:r>
        <w:rPr>
          <w:noProof/>
          <w:szCs w:val="22"/>
        </w:rPr>
        <w:t>, 7, pp. 48-61.</w:t>
      </w:r>
    </w:p>
    <w:p>
      <w:pPr>
        <w:pStyle w:val="Yo1Textpara"/>
        <w:spacing w:before="0" w:afterLines="120" w:after="288" w:line="276" w:lineRule="auto"/>
        <w:rPr>
          <w:noProof/>
          <w:szCs w:val="22"/>
        </w:rPr>
      </w:pPr>
      <w:r>
        <w:rPr>
          <w:noProof/>
          <w:szCs w:val="22"/>
        </w:rPr>
        <w:t xml:space="preserve">Burchell, B., Coutts, A., Hall, E. and Pye, N. </w:t>
      </w:r>
      <w:r>
        <w:rPr>
          <w:i/>
          <w:noProof/>
          <w:szCs w:val="22"/>
        </w:rPr>
        <w:t>Self-employment programmes for young people : a review of the context, policies and evidence</w:t>
      </w:r>
      <w:r>
        <w:rPr>
          <w:noProof/>
          <w:szCs w:val="22"/>
        </w:rPr>
        <w:t xml:space="preserve"> International Labour Office, Employment Policy Department, Employment and Labour Market Policies Branch. - Geneva: ILO, 2015 (Employment working paper) [Online] Available at: </w:t>
      </w:r>
      <w:hyperlink r:id="rId101" w:history="1">
        <w:r>
          <w:rPr>
            <w:rStyle w:val="Hyperlink"/>
            <w:noProof/>
            <w:szCs w:val="22"/>
          </w:rPr>
          <w:t>http://www.ilo.org/wcmsp5/groups/public/---ed_emp/documents/publication/wcms_466537.pdf</w:t>
        </w:r>
      </w:hyperlink>
      <w:r>
        <w:rPr>
          <w:noProof/>
          <w:szCs w:val="22"/>
        </w:rPr>
        <w:t xml:space="preserve"> [Accessed 1 March 2018].</w:t>
      </w:r>
    </w:p>
    <w:p>
      <w:pPr>
        <w:jc w:val="both"/>
        <w:rPr>
          <w:rFonts w:ascii="Times New Roman" w:hAnsi="Times New Roman"/>
          <w:noProof/>
        </w:rPr>
      </w:pPr>
      <w:r>
        <w:rPr>
          <w:rFonts w:ascii="Times New Roman" w:hAnsi="Times New Roman"/>
          <w:noProof/>
        </w:rPr>
        <w:t xml:space="preserve">Byrnes, J.P., Miller, D.C. and Schafer, W.D., 1999. Gender Differences in Risk Taking: A Meta-Analysis. In: </w:t>
      </w:r>
      <w:r>
        <w:rPr>
          <w:rFonts w:ascii="Times New Roman" w:hAnsi="Times New Roman"/>
          <w:i/>
          <w:noProof/>
        </w:rPr>
        <w:t>Psychological Bulletin</w:t>
      </w:r>
      <w:r>
        <w:rPr>
          <w:rFonts w:ascii="Times New Roman" w:hAnsi="Times New Roman"/>
          <w:noProof/>
        </w:rPr>
        <w:t xml:space="preserve"> 125(3), pp. 367-383.</w:t>
      </w:r>
    </w:p>
    <w:p>
      <w:pPr>
        <w:pStyle w:val="Yo1Textpara"/>
        <w:rPr>
          <w:noProof/>
          <w:szCs w:val="22"/>
        </w:rPr>
      </w:pPr>
      <w:r>
        <w:rPr>
          <w:noProof/>
          <w:szCs w:val="22"/>
        </w:rPr>
        <w:t xml:space="preserve">Cammaerts, B., Bruter, M., Banaji, S., Harrison, S. and Anstead, N., 2016. </w:t>
      </w:r>
      <w:r>
        <w:rPr>
          <w:i/>
          <w:noProof/>
          <w:szCs w:val="22"/>
        </w:rPr>
        <w:t>Youth participation in democratic life</w:t>
      </w:r>
      <w:r>
        <w:rPr>
          <w:noProof/>
          <w:szCs w:val="22"/>
        </w:rPr>
        <w:t>. Basingstoke: Palgrave Macmillan.</w:t>
      </w:r>
    </w:p>
    <w:p>
      <w:pPr>
        <w:pStyle w:val="Yo1Textpara"/>
        <w:rPr>
          <w:noProof/>
          <w:szCs w:val="22"/>
        </w:rPr>
      </w:pPr>
      <w:r>
        <w:rPr>
          <w:noProof/>
          <w:szCs w:val="22"/>
        </w:rPr>
        <w:t xml:space="preserve">Citrin, J. and Sides, J., 2004. More than nationals: how identity choice matters in the new Europe. In Herrmann, R., Risse, T. and Brewer, M. (eds.) </w:t>
      </w:r>
      <w:r>
        <w:rPr>
          <w:i/>
          <w:noProof/>
          <w:szCs w:val="22"/>
        </w:rPr>
        <w:t>Transnational identities: becoming European in the EU</w:t>
      </w:r>
      <w:r>
        <w:rPr>
          <w:noProof/>
          <w:szCs w:val="22"/>
        </w:rPr>
        <w:t>. Lanham, MD: Rowman &amp; Littlefield.</w:t>
      </w:r>
    </w:p>
    <w:p>
      <w:pPr>
        <w:pStyle w:val="Yo1Textpara"/>
        <w:rPr>
          <w:bCs/>
          <w:caps/>
          <w:noProof/>
          <w:szCs w:val="22"/>
        </w:rPr>
      </w:pPr>
      <w:r>
        <w:rPr>
          <w:noProof/>
          <w:szCs w:val="22"/>
        </w:rPr>
        <w:t xml:space="preserve">Council of Europe, 2005. </w:t>
      </w:r>
      <w:r>
        <w:rPr>
          <w:i/>
          <w:noProof/>
          <w:szCs w:val="22"/>
        </w:rPr>
        <w:t>Trading up potential and performance in non-formal learning</w:t>
      </w:r>
      <w:r>
        <w:rPr>
          <w:noProof/>
          <w:szCs w:val="22"/>
        </w:rPr>
        <w:t>. Strasbourg: Council of Europe.</w:t>
      </w:r>
    </w:p>
    <w:p>
      <w:pPr>
        <w:pStyle w:val="Yo1Textpara"/>
        <w:rPr>
          <w:bCs/>
          <w:caps/>
          <w:noProof/>
          <w:szCs w:val="22"/>
        </w:rPr>
      </w:pPr>
      <w:r>
        <w:rPr>
          <w:noProof/>
          <w:szCs w:val="22"/>
        </w:rPr>
        <w:t>Council of the European Union, 2011. Council conclusions on a benchmark for learning mobility (2011/C 372/08).</w:t>
      </w:r>
    </w:p>
    <w:p>
      <w:pPr>
        <w:pStyle w:val="Yo1Textpara"/>
        <w:rPr>
          <w:bCs/>
          <w:caps/>
          <w:noProof/>
          <w:szCs w:val="22"/>
        </w:rPr>
      </w:pPr>
      <w:r>
        <w:rPr>
          <w:noProof/>
          <w:szCs w:val="22"/>
        </w:rPr>
        <w:t>Council of the European Union, 2017. Conclusions of the Council and of the Representatives of the Governments of the Member States, meeting within the Council, on inclusion in diversity to achieve a high quality education for all, 17 February 2017.</w:t>
      </w:r>
    </w:p>
    <w:p>
      <w:pPr>
        <w:jc w:val="both"/>
        <w:rPr>
          <w:rFonts w:ascii="Times New Roman" w:hAnsi="Times New Roman"/>
          <w:noProof/>
        </w:rPr>
      </w:pPr>
      <w:r>
        <w:rPr>
          <w:rFonts w:ascii="Times New Roman" w:hAnsi="Times New Roman"/>
          <w:noProof/>
        </w:rPr>
        <w:t>Dallas, M.E., 2015. Why Depression Is Underreported in Men</w:t>
      </w:r>
      <w:r>
        <w:rPr>
          <w:rFonts w:ascii="Times New Roman" w:hAnsi="Times New Roman"/>
          <w:i/>
          <w:noProof/>
        </w:rPr>
        <w:t>.</w:t>
      </w:r>
      <w:r>
        <w:rPr>
          <w:rFonts w:ascii="Times New Roman" w:hAnsi="Times New Roman"/>
          <w:noProof/>
        </w:rPr>
        <w:t xml:space="preserve"> In: </w:t>
      </w:r>
      <w:r>
        <w:rPr>
          <w:rFonts w:ascii="Times New Roman" w:hAnsi="Times New Roman"/>
          <w:i/>
          <w:noProof/>
        </w:rPr>
        <w:t>Everyday Health</w:t>
      </w:r>
      <w:r>
        <w:rPr>
          <w:rFonts w:ascii="Times New Roman" w:hAnsi="Times New Roman"/>
          <w:noProof/>
        </w:rPr>
        <w:t xml:space="preserve"> [Online] Available at: </w:t>
      </w:r>
      <w:hyperlink r:id="rId102" w:history="1">
        <w:r>
          <w:rPr>
            <w:rStyle w:val="Hyperlink"/>
            <w:rFonts w:ascii="Times New Roman" w:hAnsi="Times New Roman"/>
            <w:noProof/>
            <w:lang w:eastAsia="fr-BE"/>
          </w:rPr>
          <w:t>http://www.everydayhealth.com/news/why-depression-underreported-men/</w:t>
        </w:r>
      </w:hyperlink>
      <w:r>
        <w:rPr>
          <w:rFonts w:ascii="Times New Roman" w:hAnsi="Times New Roman"/>
          <w:noProof/>
        </w:rPr>
        <w:t xml:space="preserve"> [Accessed 12 July 2017].</w:t>
      </w:r>
    </w:p>
    <w:p>
      <w:pPr>
        <w:jc w:val="both"/>
        <w:rPr>
          <w:rFonts w:ascii="Times New Roman" w:hAnsi="Times New Roman"/>
          <w:noProof/>
        </w:rPr>
      </w:pPr>
      <w:r>
        <w:rPr>
          <w:rFonts w:ascii="Times New Roman" w:hAnsi="Times New Roman"/>
          <w:noProof/>
        </w:rPr>
        <w:t xml:space="preserve">Dean, J., 2014. How structural factors promote instrumental motivations within youth volunteering: a qualitative analysis of volunteer brokerage. In: </w:t>
      </w:r>
      <w:r>
        <w:rPr>
          <w:rFonts w:ascii="Times New Roman" w:hAnsi="Times New Roman"/>
          <w:i/>
          <w:iCs/>
          <w:noProof/>
        </w:rPr>
        <w:t>Voluntary Sector Review</w:t>
      </w:r>
      <w:r>
        <w:rPr>
          <w:rFonts w:ascii="Times New Roman" w:hAnsi="Times New Roman"/>
          <w:noProof/>
        </w:rPr>
        <w:t xml:space="preserve">, </w:t>
      </w:r>
      <w:r>
        <w:rPr>
          <w:rFonts w:ascii="Times New Roman" w:hAnsi="Times New Roman"/>
          <w:i/>
          <w:iCs/>
          <w:noProof/>
        </w:rPr>
        <w:t>5</w:t>
      </w:r>
      <w:r>
        <w:rPr>
          <w:rFonts w:ascii="Times New Roman" w:hAnsi="Times New Roman"/>
          <w:noProof/>
        </w:rPr>
        <w:t>(2), pp.231-247.</w:t>
      </w:r>
    </w:p>
    <w:p>
      <w:pPr>
        <w:pStyle w:val="Yo1Textpara"/>
        <w:rPr>
          <w:noProof/>
          <w:szCs w:val="22"/>
        </w:rPr>
      </w:pPr>
      <w:r>
        <w:rPr>
          <w:noProof/>
          <w:szCs w:val="22"/>
        </w:rPr>
        <w:t xml:space="preserve">Di Maggio, P. and Hargittai, E., 2001. </w:t>
      </w:r>
      <w:r>
        <w:rPr>
          <w:i/>
          <w:noProof/>
          <w:szCs w:val="22"/>
        </w:rPr>
        <w:t>From the ‘digital divide’ to `digital inequality’: studying internet use as penetration increases</w:t>
      </w:r>
      <w:r>
        <w:rPr>
          <w:noProof/>
          <w:szCs w:val="22"/>
        </w:rPr>
        <w:t xml:space="preserve">. </w:t>
      </w:r>
      <w:r>
        <w:rPr>
          <w:iCs/>
          <w:noProof/>
          <w:szCs w:val="22"/>
        </w:rPr>
        <w:t>Princeton: Center for Arts and Cultural Policy Studies, Woodrow Wilson School, Princeton University</w:t>
      </w:r>
      <w:r>
        <w:rPr>
          <w:noProof/>
          <w:szCs w:val="22"/>
        </w:rPr>
        <w:t xml:space="preserve"> 4.1: 4-2 [Online] Available at: </w:t>
      </w:r>
      <w:hyperlink r:id="rId103" w:history="1">
        <w:r>
          <w:rPr>
            <w:rStyle w:val="Hyperlink"/>
            <w:noProof/>
            <w:szCs w:val="22"/>
          </w:rPr>
          <w:t>https://www.princeton.edu/~artspol/workpap/WP15%20-%20DiMaggio+Hargittai.pdf</w:t>
        </w:r>
      </w:hyperlink>
      <w:r>
        <w:rPr>
          <w:noProof/>
          <w:szCs w:val="22"/>
        </w:rPr>
        <w:t xml:space="preserve"> [Accessed 1 March 2018].</w:t>
      </w:r>
    </w:p>
    <w:p>
      <w:pPr>
        <w:pStyle w:val="Yo1Textpara"/>
        <w:spacing w:afterLines="120" w:after="288"/>
        <w:rPr>
          <w:noProof/>
          <w:szCs w:val="22"/>
        </w:rPr>
      </w:pPr>
      <w:r>
        <w:rPr>
          <w:noProof/>
          <w:szCs w:val="22"/>
          <w:lang w:val="de-AT"/>
        </w:rPr>
        <w:t xml:space="preserve">Dietrich, H., and Möller, J., 2016. </w:t>
      </w:r>
      <w:r>
        <w:rPr>
          <w:noProof/>
          <w:szCs w:val="22"/>
        </w:rPr>
        <w:t xml:space="preserve">Youth unemployment in Europe – business cycle and institutional effects. In: </w:t>
      </w:r>
      <w:r>
        <w:rPr>
          <w:i/>
          <w:noProof/>
          <w:szCs w:val="22"/>
        </w:rPr>
        <w:t>International Economics and Economic Policy</w:t>
      </w:r>
      <w:r>
        <w:rPr>
          <w:noProof/>
          <w:szCs w:val="22"/>
        </w:rPr>
        <w:t>,13(1), pp. 5-25.</w:t>
      </w:r>
    </w:p>
    <w:p>
      <w:pPr>
        <w:pStyle w:val="Yo1Textpara"/>
        <w:spacing w:afterLines="120" w:after="288"/>
        <w:rPr>
          <w:bCs/>
          <w:caps/>
          <w:noProof/>
          <w:szCs w:val="22"/>
        </w:rPr>
      </w:pPr>
      <w:r>
        <w:rPr>
          <w:noProof/>
          <w:szCs w:val="22"/>
        </w:rPr>
        <w:t xml:space="preserve">EENEE (European Expert Network on Economics of Education), 2014. </w:t>
      </w:r>
      <w:r>
        <w:rPr>
          <w:i/>
          <w:noProof/>
          <w:szCs w:val="22"/>
        </w:rPr>
        <w:t>The economic case for education</w:t>
      </w:r>
      <w:r>
        <w:rPr>
          <w:noProof/>
          <w:szCs w:val="22"/>
        </w:rPr>
        <w:t>. EENEE Analytical Report No. 20. Prepared for the European Commission.</w:t>
      </w:r>
    </w:p>
    <w:p>
      <w:pPr>
        <w:pStyle w:val="Yo1Textpara"/>
        <w:spacing w:afterLines="120" w:after="288"/>
        <w:rPr>
          <w:noProof/>
          <w:szCs w:val="22"/>
        </w:rPr>
      </w:pPr>
      <w:r>
        <w:rPr>
          <w:noProof/>
          <w:szCs w:val="22"/>
        </w:rPr>
        <w:t>Eurofound</w:t>
      </w:r>
      <w:r>
        <w:rPr>
          <w:bCs/>
          <w:noProof/>
          <w:szCs w:val="22"/>
        </w:rPr>
        <w:t xml:space="preserve">, 2010. </w:t>
      </w:r>
      <w:r>
        <w:rPr>
          <w:bCs/>
          <w:i/>
          <w:noProof/>
          <w:szCs w:val="22"/>
        </w:rPr>
        <w:t>Flexible forms of work: ‘very atypical’ contractual arrangements.</w:t>
      </w:r>
      <w:r>
        <w:rPr>
          <w:bCs/>
          <w:noProof/>
          <w:szCs w:val="22"/>
        </w:rPr>
        <w:t xml:space="preserve"> </w:t>
      </w:r>
      <w:r>
        <w:rPr>
          <w:noProof/>
          <w:szCs w:val="22"/>
        </w:rPr>
        <w:t>[Online] Available at: </w:t>
      </w:r>
      <w:hyperlink r:id="rId104" w:history="1">
        <w:r>
          <w:rPr>
            <w:rStyle w:val="Hyperlink"/>
            <w:noProof/>
            <w:szCs w:val="22"/>
          </w:rPr>
          <w:t>https://www.eurofound.europa.eu/fr/observatories/eurwork/comparative-information/flexible-forms-of-work-very-atypical-contractual-arrangements</w:t>
        </w:r>
      </w:hyperlink>
      <w:r>
        <w:rPr>
          <w:rStyle w:val="Hyperlink"/>
          <w:noProof/>
          <w:szCs w:val="22"/>
        </w:rPr>
        <w:t xml:space="preserve"> </w:t>
      </w:r>
      <w:r>
        <w:rPr>
          <w:noProof/>
          <w:szCs w:val="22"/>
        </w:rPr>
        <w:t>[Accessed 19 September 2017].</w:t>
      </w:r>
    </w:p>
    <w:p>
      <w:pPr>
        <w:pStyle w:val="Yo1Textpara"/>
        <w:spacing w:afterLines="120" w:after="288"/>
        <w:rPr>
          <w:noProof/>
          <w:szCs w:val="22"/>
        </w:rPr>
      </w:pPr>
      <w:r>
        <w:rPr>
          <w:noProof/>
          <w:szCs w:val="22"/>
        </w:rPr>
        <w:t>Eurofound, 2012</w:t>
      </w:r>
      <w:r>
        <w:rPr>
          <w:i/>
          <w:noProof/>
          <w:szCs w:val="22"/>
        </w:rPr>
        <w:t>. NEETs: Young people not in employment, education or training: Characteristics, costs and policy responses in Europe</w:t>
      </w:r>
      <w:r>
        <w:rPr>
          <w:noProof/>
          <w:szCs w:val="22"/>
        </w:rPr>
        <w:t xml:space="preserve">. Luxembourg: Publications Office of the European Union. </w:t>
      </w:r>
    </w:p>
    <w:p>
      <w:pPr>
        <w:pStyle w:val="Yo1Textpara"/>
        <w:spacing w:afterLines="120" w:after="288"/>
        <w:rPr>
          <w:noProof/>
          <w:szCs w:val="22"/>
        </w:rPr>
      </w:pPr>
      <w:r>
        <w:rPr>
          <w:noProof/>
          <w:szCs w:val="22"/>
        </w:rPr>
        <w:t xml:space="preserve">Eurofound, 2013. </w:t>
      </w:r>
      <w:r>
        <w:rPr>
          <w:i/>
          <w:noProof/>
          <w:szCs w:val="22"/>
        </w:rPr>
        <w:t>Young People and temporary employment in Europe</w:t>
      </w:r>
      <w:r>
        <w:rPr>
          <w:noProof/>
          <w:szCs w:val="22"/>
        </w:rPr>
        <w:t xml:space="preserve">. Luxembourg: Publications Office of the European Union. </w:t>
      </w:r>
    </w:p>
    <w:p>
      <w:pPr>
        <w:spacing w:afterLines="120" w:after="288"/>
        <w:jc w:val="both"/>
        <w:rPr>
          <w:rFonts w:ascii="Times New Roman" w:hAnsi="Times New Roman"/>
          <w:noProof/>
        </w:rPr>
      </w:pPr>
      <w:r>
        <w:rPr>
          <w:rFonts w:ascii="Times New Roman" w:hAnsi="Times New Roman"/>
          <w:noProof/>
        </w:rPr>
        <w:t xml:space="preserve">Eurofound, 2014. Mapping youth transitions in Europe. Luxembourg: Publications Office of the European Union. </w:t>
      </w:r>
    </w:p>
    <w:p>
      <w:pPr>
        <w:spacing w:afterLines="120" w:after="288"/>
        <w:jc w:val="both"/>
        <w:rPr>
          <w:rFonts w:ascii="Times New Roman" w:hAnsi="Times New Roman"/>
          <w:noProof/>
        </w:rPr>
      </w:pPr>
      <w:r>
        <w:rPr>
          <w:rFonts w:ascii="Times New Roman" w:hAnsi="Times New Roman"/>
          <w:noProof/>
        </w:rPr>
        <w:t xml:space="preserve">Eurofound, 2015. </w:t>
      </w:r>
      <w:r>
        <w:rPr>
          <w:rFonts w:ascii="Times New Roman" w:hAnsi="Times New Roman"/>
          <w:i/>
          <w:noProof/>
        </w:rPr>
        <w:t>Youth entrepreneurship in Europe: Values, attitudes, policies.</w:t>
      </w:r>
      <w:r>
        <w:rPr>
          <w:rFonts w:ascii="Times New Roman" w:hAnsi="Times New Roman"/>
          <w:noProof/>
        </w:rPr>
        <w:t xml:space="preserve"> Luxembourg: Publications Office of the European Union. </w:t>
      </w:r>
    </w:p>
    <w:p>
      <w:pPr>
        <w:spacing w:afterLines="120" w:after="288"/>
        <w:jc w:val="both"/>
        <w:rPr>
          <w:rFonts w:ascii="Times New Roman" w:hAnsi="Times New Roman"/>
          <w:noProof/>
        </w:rPr>
      </w:pPr>
      <w:r>
        <w:rPr>
          <w:rFonts w:ascii="Times New Roman" w:hAnsi="Times New Roman"/>
          <w:noProof/>
        </w:rPr>
        <w:t xml:space="preserve">Eurofound, 2017. Exploring self-employment in the European Union [Online]. Available at: </w:t>
      </w:r>
      <w:hyperlink r:id="rId105" w:history="1">
        <w:r>
          <w:rPr>
            <w:rStyle w:val="Hyperlink"/>
            <w:rFonts w:ascii="Times New Roman" w:hAnsi="Times New Roman"/>
            <w:noProof/>
          </w:rPr>
          <w:t>https://www.eurofound.europa.eu/sites/default/files/ef_publication/field_ef_document/ef1718en.pdf</w:t>
        </w:r>
      </w:hyperlink>
      <w:r>
        <w:rPr>
          <w:rStyle w:val="Hyperlink"/>
          <w:rFonts w:ascii="Times New Roman" w:hAnsi="Times New Roman"/>
          <w:noProof/>
        </w:rPr>
        <w:t xml:space="preserve"> </w:t>
      </w:r>
      <w:r>
        <w:rPr>
          <w:rFonts w:ascii="Times New Roman" w:hAnsi="Times New Roman"/>
          <w:noProof/>
        </w:rPr>
        <w:t>[Accessed 11 October 2017].</w:t>
      </w:r>
    </w:p>
    <w:p>
      <w:pPr>
        <w:jc w:val="both"/>
        <w:rPr>
          <w:rFonts w:ascii="Times New Roman" w:hAnsi="Times New Roman"/>
          <w:noProof/>
        </w:rPr>
      </w:pPr>
      <w:r>
        <w:rPr>
          <w:rFonts w:ascii="Times New Roman" w:hAnsi="Times New Roman"/>
          <w:noProof/>
        </w:rPr>
        <w:t xml:space="preserve">European Commission, 2011. </w:t>
      </w:r>
      <w:r>
        <w:rPr>
          <w:rFonts w:ascii="Times New Roman" w:hAnsi="Times New Roman"/>
          <w:i/>
          <w:noProof/>
        </w:rPr>
        <w:t>Commission Staff working Document on EU indicators in the field of youth</w:t>
      </w:r>
      <w:r>
        <w:rPr>
          <w:rFonts w:ascii="Times New Roman" w:hAnsi="Times New Roman"/>
          <w:noProof/>
        </w:rPr>
        <w:t xml:space="preserve">, SEC(2011) 401 final. Available at: </w:t>
      </w:r>
      <w:hyperlink r:id="rId106" w:history="1">
        <w:r>
          <w:rPr>
            <w:rStyle w:val="Hyperlink"/>
            <w:rFonts w:ascii="Times New Roman" w:hAnsi="Times New Roman"/>
            <w:noProof/>
          </w:rPr>
          <w:t>http://ec.europa.eu/assets/eac/youth/library/publications/indicator-dashboard_en.pdf</w:t>
        </w:r>
      </w:hyperlink>
      <w:r>
        <w:rPr>
          <w:rFonts w:ascii="Times New Roman" w:hAnsi="Times New Roman"/>
          <w:noProof/>
        </w:rPr>
        <w:t xml:space="preserve"> [Accessed 1 March 2018].</w:t>
      </w:r>
    </w:p>
    <w:p>
      <w:pPr>
        <w:jc w:val="both"/>
        <w:rPr>
          <w:rFonts w:ascii="Times New Roman" w:hAnsi="Times New Roman"/>
          <w:noProof/>
          <w:lang w:eastAsia="fr-BE"/>
        </w:rPr>
      </w:pPr>
      <w:r>
        <w:rPr>
          <w:rFonts w:ascii="Times New Roman" w:hAnsi="Times New Roman"/>
          <w:noProof/>
          <w:lang w:eastAsia="fr-BE"/>
        </w:rPr>
        <w:t xml:space="preserve">European Commission, 2012a. </w:t>
      </w:r>
      <w:r>
        <w:rPr>
          <w:rFonts w:ascii="Times New Roman" w:hAnsi="Times New Roman"/>
          <w:i/>
          <w:noProof/>
          <w:lang w:eastAsia="fr-BE"/>
        </w:rPr>
        <w:t>EU Youth Report</w:t>
      </w:r>
      <w:r>
        <w:rPr>
          <w:rFonts w:ascii="Times New Roman" w:hAnsi="Times New Roman"/>
          <w:noProof/>
          <w:lang w:eastAsia="fr-BE"/>
        </w:rPr>
        <w:t xml:space="preserve">. Luxembourg: Publications Office of the European Union. </w:t>
      </w:r>
    </w:p>
    <w:p>
      <w:pPr>
        <w:jc w:val="both"/>
        <w:rPr>
          <w:rFonts w:ascii="Times New Roman" w:hAnsi="Times New Roman"/>
          <w:bCs/>
          <w:caps/>
          <w:noProof/>
          <w:lang w:eastAsia="fr-BE"/>
        </w:rPr>
      </w:pPr>
      <w:r>
        <w:rPr>
          <w:rFonts w:ascii="Times New Roman" w:hAnsi="Times New Roman"/>
          <w:noProof/>
          <w:lang w:eastAsia="fr-BE"/>
        </w:rPr>
        <w:t xml:space="preserve">European Commission, 2012b. </w:t>
      </w:r>
      <w:r>
        <w:rPr>
          <w:rFonts w:ascii="Times New Roman" w:hAnsi="Times New Roman"/>
          <w:i/>
          <w:noProof/>
          <w:lang w:eastAsia="fr-BE"/>
        </w:rPr>
        <w:t>First European survey on language competencies: final report</w:t>
      </w:r>
      <w:r>
        <w:rPr>
          <w:rFonts w:ascii="Times New Roman" w:hAnsi="Times New Roman"/>
          <w:noProof/>
          <w:lang w:eastAsia="fr-BE"/>
        </w:rPr>
        <w:t>. Luxembourg: Publication Office of the European Union.</w:t>
      </w:r>
    </w:p>
    <w:p>
      <w:pPr>
        <w:jc w:val="both"/>
        <w:rPr>
          <w:rFonts w:ascii="Times New Roman" w:hAnsi="Times New Roman"/>
          <w:noProof/>
        </w:rPr>
      </w:pPr>
      <w:r>
        <w:rPr>
          <w:rFonts w:ascii="Times New Roman" w:hAnsi="Times New Roman"/>
          <w:noProof/>
        </w:rPr>
        <w:t xml:space="preserve">European Commission, 2012c. </w:t>
      </w:r>
      <w:r>
        <w:rPr>
          <w:rFonts w:ascii="Times New Roman" w:hAnsi="Times New Roman"/>
          <w:i/>
          <w:noProof/>
        </w:rPr>
        <w:t>Latvia: An economic success story in the making.</w:t>
      </w:r>
      <w:r>
        <w:rPr>
          <w:rFonts w:ascii="Times New Roman" w:hAnsi="Times New Roman"/>
          <w:noProof/>
        </w:rPr>
        <w:t xml:space="preserve"> [Online] Available at: </w:t>
      </w:r>
      <w:hyperlink r:id="rId107" w:history="1">
        <w:r>
          <w:rPr>
            <w:rStyle w:val="Hyperlink"/>
            <w:rFonts w:ascii="Times New Roman" w:hAnsi="Times New Roman"/>
            <w:noProof/>
            <w:lang w:eastAsia="fr-BE"/>
          </w:rPr>
          <w:t>http://ec.europa.eu/economy_finance/articles/financial_operations/2012-03-05_latvia_economic_en.htm</w:t>
        </w:r>
      </w:hyperlink>
      <w:r>
        <w:rPr>
          <w:rFonts w:ascii="Times New Roman" w:hAnsi="Times New Roman"/>
          <w:noProof/>
        </w:rPr>
        <w:t xml:space="preserve"> [Accessed 29 January 2018].</w:t>
      </w:r>
    </w:p>
    <w:p>
      <w:pPr>
        <w:jc w:val="both"/>
        <w:rPr>
          <w:rFonts w:ascii="Times New Roman" w:hAnsi="Times New Roman"/>
          <w:noProof/>
        </w:rPr>
      </w:pPr>
      <w:r>
        <w:rPr>
          <w:rFonts w:ascii="Times New Roman" w:hAnsi="Times New Roman"/>
          <w:noProof/>
        </w:rPr>
        <w:t xml:space="preserve">European Commission, 2013a. </w:t>
      </w:r>
      <w:r>
        <w:rPr>
          <w:rFonts w:ascii="Times New Roman" w:hAnsi="Times New Roman"/>
          <w:i/>
          <w:noProof/>
        </w:rPr>
        <w:t>Commission Staff Working Document. Confronting Homelessness in the European Union,</w:t>
      </w:r>
      <w:r>
        <w:rPr>
          <w:rFonts w:ascii="Times New Roman" w:hAnsi="Times New Roman"/>
          <w:noProof/>
        </w:rPr>
        <w:t xml:space="preserve"> </w:t>
      </w:r>
      <w:r>
        <w:rPr>
          <w:rFonts w:ascii="Times New Roman" w:hAnsi="Times New Roman"/>
          <w:i/>
          <w:noProof/>
        </w:rPr>
        <w:t xml:space="preserve">SWD(2013) 42 final, </w:t>
      </w:r>
      <w:r>
        <w:rPr>
          <w:rFonts w:ascii="Times New Roman" w:hAnsi="Times New Roman"/>
          <w:noProof/>
        </w:rPr>
        <w:t>Brussels, 20.2.2013.</w:t>
      </w:r>
    </w:p>
    <w:p>
      <w:pPr>
        <w:jc w:val="both"/>
        <w:rPr>
          <w:rFonts w:ascii="Times New Roman" w:hAnsi="Times New Roman"/>
          <w:bCs/>
          <w:caps/>
          <w:noProof/>
          <w:lang w:eastAsia="fr-BE"/>
        </w:rPr>
      </w:pPr>
      <w:r>
        <w:rPr>
          <w:rFonts w:ascii="Times New Roman" w:hAnsi="Times New Roman"/>
          <w:noProof/>
          <w:lang w:eastAsia="fr-BE"/>
        </w:rPr>
        <w:t xml:space="preserve">European Commission, 2013b. </w:t>
      </w:r>
      <w:r>
        <w:rPr>
          <w:rFonts w:ascii="Times New Roman" w:hAnsi="Times New Roman"/>
          <w:i/>
          <w:noProof/>
          <w:lang w:eastAsia="fr-BE"/>
        </w:rPr>
        <w:t>Preventing early school leaving in Europe – Lessons learned from second chance education</w:t>
      </w:r>
      <w:r>
        <w:rPr>
          <w:rFonts w:ascii="Times New Roman" w:hAnsi="Times New Roman"/>
          <w:noProof/>
          <w:lang w:eastAsia="fr-BE"/>
        </w:rPr>
        <w:t>. Luxembourg: Publication Office of the European Union.</w:t>
      </w:r>
    </w:p>
    <w:p>
      <w:pPr>
        <w:jc w:val="both"/>
        <w:rPr>
          <w:rFonts w:ascii="Times New Roman" w:hAnsi="Times New Roman"/>
          <w:noProof/>
          <w:lang w:eastAsia="fr-BE"/>
        </w:rPr>
      </w:pPr>
      <w:r>
        <w:rPr>
          <w:rFonts w:ascii="Times New Roman" w:hAnsi="Times New Roman"/>
          <w:noProof/>
          <w:lang w:eastAsia="fr-BE"/>
        </w:rPr>
        <w:t xml:space="preserve">European Commission, 2014a. </w:t>
      </w:r>
      <w:r>
        <w:rPr>
          <w:rFonts w:ascii="Times New Roman" w:hAnsi="Times New Roman"/>
          <w:i/>
          <w:noProof/>
          <w:lang w:eastAsia="fr-BE"/>
        </w:rPr>
        <w:t>Erasmus: facts, figures &amp; trends. The European Union support for student and staff exchanges and university cooperation in 2012-2013</w:t>
      </w:r>
      <w:r>
        <w:rPr>
          <w:rFonts w:ascii="Times New Roman" w:hAnsi="Times New Roman"/>
          <w:noProof/>
          <w:lang w:eastAsia="fr-BE"/>
        </w:rPr>
        <w:t>. Luxembourg: Publications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 2014b. </w:t>
      </w:r>
      <w:r>
        <w:rPr>
          <w:rFonts w:ascii="Times New Roman" w:hAnsi="Times New Roman"/>
          <w:i/>
          <w:noProof/>
          <w:lang w:eastAsia="fr-BE"/>
        </w:rPr>
        <w:t xml:space="preserve">Erasmus impact study: Effects of mobility on the skills and </w:t>
      </w:r>
      <w:r>
        <w:rPr>
          <w:rFonts w:ascii="Times New Roman" w:hAnsi="Times New Roman"/>
          <w:noProof/>
          <w:lang w:eastAsia="fr-BE"/>
        </w:rPr>
        <w:t>employability</w:t>
      </w:r>
      <w:r>
        <w:rPr>
          <w:rFonts w:ascii="Times New Roman" w:hAnsi="Times New Roman"/>
          <w:i/>
          <w:noProof/>
          <w:lang w:eastAsia="fr-BE"/>
        </w:rPr>
        <w:t xml:space="preserve"> of students and the internationalisation of higher education institutions</w:t>
      </w:r>
      <w:r>
        <w:rPr>
          <w:rFonts w:ascii="Times New Roman" w:hAnsi="Times New Roman"/>
          <w:noProof/>
          <w:lang w:eastAsia="fr-BE"/>
        </w:rPr>
        <w:t>. Luxembourg: Publications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 2014c. </w:t>
      </w:r>
      <w:r>
        <w:rPr>
          <w:rFonts w:ascii="Times New Roman" w:hAnsi="Times New Roman"/>
          <w:i/>
          <w:noProof/>
          <w:lang w:eastAsia="fr-BE"/>
        </w:rPr>
        <w:t>Working with young people: The value of youth work in the EU</w:t>
      </w:r>
      <w:r>
        <w:rPr>
          <w:rFonts w:ascii="Times New Roman" w:hAnsi="Times New Roman"/>
          <w:noProof/>
          <w:lang w:eastAsia="fr-BE"/>
        </w:rPr>
        <w:t>. Luxembourg: Publication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 2015a. EU farms and farmers in 2013: an update. EU Agricultural and Farm Economics Briefs No 9 (November 2015) [Online]. Available at: </w:t>
      </w:r>
      <w:hyperlink r:id="rId108" w:history="1">
        <w:r>
          <w:rPr>
            <w:rStyle w:val="Hyperlink"/>
            <w:rFonts w:ascii="Times New Roman" w:hAnsi="Times New Roman"/>
            <w:noProof/>
          </w:rPr>
          <w:t>https://ec.europa.eu/agriculture/sites/agriculture/files/rural-area-economics/briefs/pdf/009_en.pdf</w:t>
        </w:r>
      </w:hyperlink>
      <w:r>
        <w:rPr>
          <w:rStyle w:val="Hyperlink"/>
          <w:rFonts w:ascii="Times New Roman" w:hAnsi="Times New Roman"/>
          <w:noProof/>
        </w:rPr>
        <w:t xml:space="preserve"> </w:t>
      </w:r>
      <w:r>
        <w:rPr>
          <w:rFonts w:ascii="Times New Roman" w:hAnsi="Times New Roman"/>
          <w:noProof/>
          <w:lang w:eastAsia="fr-BE"/>
        </w:rPr>
        <w:t>[Accessed 06 November 2017].</w:t>
      </w:r>
    </w:p>
    <w:p>
      <w:pPr>
        <w:jc w:val="both"/>
        <w:rPr>
          <w:rFonts w:ascii="Times New Roman" w:hAnsi="Times New Roman"/>
          <w:noProof/>
        </w:rPr>
      </w:pPr>
      <w:r>
        <w:rPr>
          <w:rFonts w:ascii="Times New Roman" w:hAnsi="Times New Roman"/>
          <w:noProof/>
        </w:rPr>
        <w:t xml:space="preserve">European Commission, 2015b. </w:t>
      </w:r>
      <w:r>
        <w:rPr>
          <w:rFonts w:ascii="Times New Roman" w:hAnsi="Times New Roman"/>
          <w:i/>
          <w:noProof/>
        </w:rPr>
        <w:t>Flash Eurobarometer 408. European Youth</w:t>
      </w:r>
      <w:r>
        <w:rPr>
          <w:rFonts w:ascii="Times New Roman" w:hAnsi="Times New Roman"/>
          <w:noProof/>
        </w:rPr>
        <w:t>. Luxembourg: Publication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 2016a. </w:t>
      </w:r>
      <w:r>
        <w:rPr>
          <w:rFonts w:ascii="Times New Roman" w:hAnsi="Times New Roman"/>
          <w:i/>
          <w:noProof/>
          <w:lang w:eastAsia="fr-BE"/>
        </w:rPr>
        <w:t>Education and Training Monitor 2016</w:t>
      </w:r>
      <w:r>
        <w:rPr>
          <w:rFonts w:ascii="Times New Roman" w:hAnsi="Times New Roman"/>
          <w:noProof/>
          <w:lang w:eastAsia="fr-BE"/>
        </w:rPr>
        <w:t>. Luxembourg: Publication Office of the European Union.</w:t>
      </w:r>
    </w:p>
    <w:p>
      <w:pPr>
        <w:jc w:val="both"/>
        <w:rPr>
          <w:rFonts w:ascii="Times New Roman" w:hAnsi="Times New Roman"/>
          <w:noProof/>
        </w:rPr>
      </w:pPr>
      <w:r>
        <w:rPr>
          <w:rFonts w:ascii="Times New Roman" w:hAnsi="Times New Roman"/>
          <w:noProof/>
        </w:rPr>
        <w:t xml:space="preserve">European Commission, 2016b. </w:t>
      </w:r>
      <w:r>
        <w:rPr>
          <w:rFonts w:ascii="Times New Roman" w:hAnsi="Times New Roman"/>
          <w:i/>
          <w:noProof/>
        </w:rPr>
        <w:t>EU Youth Report 2015</w:t>
      </w:r>
      <w:r>
        <w:rPr>
          <w:rFonts w:ascii="Times New Roman" w:hAnsi="Times New Roman"/>
          <w:noProof/>
        </w:rPr>
        <w:t>. Luxembourg: Publications Office of the European Union.</w:t>
      </w:r>
    </w:p>
    <w:p>
      <w:pPr>
        <w:jc w:val="both"/>
        <w:rPr>
          <w:rFonts w:ascii="Times New Roman" w:hAnsi="Times New Roman"/>
          <w:noProof/>
        </w:rPr>
      </w:pPr>
      <w:r>
        <w:rPr>
          <w:rFonts w:ascii="Times New Roman" w:hAnsi="Times New Roman"/>
          <w:noProof/>
        </w:rPr>
        <w:t xml:space="preserve">European Commission, 2017a. </w:t>
      </w:r>
      <w:r>
        <w:rPr>
          <w:rFonts w:ascii="Times New Roman" w:hAnsi="Times New Roman"/>
          <w:i/>
          <w:noProof/>
        </w:rPr>
        <w:t>Characteristics of these crashes</w:t>
      </w:r>
      <w:r>
        <w:rPr>
          <w:rFonts w:ascii="Times New Roman" w:hAnsi="Times New Roman"/>
          <w:noProof/>
        </w:rPr>
        <w:t xml:space="preserve"> [Online] Available at: </w:t>
      </w:r>
      <w:r>
        <w:rPr>
          <w:rFonts w:ascii="Times New Roman" w:hAnsi="Times New Roman"/>
          <w:noProof/>
        </w:rPr>
        <w:br/>
      </w:r>
      <w:hyperlink r:id="rId109" w:history="1">
        <w:r>
          <w:rPr>
            <w:rStyle w:val="Hyperlink"/>
            <w:rFonts w:ascii="Times New Roman" w:hAnsi="Times New Roman"/>
            <w:noProof/>
          </w:rPr>
          <w:t>https://ec.europa.eu/transport/road_safety/specialist/knowledge/young/magnitude_and_nature_of_the_problem/characteristics_of_these_crashes_en</w:t>
        </w:r>
      </w:hyperlink>
      <w:r>
        <w:rPr>
          <w:rFonts w:ascii="Times New Roman" w:hAnsi="Times New Roman"/>
          <w:noProof/>
        </w:rPr>
        <w:t xml:space="preserve"> [Accessed 12 July 2017].</w:t>
      </w:r>
    </w:p>
    <w:p>
      <w:pPr>
        <w:jc w:val="both"/>
        <w:rPr>
          <w:rFonts w:ascii="Times New Roman" w:hAnsi="Times New Roman"/>
          <w:bCs/>
          <w:caps/>
          <w:noProof/>
          <w:lang w:eastAsia="fr-BE"/>
        </w:rPr>
      </w:pPr>
      <w:r>
        <w:rPr>
          <w:rFonts w:ascii="Times New Roman" w:hAnsi="Times New Roman"/>
          <w:noProof/>
          <w:lang w:eastAsia="fr-BE"/>
        </w:rPr>
        <w:t>European Commission, 2017b. Communication on a renewed agenda for higher education. COM(2017) 247 final.</w:t>
      </w:r>
    </w:p>
    <w:p>
      <w:pPr>
        <w:jc w:val="both"/>
        <w:rPr>
          <w:rFonts w:ascii="Times New Roman" w:eastAsia="Times New Roman" w:hAnsi="Times New Roman"/>
          <w:noProof/>
          <w:snapToGrid w:val="0"/>
        </w:rPr>
      </w:pPr>
      <w:r>
        <w:rPr>
          <w:rFonts w:ascii="Times New Roman" w:eastAsia="Times New Roman" w:hAnsi="Times New Roman"/>
          <w:noProof/>
          <w:snapToGrid w:val="0"/>
        </w:rPr>
        <w:t xml:space="preserve">European Commission, 2017c. Digital Single Market. POLICIES: Digital Skills &amp; Jobs [Online] Available at: </w:t>
      </w:r>
      <w:hyperlink r:id="rId110" w:history="1">
        <w:r>
          <w:rPr>
            <w:rStyle w:val="Hyperlink"/>
            <w:rFonts w:ascii="Times New Roman" w:hAnsi="Times New Roman"/>
            <w:noProof/>
          </w:rPr>
          <w:t>https://ec.europa.eu/digital-single-market/en/policies/digital-skills</w:t>
        </w:r>
      </w:hyperlink>
      <w:r>
        <w:rPr>
          <w:rFonts w:ascii="Times New Roman" w:eastAsia="Times New Roman" w:hAnsi="Times New Roman"/>
          <w:noProof/>
          <w:snapToGrid w:val="0"/>
        </w:rPr>
        <w:t xml:space="preserve"> [Accessed 28 November </w:t>
      </w:r>
      <w:r>
        <w:rPr>
          <w:rFonts w:ascii="Times New Roman" w:hAnsi="Times New Roman"/>
          <w:noProof/>
          <w:lang w:eastAsia="fr-BE"/>
        </w:rPr>
        <w:t>2017</w:t>
      </w:r>
      <w:r>
        <w:rPr>
          <w:rFonts w:ascii="Times New Roman" w:eastAsia="Times New Roman" w:hAnsi="Times New Roman"/>
          <w:noProof/>
          <w:snapToGrid w:val="0"/>
        </w:rPr>
        <w:t>].</w:t>
      </w:r>
    </w:p>
    <w:p>
      <w:pPr>
        <w:jc w:val="both"/>
        <w:rPr>
          <w:rFonts w:ascii="Times New Roman" w:hAnsi="Times New Roman"/>
          <w:bCs/>
          <w:caps/>
          <w:noProof/>
          <w:lang w:eastAsia="fr-BE"/>
        </w:rPr>
      </w:pPr>
      <w:r>
        <w:rPr>
          <w:rFonts w:ascii="Times New Roman" w:hAnsi="Times New Roman"/>
          <w:noProof/>
          <w:lang w:eastAsia="fr-BE"/>
        </w:rPr>
        <w:t xml:space="preserve">European Commission, 2017d. </w:t>
      </w:r>
      <w:r>
        <w:rPr>
          <w:rFonts w:ascii="Times New Roman" w:hAnsi="Times New Roman"/>
          <w:i/>
          <w:noProof/>
          <w:lang w:eastAsia="fr-BE"/>
        </w:rPr>
        <w:t>Education and Training Monitor 2017</w:t>
      </w:r>
      <w:r>
        <w:rPr>
          <w:rFonts w:ascii="Times New Roman" w:hAnsi="Times New Roman"/>
          <w:noProof/>
          <w:lang w:eastAsia="fr-BE"/>
        </w:rPr>
        <w:t>. Luxembourg: Publication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 2017e. </w:t>
      </w:r>
      <w:r>
        <w:rPr>
          <w:rFonts w:ascii="Times New Roman" w:hAnsi="Times New Roman"/>
          <w:i/>
          <w:noProof/>
          <w:lang w:eastAsia="fr-BE"/>
        </w:rPr>
        <w:t>Erasmus+ Programme Annual Report 2015</w:t>
      </w:r>
      <w:r>
        <w:rPr>
          <w:rFonts w:ascii="Times New Roman" w:hAnsi="Times New Roman"/>
          <w:noProof/>
          <w:lang w:eastAsia="fr-BE"/>
        </w:rPr>
        <w:t>. Luxembourg: Publications Office of the European Union.</w:t>
      </w:r>
    </w:p>
    <w:p>
      <w:pPr>
        <w:spacing w:afterLines="120" w:after="288"/>
        <w:jc w:val="both"/>
        <w:rPr>
          <w:rFonts w:ascii="Times New Roman" w:hAnsi="Times New Roman"/>
          <w:noProof/>
        </w:rPr>
      </w:pPr>
      <w:r>
        <w:rPr>
          <w:rFonts w:ascii="Times New Roman" w:hAnsi="Times New Roman"/>
          <w:noProof/>
        </w:rPr>
        <w:t xml:space="preserve">European Commission, 2017f. </w:t>
      </w:r>
      <w:r>
        <w:rPr>
          <w:rFonts w:ascii="Times New Roman" w:hAnsi="Times New Roman"/>
          <w:i/>
          <w:noProof/>
        </w:rPr>
        <w:t>Helping unemployed creating their own work in the new economy PES support to start ups.</w:t>
      </w:r>
      <w:r>
        <w:rPr>
          <w:rFonts w:ascii="Times New Roman" w:hAnsi="Times New Roman"/>
          <w:noProof/>
        </w:rPr>
        <w:t xml:space="preserve"> [Online]. Available at: </w:t>
      </w:r>
      <w:hyperlink r:id="rId111" w:history="1">
        <w:r>
          <w:rPr>
            <w:rStyle w:val="Hyperlink"/>
            <w:rFonts w:ascii="Times New Roman" w:hAnsi="Times New Roman"/>
            <w:noProof/>
          </w:rPr>
          <w:t>http://ec.europa.eu/social/main.jsp?catId=738&amp;langId=en&amp;pubId=8035&amp;furtherPubs=yes</w:t>
        </w:r>
      </w:hyperlink>
      <w:r>
        <w:rPr>
          <w:rFonts w:ascii="Times New Roman" w:hAnsi="Times New Roman"/>
          <w:noProof/>
        </w:rPr>
        <w:t xml:space="preserve"> [Accessed 11 October 2017].</w:t>
      </w:r>
    </w:p>
    <w:p>
      <w:pPr>
        <w:spacing w:afterLines="120" w:after="288"/>
        <w:jc w:val="both"/>
        <w:rPr>
          <w:rFonts w:ascii="Times New Roman" w:hAnsi="Times New Roman"/>
          <w:bCs/>
          <w:caps/>
          <w:noProof/>
          <w:lang w:eastAsia="fr-BE"/>
        </w:rPr>
      </w:pPr>
      <w:r>
        <w:rPr>
          <w:rFonts w:ascii="Times New Roman" w:hAnsi="Times New Roman"/>
          <w:noProof/>
          <w:lang w:eastAsia="fr-BE"/>
        </w:rPr>
        <w:t xml:space="preserve">European Commission, 2017g. </w:t>
      </w:r>
      <w:r>
        <w:rPr>
          <w:rFonts w:ascii="Times New Roman" w:hAnsi="Times New Roman"/>
          <w:i/>
          <w:noProof/>
          <w:lang w:eastAsia="fr-BE"/>
        </w:rPr>
        <w:t>The impact of admission systems on higher education outcomes</w:t>
      </w:r>
      <w:r>
        <w:rPr>
          <w:rFonts w:ascii="Times New Roman" w:hAnsi="Times New Roman"/>
          <w:noProof/>
          <w:lang w:eastAsia="fr-BE"/>
        </w:rPr>
        <w:t>. Luxembourg: Publication Office of the European Union.</w:t>
      </w:r>
    </w:p>
    <w:p>
      <w:pPr>
        <w:spacing w:afterLines="120" w:after="288"/>
        <w:jc w:val="both"/>
        <w:rPr>
          <w:rFonts w:ascii="Times New Roman" w:hAnsi="Times New Roman"/>
          <w:noProof/>
        </w:rPr>
      </w:pPr>
      <w:r>
        <w:rPr>
          <w:rFonts w:ascii="Times New Roman" w:hAnsi="Times New Roman"/>
          <w:noProof/>
        </w:rPr>
        <w:t xml:space="preserve">European Commission, 2017h. Winter 2017 Economic Forecast: Navigating through choppy waters [Press release Brussels, 13 February 2017] [Online] Available at: </w:t>
      </w:r>
      <w:hyperlink r:id="rId112" w:history="1">
        <w:r>
          <w:rPr>
            <w:rStyle w:val="Hyperlink"/>
            <w:rFonts w:ascii="Times New Roman" w:hAnsi="Times New Roman"/>
            <w:noProof/>
          </w:rPr>
          <w:t>http://europa.eu/rapid/press-release_IP-17-251_en.htm</w:t>
        </w:r>
      </w:hyperlink>
      <w:r>
        <w:rPr>
          <w:rFonts w:ascii="Times New Roman" w:hAnsi="Times New Roman"/>
          <w:noProof/>
        </w:rPr>
        <w:t xml:space="preserve"> [Accessed 29 September 2017].</w:t>
      </w:r>
    </w:p>
    <w:p>
      <w:pPr>
        <w:jc w:val="both"/>
        <w:rPr>
          <w:rFonts w:ascii="Times New Roman" w:hAnsi="Times New Roman"/>
          <w:noProof/>
        </w:rPr>
      </w:pPr>
      <w:r>
        <w:rPr>
          <w:rFonts w:ascii="Times New Roman" w:hAnsi="Times New Roman"/>
          <w:noProof/>
        </w:rPr>
        <w:t xml:space="preserve">European Commission, 2017i. </w:t>
      </w:r>
      <w:r>
        <w:rPr>
          <w:rFonts w:ascii="Times New Roman" w:hAnsi="Times New Roman"/>
          <w:i/>
          <w:noProof/>
        </w:rPr>
        <w:t>Young drivers</w:t>
      </w:r>
      <w:r>
        <w:rPr>
          <w:rFonts w:ascii="Times New Roman" w:hAnsi="Times New Roman"/>
          <w:noProof/>
        </w:rPr>
        <w:t xml:space="preserve"> [Online] Available at:</w:t>
      </w:r>
      <w:r>
        <w:rPr>
          <w:rFonts w:ascii="Times New Roman" w:hAnsi="Times New Roman"/>
          <w:noProof/>
        </w:rPr>
        <w:br/>
      </w:r>
      <w:hyperlink r:id="rId113" w:history="1">
        <w:r>
          <w:rPr>
            <w:rStyle w:val="Hyperlink"/>
            <w:rFonts w:ascii="Times New Roman" w:hAnsi="Times New Roman"/>
            <w:noProof/>
          </w:rPr>
          <w:t>https://ec.europa.eu/transport/road_safety/specialist/knowledge/road/roads_need_to_cater_safely_for_all_users/young_drivers_en</w:t>
        </w:r>
      </w:hyperlink>
      <w:r>
        <w:rPr>
          <w:rFonts w:ascii="Times New Roman" w:hAnsi="Times New Roman"/>
          <w:noProof/>
        </w:rPr>
        <w:t xml:space="preserve"> [Accessed 12 July 2017].</w:t>
      </w:r>
    </w:p>
    <w:p>
      <w:pPr>
        <w:jc w:val="both"/>
        <w:rPr>
          <w:rFonts w:ascii="Times New Roman" w:hAnsi="Times New Roman"/>
          <w:noProof/>
        </w:rPr>
      </w:pPr>
      <w:r>
        <w:rPr>
          <w:rFonts w:ascii="Times New Roman" w:hAnsi="Times New Roman"/>
          <w:noProof/>
        </w:rPr>
        <w:t xml:space="preserve">European Commission, 2018. </w:t>
      </w:r>
      <w:r>
        <w:rPr>
          <w:rFonts w:ascii="Times New Roman" w:hAnsi="Times New Roman"/>
          <w:i/>
          <w:noProof/>
        </w:rPr>
        <w:t xml:space="preserve">Flash Eurobarometer 455, European youth. </w:t>
      </w:r>
      <w:r>
        <w:rPr>
          <w:rFonts w:ascii="Times New Roman" w:hAnsi="Times New Roman"/>
          <w:noProof/>
        </w:rPr>
        <w:t xml:space="preserve">[Online] Available at:  </w:t>
      </w:r>
      <w:hyperlink r:id="rId114" w:history="1">
        <w:r>
          <w:rPr>
            <w:rStyle w:val="Hyperlink"/>
            <w:rFonts w:ascii="Times New Roman" w:hAnsi="Times New Roman"/>
            <w:noProof/>
          </w:rPr>
          <w:t>http://ec.europa.eu/commfrontoffice/publicopinion/index.cfm/Survey/getSurveyDetail/yearFrom/1974/yearTo/2018/surveyKy/2163</w:t>
        </w:r>
      </w:hyperlink>
      <w:r>
        <w:rPr>
          <w:rFonts w:ascii="Times New Roman" w:hAnsi="Times New Roman"/>
          <w:noProof/>
        </w:rPr>
        <w:t xml:space="preserve"> [Accessed 6 February 2018].</w:t>
      </w:r>
    </w:p>
    <w:p>
      <w:pPr>
        <w:jc w:val="both"/>
        <w:rPr>
          <w:rFonts w:ascii="Times New Roman" w:hAnsi="Times New Roman"/>
          <w:bCs/>
          <w:caps/>
          <w:noProof/>
          <w:lang w:eastAsia="fr-BE"/>
        </w:rPr>
      </w:pPr>
      <w:r>
        <w:rPr>
          <w:rFonts w:ascii="Times New Roman" w:hAnsi="Times New Roman"/>
          <w:noProof/>
          <w:lang w:eastAsia="fr-BE"/>
        </w:rPr>
        <w:t xml:space="preserve">European Commission/EACEA, 2013. </w:t>
      </w:r>
      <w:r>
        <w:rPr>
          <w:rFonts w:ascii="Times New Roman" w:hAnsi="Times New Roman"/>
          <w:i/>
          <w:noProof/>
          <w:lang w:eastAsia="fr-BE"/>
        </w:rPr>
        <w:t xml:space="preserve">Political participation and EU citizenship: Perceptions and </w:t>
      </w:r>
      <w:r>
        <w:rPr>
          <w:rFonts w:ascii="Times New Roman" w:hAnsi="Times New Roman"/>
          <w:noProof/>
          <w:lang w:eastAsia="fr-BE"/>
        </w:rPr>
        <w:t>behaviours</w:t>
      </w:r>
      <w:r>
        <w:rPr>
          <w:rFonts w:ascii="Times New Roman" w:hAnsi="Times New Roman"/>
          <w:i/>
          <w:noProof/>
          <w:lang w:eastAsia="fr-BE"/>
        </w:rPr>
        <w:t xml:space="preserve"> of young people. Evidence from Eurobarometer surveys</w:t>
      </w:r>
      <w:r>
        <w:rPr>
          <w:rFonts w:ascii="Times New Roman" w:hAnsi="Times New Roman"/>
          <w:noProof/>
          <w:lang w:eastAsia="fr-BE"/>
        </w:rPr>
        <w:t xml:space="preserve">. [Online] Available at: </w:t>
      </w:r>
      <w:hyperlink r:id="rId115" w:history="1">
        <w:r>
          <w:rPr>
            <w:rStyle w:val="Hyperlink"/>
            <w:rFonts w:ascii="Times New Roman" w:hAnsi="Times New Roman"/>
            <w:noProof/>
            <w:lang w:eastAsia="fr-BE"/>
          </w:rPr>
          <w:t>http://eacea.ec.europa.eu/youth/tools/documents/perception-behaviours.pdf</w:t>
        </w:r>
      </w:hyperlink>
      <w:r>
        <w:rPr>
          <w:rFonts w:ascii="Times New Roman" w:hAnsi="Times New Roman"/>
          <w:noProof/>
          <w:lang w:eastAsia="fr-BE"/>
        </w:rPr>
        <w:t xml:space="preserve"> [Accessed 1 March 2018].</w:t>
      </w:r>
    </w:p>
    <w:p>
      <w:pPr>
        <w:jc w:val="both"/>
        <w:rPr>
          <w:rFonts w:ascii="Times New Roman" w:hAnsi="Times New Roman"/>
          <w:bCs/>
          <w:caps/>
          <w:noProof/>
          <w:lang w:eastAsia="fr-BE"/>
        </w:rPr>
      </w:pPr>
      <w:r>
        <w:rPr>
          <w:rFonts w:ascii="Times New Roman" w:hAnsi="Times New Roman"/>
          <w:noProof/>
          <w:lang w:eastAsia="fr-BE"/>
        </w:rPr>
        <w:t xml:space="preserve">European Commission/EACEA/Eurydice, 2015a. </w:t>
      </w:r>
      <w:r>
        <w:rPr>
          <w:rFonts w:ascii="Times New Roman" w:hAnsi="Times New Roman"/>
          <w:i/>
          <w:noProof/>
          <w:lang w:eastAsia="fr-BE"/>
        </w:rPr>
        <w:t>Adult Education and Training in Europe: Widening Access to Learning Opportunities</w:t>
      </w:r>
      <w:r>
        <w:rPr>
          <w:rFonts w:ascii="Times New Roman" w:hAnsi="Times New Roman"/>
          <w:noProof/>
          <w:lang w:eastAsia="fr-BE"/>
        </w:rPr>
        <w:t>. Eurydice Report. Luxembourg: Publications Office of the European Union.</w:t>
      </w:r>
    </w:p>
    <w:p>
      <w:pPr>
        <w:jc w:val="both"/>
        <w:rPr>
          <w:rFonts w:ascii="Times New Roman" w:hAnsi="Times New Roman"/>
          <w:noProof/>
        </w:rPr>
      </w:pPr>
      <w:r>
        <w:rPr>
          <w:rFonts w:ascii="Times New Roman" w:hAnsi="Times New Roman"/>
          <w:noProof/>
        </w:rPr>
        <w:t xml:space="preserve">European Commission/EACEA/Eurydice, 2015b. </w:t>
      </w:r>
      <w:r>
        <w:rPr>
          <w:rFonts w:ascii="Times New Roman" w:hAnsi="Times New Roman"/>
          <w:i/>
          <w:noProof/>
        </w:rPr>
        <w:t>The European Higher Education Area in 2015: Bologna Process Implementation Report</w:t>
      </w:r>
      <w:r>
        <w:rPr>
          <w:rFonts w:ascii="Times New Roman" w:hAnsi="Times New Roman"/>
          <w:noProof/>
        </w:rPr>
        <w:t>. Luxembourg: Publications Office of the European Union.</w:t>
      </w:r>
    </w:p>
    <w:p>
      <w:pPr>
        <w:spacing w:afterLines="120" w:after="288"/>
        <w:jc w:val="both"/>
        <w:rPr>
          <w:rFonts w:ascii="Times New Roman" w:hAnsi="Times New Roman"/>
          <w:noProof/>
        </w:rPr>
      </w:pPr>
      <w:r>
        <w:rPr>
          <w:rFonts w:ascii="Times New Roman" w:hAnsi="Times New Roman"/>
          <w:noProof/>
        </w:rPr>
        <w:t xml:space="preserve">European Commission/EACEA/Eurydice, 2016a. </w:t>
      </w:r>
      <w:hyperlink r:id="rId116" w:history="1">
        <w:r>
          <w:rPr>
            <w:rStyle w:val="Hyperlink"/>
            <w:rFonts w:ascii="Times New Roman" w:hAnsi="Times New Roman"/>
            <w:i/>
            <w:noProof/>
          </w:rPr>
          <w:t>Compulsory Education in Europe – 2016/17</w:t>
        </w:r>
      </w:hyperlink>
      <w:r>
        <w:rPr>
          <w:rFonts w:ascii="Times New Roman" w:hAnsi="Times New Roman"/>
          <w:i/>
          <w:noProof/>
        </w:rPr>
        <w:t xml:space="preserve">. </w:t>
      </w:r>
      <w:r>
        <w:rPr>
          <w:rFonts w:ascii="Times New Roman" w:hAnsi="Times New Roman"/>
          <w:noProof/>
        </w:rPr>
        <w:t>Eurydice Facts and Figures. Luxembourg: Publications Office of the European Union.</w:t>
      </w:r>
    </w:p>
    <w:p>
      <w:pPr>
        <w:pStyle w:val="Yo1Textpara"/>
        <w:spacing w:before="0" w:afterLines="120" w:after="288" w:line="276" w:lineRule="auto"/>
        <w:rPr>
          <w:noProof/>
          <w:szCs w:val="22"/>
        </w:rPr>
      </w:pPr>
      <w:r>
        <w:rPr>
          <w:noProof/>
          <w:szCs w:val="22"/>
        </w:rPr>
        <w:t xml:space="preserve">European Commission/EACEA/Eurydice, 2016b. </w:t>
      </w:r>
      <w:hyperlink r:id="rId117" w:history="1">
        <w:r>
          <w:rPr>
            <w:rStyle w:val="Hyperlink"/>
            <w:i/>
            <w:noProof/>
            <w:szCs w:val="22"/>
          </w:rPr>
          <w:t>The Structure of the European Education Systems 2016/17: Schematic Diagrams</w:t>
        </w:r>
      </w:hyperlink>
      <w:r>
        <w:rPr>
          <w:noProof/>
          <w:szCs w:val="22"/>
        </w:rPr>
        <w:t>. Eurydice Facts and Figures. Luxembourg: Publications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Commission/EACEA/Eurydice, 2017a. </w:t>
      </w:r>
      <w:r>
        <w:rPr>
          <w:rFonts w:ascii="Times New Roman" w:hAnsi="Times New Roman"/>
          <w:i/>
          <w:noProof/>
          <w:lang w:eastAsia="fr-BE"/>
        </w:rPr>
        <w:t xml:space="preserve">Compulsory Education in Europe – 2017/18. </w:t>
      </w:r>
      <w:r>
        <w:rPr>
          <w:rFonts w:ascii="Times New Roman" w:hAnsi="Times New Roman"/>
          <w:noProof/>
          <w:lang w:eastAsia="fr-BE"/>
        </w:rPr>
        <w:t>Eurydice Facts and Figures. Luxembourg: Publications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Commission/EACEA/Eurydice, 2017b. </w:t>
      </w:r>
      <w:r>
        <w:rPr>
          <w:rFonts w:ascii="Times New Roman" w:hAnsi="Times New Roman"/>
          <w:i/>
          <w:noProof/>
          <w:lang w:eastAsia="fr-BE"/>
        </w:rPr>
        <w:t>Key Data on Teaching Languages at School in Europe – 2017 Edition</w:t>
      </w:r>
      <w:r>
        <w:rPr>
          <w:rFonts w:ascii="Times New Roman" w:hAnsi="Times New Roman"/>
          <w:noProof/>
          <w:lang w:eastAsia="fr-BE"/>
        </w:rPr>
        <w:t>. Eurydice Report. Luxembourg: Publications Office of the European Union.</w:t>
      </w:r>
    </w:p>
    <w:p>
      <w:pPr>
        <w:jc w:val="both"/>
        <w:rPr>
          <w:rFonts w:ascii="Times New Roman" w:hAnsi="Times New Roman"/>
          <w:bCs/>
          <w:caps/>
          <w:noProof/>
          <w:lang w:eastAsia="fr-BE"/>
        </w:rPr>
      </w:pPr>
      <w:r>
        <w:rPr>
          <w:rFonts w:ascii="Times New Roman" w:hAnsi="Times New Roman"/>
          <w:noProof/>
          <w:lang w:eastAsia="fr-BE"/>
        </w:rPr>
        <w:t xml:space="preserve">European Commission/EACEA/Eurydice/Cedefop, 2014. </w:t>
      </w:r>
      <w:r>
        <w:rPr>
          <w:rFonts w:ascii="Times New Roman" w:hAnsi="Times New Roman"/>
          <w:i/>
          <w:noProof/>
          <w:lang w:eastAsia="fr-BE"/>
        </w:rPr>
        <w:t>Tackling Early Leaving from Education and Training in Europe: Strategies, Policies and Measures</w:t>
      </w:r>
      <w:r>
        <w:rPr>
          <w:rFonts w:ascii="Times New Roman" w:hAnsi="Times New Roman"/>
          <w:noProof/>
          <w:lang w:eastAsia="fr-BE"/>
        </w:rPr>
        <w:t>. Eurydice and Cedefop Report. Luxembourg: Publications Office of the European Union.</w:t>
      </w:r>
    </w:p>
    <w:p>
      <w:pPr>
        <w:jc w:val="both"/>
        <w:rPr>
          <w:rFonts w:ascii="Times New Roman" w:hAnsi="Times New Roman"/>
          <w:noProof/>
        </w:rPr>
      </w:pPr>
      <w:r>
        <w:rPr>
          <w:rFonts w:ascii="Times New Roman" w:hAnsi="Times New Roman"/>
          <w:noProof/>
          <w:lang w:val="it-IT"/>
        </w:rPr>
        <w:t xml:space="preserve">European Commission/EACEA/Eurydice/Eurostat, 2014. </w:t>
      </w:r>
      <w:r>
        <w:rPr>
          <w:rFonts w:ascii="Times New Roman" w:hAnsi="Times New Roman"/>
          <w:i/>
          <w:noProof/>
        </w:rPr>
        <w:t xml:space="preserve">Key Data on Early Childhood Education and Care in Europe. 2014 Edition. </w:t>
      </w:r>
      <w:r>
        <w:rPr>
          <w:rFonts w:ascii="Times New Roman" w:hAnsi="Times New Roman"/>
          <w:noProof/>
        </w:rPr>
        <w:t>Eurydice and Eurostat Report. Luxembourg: Publications Office of the European Union.</w:t>
      </w:r>
    </w:p>
    <w:p>
      <w:pPr>
        <w:pStyle w:val="Yo1Textpara"/>
        <w:rPr>
          <w:noProof/>
          <w:szCs w:val="22"/>
        </w:rPr>
      </w:pPr>
      <w:r>
        <w:rPr>
          <w:noProof/>
          <w:szCs w:val="22"/>
          <w:lang w:val="fr-BE"/>
        </w:rPr>
        <w:t xml:space="preserve">European Parliament, 2014. </w:t>
      </w:r>
      <w:r>
        <w:rPr>
          <w:i/>
          <w:noProof/>
          <w:szCs w:val="22"/>
          <w:lang w:val="fr-BE"/>
        </w:rPr>
        <w:t>European elections 2014. Post-elections survey</w:t>
      </w:r>
      <w:r>
        <w:rPr>
          <w:noProof/>
          <w:szCs w:val="22"/>
          <w:lang w:val="fr-BE"/>
        </w:rPr>
        <w:t xml:space="preserve">. </w:t>
      </w:r>
      <w:r>
        <w:rPr>
          <w:noProof/>
          <w:szCs w:val="22"/>
        </w:rPr>
        <w:t xml:space="preserve">[Online] Available at: </w:t>
      </w:r>
      <w:hyperlink r:id="rId118" w:history="1">
        <w:r>
          <w:rPr>
            <w:rStyle w:val="Hyperlink"/>
            <w:noProof/>
            <w:szCs w:val="22"/>
          </w:rPr>
          <w:t>http://www.europarl.europa.eu/pdf/eurobarometre/2014/post/post_ee2014_sociodemographic_annex_en.pdf</w:t>
        </w:r>
      </w:hyperlink>
      <w:r>
        <w:rPr>
          <w:noProof/>
          <w:szCs w:val="22"/>
        </w:rPr>
        <w:t>. [Accessed 2 October 2017].</w:t>
      </w:r>
    </w:p>
    <w:p>
      <w:pPr>
        <w:pStyle w:val="Yo1Textpara"/>
        <w:spacing w:beforeLines="120" w:before="288" w:after="240" w:line="276" w:lineRule="auto"/>
        <w:rPr>
          <w:rFonts w:eastAsia="Times New Roman"/>
          <w:noProof/>
          <w:snapToGrid w:val="0"/>
          <w:szCs w:val="22"/>
          <w:lang w:eastAsia="en-US"/>
        </w:rPr>
      </w:pPr>
      <w:r>
        <w:rPr>
          <w:rFonts w:eastAsia="Times New Roman"/>
          <w:noProof/>
          <w:snapToGrid w:val="0"/>
          <w:szCs w:val="22"/>
          <w:lang w:eastAsia="en-US"/>
        </w:rPr>
        <w:t xml:space="preserve">European Union, 2016. </w:t>
      </w:r>
      <w:r>
        <w:rPr>
          <w:rFonts w:eastAsia="Times New Roman"/>
          <w:i/>
          <w:noProof/>
          <w:snapToGrid w:val="0"/>
          <w:szCs w:val="22"/>
          <w:lang w:eastAsia="en-US"/>
        </w:rPr>
        <w:t>The impact of ICT on job quality: evidence from 12 job profiles</w:t>
      </w:r>
      <w:r>
        <w:rPr>
          <w:rFonts w:eastAsia="Times New Roman"/>
          <w:noProof/>
          <w:snapToGrid w:val="0"/>
          <w:szCs w:val="22"/>
          <w:lang w:eastAsia="en-US"/>
        </w:rPr>
        <w:t xml:space="preserve"> [Online] Available at:</w:t>
      </w:r>
      <w:r>
        <w:rPr>
          <w:noProof/>
          <w:szCs w:val="22"/>
        </w:rPr>
        <w:t xml:space="preserve"> </w:t>
      </w:r>
      <w:hyperlink r:id="rId119" w:history="1">
        <w:r>
          <w:rPr>
            <w:rStyle w:val="Hyperlink"/>
            <w:noProof/>
            <w:szCs w:val="22"/>
          </w:rPr>
          <w:t>http://eskillsjobsspain.com/wp-content/uploads/2016/06/TheimpactofICTonjob.pdf</w:t>
        </w:r>
      </w:hyperlink>
      <w:r>
        <w:rPr>
          <w:rFonts w:eastAsia="Times New Roman"/>
          <w:noProof/>
          <w:snapToGrid w:val="0"/>
          <w:szCs w:val="22"/>
          <w:lang w:eastAsia="en-US"/>
        </w:rPr>
        <w:t xml:space="preserve"> [Accessed 28 November 2017].</w:t>
      </w:r>
    </w:p>
    <w:p>
      <w:pPr>
        <w:pStyle w:val="Yo1Textpara"/>
        <w:spacing w:before="0" w:afterLines="120" w:after="288" w:line="276" w:lineRule="auto"/>
        <w:rPr>
          <w:noProof/>
          <w:szCs w:val="22"/>
        </w:rPr>
      </w:pPr>
      <w:r>
        <w:rPr>
          <w:noProof/>
          <w:szCs w:val="22"/>
        </w:rPr>
        <w:t xml:space="preserve">European Youth Forum, 2013. </w:t>
      </w:r>
      <w:r>
        <w:rPr>
          <w:i/>
          <w:noProof/>
          <w:szCs w:val="22"/>
        </w:rPr>
        <w:t>Policy Paper on Youth Unemployment</w:t>
      </w:r>
      <w:r>
        <w:rPr>
          <w:noProof/>
          <w:szCs w:val="22"/>
        </w:rPr>
        <w:t>. Adopted by the Council of Members on 19-20 April 2013, Brussels, COMEM/GA 0166-13-FINAL.</w:t>
      </w:r>
    </w:p>
    <w:p>
      <w:pPr>
        <w:jc w:val="both"/>
        <w:rPr>
          <w:rFonts w:ascii="Times New Roman" w:hAnsi="Times New Roman"/>
          <w:noProof/>
        </w:rPr>
      </w:pPr>
      <w:r>
        <w:rPr>
          <w:rFonts w:ascii="Times New Roman" w:hAnsi="Times New Roman"/>
          <w:noProof/>
        </w:rPr>
        <w:t xml:space="preserve">Eurostat, 2013. </w:t>
      </w:r>
      <w:r>
        <w:rPr>
          <w:rFonts w:ascii="Times New Roman" w:hAnsi="Times New Roman"/>
          <w:i/>
          <w:noProof/>
        </w:rPr>
        <w:t>European Health Interview Survey (EHIS wave 2): Methodological manual</w:t>
      </w:r>
      <w:r>
        <w:rPr>
          <w:rFonts w:ascii="Times New Roman" w:hAnsi="Times New Roman"/>
          <w:noProof/>
        </w:rPr>
        <w:t>. Luxembourg: Publications Office of the European Union.</w:t>
      </w:r>
    </w:p>
    <w:p>
      <w:pPr>
        <w:jc w:val="both"/>
        <w:rPr>
          <w:rFonts w:ascii="Times New Roman" w:hAnsi="Times New Roman"/>
          <w:noProof/>
          <w:lang w:eastAsia="fr-BE"/>
        </w:rPr>
      </w:pPr>
      <w:r>
        <w:rPr>
          <w:rFonts w:ascii="Times New Roman" w:hAnsi="Times New Roman"/>
          <w:noProof/>
          <w:lang w:eastAsia="fr-BE"/>
        </w:rPr>
        <w:t xml:space="preserve">Eurostat, 2015. </w:t>
      </w:r>
      <w:r>
        <w:rPr>
          <w:rFonts w:ascii="Times New Roman" w:hAnsi="Times New Roman"/>
          <w:i/>
          <w:noProof/>
          <w:lang w:eastAsia="fr-BE"/>
        </w:rPr>
        <w:t>Being young in Europe today</w:t>
      </w:r>
      <w:r>
        <w:rPr>
          <w:rFonts w:ascii="Times New Roman" w:hAnsi="Times New Roman"/>
          <w:noProof/>
          <w:lang w:eastAsia="fr-BE"/>
        </w:rPr>
        <w:t xml:space="preserve">. Luxembourg: Publications Office of the European Union. </w:t>
      </w:r>
    </w:p>
    <w:p>
      <w:pPr>
        <w:spacing w:beforeLines="120" w:before="288" w:after="0"/>
        <w:jc w:val="both"/>
        <w:rPr>
          <w:rFonts w:ascii="Times New Roman" w:hAnsi="Times New Roman"/>
          <w:noProof/>
        </w:rPr>
      </w:pPr>
      <w:r>
        <w:rPr>
          <w:rFonts w:ascii="Times New Roman" w:hAnsi="Times New Roman"/>
          <w:noProof/>
        </w:rPr>
        <w:t xml:space="preserve">Eurostat, 2017a. </w:t>
      </w:r>
      <w:r>
        <w:rPr>
          <w:rFonts w:ascii="Times New Roman" w:hAnsi="Times New Roman"/>
          <w:i/>
          <w:noProof/>
        </w:rPr>
        <w:t>Culture statistics - use of ICT for cultural purposes</w:t>
      </w:r>
      <w:r>
        <w:rPr>
          <w:rFonts w:ascii="Times New Roman" w:hAnsi="Times New Roman"/>
          <w:noProof/>
        </w:rPr>
        <w:t xml:space="preserve">  [Online] Available at: </w:t>
      </w:r>
      <w:hyperlink r:id="rId120" w:history="1">
        <w:r>
          <w:rPr>
            <w:rStyle w:val="Hyperlink"/>
            <w:rFonts w:ascii="Times New Roman" w:hAnsi="Times New Roman"/>
            <w:noProof/>
            <w:lang w:eastAsia="fr-BE"/>
          </w:rPr>
          <w:t>http://ec.europa.eu/eurostat/statistics-explained/index.php/Culture_statistics_-_use_of_ICT_for_cultural_purposes</w:t>
        </w:r>
      </w:hyperlink>
      <w:r>
        <w:rPr>
          <w:rFonts w:ascii="Times New Roman" w:hAnsi="Times New Roman"/>
          <w:noProof/>
        </w:rPr>
        <w:t xml:space="preserve">  [Accessed 28 November 2017].</w:t>
      </w:r>
    </w:p>
    <w:p>
      <w:pPr>
        <w:spacing w:beforeLines="120" w:before="288"/>
        <w:jc w:val="both"/>
        <w:rPr>
          <w:rFonts w:ascii="Times New Roman" w:hAnsi="Times New Roman"/>
          <w:noProof/>
        </w:rPr>
      </w:pPr>
      <w:r>
        <w:rPr>
          <w:rFonts w:ascii="Times New Roman" w:hAnsi="Times New Roman"/>
          <w:noProof/>
        </w:rPr>
        <w:t xml:space="preserve">Eurostat, 2017b. </w:t>
      </w:r>
      <w:r>
        <w:rPr>
          <w:rFonts w:ascii="Times New Roman" w:hAnsi="Times New Roman"/>
          <w:i/>
          <w:noProof/>
        </w:rPr>
        <w:t>Digital economy &amp; society in the EU</w:t>
      </w:r>
      <w:r>
        <w:rPr>
          <w:rFonts w:ascii="Times New Roman" w:hAnsi="Times New Roman"/>
          <w:noProof/>
        </w:rPr>
        <w:t xml:space="preserve"> [Online] Available at:  </w:t>
      </w:r>
      <w:hyperlink r:id="rId121" w:history="1">
        <w:r>
          <w:rPr>
            <w:rStyle w:val="Hyperlink"/>
            <w:rFonts w:ascii="Times New Roman" w:hAnsi="Times New Roman"/>
            <w:noProof/>
            <w:lang w:eastAsia="fr-BE"/>
          </w:rPr>
          <w:t>http://ec.europa.eu/eurostat/cache/infographs/ict/index.html</w:t>
        </w:r>
      </w:hyperlink>
      <w:r>
        <w:rPr>
          <w:rFonts w:ascii="Times New Roman" w:hAnsi="Times New Roman"/>
          <w:noProof/>
        </w:rPr>
        <w:t xml:space="preserve"> [Accessed 5 December  2017].</w:t>
      </w:r>
    </w:p>
    <w:p>
      <w:pPr>
        <w:jc w:val="both"/>
        <w:rPr>
          <w:rFonts w:ascii="Times New Roman" w:hAnsi="Times New Roman"/>
          <w:noProof/>
          <w:lang w:eastAsia="fr-BE"/>
        </w:rPr>
      </w:pPr>
      <w:r>
        <w:rPr>
          <w:rFonts w:ascii="Times New Roman" w:hAnsi="Times New Roman"/>
          <w:noProof/>
          <w:lang w:eastAsia="fr-BE"/>
        </w:rPr>
        <w:t xml:space="preserve">Eurostat, 2017c. Employment statistics. </w:t>
      </w:r>
      <w:r>
        <w:rPr>
          <w:rFonts w:ascii="Times New Roman" w:hAnsi="Times New Roman"/>
          <w:noProof/>
        </w:rPr>
        <w:t xml:space="preserve">[Online] Available at: </w:t>
      </w:r>
      <w:hyperlink r:id="rId122" w:history="1">
        <w:r>
          <w:rPr>
            <w:rStyle w:val="Hyperlink"/>
            <w:rFonts w:ascii="Times New Roman" w:hAnsi="Times New Roman"/>
            <w:noProof/>
            <w:lang w:eastAsia="fr-BE"/>
          </w:rPr>
          <w:t>http://ec.europa.eu/eurostat/statistics-explained/index.php/Employment_statistics</w:t>
        </w:r>
      </w:hyperlink>
      <w:r>
        <w:rPr>
          <w:rFonts w:ascii="Times New Roman" w:hAnsi="Times New Roman"/>
          <w:noProof/>
          <w:lang w:eastAsia="fr-BE"/>
        </w:rPr>
        <w:t xml:space="preserve"> [Accessed 19 September 2017].</w:t>
      </w:r>
    </w:p>
    <w:p>
      <w:pPr>
        <w:jc w:val="both"/>
        <w:rPr>
          <w:rFonts w:ascii="Times New Roman" w:hAnsi="Times New Roman"/>
          <w:noProof/>
        </w:rPr>
      </w:pPr>
      <w:r>
        <w:rPr>
          <w:rFonts w:ascii="Times New Roman" w:hAnsi="Times New Roman"/>
          <w:noProof/>
        </w:rPr>
        <w:t xml:space="preserve">Eurostat, 2017d. </w:t>
      </w:r>
      <w:r>
        <w:rPr>
          <w:rFonts w:ascii="Times New Roman" w:hAnsi="Times New Roman"/>
          <w:i/>
          <w:noProof/>
        </w:rPr>
        <w:t>Health Glossary</w:t>
      </w:r>
      <w:r>
        <w:rPr>
          <w:rFonts w:ascii="Times New Roman" w:hAnsi="Times New Roman"/>
          <w:noProof/>
        </w:rPr>
        <w:t xml:space="preserve"> [Online] Available at: </w:t>
      </w:r>
      <w:hyperlink r:id="rId123" w:history="1">
        <w:r>
          <w:rPr>
            <w:rStyle w:val="Hyperlink"/>
            <w:rFonts w:ascii="Times New Roman" w:hAnsi="Times New Roman"/>
            <w:noProof/>
            <w:lang w:eastAsia="fr-BE"/>
          </w:rPr>
          <w:t>http://ec.europa.eu/eurostat/statistics-explained/index.php/Category:Health_glossary</w:t>
        </w:r>
      </w:hyperlink>
      <w:r>
        <w:rPr>
          <w:rFonts w:ascii="Times New Roman" w:hAnsi="Times New Roman"/>
          <w:noProof/>
        </w:rPr>
        <w:t xml:space="preserve"> [Accessed 12 July 2017].</w:t>
      </w:r>
    </w:p>
    <w:p>
      <w:pPr>
        <w:pStyle w:val="FootnoteText"/>
        <w:spacing w:afterLines="120" w:after="288"/>
        <w:rPr>
          <w:rFonts w:ascii="Times New Roman" w:hAnsi="Times New Roman"/>
          <w:noProof/>
          <w:sz w:val="22"/>
          <w:szCs w:val="22"/>
          <w:lang w:val="en-GB"/>
        </w:rPr>
      </w:pPr>
      <w:r>
        <w:rPr>
          <w:rFonts w:ascii="Times New Roman" w:hAnsi="Times New Roman"/>
          <w:noProof/>
          <w:sz w:val="22"/>
          <w:szCs w:val="22"/>
          <w:lang w:val="en-GB"/>
        </w:rPr>
        <w:t xml:space="preserve">Eurostat, 2017e. LFS main indicators (lfsi): Reference Metadata in Euro SDMX Metadata Structure (ESMS). [Online] Available at: </w:t>
      </w:r>
      <w:hyperlink r:id="rId124" w:history="1">
        <w:r>
          <w:rPr>
            <w:rStyle w:val="Hyperlink"/>
            <w:rFonts w:ascii="Times New Roman" w:hAnsi="Times New Roman"/>
            <w:noProof/>
            <w:sz w:val="22"/>
            <w:szCs w:val="22"/>
            <w:lang w:val="en-GB" w:eastAsia="fr-BE"/>
          </w:rPr>
          <w:t>http://ec.europa.eu/eurostat/cache/metadata/en/lfsi_esms.htm</w:t>
        </w:r>
      </w:hyperlink>
      <w:r>
        <w:rPr>
          <w:rFonts w:ascii="Times New Roman" w:hAnsi="Times New Roman"/>
          <w:noProof/>
          <w:sz w:val="22"/>
          <w:szCs w:val="22"/>
          <w:lang w:val="en-GB"/>
        </w:rPr>
        <w:t xml:space="preserve"> [Accessed 19 September 2017].</w:t>
      </w:r>
    </w:p>
    <w:p>
      <w:pPr>
        <w:spacing w:afterLines="120" w:after="288"/>
        <w:jc w:val="both"/>
        <w:rPr>
          <w:rFonts w:ascii="Times New Roman" w:hAnsi="Times New Roman"/>
          <w:noProof/>
          <w:lang w:eastAsia="fr-BE"/>
        </w:rPr>
      </w:pPr>
      <w:r>
        <w:rPr>
          <w:rFonts w:ascii="Times New Roman" w:hAnsi="Times New Roman"/>
          <w:noProof/>
          <w:lang w:eastAsia="fr-BE"/>
        </w:rPr>
        <w:t xml:space="preserve">Eurostat, 2017f. Participation of young people in education and the labour market. [Online] Available at: </w:t>
      </w:r>
      <w:hyperlink r:id="rId125" w:history="1">
        <w:r>
          <w:rPr>
            <w:rStyle w:val="Hyperlink"/>
            <w:rFonts w:ascii="Times New Roman" w:hAnsi="Times New Roman"/>
            <w:noProof/>
            <w:lang w:eastAsia="fr-BE"/>
          </w:rPr>
          <w:t>http://ec.europa.eu/eurostat/statistics-explained/index.php/Participation_of_young_people_in_education_and_the_labour_market</w:t>
        </w:r>
      </w:hyperlink>
      <w:r>
        <w:rPr>
          <w:rStyle w:val="Hyperlink"/>
          <w:rFonts w:ascii="Times New Roman" w:hAnsi="Times New Roman"/>
          <w:noProof/>
        </w:rPr>
        <w:t xml:space="preserve"> </w:t>
      </w:r>
      <w:r>
        <w:rPr>
          <w:rFonts w:ascii="Times New Roman" w:hAnsi="Times New Roman"/>
          <w:noProof/>
          <w:lang w:eastAsia="fr-BE"/>
        </w:rPr>
        <w:t>[Accessed 19 September 2017].</w:t>
      </w:r>
    </w:p>
    <w:p>
      <w:pPr>
        <w:spacing w:afterLines="120" w:after="288"/>
        <w:jc w:val="both"/>
        <w:rPr>
          <w:rFonts w:ascii="Times New Roman" w:hAnsi="Times New Roman"/>
          <w:noProof/>
          <w:lang w:eastAsia="fr-BE"/>
        </w:rPr>
      </w:pPr>
      <w:r>
        <w:rPr>
          <w:rFonts w:ascii="Times New Roman" w:hAnsi="Times New Roman"/>
          <w:noProof/>
          <w:lang w:eastAsia="fr-BE"/>
        </w:rPr>
        <w:t>Eurostat, 2017g. People outside the labour market.</w:t>
      </w:r>
      <w:r>
        <w:rPr>
          <w:rFonts w:ascii="Times New Roman" w:hAnsi="Times New Roman"/>
          <w:noProof/>
        </w:rPr>
        <w:t xml:space="preserve"> </w:t>
      </w:r>
      <w:r>
        <w:rPr>
          <w:rFonts w:ascii="Times New Roman" w:hAnsi="Times New Roman"/>
          <w:noProof/>
          <w:lang w:eastAsia="fr-BE"/>
        </w:rPr>
        <w:t xml:space="preserve">[Online] Available at: </w:t>
      </w:r>
      <w:hyperlink r:id="rId126" w:history="1">
        <w:r>
          <w:rPr>
            <w:rStyle w:val="Hyperlink"/>
            <w:rFonts w:ascii="Times New Roman" w:hAnsi="Times New Roman"/>
            <w:noProof/>
            <w:lang w:eastAsia="fr-BE"/>
          </w:rPr>
          <w:t>http://ec.europa.eu/eurostat/statistics-explained/index.php/People_outside_the_labour_market</w:t>
        </w:r>
      </w:hyperlink>
      <w:r>
        <w:rPr>
          <w:rFonts w:ascii="Times New Roman" w:hAnsi="Times New Roman"/>
          <w:noProof/>
          <w:lang w:eastAsia="fr-BE"/>
        </w:rPr>
        <w:t xml:space="preserve"> [Accessed 19 September 2017].</w:t>
      </w:r>
    </w:p>
    <w:p>
      <w:pPr>
        <w:jc w:val="both"/>
        <w:rPr>
          <w:rFonts w:ascii="Times New Roman" w:hAnsi="Times New Roman"/>
          <w:noProof/>
        </w:rPr>
      </w:pPr>
      <w:r>
        <w:rPr>
          <w:rFonts w:ascii="Times New Roman" w:hAnsi="Times New Roman"/>
          <w:noProof/>
        </w:rPr>
        <w:t xml:space="preserve">Eurostat, 2018a. Digital skills of individuals [Online] Available at: </w:t>
      </w:r>
      <w:hyperlink r:id="rId127" w:history="1">
        <w:r>
          <w:rPr>
            <w:rStyle w:val="Hyperlink"/>
            <w:rFonts w:ascii="Times New Roman" w:hAnsi="Times New Roman"/>
            <w:noProof/>
          </w:rPr>
          <w:t>http://ec.europa.eu/eurostat/cache/metadata/en/tepsr_sp410_esmsip.htm</w:t>
        </w:r>
      </w:hyperlink>
      <w:r>
        <w:rPr>
          <w:rFonts w:ascii="Times New Roman" w:hAnsi="Times New Roman"/>
          <w:noProof/>
        </w:rPr>
        <w:t xml:space="preserve"> [Accessed 9 March 2018].</w:t>
      </w:r>
    </w:p>
    <w:p>
      <w:pPr>
        <w:pStyle w:val="Yo1Textpara"/>
        <w:spacing w:before="0" w:after="200" w:line="276" w:lineRule="auto"/>
        <w:rPr>
          <w:noProof/>
          <w:szCs w:val="22"/>
        </w:rPr>
      </w:pPr>
      <w:r>
        <w:rPr>
          <w:noProof/>
          <w:szCs w:val="22"/>
        </w:rPr>
        <w:t xml:space="preserve">Eurostat, 2018b. </w:t>
      </w:r>
      <w:r>
        <w:rPr>
          <w:i/>
          <w:noProof/>
          <w:szCs w:val="22"/>
        </w:rPr>
        <w:t>Europe 2020 indicators - poverty and social exclusion</w:t>
      </w:r>
      <w:r>
        <w:rPr>
          <w:noProof/>
          <w:szCs w:val="22"/>
        </w:rPr>
        <w:t xml:space="preserve">. [Online] Available at: </w:t>
      </w:r>
      <w:hyperlink r:id="rId128" w:history="1">
        <w:r>
          <w:rPr>
            <w:rStyle w:val="Hyperlink"/>
            <w:noProof/>
            <w:szCs w:val="22"/>
          </w:rPr>
          <w:t>http://ec.europa.eu/eurostat/statistics-explained/index.php/Europe_2020_indicators_-_poverty_and_social_exclusion</w:t>
        </w:r>
      </w:hyperlink>
      <w:r>
        <w:rPr>
          <w:noProof/>
          <w:szCs w:val="22"/>
        </w:rPr>
        <w:t xml:space="preserve"> [Accessed 15 June 2017].</w:t>
      </w:r>
    </w:p>
    <w:p>
      <w:pPr>
        <w:jc w:val="both"/>
        <w:rPr>
          <w:rFonts w:ascii="Times New Roman" w:hAnsi="Times New Roman"/>
          <w:noProof/>
        </w:rPr>
      </w:pPr>
      <w:r>
        <w:rPr>
          <w:rFonts w:ascii="Times New Roman" w:hAnsi="Times New Roman"/>
          <w:noProof/>
        </w:rPr>
        <w:t xml:space="preserve">Eurostat, 2018c. </w:t>
      </w:r>
      <w:r>
        <w:rPr>
          <w:rFonts w:ascii="Times New Roman" w:hAnsi="Times New Roman"/>
          <w:i/>
          <w:noProof/>
        </w:rPr>
        <w:t>Glossary: At-risk-of-poverty rate</w:t>
      </w:r>
      <w:r>
        <w:rPr>
          <w:rFonts w:ascii="Times New Roman" w:hAnsi="Times New Roman"/>
          <w:noProof/>
        </w:rPr>
        <w:t xml:space="preserve">. [Online] Available at: </w:t>
      </w:r>
      <w:hyperlink r:id="rId129" w:history="1">
        <w:r>
          <w:rPr>
            <w:rStyle w:val="Hyperlink"/>
            <w:rFonts w:ascii="Times New Roman" w:hAnsi="Times New Roman"/>
            <w:noProof/>
            <w:lang w:eastAsia="fr-BE"/>
          </w:rPr>
          <w:t>http://ec.europa.eu/eurostat/statistics-explained/index.php/Glossary:At-risk-of-poverty_threshold</w:t>
        </w:r>
      </w:hyperlink>
      <w:r>
        <w:rPr>
          <w:rFonts w:ascii="Times New Roman" w:hAnsi="Times New Roman"/>
          <w:noProof/>
        </w:rPr>
        <w:t xml:space="preserve"> [Accessed: 15 June 2017].</w:t>
      </w:r>
    </w:p>
    <w:p>
      <w:pPr>
        <w:jc w:val="both"/>
        <w:rPr>
          <w:rFonts w:ascii="Times New Roman" w:hAnsi="Times New Roman"/>
          <w:noProof/>
        </w:rPr>
      </w:pPr>
      <w:r>
        <w:rPr>
          <w:rFonts w:ascii="Times New Roman" w:hAnsi="Times New Roman"/>
          <w:noProof/>
        </w:rPr>
        <w:t xml:space="preserve">Eurostat, 2018d. </w:t>
      </w:r>
      <w:r>
        <w:rPr>
          <w:rFonts w:ascii="Times New Roman" w:hAnsi="Times New Roman"/>
          <w:i/>
          <w:noProof/>
        </w:rPr>
        <w:t>Glossary: Equivalised disposable income</w:t>
      </w:r>
      <w:r>
        <w:rPr>
          <w:rFonts w:ascii="Times New Roman" w:hAnsi="Times New Roman"/>
          <w:noProof/>
        </w:rPr>
        <w:t xml:space="preserve">. [Online] Available at: </w:t>
      </w:r>
      <w:hyperlink r:id="rId130" w:history="1">
        <w:r>
          <w:rPr>
            <w:rStyle w:val="Hyperlink"/>
            <w:rFonts w:ascii="Times New Roman" w:hAnsi="Times New Roman"/>
            <w:noProof/>
            <w:lang w:eastAsia="fr-BE"/>
          </w:rPr>
          <w:t>http://ec.europa.eu/eurostat/statistics-explained/index.php/Glossary:Equivalised_disposable_income</w:t>
        </w:r>
      </w:hyperlink>
      <w:r>
        <w:rPr>
          <w:rFonts w:ascii="Times New Roman" w:hAnsi="Times New Roman"/>
          <w:noProof/>
        </w:rPr>
        <w:t xml:space="preserve"> [Accessed: 15 June 2017].</w:t>
      </w:r>
    </w:p>
    <w:p>
      <w:pPr>
        <w:jc w:val="both"/>
        <w:rPr>
          <w:rFonts w:ascii="Times New Roman" w:hAnsi="Times New Roman"/>
          <w:noProof/>
        </w:rPr>
      </w:pPr>
      <w:r>
        <w:rPr>
          <w:rFonts w:ascii="Times New Roman" w:hAnsi="Times New Roman"/>
          <w:noProof/>
        </w:rPr>
        <w:t xml:space="preserve">Eurostat, 2018e. </w:t>
      </w:r>
      <w:r>
        <w:rPr>
          <w:rFonts w:ascii="Times New Roman" w:hAnsi="Times New Roman"/>
          <w:i/>
          <w:noProof/>
        </w:rPr>
        <w:t>Glossary: Housing cost overburden rate</w:t>
      </w:r>
      <w:r>
        <w:rPr>
          <w:rFonts w:ascii="Times New Roman" w:hAnsi="Times New Roman"/>
          <w:noProof/>
        </w:rPr>
        <w:t xml:space="preserve">. [Online] Available at: </w:t>
      </w:r>
      <w:hyperlink r:id="rId131" w:history="1">
        <w:r>
          <w:rPr>
            <w:rStyle w:val="Hyperlink"/>
            <w:rFonts w:ascii="Times New Roman" w:hAnsi="Times New Roman"/>
            <w:noProof/>
            <w:lang w:eastAsia="fr-BE"/>
          </w:rPr>
          <w:t>http://ec.europa.eu/eurostat/statistics-explained/index.php/Glossary:Housing_cost_overburden_rate</w:t>
        </w:r>
      </w:hyperlink>
      <w:r>
        <w:rPr>
          <w:rFonts w:ascii="Times New Roman" w:hAnsi="Times New Roman"/>
          <w:noProof/>
        </w:rPr>
        <w:t xml:space="preserve"> [Accessed: 9 January 2018].</w:t>
      </w:r>
    </w:p>
    <w:p>
      <w:pPr>
        <w:jc w:val="both"/>
        <w:rPr>
          <w:rFonts w:ascii="Times New Roman" w:hAnsi="Times New Roman"/>
          <w:noProof/>
        </w:rPr>
      </w:pPr>
      <w:r>
        <w:rPr>
          <w:rFonts w:ascii="Times New Roman" w:hAnsi="Times New Roman"/>
          <w:noProof/>
        </w:rPr>
        <w:t xml:space="preserve">Eurostat, 2018f. </w:t>
      </w:r>
      <w:r>
        <w:rPr>
          <w:rFonts w:ascii="Times New Roman" w:hAnsi="Times New Roman"/>
          <w:i/>
          <w:noProof/>
        </w:rPr>
        <w:t>Glossary: Material deprivation</w:t>
      </w:r>
      <w:r>
        <w:rPr>
          <w:rFonts w:ascii="Times New Roman" w:hAnsi="Times New Roman"/>
          <w:noProof/>
        </w:rPr>
        <w:t xml:space="preserve">. [Online] Available at: </w:t>
      </w:r>
      <w:hyperlink r:id="rId132" w:history="1">
        <w:r>
          <w:rPr>
            <w:rStyle w:val="Hyperlink"/>
            <w:rFonts w:ascii="Times New Roman" w:hAnsi="Times New Roman"/>
            <w:noProof/>
            <w:lang w:eastAsia="fr-BE"/>
          </w:rPr>
          <w:t>http://ec.europa.eu/eurostat/statistics-explained/index.php/Glossary:Material_deprivation</w:t>
        </w:r>
      </w:hyperlink>
      <w:r>
        <w:rPr>
          <w:rFonts w:ascii="Times New Roman" w:hAnsi="Times New Roman"/>
          <w:noProof/>
        </w:rPr>
        <w:t xml:space="preserve"> [Accessed: 15 June 2017].</w:t>
      </w:r>
    </w:p>
    <w:p>
      <w:pPr>
        <w:jc w:val="both"/>
        <w:rPr>
          <w:rFonts w:ascii="Times New Roman" w:hAnsi="Times New Roman"/>
          <w:noProof/>
        </w:rPr>
      </w:pPr>
      <w:r>
        <w:rPr>
          <w:rFonts w:ascii="Times New Roman" w:hAnsi="Times New Roman"/>
          <w:noProof/>
        </w:rPr>
        <w:t xml:space="preserve">Eurostat, 2018g. </w:t>
      </w:r>
      <w:r>
        <w:rPr>
          <w:rFonts w:ascii="Times New Roman" w:hAnsi="Times New Roman"/>
          <w:i/>
          <w:noProof/>
        </w:rPr>
        <w:t>Glossary: Overcrowding rate</w:t>
      </w:r>
      <w:r>
        <w:rPr>
          <w:rFonts w:ascii="Times New Roman" w:hAnsi="Times New Roman"/>
          <w:noProof/>
        </w:rPr>
        <w:t xml:space="preserve">. [Online] Available at: </w:t>
      </w:r>
      <w:hyperlink r:id="rId133" w:history="1">
        <w:r>
          <w:rPr>
            <w:rStyle w:val="Hyperlink"/>
            <w:rFonts w:ascii="Times New Roman" w:hAnsi="Times New Roman"/>
            <w:noProof/>
            <w:lang w:eastAsia="fr-BE"/>
          </w:rPr>
          <w:t>http://ec.europa.eu/eurostat/statistics-explained/index.php/Glossary:Overcrowded</w:t>
        </w:r>
      </w:hyperlink>
      <w:r>
        <w:rPr>
          <w:rFonts w:ascii="Times New Roman" w:hAnsi="Times New Roman"/>
          <w:noProof/>
        </w:rPr>
        <w:t xml:space="preserve"> [Accessed: 9 January 2018]. </w:t>
      </w:r>
    </w:p>
    <w:p>
      <w:pPr>
        <w:jc w:val="both"/>
        <w:rPr>
          <w:rFonts w:ascii="Times New Roman" w:hAnsi="Times New Roman"/>
          <w:noProof/>
        </w:rPr>
      </w:pPr>
      <w:r>
        <w:rPr>
          <w:rFonts w:ascii="Times New Roman" w:hAnsi="Times New Roman"/>
          <w:noProof/>
        </w:rPr>
        <w:t xml:space="preserve">Eurostat, 2018h. </w:t>
      </w:r>
      <w:r>
        <w:rPr>
          <w:rFonts w:ascii="Times New Roman" w:hAnsi="Times New Roman"/>
          <w:i/>
          <w:noProof/>
        </w:rPr>
        <w:t>Glossary: Persons living in households with low work intensity</w:t>
      </w:r>
      <w:r>
        <w:rPr>
          <w:rFonts w:ascii="Times New Roman" w:hAnsi="Times New Roman"/>
          <w:noProof/>
        </w:rPr>
        <w:t xml:space="preserve">. [Online] Available at: </w:t>
      </w:r>
      <w:hyperlink r:id="rId134" w:history="1">
        <w:r>
          <w:rPr>
            <w:rStyle w:val="Hyperlink"/>
            <w:rFonts w:ascii="Times New Roman" w:hAnsi="Times New Roman"/>
            <w:noProof/>
            <w:lang w:eastAsia="fr-BE"/>
          </w:rPr>
          <w:t>http://ec.europa.eu/eurostat/statistics-explained/index.php/Glossary:Work_intensity</w:t>
        </w:r>
      </w:hyperlink>
      <w:r>
        <w:rPr>
          <w:rFonts w:ascii="Times New Roman" w:hAnsi="Times New Roman"/>
          <w:noProof/>
        </w:rPr>
        <w:t xml:space="preserve"> [Accessed: 8 January 2018]. </w:t>
      </w:r>
    </w:p>
    <w:p>
      <w:pPr>
        <w:jc w:val="both"/>
        <w:rPr>
          <w:rFonts w:ascii="Times New Roman" w:hAnsi="Times New Roman"/>
          <w:noProof/>
        </w:rPr>
      </w:pPr>
      <w:r>
        <w:rPr>
          <w:rFonts w:ascii="Times New Roman" w:hAnsi="Times New Roman"/>
          <w:noProof/>
        </w:rPr>
        <w:t xml:space="preserve">Eurostat, 2018i. </w:t>
      </w:r>
      <w:r>
        <w:rPr>
          <w:rFonts w:ascii="Times New Roman" w:hAnsi="Times New Roman"/>
          <w:i/>
          <w:noProof/>
        </w:rPr>
        <w:t>Glossary: Severe housing deprivation rate</w:t>
      </w:r>
      <w:r>
        <w:rPr>
          <w:rFonts w:ascii="Times New Roman" w:hAnsi="Times New Roman"/>
          <w:noProof/>
        </w:rPr>
        <w:t xml:space="preserve">. [Online] Available at:  </w:t>
      </w:r>
      <w:hyperlink r:id="rId135" w:history="1">
        <w:r>
          <w:rPr>
            <w:rStyle w:val="Hyperlink"/>
            <w:rFonts w:ascii="Times New Roman" w:hAnsi="Times New Roman"/>
            <w:noProof/>
            <w:lang w:eastAsia="fr-BE"/>
          </w:rPr>
          <w:t>http://ec.europa.eu/eurostat/statistics-explained/index.php/Glossary:Severe_housing_deprivation_rate</w:t>
        </w:r>
      </w:hyperlink>
      <w:r>
        <w:rPr>
          <w:rFonts w:ascii="Times New Roman" w:hAnsi="Times New Roman"/>
          <w:noProof/>
        </w:rPr>
        <w:t xml:space="preserve">  [Accessed: 9 January 2018]. </w:t>
      </w:r>
    </w:p>
    <w:p>
      <w:pPr>
        <w:spacing w:afterLines="120" w:after="288"/>
        <w:jc w:val="both"/>
        <w:rPr>
          <w:rFonts w:ascii="Times New Roman" w:hAnsi="Times New Roman"/>
          <w:noProof/>
          <w:lang w:eastAsia="fr-BE"/>
        </w:rPr>
      </w:pPr>
      <w:r>
        <w:rPr>
          <w:rFonts w:ascii="Times New Roman" w:hAnsi="Times New Roman"/>
          <w:noProof/>
          <w:lang w:eastAsia="fr-BE"/>
        </w:rPr>
        <w:t xml:space="preserve">Fagan, C. et al., 2015. </w:t>
      </w:r>
      <w:r>
        <w:rPr>
          <w:rFonts w:ascii="Times New Roman" w:hAnsi="Times New Roman"/>
          <w:i/>
          <w:noProof/>
          <w:lang w:eastAsia="fr-BE"/>
        </w:rPr>
        <w:t>In search of good quality part-time employment.</w:t>
      </w:r>
      <w:r>
        <w:rPr>
          <w:rFonts w:ascii="Times New Roman" w:hAnsi="Times New Roman"/>
          <w:noProof/>
          <w:lang w:eastAsia="fr-BE"/>
        </w:rPr>
        <w:t xml:space="preserve"> ILO: Conditions of Work and Employment Series No. 43. </w:t>
      </w:r>
      <w:r>
        <w:rPr>
          <w:rFonts w:ascii="Times New Roman" w:hAnsi="Times New Roman"/>
          <w:noProof/>
        </w:rPr>
        <w:t xml:space="preserve">[Online] Available at: </w:t>
      </w:r>
      <w:hyperlink r:id="rId136" w:history="1">
        <w:r>
          <w:rPr>
            <w:rStyle w:val="Hyperlink"/>
            <w:rFonts w:ascii="Times New Roman" w:hAnsi="Times New Roman"/>
            <w:noProof/>
            <w:lang w:eastAsia="fr-BE"/>
          </w:rPr>
          <w:t>https://www.researchgate.net/profile/Mark_Smith21/publication/262181237_In_search_of_good_quality_part-time_employment_an_international_review/links/54b643300cf26833efd36a49.pdf</w:t>
        </w:r>
      </w:hyperlink>
      <w:r>
        <w:rPr>
          <w:rFonts w:ascii="Times New Roman" w:hAnsi="Times New Roman"/>
          <w:noProof/>
        </w:rPr>
        <w:t xml:space="preserve"> </w:t>
      </w:r>
      <w:r>
        <w:rPr>
          <w:rFonts w:ascii="Times New Roman" w:hAnsi="Times New Roman"/>
          <w:noProof/>
          <w:lang w:eastAsia="fr-BE"/>
        </w:rPr>
        <w:t>[Accessed 19 September 2017].</w:t>
      </w:r>
    </w:p>
    <w:p>
      <w:pPr>
        <w:pStyle w:val="FootnoteText"/>
        <w:spacing w:afterLines="120" w:after="288"/>
        <w:rPr>
          <w:rFonts w:ascii="Times New Roman" w:hAnsi="Times New Roman"/>
          <w:noProof/>
          <w:sz w:val="22"/>
          <w:szCs w:val="22"/>
          <w:lang w:val="en-GB"/>
        </w:rPr>
      </w:pPr>
      <w:r>
        <w:rPr>
          <w:rFonts w:ascii="Times New Roman" w:hAnsi="Times New Roman"/>
          <w:noProof/>
          <w:sz w:val="22"/>
          <w:szCs w:val="22"/>
          <w:lang w:val="en-GB"/>
        </w:rPr>
        <w:t xml:space="preserve">Fairlie, R.W. and Fossen, F.M. 2017. </w:t>
      </w:r>
      <w:r>
        <w:rPr>
          <w:rFonts w:ascii="Times New Roman" w:hAnsi="Times New Roman"/>
          <w:i/>
          <w:noProof/>
          <w:sz w:val="22"/>
          <w:szCs w:val="22"/>
          <w:lang w:val="en-GB"/>
        </w:rPr>
        <w:t>Opportunity versus Necessity Entrepreneurship: Two Components of Business Creation</w:t>
      </w:r>
      <w:r>
        <w:rPr>
          <w:rFonts w:ascii="Times New Roman" w:hAnsi="Times New Roman"/>
          <w:noProof/>
          <w:sz w:val="22"/>
          <w:szCs w:val="22"/>
          <w:lang w:val="en-GB"/>
        </w:rPr>
        <w:t xml:space="preserve">. Discussion Paper No. 17-014 by the Stanford Institute for Economic Policy Research [Online] Available at: </w:t>
      </w:r>
      <w:hyperlink r:id="rId137" w:history="1">
        <w:r>
          <w:rPr>
            <w:rStyle w:val="Hyperlink"/>
            <w:rFonts w:ascii="Times New Roman" w:hAnsi="Times New Roman"/>
            <w:noProof/>
            <w:sz w:val="22"/>
            <w:szCs w:val="22"/>
            <w:lang w:val="en-GB" w:eastAsia="fr-BE"/>
          </w:rPr>
          <w:t>https://siepr.stanford.edu/sites/default/files/publications/17-014.pdf</w:t>
        </w:r>
      </w:hyperlink>
      <w:r>
        <w:rPr>
          <w:rFonts w:ascii="Times New Roman" w:hAnsi="Times New Roman"/>
          <w:noProof/>
          <w:sz w:val="22"/>
          <w:szCs w:val="22"/>
          <w:lang w:val="en-GB"/>
        </w:rPr>
        <w:t xml:space="preserve"> [Accessed 19 December 2017].</w:t>
      </w:r>
    </w:p>
    <w:p>
      <w:pPr>
        <w:pStyle w:val="FootnoteText"/>
        <w:spacing w:afterLines="120" w:after="288"/>
        <w:rPr>
          <w:rFonts w:ascii="Times New Roman" w:hAnsi="Times New Roman"/>
          <w:noProof/>
          <w:sz w:val="22"/>
          <w:szCs w:val="22"/>
          <w:lang w:val="en-GB"/>
        </w:rPr>
      </w:pPr>
      <w:r>
        <w:rPr>
          <w:rFonts w:ascii="Times New Roman" w:hAnsi="Times New Roman"/>
          <w:noProof/>
          <w:sz w:val="22"/>
          <w:szCs w:val="22"/>
          <w:lang w:val="nn-NO"/>
        </w:rPr>
        <w:t xml:space="preserve">Farré, L., Fasani, F. and Mueller, H. F., 2015. </w:t>
      </w:r>
      <w:r>
        <w:rPr>
          <w:rFonts w:ascii="Times New Roman" w:hAnsi="Times New Roman"/>
          <w:i/>
          <w:noProof/>
          <w:sz w:val="22"/>
          <w:szCs w:val="22"/>
          <w:lang w:val="en-GB"/>
        </w:rPr>
        <w:t>Feeling Useless: The Effect of Unemployment on Mental Health in the Great Recession</w:t>
      </w:r>
      <w:r>
        <w:rPr>
          <w:rFonts w:ascii="Times New Roman" w:hAnsi="Times New Roman"/>
          <w:noProof/>
          <w:sz w:val="22"/>
          <w:szCs w:val="22"/>
          <w:lang w:val="en-GB"/>
        </w:rPr>
        <w:t>. IZA Discussion Paper No. 9235. [Online] Available at: </w:t>
      </w:r>
      <w:hyperlink r:id="rId138" w:tgtFrame="_blank" w:history="1">
        <w:r>
          <w:rPr>
            <w:rStyle w:val="Hyperlink"/>
            <w:rFonts w:ascii="Times New Roman" w:hAnsi="Times New Roman"/>
            <w:noProof/>
            <w:sz w:val="22"/>
            <w:szCs w:val="22"/>
            <w:lang w:val="en-GB" w:eastAsia="fr-BE"/>
          </w:rPr>
          <w:t>https://ssrn.com/abstract=2655276</w:t>
        </w:r>
      </w:hyperlink>
      <w:r>
        <w:rPr>
          <w:rFonts w:ascii="Times New Roman" w:hAnsi="Times New Roman"/>
          <w:noProof/>
          <w:sz w:val="22"/>
          <w:szCs w:val="22"/>
          <w:lang w:val="en-GB"/>
        </w:rPr>
        <w:t xml:space="preserve"> [Accessed 19 September 2017].</w:t>
      </w:r>
    </w:p>
    <w:p>
      <w:pPr>
        <w:pStyle w:val="Yo1Textpara"/>
        <w:spacing w:before="0" w:after="200" w:line="276" w:lineRule="auto"/>
        <w:rPr>
          <w:noProof/>
          <w:szCs w:val="22"/>
        </w:rPr>
      </w:pPr>
      <w:r>
        <w:rPr>
          <w:noProof/>
          <w:szCs w:val="22"/>
        </w:rPr>
        <w:t xml:space="preserve">FEANTSA (European Federation of National Organisations Working with the Homeless), 2017. </w:t>
      </w:r>
      <w:r>
        <w:rPr>
          <w:i/>
          <w:noProof/>
          <w:szCs w:val="22"/>
        </w:rPr>
        <w:t>ETHOS: European Typology of Homelessness and Housing Exclusion.</w:t>
      </w:r>
      <w:r>
        <w:rPr>
          <w:noProof/>
          <w:szCs w:val="22"/>
        </w:rPr>
        <w:t xml:space="preserve"> [Online] Available at: </w:t>
      </w:r>
      <w:hyperlink r:id="rId139" w:history="1">
        <w:r>
          <w:rPr>
            <w:rStyle w:val="Hyperlink"/>
            <w:noProof/>
            <w:szCs w:val="22"/>
          </w:rPr>
          <w:t>http://www.feantsaresearch.org/download/ethos1106689976166380462.pdf</w:t>
        </w:r>
      </w:hyperlink>
      <w:r>
        <w:rPr>
          <w:rStyle w:val="Hyperlink"/>
          <w:noProof/>
          <w:szCs w:val="22"/>
        </w:rPr>
        <w:t xml:space="preserve"> </w:t>
      </w:r>
      <w:r>
        <w:rPr>
          <w:noProof/>
          <w:szCs w:val="22"/>
        </w:rPr>
        <w:t>[Accessed 29 January 2018].</w:t>
      </w:r>
    </w:p>
    <w:p>
      <w:pPr>
        <w:jc w:val="both"/>
        <w:rPr>
          <w:rFonts w:ascii="Times New Roman" w:hAnsi="Times New Roman"/>
          <w:bCs/>
          <w:caps/>
          <w:noProof/>
          <w:lang w:eastAsia="fr-BE"/>
        </w:rPr>
      </w:pPr>
      <w:r>
        <w:rPr>
          <w:rFonts w:ascii="Times New Roman" w:hAnsi="Times New Roman"/>
          <w:noProof/>
          <w:lang w:eastAsia="fr-BE"/>
        </w:rPr>
        <w:t xml:space="preserve">Fennes, H., 2013. </w:t>
      </w:r>
      <w:r>
        <w:rPr>
          <w:rFonts w:ascii="Times New Roman" w:hAnsi="Times New Roman"/>
          <w:i/>
          <w:noProof/>
          <w:lang w:eastAsia="fr-BE"/>
        </w:rPr>
        <w:t>What are the effects of international youth mobility projects? Research-based analysis of Youth in Action</w:t>
      </w:r>
      <w:r>
        <w:rPr>
          <w:rFonts w:ascii="Times New Roman" w:hAnsi="Times New Roman"/>
          <w:noProof/>
          <w:lang w:eastAsia="fr-BE"/>
        </w:rPr>
        <w:t xml:space="preserve">. In Friesenhahn, G.J., Schild, H., Wicke, H., and Balogh, J., (eds) 2013. </w:t>
      </w:r>
      <w:r>
        <w:rPr>
          <w:rFonts w:ascii="Times New Roman" w:hAnsi="Times New Roman"/>
          <w:i/>
          <w:noProof/>
          <w:lang w:eastAsia="fr-BE"/>
        </w:rPr>
        <w:t>Learning mobility and non-formal learning in European contexts</w:t>
      </w:r>
      <w:r>
        <w:rPr>
          <w:rFonts w:ascii="Times New Roman" w:hAnsi="Times New Roman"/>
          <w:noProof/>
          <w:lang w:eastAsia="fr-BE"/>
        </w:rPr>
        <w:t>. Strasbourg: Council of Europe Publishing.</w:t>
      </w:r>
    </w:p>
    <w:p>
      <w:pPr>
        <w:jc w:val="both"/>
        <w:rPr>
          <w:rFonts w:ascii="Times New Roman" w:hAnsi="Times New Roman"/>
          <w:bCs/>
          <w:caps/>
          <w:noProof/>
          <w:lang w:eastAsia="fr-BE"/>
        </w:rPr>
      </w:pPr>
      <w:r>
        <w:rPr>
          <w:rFonts w:ascii="Times New Roman" w:hAnsi="Times New Roman"/>
          <w:noProof/>
          <w:lang w:eastAsia="fr-BE"/>
        </w:rPr>
        <w:t xml:space="preserve">Fennes, H., Gadinger, S. and Hagleitner, W., 2012. </w:t>
      </w:r>
      <w:r>
        <w:rPr>
          <w:rFonts w:ascii="Times New Roman" w:hAnsi="Times New Roman"/>
          <w:i/>
          <w:noProof/>
          <w:lang w:eastAsia="fr-BE"/>
        </w:rPr>
        <w:t>Research-based analysis of Youth in Action</w:t>
      </w:r>
      <w:r>
        <w:rPr>
          <w:rFonts w:ascii="Times New Roman" w:hAnsi="Times New Roman"/>
          <w:noProof/>
          <w:lang w:eastAsia="fr-BE"/>
        </w:rPr>
        <w:t>. University of Innsbruck.</w:t>
      </w:r>
    </w:p>
    <w:p>
      <w:pPr>
        <w:jc w:val="both"/>
        <w:rPr>
          <w:rFonts w:ascii="Times New Roman" w:hAnsi="Times New Roman"/>
          <w:noProof/>
        </w:rPr>
      </w:pPr>
      <w:r>
        <w:rPr>
          <w:rFonts w:ascii="Times New Roman" w:hAnsi="Times New Roman"/>
          <w:noProof/>
        </w:rPr>
        <w:t xml:space="preserve">Fisher, R., and Ackerman, D., 1998. The effects of recognition and group need on volunteerism: A social norm perspective. In: </w:t>
      </w:r>
      <w:r>
        <w:rPr>
          <w:rFonts w:ascii="Times New Roman" w:hAnsi="Times New Roman"/>
          <w:i/>
          <w:iCs/>
          <w:noProof/>
        </w:rPr>
        <w:t>Journal of Consumer Research,</w:t>
      </w:r>
      <w:r>
        <w:rPr>
          <w:rFonts w:ascii="Times New Roman" w:hAnsi="Times New Roman"/>
          <w:noProof/>
        </w:rPr>
        <w:t xml:space="preserve"> </w:t>
      </w:r>
      <w:r>
        <w:rPr>
          <w:rFonts w:ascii="Times New Roman" w:hAnsi="Times New Roman"/>
          <w:i/>
          <w:iCs/>
          <w:noProof/>
        </w:rPr>
        <w:t>25</w:t>
      </w:r>
      <w:r>
        <w:rPr>
          <w:rFonts w:ascii="Times New Roman" w:hAnsi="Times New Roman"/>
          <w:noProof/>
        </w:rPr>
        <w:t>(3).</w:t>
      </w:r>
    </w:p>
    <w:p>
      <w:pPr>
        <w:pStyle w:val="Yo1Textpara"/>
        <w:rPr>
          <w:noProof/>
          <w:szCs w:val="22"/>
        </w:rPr>
      </w:pPr>
      <w:r>
        <w:rPr>
          <w:noProof/>
          <w:szCs w:val="22"/>
        </w:rPr>
        <w:t xml:space="preserve">Fligstein, N., Polyakova, P., and Sandholtz, W., 2011. European integration, nationalism, and European identity. In: </w:t>
      </w:r>
      <w:r>
        <w:rPr>
          <w:i/>
          <w:noProof/>
          <w:szCs w:val="22"/>
        </w:rPr>
        <w:t>Journal of Common Market Studies</w:t>
      </w:r>
      <w:r>
        <w:rPr>
          <w:noProof/>
          <w:szCs w:val="22"/>
        </w:rPr>
        <w:t>, 50, pp.106-122.</w:t>
      </w:r>
    </w:p>
    <w:p>
      <w:pPr>
        <w:pStyle w:val="Yo1Textpara"/>
        <w:spacing w:after="240"/>
        <w:rPr>
          <w:noProof/>
          <w:szCs w:val="22"/>
        </w:rPr>
      </w:pPr>
      <w:r>
        <w:rPr>
          <w:noProof/>
          <w:szCs w:val="22"/>
        </w:rPr>
        <w:t xml:space="preserve">Franklin, M. N., 1999. </w:t>
      </w:r>
      <w:r>
        <w:rPr>
          <w:bCs/>
          <w:iCs/>
          <w:noProof/>
          <w:szCs w:val="22"/>
        </w:rPr>
        <w:t xml:space="preserve">Electoral engineering and cross-national turnout differences: what role for compulsory voting? In: </w:t>
      </w:r>
      <w:r>
        <w:rPr>
          <w:bCs/>
          <w:i/>
          <w:iCs/>
          <w:noProof/>
          <w:szCs w:val="22"/>
        </w:rPr>
        <w:t>British Journal of Political Science</w:t>
      </w:r>
      <w:r>
        <w:rPr>
          <w:bCs/>
          <w:iCs/>
          <w:noProof/>
          <w:szCs w:val="22"/>
        </w:rPr>
        <w:t>, 29, pp.205–224.</w:t>
      </w:r>
    </w:p>
    <w:p>
      <w:pPr>
        <w:pStyle w:val="FootnoteText"/>
        <w:spacing w:afterLines="120" w:after="288"/>
        <w:rPr>
          <w:rFonts w:ascii="Times New Roman" w:hAnsi="Times New Roman"/>
          <w:bCs/>
          <w:noProof/>
          <w:sz w:val="22"/>
          <w:szCs w:val="22"/>
          <w:lang w:val="en-GB"/>
        </w:rPr>
      </w:pPr>
      <w:r>
        <w:rPr>
          <w:rFonts w:ascii="Times New Roman" w:hAnsi="Times New Roman"/>
          <w:bCs/>
          <w:noProof/>
          <w:sz w:val="22"/>
          <w:szCs w:val="22"/>
          <w:lang w:val="en-GB"/>
        </w:rPr>
        <w:t xml:space="preserve">FRED, 2017. Youth Unemployment Rate for the former Yugoslav Republic of Macedonia. [Online] Available at: </w:t>
      </w:r>
      <w:hyperlink r:id="rId140" w:history="1">
        <w:r>
          <w:rPr>
            <w:rStyle w:val="Hyperlink"/>
            <w:rFonts w:ascii="Times New Roman" w:hAnsi="Times New Roman"/>
            <w:noProof/>
            <w:sz w:val="22"/>
            <w:szCs w:val="22"/>
            <w:lang w:val="en-GB" w:eastAsia="fr-BE"/>
          </w:rPr>
          <w:t>https://fred.stlouisfed.org/series/SLUEM1524ZSMKD</w:t>
        </w:r>
      </w:hyperlink>
      <w:r>
        <w:rPr>
          <w:rFonts w:ascii="Times New Roman" w:hAnsi="Times New Roman"/>
          <w:bCs/>
          <w:noProof/>
          <w:sz w:val="22"/>
          <w:szCs w:val="22"/>
          <w:lang w:val="en-GB"/>
        </w:rPr>
        <w:t xml:space="preserve"> [Accessed 25 July 2017].</w:t>
      </w:r>
    </w:p>
    <w:p>
      <w:pPr>
        <w:jc w:val="both"/>
        <w:rPr>
          <w:rFonts w:ascii="Times New Roman" w:hAnsi="Times New Roman"/>
          <w:noProof/>
        </w:rPr>
      </w:pPr>
      <w:r>
        <w:rPr>
          <w:rFonts w:ascii="Times New Roman" w:hAnsi="Times New Roman"/>
          <w:noProof/>
        </w:rPr>
        <w:t xml:space="preserve">Furlong, A., 2002. </w:t>
      </w:r>
      <w:r>
        <w:rPr>
          <w:rFonts w:ascii="Times New Roman" w:hAnsi="Times New Roman"/>
          <w:i/>
          <w:noProof/>
        </w:rPr>
        <w:t>Youth transitions and health: a literature review</w:t>
      </w:r>
      <w:r>
        <w:rPr>
          <w:rFonts w:ascii="Times New Roman" w:hAnsi="Times New Roman"/>
          <w:noProof/>
        </w:rPr>
        <w:t>. Edinburgh: NHS Health Scotland.</w:t>
      </w:r>
    </w:p>
    <w:p>
      <w:pPr>
        <w:jc w:val="both"/>
        <w:rPr>
          <w:rFonts w:ascii="Times New Roman" w:hAnsi="Times New Roman"/>
          <w:noProof/>
        </w:rPr>
      </w:pPr>
      <w:r>
        <w:rPr>
          <w:rFonts w:ascii="Times New Roman" w:hAnsi="Times New Roman"/>
          <w:noProof/>
        </w:rPr>
        <w:t xml:space="preserve">Furlong, A., Cartmel, F., Biggart, A., Sweeting, H. and West, P., 2003. </w:t>
      </w:r>
      <w:r>
        <w:rPr>
          <w:rFonts w:ascii="Times New Roman" w:hAnsi="Times New Roman"/>
          <w:i/>
          <w:noProof/>
        </w:rPr>
        <w:t>Youth Transitions: Patterns of Vulnerability and Processes of Social Inclusion</w:t>
      </w:r>
      <w:r>
        <w:rPr>
          <w:rFonts w:ascii="Times New Roman" w:hAnsi="Times New Roman"/>
          <w:noProof/>
        </w:rPr>
        <w:t>. Edinburgh: NHS Health Scotland.</w:t>
      </w:r>
    </w:p>
    <w:p>
      <w:pPr>
        <w:jc w:val="both"/>
        <w:rPr>
          <w:rFonts w:ascii="Times New Roman" w:hAnsi="Times New Roman"/>
          <w:noProof/>
        </w:rPr>
      </w:pPr>
      <w:r>
        <w:rPr>
          <w:rFonts w:ascii="Times New Roman" w:hAnsi="Times New Roman"/>
          <w:noProof/>
        </w:rPr>
        <w:t xml:space="preserve">Gaskin K., 2004. </w:t>
      </w:r>
      <w:r>
        <w:rPr>
          <w:rFonts w:ascii="Times New Roman" w:hAnsi="Times New Roman"/>
          <w:i/>
          <w:noProof/>
        </w:rPr>
        <w:t>Young people volunteering and civic service. A review of literature</w:t>
      </w:r>
      <w:r>
        <w:rPr>
          <w:rFonts w:ascii="Times New Roman" w:hAnsi="Times New Roman"/>
          <w:noProof/>
        </w:rPr>
        <w:t xml:space="preserve">. </w:t>
      </w:r>
      <w:r>
        <w:rPr>
          <w:rFonts w:ascii="Times New Roman" w:hAnsi="Times New Roman"/>
          <w:bCs/>
          <w:noProof/>
        </w:rPr>
        <w:t xml:space="preserve">Institute for Volunteering Research [Online] Available at: </w:t>
      </w:r>
      <w:hyperlink r:id="rId141" w:history="1">
        <w:r>
          <w:rPr>
            <w:rStyle w:val="Hyperlink"/>
            <w:rFonts w:ascii="Times New Roman" w:hAnsi="Times New Roman"/>
            <w:bCs/>
            <w:noProof/>
          </w:rPr>
          <w:t>https://www.volunteerscotland.net/media/1034165/literature_review_-_phd_full_report_2017.02.27.docx</w:t>
        </w:r>
      </w:hyperlink>
      <w:r>
        <w:rPr>
          <w:rFonts w:ascii="Times New Roman" w:hAnsi="Times New Roman"/>
          <w:bCs/>
          <w:noProof/>
        </w:rPr>
        <w:t>. [Accessed 1 March 2018].</w:t>
      </w:r>
      <w:r>
        <w:rPr>
          <w:rFonts w:ascii="Times New Roman" w:hAnsi="Times New Roman"/>
          <w:noProof/>
        </w:rPr>
        <w:t xml:space="preserve"> </w:t>
      </w:r>
    </w:p>
    <w:p>
      <w:pPr>
        <w:pStyle w:val="Yo1Textpara"/>
        <w:spacing w:after="240"/>
        <w:rPr>
          <w:noProof/>
          <w:szCs w:val="22"/>
        </w:rPr>
      </w:pPr>
      <w:r>
        <w:rPr>
          <w:noProof/>
          <w:szCs w:val="22"/>
        </w:rPr>
        <w:t xml:space="preserve">Gaventa, J., 2009. Exploring citizenship, participation and accountability. In: </w:t>
      </w:r>
      <w:r>
        <w:rPr>
          <w:i/>
          <w:noProof/>
          <w:szCs w:val="22"/>
        </w:rPr>
        <w:t>IDS (Institute of Development Studies) Bulletin</w:t>
      </w:r>
      <w:r>
        <w:rPr>
          <w:noProof/>
          <w:szCs w:val="22"/>
        </w:rPr>
        <w:t>, Volume 33, Issue 2, pp.1–14.</w:t>
      </w:r>
    </w:p>
    <w:p>
      <w:pPr>
        <w:jc w:val="both"/>
        <w:rPr>
          <w:rFonts w:ascii="Times New Roman" w:hAnsi="Times New Roman"/>
          <w:noProof/>
          <w:lang w:eastAsia="fr-BE"/>
        </w:rPr>
      </w:pPr>
      <w:r>
        <w:rPr>
          <w:rFonts w:ascii="Times New Roman" w:hAnsi="Times New Roman"/>
          <w:noProof/>
          <w:lang w:eastAsia="fr-BE"/>
        </w:rPr>
        <w:t xml:space="preserve">Glorius, B. and Dominguez-Mujica, J. (eds.), 2017. </w:t>
      </w:r>
      <w:r>
        <w:rPr>
          <w:rFonts w:ascii="Times New Roman" w:hAnsi="Times New Roman"/>
          <w:i/>
          <w:noProof/>
          <w:lang w:eastAsia="fr-BE"/>
        </w:rPr>
        <w:t>European mobility in times of crisis</w:t>
      </w:r>
      <w:r>
        <w:rPr>
          <w:rFonts w:ascii="Times New Roman" w:hAnsi="Times New Roman"/>
          <w:noProof/>
          <w:lang w:eastAsia="fr-BE"/>
        </w:rPr>
        <w:t>. Bielefeld: Transcript Verlag.</w:t>
      </w:r>
    </w:p>
    <w:p>
      <w:pPr>
        <w:jc w:val="both"/>
        <w:rPr>
          <w:rFonts w:ascii="Times New Roman" w:hAnsi="Times New Roman"/>
          <w:noProof/>
        </w:rPr>
      </w:pPr>
      <w:r>
        <w:rPr>
          <w:rFonts w:ascii="Times New Roman" w:hAnsi="Times New Roman"/>
          <w:noProof/>
        </w:rPr>
        <w:t xml:space="preserve">Hall, G., 2008. Civic connections: practicing democracy through debate clubs in the out-of-school time hours. In: S.L. Hill, ed., </w:t>
      </w:r>
      <w:r>
        <w:rPr>
          <w:rFonts w:ascii="Times New Roman" w:hAnsi="Times New Roman"/>
          <w:i/>
          <w:noProof/>
        </w:rPr>
        <w:t>After school matters: creative programs that connect youth development and student achievement</w:t>
      </w:r>
      <w:r>
        <w:rPr>
          <w:rFonts w:ascii="Times New Roman" w:hAnsi="Times New Roman"/>
          <w:noProof/>
        </w:rPr>
        <w:t>. Thousand Oaks: Corwin Press.</w:t>
      </w:r>
    </w:p>
    <w:p>
      <w:pPr>
        <w:jc w:val="both"/>
        <w:rPr>
          <w:rFonts w:ascii="Times New Roman" w:hAnsi="Times New Roman"/>
          <w:noProof/>
          <w:lang w:eastAsia="fr-BE"/>
        </w:rPr>
      </w:pPr>
      <w:r>
        <w:rPr>
          <w:rFonts w:ascii="Times New Roman" w:hAnsi="Times New Roman"/>
          <w:noProof/>
          <w:lang w:eastAsia="fr-BE"/>
        </w:rPr>
        <w:t xml:space="preserve">Hansen, R. and Gordon, J., 2014. Deficits, democracy, and demographics: Europe’s three crises. In: </w:t>
      </w:r>
      <w:r>
        <w:rPr>
          <w:rFonts w:ascii="Times New Roman" w:hAnsi="Times New Roman"/>
          <w:i/>
          <w:noProof/>
          <w:lang w:eastAsia="fr-BE"/>
        </w:rPr>
        <w:t>West European Politics</w:t>
      </w:r>
      <w:r>
        <w:rPr>
          <w:rFonts w:ascii="Times New Roman" w:hAnsi="Times New Roman"/>
          <w:noProof/>
          <w:lang w:eastAsia="fr-BE"/>
        </w:rPr>
        <w:t>, 37:6, 1199-1222.</w:t>
      </w:r>
    </w:p>
    <w:p>
      <w:pPr>
        <w:pStyle w:val="Yo1Textpara"/>
        <w:spacing w:after="240"/>
        <w:rPr>
          <w:bCs/>
          <w:noProof/>
          <w:szCs w:val="22"/>
        </w:rPr>
      </w:pPr>
      <w:r>
        <w:rPr>
          <w:bCs/>
          <w:noProof/>
          <w:szCs w:val="22"/>
        </w:rPr>
        <w:t xml:space="preserve">Harell, A., 2009. Equal participation but separate paths? Women's social capital and turnout. In: </w:t>
      </w:r>
      <w:r>
        <w:rPr>
          <w:bCs/>
          <w:i/>
          <w:iCs/>
          <w:noProof/>
          <w:szCs w:val="22"/>
        </w:rPr>
        <w:t>Journal of Women, Politics and Policy,</w:t>
      </w:r>
      <w:r>
        <w:rPr>
          <w:bCs/>
          <w:noProof/>
          <w:szCs w:val="22"/>
        </w:rPr>
        <w:t xml:space="preserve"> 30(1), pp.1-22.</w:t>
      </w:r>
    </w:p>
    <w:p>
      <w:pPr>
        <w:jc w:val="both"/>
        <w:rPr>
          <w:rFonts w:ascii="Times New Roman" w:hAnsi="Times New Roman"/>
          <w:noProof/>
        </w:rPr>
      </w:pPr>
      <w:r>
        <w:rPr>
          <w:rFonts w:ascii="Times New Roman" w:hAnsi="Times New Roman"/>
          <w:noProof/>
        </w:rPr>
        <w:t xml:space="preserve">Haski-Leventhal, D., 2008. Youth volunteering for youth: who are they serving? How are they being served? In: </w:t>
      </w:r>
      <w:r>
        <w:rPr>
          <w:rFonts w:ascii="Times New Roman" w:hAnsi="Times New Roman"/>
          <w:i/>
          <w:noProof/>
        </w:rPr>
        <w:t xml:space="preserve">Children and Youth Services Review </w:t>
      </w:r>
      <w:r>
        <w:rPr>
          <w:rFonts w:ascii="Times New Roman" w:hAnsi="Times New Roman"/>
          <w:noProof/>
        </w:rPr>
        <w:t>30, pp. 834–846.</w:t>
      </w:r>
    </w:p>
    <w:p>
      <w:pPr>
        <w:pStyle w:val="Yo1Textpara"/>
        <w:spacing w:before="0" w:afterLines="120" w:after="288" w:line="276" w:lineRule="auto"/>
        <w:rPr>
          <w:noProof/>
          <w:szCs w:val="22"/>
        </w:rPr>
      </w:pPr>
      <w:r>
        <w:rPr>
          <w:noProof/>
          <w:szCs w:val="22"/>
        </w:rPr>
        <w:t xml:space="preserve">Hatfield, I., 2014. </w:t>
      </w:r>
      <w:r>
        <w:rPr>
          <w:i/>
          <w:noProof/>
          <w:szCs w:val="22"/>
        </w:rPr>
        <w:t>Self-employment in Europe</w:t>
      </w:r>
      <w:r>
        <w:rPr>
          <w:noProof/>
          <w:szCs w:val="22"/>
        </w:rPr>
        <w:t xml:space="preserve">, IPPR. [Online] Available at: </w:t>
      </w:r>
      <w:r>
        <w:rPr>
          <w:noProof/>
          <w:szCs w:val="22"/>
        </w:rPr>
        <w:tab/>
      </w:r>
      <w:r>
        <w:rPr>
          <w:noProof/>
          <w:szCs w:val="22"/>
        </w:rPr>
        <w:br/>
      </w:r>
      <w:hyperlink r:id="rId142" w:history="1">
        <w:r>
          <w:rPr>
            <w:rStyle w:val="Hyperlink"/>
            <w:noProof/>
            <w:szCs w:val="22"/>
          </w:rPr>
          <w:t>http://www.ippr.org/publications/selfemployment-in-europe</w:t>
        </w:r>
      </w:hyperlink>
      <w:r>
        <w:rPr>
          <w:noProof/>
          <w:szCs w:val="22"/>
        </w:rPr>
        <w:t xml:space="preserve"> [Accessed 19 September 2017].</w:t>
      </w:r>
    </w:p>
    <w:p>
      <w:pPr>
        <w:pStyle w:val="Yo1Textpara"/>
        <w:spacing w:before="0" w:afterLines="120" w:after="288" w:line="276" w:lineRule="auto"/>
        <w:rPr>
          <w:bCs/>
          <w:caps/>
          <w:noProof/>
          <w:color w:val="0070C0"/>
          <w:szCs w:val="22"/>
        </w:rPr>
      </w:pPr>
      <w:r>
        <w:rPr>
          <w:noProof/>
          <w:szCs w:val="22"/>
          <w:lang w:val="de-DE"/>
        </w:rPr>
        <w:t xml:space="preserve">Hauschildt, K., Gwosć, C., Netz, N. and Mishra, S., 2015. </w:t>
      </w:r>
      <w:r>
        <w:rPr>
          <w:i/>
          <w:noProof/>
          <w:szCs w:val="22"/>
        </w:rPr>
        <w:t>Social and economic conditions of student life in Europe. Synopsis of Indicators, EUROSTUDENT V 2012-2015</w:t>
      </w:r>
      <w:r>
        <w:rPr>
          <w:noProof/>
          <w:szCs w:val="22"/>
        </w:rPr>
        <w:t xml:space="preserve">. Bielefeld: W. Bertelsmann Verlag. </w:t>
      </w:r>
    </w:p>
    <w:p>
      <w:pPr>
        <w:jc w:val="both"/>
        <w:rPr>
          <w:rFonts w:ascii="Times New Roman" w:hAnsi="Times New Roman"/>
          <w:noProof/>
        </w:rPr>
      </w:pPr>
      <w:r>
        <w:rPr>
          <w:rFonts w:ascii="Times New Roman" w:hAnsi="Times New Roman"/>
          <w:noProof/>
        </w:rPr>
        <w:t xml:space="preserve">Hibell, B., Guttormsson, U., Ahlström, S., Balakireva, O., Bjarnason, T., Kokkevi, A. and Kraus, L., 2012. </w:t>
      </w:r>
      <w:r>
        <w:rPr>
          <w:rFonts w:ascii="Times New Roman" w:hAnsi="Times New Roman"/>
          <w:i/>
          <w:noProof/>
        </w:rPr>
        <w:t xml:space="preserve">The 2011 ESPAD Report: Substance Use among Students in 36 European Countries. </w:t>
      </w:r>
      <w:r>
        <w:rPr>
          <w:rFonts w:ascii="Times New Roman" w:hAnsi="Times New Roman"/>
          <w:noProof/>
        </w:rPr>
        <w:t>Stockholm: The Swedish Council for Information on Alcohol and Other Drugs.</w:t>
      </w:r>
    </w:p>
    <w:p>
      <w:pPr>
        <w:pStyle w:val="Yo1Textpara"/>
        <w:spacing w:after="240"/>
        <w:rPr>
          <w:noProof/>
          <w:szCs w:val="22"/>
        </w:rPr>
      </w:pPr>
      <w:r>
        <w:rPr>
          <w:noProof/>
          <w:szCs w:val="22"/>
        </w:rPr>
        <w:t xml:space="preserve">Hoikkala, T., 2009. The diversity of youth citizenships in the European Union. In: </w:t>
      </w:r>
      <w:r>
        <w:rPr>
          <w:i/>
          <w:noProof/>
          <w:szCs w:val="22"/>
        </w:rPr>
        <w:t>Young,</w:t>
      </w:r>
      <w:r>
        <w:rPr>
          <w:noProof/>
          <w:szCs w:val="22"/>
        </w:rPr>
        <w:t xml:space="preserve"> 17(1), pp.5-24.</w:t>
      </w:r>
    </w:p>
    <w:p>
      <w:pPr>
        <w:jc w:val="both"/>
        <w:rPr>
          <w:rFonts w:ascii="Times New Roman" w:hAnsi="Times New Roman"/>
          <w:noProof/>
        </w:rPr>
      </w:pPr>
      <w:r>
        <w:rPr>
          <w:rFonts w:ascii="Times New Roman" w:hAnsi="Times New Roman"/>
          <w:noProof/>
        </w:rPr>
        <w:t xml:space="preserve">Iacovou, M., 2001. </w:t>
      </w:r>
      <w:r>
        <w:rPr>
          <w:rFonts w:ascii="Times New Roman" w:hAnsi="Times New Roman"/>
          <w:i/>
          <w:noProof/>
        </w:rPr>
        <w:t>Leaving Home in the European Union</w:t>
      </w:r>
      <w:r>
        <w:rPr>
          <w:rFonts w:ascii="Times New Roman" w:hAnsi="Times New Roman"/>
          <w:noProof/>
        </w:rPr>
        <w:t xml:space="preserve">. ISER Working Papers 2001-18. [Online] Available at: </w:t>
      </w:r>
      <w:hyperlink r:id="rId143" w:history="1">
        <w:r>
          <w:rPr>
            <w:rStyle w:val="Hyperlink"/>
            <w:rFonts w:ascii="Times New Roman" w:hAnsi="Times New Roman"/>
            <w:noProof/>
            <w:lang w:eastAsia="fr-BE"/>
          </w:rPr>
          <w:t>https://www.iser.essex.ac.uk/files/iser_working_papers/2001-18.pdf</w:t>
        </w:r>
      </w:hyperlink>
      <w:r>
        <w:rPr>
          <w:rFonts w:ascii="Times New Roman" w:hAnsi="Times New Roman"/>
          <w:noProof/>
        </w:rPr>
        <w:t xml:space="preserve"> [Accessed 29 January 2018].</w:t>
      </w:r>
    </w:p>
    <w:p>
      <w:pPr>
        <w:jc w:val="both"/>
        <w:rPr>
          <w:rFonts w:ascii="Times New Roman" w:hAnsi="Times New Roman"/>
          <w:noProof/>
        </w:rPr>
      </w:pPr>
      <w:r>
        <w:rPr>
          <w:rFonts w:ascii="Times New Roman" w:hAnsi="Times New Roman"/>
          <w:noProof/>
        </w:rPr>
        <w:t xml:space="preserve">Iacovou, M., 2011. </w:t>
      </w:r>
      <w:r>
        <w:rPr>
          <w:rFonts w:ascii="Times New Roman" w:hAnsi="Times New Roman"/>
          <w:i/>
          <w:noProof/>
        </w:rPr>
        <w:t>Leaving home: independence, togetherness and income in Europe</w:t>
      </w:r>
      <w:r>
        <w:rPr>
          <w:rFonts w:ascii="Times New Roman" w:hAnsi="Times New Roman"/>
          <w:noProof/>
        </w:rPr>
        <w:t xml:space="preserve">. United Nations Department of Economic and Social Affairs, Population Division, Expert Paper no. 2011/10. [Online] Available at: </w:t>
      </w:r>
      <w:hyperlink r:id="rId144" w:history="1">
        <w:r>
          <w:rPr>
            <w:rStyle w:val="Hyperlink"/>
            <w:rFonts w:ascii="Times New Roman" w:hAnsi="Times New Roman"/>
            <w:noProof/>
            <w:lang w:eastAsia="fr-BE"/>
          </w:rPr>
          <w:t>http://www.un.org/en/development/desa/population/publications/pdf/expert/2011-10_Iacovou_Expert-paper.pdf</w:t>
        </w:r>
      </w:hyperlink>
      <w:r>
        <w:rPr>
          <w:rFonts w:ascii="Times New Roman" w:hAnsi="Times New Roman"/>
          <w:noProof/>
        </w:rPr>
        <w:t xml:space="preserve"> [Accessed 29 January 2018].</w:t>
      </w:r>
    </w:p>
    <w:p>
      <w:pPr>
        <w:pStyle w:val="Yo1Textpara"/>
        <w:spacing w:before="0" w:afterLines="120" w:after="288" w:line="276" w:lineRule="auto"/>
        <w:rPr>
          <w:noProof/>
          <w:szCs w:val="22"/>
        </w:rPr>
      </w:pPr>
      <w:r>
        <w:rPr>
          <w:noProof/>
          <w:szCs w:val="22"/>
        </w:rPr>
        <w:t xml:space="preserve">ILO, 1994. </w:t>
      </w:r>
      <w:r>
        <w:rPr>
          <w:i/>
          <w:noProof/>
          <w:szCs w:val="22"/>
        </w:rPr>
        <w:t>C175 - Part-Time Work Convention, 1994 (No. 175).</w:t>
      </w:r>
      <w:r>
        <w:rPr>
          <w:noProof/>
          <w:szCs w:val="22"/>
        </w:rPr>
        <w:t xml:space="preserve"> [Online] </w:t>
      </w:r>
      <w:r>
        <w:rPr>
          <w:noProof/>
          <w:szCs w:val="22"/>
        </w:rPr>
        <w:br/>
        <w:t xml:space="preserve">Available at: </w:t>
      </w:r>
      <w:hyperlink r:id="rId145" w:history="1">
        <w:r>
          <w:rPr>
            <w:rStyle w:val="Hyperlink"/>
            <w:noProof/>
            <w:szCs w:val="22"/>
          </w:rPr>
          <w:t>https://ecampus.itcilo.org/pluginfile.php/25272/mod_page/content/40/C175_R182_Part_time_work.pdf</w:t>
        </w:r>
      </w:hyperlink>
      <w:r>
        <w:rPr>
          <w:noProof/>
          <w:szCs w:val="22"/>
        </w:rPr>
        <w:t xml:space="preserve"> [Accessed 19 September 2017].</w:t>
      </w:r>
    </w:p>
    <w:p>
      <w:pPr>
        <w:pStyle w:val="FootnoteText"/>
        <w:spacing w:afterLines="120" w:after="288"/>
        <w:rPr>
          <w:rFonts w:ascii="Times New Roman" w:hAnsi="Times New Roman"/>
          <w:noProof/>
          <w:sz w:val="22"/>
          <w:szCs w:val="22"/>
          <w:lang w:val="en-GB" w:eastAsia="fr-BE"/>
        </w:rPr>
      </w:pPr>
      <w:r>
        <w:rPr>
          <w:rFonts w:ascii="Times New Roman" w:hAnsi="Times New Roman"/>
          <w:noProof/>
          <w:sz w:val="22"/>
          <w:szCs w:val="22"/>
          <w:lang w:val="en-GB" w:eastAsia="fr-BE"/>
        </w:rPr>
        <w:t xml:space="preserve">ILO, 2017. </w:t>
      </w:r>
      <w:r>
        <w:rPr>
          <w:rFonts w:ascii="Times New Roman" w:hAnsi="Times New Roman"/>
          <w:i/>
          <w:noProof/>
          <w:sz w:val="22"/>
          <w:szCs w:val="22"/>
          <w:lang w:val="en-GB" w:eastAsia="fr-BE"/>
        </w:rPr>
        <w:t>What are part-time and on-call work?</w:t>
      </w:r>
      <w:r>
        <w:rPr>
          <w:rFonts w:ascii="Times New Roman" w:hAnsi="Times New Roman"/>
          <w:noProof/>
          <w:sz w:val="22"/>
          <w:szCs w:val="22"/>
          <w:lang w:val="en-GB" w:eastAsia="fr-BE"/>
        </w:rPr>
        <w:t xml:space="preserve"> </w:t>
      </w:r>
      <w:r>
        <w:rPr>
          <w:rFonts w:ascii="Times New Roman" w:hAnsi="Times New Roman"/>
          <w:noProof/>
          <w:sz w:val="22"/>
          <w:szCs w:val="22"/>
          <w:lang w:val="en-GB"/>
        </w:rPr>
        <w:t xml:space="preserve">[Online] Available at: </w:t>
      </w:r>
      <w:hyperlink r:id="rId146" w:history="1">
        <w:r>
          <w:rPr>
            <w:rStyle w:val="Hyperlink"/>
            <w:rFonts w:ascii="Times New Roman" w:hAnsi="Times New Roman"/>
            <w:noProof/>
            <w:sz w:val="22"/>
            <w:szCs w:val="22"/>
            <w:lang w:val="en-GB" w:eastAsia="fr-BE"/>
          </w:rPr>
          <w:t>http://www.ilo.org/global/topics/non-standard-employment/WCMS_534825/lang--en/index.htm</w:t>
        </w:r>
      </w:hyperlink>
      <w:r>
        <w:rPr>
          <w:rFonts w:ascii="Times New Roman" w:hAnsi="Times New Roman"/>
          <w:noProof/>
          <w:sz w:val="22"/>
          <w:szCs w:val="22"/>
          <w:lang w:val="en-GB" w:eastAsia="fr-BE"/>
        </w:rPr>
        <w:t xml:space="preserve"> [Accessed 19 September 2017].</w:t>
      </w:r>
    </w:p>
    <w:p>
      <w:pPr>
        <w:jc w:val="both"/>
        <w:rPr>
          <w:rFonts w:ascii="Times New Roman" w:hAnsi="Times New Roman"/>
          <w:noProof/>
          <w:lang w:eastAsia="fr-BE"/>
        </w:rPr>
      </w:pPr>
      <w:r>
        <w:rPr>
          <w:rFonts w:ascii="Times New Roman" w:hAnsi="Times New Roman"/>
          <w:noProof/>
          <w:lang w:eastAsia="fr-BE"/>
        </w:rPr>
        <w:t>Ioannou, G. and Sonan, S. 2016. Youth Unemployment in Cyprus: An Examination of the 'Lost Generation' [Online] Available at:</w:t>
      </w:r>
      <w:r>
        <w:rPr>
          <w:rFonts w:ascii="Times New Roman" w:hAnsi="Times New Roman"/>
          <w:noProof/>
        </w:rPr>
        <w:t xml:space="preserve"> </w:t>
      </w:r>
      <w:hyperlink r:id="rId147" w:history="1">
        <w:r>
          <w:rPr>
            <w:rStyle w:val="Hyperlink"/>
            <w:rFonts w:ascii="Times New Roman" w:hAnsi="Times New Roman"/>
            <w:noProof/>
            <w:lang w:eastAsia="fr-BE"/>
          </w:rPr>
          <w:t>http://library.fes.de/pdf-files/id-moe/12825.pdf</w:t>
        </w:r>
      </w:hyperlink>
      <w:r>
        <w:rPr>
          <w:rStyle w:val="Hyperlink"/>
          <w:rFonts w:ascii="Times New Roman" w:hAnsi="Times New Roman"/>
          <w:noProof/>
        </w:rPr>
        <w:t xml:space="preserve"> </w:t>
      </w:r>
      <w:r>
        <w:rPr>
          <w:rFonts w:ascii="Times New Roman" w:hAnsi="Times New Roman"/>
          <w:noProof/>
          <w:lang w:eastAsia="fr-BE"/>
        </w:rPr>
        <w:t>[Accessed 19 September 2017].</w:t>
      </w:r>
    </w:p>
    <w:p>
      <w:pPr>
        <w:jc w:val="both"/>
        <w:rPr>
          <w:rFonts w:ascii="Times New Roman" w:hAnsi="Times New Roman"/>
          <w:noProof/>
        </w:rPr>
      </w:pPr>
      <w:r>
        <w:rPr>
          <w:rFonts w:ascii="Times New Roman" w:hAnsi="Times New Roman"/>
          <w:noProof/>
        </w:rPr>
        <w:t xml:space="preserve">Jackson, C.A., Henderson, M., Frank, J.W. and Haw, S.J., 2012. An overview of prevention of multiple risk behaviour in adolescence and young adulthood. In: </w:t>
      </w:r>
      <w:r>
        <w:rPr>
          <w:rFonts w:ascii="Times New Roman" w:hAnsi="Times New Roman"/>
          <w:i/>
          <w:noProof/>
        </w:rPr>
        <w:t>Journal of Public Health</w:t>
      </w:r>
      <w:r>
        <w:rPr>
          <w:rFonts w:ascii="Times New Roman" w:hAnsi="Times New Roman"/>
          <w:noProof/>
        </w:rPr>
        <w:t>, 34(s1), pp. i31-i40.</w:t>
      </w:r>
    </w:p>
    <w:p>
      <w:pPr>
        <w:jc w:val="both"/>
        <w:rPr>
          <w:rFonts w:ascii="Times New Roman" w:hAnsi="Times New Roman"/>
          <w:noProof/>
          <w:lang w:val="nl-NL"/>
        </w:rPr>
      </w:pPr>
      <w:r>
        <w:rPr>
          <w:rFonts w:ascii="Times New Roman" w:hAnsi="Times New Roman"/>
          <w:noProof/>
        </w:rPr>
        <w:t xml:space="preserve">Jones, F., 2000. Youth volunteering on the rise. </w:t>
      </w:r>
      <w:r>
        <w:rPr>
          <w:rFonts w:ascii="Times New Roman" w:hAnsi="Times New Roman"/>
          <w:noProof/>
          <w:lang w:val="nl-NL"/>
        </w:rPr>
        <w:t xml:space="preserve">In: </w:t>
      </w:r>
      <w:r>
        <w:rPr>
          <w:rFonts w:ascii="Times New Roman" w:hAnsi="Times New Roman"/>
          <w:i/>
          <w:iCs/>
          <w:noProof/>
          <w:lang w:val="nl-NL"/>
        </w:rPr>
        <w:t>Women</w:t>
      </w:r>
      <w:r>
        <w:rPr>
          <w:rFonts w:ascii="Times New Roman" w:hAnsi="Times New Roman"/>
          <w:noProof/>
          <w:lang w:val="nl-NL"/>
        </w:rPr>
        <w:t xml:space="preserve">, </w:t>
      </w:r>
      <w:r>
        <w:rPr>
          <w:rFonts w:ascii="Times New Roman" w:hAnsi="Times New Roman"/>
          <w:i/>
          <w:iCs/>
          <w:noProof/>
          <w:lang w:val="nl-NL"/>
        </w:rPr>
        <w:t>34</w:t>
      </w:r>
      <w:r>
        <w:rPr>
          <w:rFonts w:ascii="Times New Roman" w:hAnsi="Times New Roman"/>
          <w:noProof/>
          <w:lang w:val="nl-NL"/>
        </w:rPr>
        <w:t>(40.3), pp.29-6.</w:t>
      </w:r>
    </w:p>
    <w:p>
      <w:pPr>
        <w:jc w:val="both"/>
        <w:rPr>
          <w:rFonts w:ascii="Times New Roman" w:hAnsi="Times New Roman"/>
          <w:noProof/>
        </w:rPr>
      </w:pPr>
      <w:r>
        <w:rPr>
          <w:rFonts w:ascii="Times New Roman" w:hAnsi="Times New Roman"/>
          <w:noProof/>
          <w:lang w:val="nl-NL" w:eastAsia="fr-BE"/>
        </w:rPr>
        <w:t xml:space="preserve">Kahn, L. et al. 2011. </w:t>
      </w:r>
      <w:r>
        <w:rPr>
          <w:rFonts w:ascii="Times New Roman" w:hAnsi="Times New Roman"/>
          <w:noProof/>
          <w:lang w:eastAsia="fr-BE"/>
        </w:rPr>
        <w:t xml:space="preserve">The way to work: Young people speak out on transitions to employment. [Online] Available at: </w:t>
      </w:r>
      <w:hyperlink r:id="rId148" w:history="1">
        <w:r>
          <w:rPr>
            <w:rStyle w:val="Hyperlink"/>
            <w:rFonts w:ascii="Times New Roman" w:hAnsi="Times New Roman"/>
            <w:noProof/>
            <w:lang w:eastAsia="fr-BE"/>
          </w:rPr>
          <w:t>https://youngfoundation.org/wp-content/uploads/2012/10/the-way-to-work.pdf</w:t>
        </w:r>
      </w:hyperlink>
      <w:r>
        <w:rPr>
          <w:rFonts w:ascii="Times New Roman" w:hAnsi="Times New Roman"/>
          <w:noProof/>
          <w:lang w:eastAsia="fr-BE"/>
        </w:rPr>
        <w:t xml:space="preserve"> [Accessed 19 September 2017].</w:t>
      </w:r>
    </w:p>
    <w:p>
      <w:pPr>
        <w:jc w:val="both"/>
        <w:rPr>
          <w:rFonts w:ascii="Times New Roman" w:hAnsi="Times New Roman"/>
          <w:noProof/>
        </w:rPr>
      </w:pPr>
      <w:r>
        <w:rPr>
          <w:rFonts w:ascii="Times New Roman" w:hAnsi="Times New Roman"/>
          <w:noProof/>
        </w:rPr>
        <w:t xml:space="preserve">Kanter, R. and Caballero, B., 2012. Global Gender Disparities in Obesity: A Review. In: </w:t>
      </w:r>
      <w:r>
        <w:rPr>
          <w:rFonts w:ascii="Times New Roman" w:hAnsi="Times New Roman"/>
          <w:i/>
          <w:noProof/>
        </w:rPr>
        <w:t>Advances in Nutrition</w:t>
      </w:r>
      <w:r>
        <w:rPr>
          <w:rFonts w:ascii="Times New Roman" w:hAnsi="Times New Roman"/>
          <w:noProof/>
        </w:rPr>
        <w:t xml:space="preserve">: </w:t>
      </w:r>
      <w:r>
        <w:rPr>
          <w:rFonts w:ascii="Times New Roman" w:hAnsi="Times New Roman"/>
          <w:i/>
          <w:noProof/>
        </w:rPr>
        <w:t>An International Review Journal</w:t>
      </w:r>
      <w:r>
        <w:rPr>
          <w:rFonts w:ascii="Times New Roman" w:hAnsi="Times New Roman"/>
          <w:noProof/>
        </w:rPr>
        <w:t>, 3(4), pp. 491-498.</w:t>
      </w:r>
    </w:p>
    <w:p>
      <w:pPr>
        <w:pStyle w:val="Yo1Textpara"/>
        <w:spacing w:after="240"/>
        <w:rPr>
          <w:noProof/>
          <w:szCs w:val="22"/>
        </w:rPr>
      </w:pPr>
      <w:r>
        <w:rPr>
          <w:noProof/>
          <w:szCs w:val="22"/>
        </w:rPr>
        <w:t xml:space="preserve">Khane, J., Middaugh, E., and Allen, D., 2014. </w:t>
      </w:r>
      <w:r>
        <w:rPr>
          <w:i/>
          <w:noProof/>
          <w:szCs w:val="22"/>
        </w:rPr>
        <w:t>Youth, new media, and the rise of participatory politics</w:t>
      </w:r>
      <w:r>
        <w:rPr>
          <w:noProof/>
          <w:szCs w:val="22"/>
        </w:rPr>
        <w:t xml:space="preserve">. YPP Research Network Working Paper n.1, March 2014 [Online] Available at: </w:t>
      </w:r>
      <w:hyperlink r:id="rId149" w:history="1">
        <w:r>
          <w:rPr>
            <w:rStyle w:val="Hyperlink"/>
            <w:noProof/>
            <w:szCs w:val="22"/>
          </w:rPr>
          <w:t>https://dmlcentral.net/wp-content/uploads/files/ypp_workinpapers_paper01_1.pdf</w:t>
        </w:r>
      </w:hyperlink>
      <w:r>
        <w:rPr>
          <w:noProof/>
          <w:szCs w:val="22"/>
        </w:rPr>
        <w:t xml:space="preserve"> [Accessed 1 March 2018].</w:t>
      </w:r>
    </w:p>
    <w:p>
      <w:pPr>
        <w:jc w:val="both"/>
        <w:rPr>
          <w:rFonts w:ascii="Times New Roman" w:hAnsi="Times New Roman"/>
          <w:noProof/>
        </w:rPr>
      </w:pPr>
      <w:r>
        <w:rPr>
          <w:rFonts w:ascii="Times New Roman" w:hAnsi="Times New Roman"/>
          <w:noProof/>
        </w:rPr>
        <w:t xml:space="preserve">Kiilakoski, T., 2015. </w:t>
      </w:r>
      <w:r>
        <w:rPr>
          <w:rFonts w:ascii="Times New Roman" w:hAnsi="Times New Roman"/>
          <w:i/>
          <w:noProof/>
        </w:rPr>
        <w:t>Youth work, volunteering, recognition and employability. Defining and recognizing competences</w:t>
      </w:r>
      <w:r>
        <w:rPr>
          <w:rFonts w:ascii="Times New Roman" w:hAnsi="Times New Roman"/>
          <w:noProof/>
        </w:rPr>
        <w:t xml:space="preserve">. Finnish Youth Research Network [Online] Available at: </w:t>
      </w:r>
      <w:hyperlink r:id="rId150" w:history="1">
        <w:r>
          <w:rPr>
            <w:rStyle w:val="Hyperlink"/>
            <w:rFonts w:ascii="Times New Roman" w:hAnsi="Times New Roman"/>
            <w:noProof/>
          </w:rPr>
          <w:t>http://www.alliance-network.eu/wp-content/uploads/2014/12/IVE-Desk-Research-Report-Output-1.pdf</w:t>
        </w:r>
      </w:hyperlink>
      <w:r>
        <w:rPr>
          <w:rFonts w:ascii="Times New Roman" w:hAnsi="Times New Roman"/>
          <w:noProof/>
        </w:rPr>
        <w:t xml:space="preserve"> [Accessed 1 March 2018].</w:t>
      </w:r>
    </w:p>
    <w:p>
      <w:pPr>
        <w:jc w:val="both"/>
        <w:rPr>
          <w:rFonts w:ascii="Times New Roman" w:hAnsi="Times New Roman"/>
          <w:noProof/>
          <w:lang w:eastAsia="fr-BE"/>
        </w:rPr>
      </w:pPr>
      <w:r>
        <w:rPr>
          <w:rFonts w:ascii="Times New Roman" w:hAnsi="Times New Roman"/>
          <w:noProof/>
          <w:lang w:eastAsia="fr-BE"/>
        </w:rPr>
        <w:t xml:space="preserve">King, R., Lulle, A., Moroşanu, L. and Williams, A., 2016. </w:t>
      </w:r>
      <w:r>
        <w:rPr>
          <w:rFonts w:ascii="Times New Roman" w:hAnsi="Times New Roman"/>
          <w:bCs/>
          <w:i/>
          <w:iCs/>
          <w:noProof/>
          <w:lang w:eastAsia="fr-BE"/>
        </w:rPr>
        <w:t>International youth mobility and life transitions in Europe: questions, definitions, typologies and theoretical approaches</w:t>
      </w:r>
      <w:r>
        <w:rPr>
          <w:rFonts w:ascii="Times New Roman" w:hAnsi="Times New Roman"/>
          <w:noProof/>
          <w:lang w:eastAsia="fr-BE"/>
        </w:rPr>
        <w:t xml:space="preserve">. Working Paper No. 86, Sussex Centre for Migration Research [Online] Available at: </w:t>
      </w:r>
      <w:hyperlink r:id="rId151" w:history="1">
        <w:r>
          <w:rPr>
            <w:rStyle w:val="Hyperlink"/>
            <w:rFonts w:ascii="Times New Roman" w:hAnsi="Times New Roman"/>
            <w:noProof/>
            <w:lang w:eastAsia="fr-BE"/>
          </w:rPr>
          <w:t>http://sro.sussex.ac.uk/61441/1/mwp86.pdf</w:t>
        </w:r>
      </w:hyperlink>
      <w:r>
        <w:rPr>
          <w:rFonts w:ascii="Times New Roman" w:hAnsi="Times New Roman"/>
          <w:noProof/>
          <w:lang w:eastAsia="fr-BE"/>
        </w:rPr>
        <w:t xml:space="preserve"> </w:t>
      </w:r>
      <w:r>
        <w:rPr>
          <w:rFonts w:ascii="Times New Roman" w:hAnsi="Times New Roman"/>
          <w:noProof/>
        </w:rPr>
        <w:t>[Accessed 1 March 2018]</w:t>
      </w:r>
      <w:r>
        <w:rPr>
          <w:rFonts w:ascii="Times New Roman" w:hAnsi="Times New Roman"/>
          <w:noProof/>
          <w:lang w:eastAsia="fr-BE"/>
        </w:rPr>
        <w:t>.</w:t>
      </w:r>
    </w:p>
    <w:p>
      <w:pPr>
        <w:pStyle w:val="Yo1Textpara"/>
        <w:rPr>
          <w:iCs/>
          <w:noProof/>
          <w:szCs w:val="22"/>
        </w:rPr>
      </w:pPr>
      <w:r>
        <w:rPr>
          <w:noProof/>
          <w:szCs w:val="22"/>
        </w:rPr>
        <w:t xml:space="preserve">Kohut, A., 2008. </w:t>
      </w:r>
      <w:r>
        <w:rPr>
          <w:i/>
          <w:noProof/>
          <w:szCs w:val="22"/>
        </w:rPr>
        <w:t>Social networking and online videos take off: internet's broader role in campaign 2008</w:t>
      </w:r>
      <w:r>
        <w:rPr>
          <w:noProof/>
          <w:szCs w:val="22"/>
        </w:rPr>
        <w:t xml:space="preserve">. </w:t>
      </w:r>
      <w:r>
        <w:rPr>
          <w:iCs/>
          <w:noProof/>
          <w:szCs w:val="22"/>
        </w:rPr>
        <w:t xml:space="preserve">The Pew Research Center for the People and the Press [Online] Available at: </w:t>
      </w:r>
      <w:hyperlink r:id="rId152" w:history="1">
        <w:r>
          <w:rPr>
            <w:rStyle w:val="Hyperlink"/>
            <w:iCs/>
            <w:noProof/>
            <w:szCs w:val="22"/>
          </w:rPr>
          <w:t>http://www.pewinternet.org/files/old-media/Files/Reports/2008/Pew_MediaSources_jan08.pdf.pdf</w:t>
        </w:r>
      </w:hyperlink>
      <w:r>
        <w:rPr>
          <w:iCs/>
          <w:noProof/>
          <w:szCs w:val="22"/>
        </w:rPr>
        <w:t xml:space="preserve"> </w:t>
      </w:r>
      <w:r>
        <w:rPr>
          <w:noProof/>
          <w:szCs w:val="22"/>
        </w:rPr>
        <w:t>[Accessed 1 March 2018]</w:t>
      </w:r>
      <w:r>
        <w:rPr>
          <w:iCs/>
          <w:noProof/>
          <w:szCs w:val="22"/>
        </w:rPr>
        <w:t>.</w:t>
      </w:r>
    </w:p>
    <w:p>
      <w:pPr>
        <w:pStyle w:val="Yo1Textpara"/>
        <w:rPr>
          <w:noProof/>
          <w:szCs w:val="22"/>
        </w:rPr>
      </w:pPr>
      <w:r>
        <w:rPr>
          <w:noProof/>
          <w:szCs w:val="22"/>
        </w:rPr>
        <w:t xml:space="preserve">Kushin, M., 2009. How young adults and social media are challenging traditional perspectives of civic life. In: </w:t>
      </w:r>
      <w:r>
        <w:rPr>
          <w:i/>
          <w:noProof/>
          <w:szCs w:val="22"/>
        </w:rPr>
        <w:t>Rocky Mountain Communication Review</w:t>
      </w:r>
      <w:r>
        <w:rPr>
          <w:noProof/>
          <w:szCs w:val="22"/>
        </w:rPr>
        <w:t xml:space="preserve">, Volume 6, Number 1, pp. 26-31. </w:t>
      </w:r>
    </w:p>
    <w:p>
      <w:pPr>
        <w:pStyle w:val="Yo1Textpara"/>
        <w:spacing w:beforeLines="120" w:before="288" w:after="240" w:line="276" w:lineRule="auto"/>
        <w:rPr>
          <w:noProof/>
          <w:szCs w:val="22"/>
        </w:rPr>
      </w:pPr>
      <w:r>
        <w:rPr>
          <w:noProof/>
          <w:szCs w:val="22"/>
        </w:rPr>
        <w:t xml:space="preserve">Kutchinsky, S. 2014. </w:t>
      </w:r>
      <w:r>
        <w:rPr>
          <w:i/>
          <w:noProof/>
          <w:szCs w:val="22"/>
        </w:rPr>
        <w:t>Has technology changed cultural taste?</w:t>
      </w:r>
      <w:r>
        <w:rPr>
          <w:noProof/>
          <w:szCs w:val="22"/>
        </w:rPr>
        <w:t xml:space="preserve"> [Online] Available at: </w:t>
      </w:r>
      <w:hyperlink r:id="rId153" w:history="1">
        <w:r>
          <w:rPr>
            <w:rStyle w:val="Hyperlink"/>
            <w:noProof/>
            <w:szCs w:val="22"/>
          </w:rPr>
          <w:t>https://www.theguardian.com/culture-professionals-network/2014/oct/31/-sp-technology-cultural-taste-youtube-vloggers-vice</w:t>
        </w:r>
      </w:hyperlink>
      <w:r>
        <w:rPr>
          <w:noProof/>
          <w:szCs w:val="22"/>
        </w:rPr>
        <w:t xml:space="preserve"> [Accessed 28 November 2017].</w:t>
      </w:r>
    </w:p>
    <w:p>
      <w:pPr>
        <w:pStyle w:val="Yo1Textpara"/>
        <w:spacing w:before="0" w:afterLines="120" w:after="288" w:line="276" w:lineRule="auto"/>
        <w:rPr>
          <w:noProof/>
          <w:szCs w:val="22"/>
        </w:rPr>
      </w:pPr>
      <w:r>
        <w:rPr>
          <w:noProof/>
          <w:szCs w:val="22"/>
        </w:rPr>
        <w:t xml:space="preserve">Lahusen, C. and Giugni, M. (eds.), 2016. </w:t>
      </w:r>
      <w:r>
        <w:rPr>
          <w:i/>
          <w:noProof/>
          <w:szCs w:val="22"/>
        </w:rPr>
        <w:t>Experiencing Long-Term Unemployment in Europe. Youth on the Edge.</w:t>
      </w:r>
      <w:r>
        <w:rPr>
          <w:noProof/>
          <w:szCs w:val="22"/>
        </w:rPr>
        <w:t xml:space="preserve"> Palgrave Macmillan. </w:t>
      </w:r>
    </w:p>
    <w:p>
      <w:pPr>
        <w:jc w:val="both"/>
        <w:rPr>
          <w:rFonts w:ascii="Times New Roman" w:hAnsi="Times New Roman"/>
          <w:noProof/>
          <w:lang w:eastAsia="fr-BE"/>
        </w:rPr>
      </w:pPr>
      <w:r>
        <w:rPr>
          <w:rFonts w:ascii="Times New Roman" w:hAnsi="Times New Roman"/>
          <w:noProof/>
          <w:lang w:eastAsia="fr-BE"/>
        </w:rPr>
        <w:t xml:space="preserve">Lanzieri, G., 2013. </w:t>
      </w:r>
      <w:r>
        <w:rPr>
          <w:rFonts w:ascii="Times New Roman" w:hAnsi="Times New Roman"/>
          <w:i/>
          <w:noProof/>
          <w:lang w:eastAsia="fr-BE"/>
        </w:rPr>
        <w:t xml:space="preserve">Long-term contribution of migration in ageing populations: Japan compared with Europe. </w:t>
      </w:r>
      <w:r>
        <w:rPr>
          <w:rFonts w:ascii="Times New Roman" w:hAnsi="Times New Roman"/>
          <w:noProof/>
          <w:lang w:eastAsia="fr-BE"/>
        </w:rPr>
        <w:t xml:space="preserve">Eurostat Statistical working papers. Luxembourg: Publications Office of the European Union. </w:t>
      </w:r>
    </w:p>
    <w:p>
      <w:pPr>
        <w:pStyle w:val="Yo1Textpara"/>
        <w:spacing w:after="240"/>
        <w:rPr>
          <w:noProof/>
          <w:szCs w:val="22"/>
        </w:rPr>
      </w:pPr>
      <w:r>
        <w:rPr>
          <w:noProof/>
          <w:szCs w:val="22"/>
        </w:rPr>
        <w:t xml:space="preserve">Lijphart, A. and Aitkin, D., 1994. </w:t>
      </w:r>
      <w:r>
        <w:rPr>
          <w:i/>
          <w:noProof/>
          <w:szCs w:val="22"/>
        </w:rPr>
        <w:t>Electoral systems and party systems: a study of twenty-seven democracies, 1945-1990</w:t>
      </w:r>
      <w:r>
        <w:rPr>
          <w:noProof/>
          <w:szCs w:val="22"/>
        </w:rPr>
        <w:t>. Oxford: Oxford University Press.</w:t>
      </w:r>
    </w:p>
    <w:p>
      <w:pPr>
        <w:jc w:val="both"/>
        <w:rPr>
          <w:rFonts w:ascii="Times New Roman" w:hAnsi="Times New Roman"/>
          <w:noProof/>
        </w:rPr>
      </w:pPr>
      <w:r>
        <w:rPr>
          <w:rFonts w:ascii="Times New Roman" w:hAnsi="Times New Roman"/>
          <w:noProof/>
        </w:rPr>
        <w:t xml:space="preserve">Mattick, R.P., Clare, P., Aiken, A., Wadolowski, M., Bruno, R., Kypri, K., Najman, J., Hutchinson, D. and McBride, N., 2017. Predictors of cannabis uptake in an adolescent cohort: Associations with tobacco use, drinking, and child, peer, and familial factors. In: </w:t>
      </w:r>
      <w:r>
        <w:rPr>
          <w:rFonts w:ascii="Times New Roman" w:hAnsi="Times New Roman"/>
          <w:i/>
          <w:noProof/>
        </w:rPr>
        <w:t>Drug and Alcohol Dependence</w:t>
      </w:r>
      <w:r>
        <w:rPr>
          <w:rFonts w:ascii="Times New Roman" w:hAnsi="Times New Roman"/>
          <w:noProof/>
        </w:rPr>
        <w:t>, Volume 171, p. e133.</w:t>
      </w:r>
    </w:p>
    <w:p>
      <w:pPr>
        <w:jc w:val="both"/>
        <w:rPr>
          <w:rFonts w:ascii="Times New Roman" w:hAnsi="Times New Roman"/>
          <w:noProof/>
        </w:rPr>
      </w:pPr>
      <w:r>
        <w:rPr>
          <w:rFonts w:ascii="Times New Roman" w:hAnsi="Times New Roman"/>
          <w:noProof/>
        </w:rPr>
        <w:t xml:space="preserve">Mergl, R., Koburger, N., Heinrichs, K., Székely, A., Tóth, M.D., Coyne, J., et al., 2015. What are reasons for the large gender differences in the lethality of suicidal acts? An epidemiological analysis in four European countries. In: </w:t>
      </w:r>
      <w:r>
        <w:rPr>
          <w:rFonts w:ascii="Times New Roman" w:hAnsi="Times New Roman"/>
          <w:i/>
          <w:noProof/>
        </w:rPr>
        <w:t>PLoS ONE</w:t>
      </w:r>
      <w:r>
        <w:rPr>
          <w:rFonts w:ascii="Times New Roman" w:hAnsi="Times New Roman"/>
          <w:noProof/>
        </w:rPr>
        <w:t xml:space="preserve"> 10(7), pp.1-18. </w:t>
      </w:r>
    </w:p>
    <w:p>
      <w:pPr>
        <w:jc w:val="both"/>
        <w:rPr>
          <w:rFonts w:ascii="Times New Roman" w:hAnsi="Times New Roman"/>
          <w:noProof/>
        </w:rPr>
      </w:pPr>
      <w:r>
        <w:rPr>
          <w:rFonts w:ascii="Times New Roman" w:hAnsi="Times New Roman"/>
          <w:noProof/>
        </w:rPr>
        <w:t xml:space="preserve">Moskwiak, A., 2009. Learning and recognition of voluntary activities. In: Williamson, H. et al., eds., 2005. </w:t>
      </w:r>
      <w:r>
        <w:rPr>
          <w:rFonts w:ascii="Times New Roman" w:hAnsi="Times New Roman"/>
          <w:i/>
          <w:noProof/>
        </w:rPr>
        <w:t>Charting the landscape of European youth voluntary activities</w:t>
      </w:r>
      <w:r>
        <w:rPr>
          <w:rFonts w:ascii="Times New Roman" w:hAnsi="Times New Roman"/>
          <w:noProof/>
        </w:rPr>
        <w:t>. Strasbourg: Council of Europe.</w:t>
      </w:r>
    </w:p>
    <w:p>
      <w:pPr>
        <w:pStyle w:val="Yo1Textpara"/>
        <w:spacing w:before="0" w:afterLines="120" w:after="288" w:line="276" w:lineRule="auto"/>
        <w:rPr>
          <w:noProof/>
          <w:szCs w:val="22"/>
        </w:rPr>
      </w:pPr>
      <w:r>
        <w:rPr>
          <w:noProof/>
          <w:szCs w:val="22"/>
        </w:rPr>
        <w:t xml:space="preserve">Mourshed, M, Patel J. and Suder, K. 2014. Education to Employment: Getting Europe’s Youth into Work. [Online] Available at: </w:t>
      </w:r>
      <w:hyperlink r:id="rId154" w:history="1">
        <w:r>
          <w:rPr>
            <w:rStyle w:val="Hyperlink"/>
            <w:noProof/>
            <w:szCs w:val="22"/>
          </w:rPr>
          <w:t>http://www.mckinsey.com/industries/social-sector/our-insights/converting-education-to-employment-in-europe</w:t>
        </w:r>
      </w:hyperlink>
      <w:r>
        <w:rPr>
          <w:noProof/>
          <w:szCs w:val="22"/>
        </w:rPr>
        <w:t xml:space="preserve"> [Accessed 21 September 2017]. </w:t>
      </w:r>
    </w:p>
    <w:p>
      <w:pPr>
        <w:pStyle w:val="Yo1Textpara"/>
        <w:spacing w:before="0" w:afterLines="120" w:after="288" w:line="276" w:lineRule="auto"/>
        <w:rPr>
          <w:noProof/>
          <w:szCs w:val="22"/>
        </w:rPr>
      </w:pPr>
      <w:r>
        <w:rPr>
          <w:noProof/>
          <w:szCs w:val="22"/>
        </w:rPr>
        <w:t xml:space="preserve">O’Reilly, J. et al., 2015. Five characteristics of youth unemployment in Europe. In: </w:t>
      </w:r>
      <w:r>
        <w:rPr>
          <w:i/>
          <w:noProof/>
          <w:szCs w:val="22"/>
        </w:rPr>
        <w:t>SAGE Open</w:t>
      </w:r>
      <w:r>
        <w:rPr>
          <w:noProof/>
          <w:szCs w:val="22"/>
        </w:rPr>
        <w:t>, Vol 5, Issue 1, p. 1-19.</w:t>
      </w:r>
    </w:p>
    <w:p>
      <w:pPr>
        <w:jc w:val="both"/>
        <w:rPr>
          <w:rFonts w:ascii="Times New Roman" w:hAnsi="Times New Roman"/>
          <w:noProof/>
        </w:rPr>
      </w:pPr>
      <w:r>
        <w:rPr>
          <w:rFonts w:ascii="Times New Roman" w:hAnsi="Times New Roman"/>
          <w:noProof/>
        </w:rPr>
        <w:t xml:space="preserve">OECD, 2016. </w:t>
      </w:r>
      <w:r>
        <w:rPr>
          <w:rFonts w:ascii="Times New Roman" w:hAnsi="Times New Roman"/>
          <w:i/>
          <w:noProof/>
        </w:rPr>
        <w:t>Health at a Glance: Europe 2016 – State of Health in the EU Cycle</w:t>
      </w:r>
      <w:r>
        <w:rPr>
          <w:rFonts w:ascii="Times New Roman" w:hAnsi="Times New Roman"/>
          <w:noProof/>
        </w:rPr>
        <w:t>, Paris: OECD Publishing.</w:t>
      </w:r>
    </w:p>
    <w:p>
      <w:pPr>
        <w:pStyle w:val="Yo1Textpara"/>
        <w:spacing w:before="0" w:afterLines="120" w:after="288" w:line="276" w:lineRule="auto"/>
        <w:rPr>
          <w:noProof/>
          <w:szCs w:val="22"/>
        </w:rPr>
      </w:pPr>
      <w:r>
        <w:rPr>
          <w:noProof/>
          <w:szCs w:val="22"/>
        </w:rPr>
        <w:t xml:space="preserve">OECD, 2017. Glossary of statistical terms. Discouraged workers. [Online] Available at: </w:t>
      </w:r>
      <w:hyperlink r:id="rId155" w:history="1">
        <w:r>
          <w:rPr>
            <w:rStyle w:val="Hyperlink"/>
            <w:noProof/>
            <w:szCs w:val="22"/>
          </w:rPr>
          <w:t>https://stats.oecd.org/glossary/detail.asp?ID=645</w:t>
        </w:r>
      </w:hyperlink>
      <w:r>
        <w:rPr>
          <w:noProof/>
          <w:szCs w:val="22"/>
        </w:rPr>
        <w:t xml:space="preserve"> [Accessed 21 September 2017].</w:t>
      </w:r>
    </w:p>
    <w:p>
      <w:pPr>
        <w:pStyle w:val="Yo1Textpara"/>
        <w:spacing w:before="0" w:afterLines="120" w:after="288" w:line="276" w:lineRule="auto"/>
        <w:rPr>
          <w:noProof/>
          <w:szCs w:val="22"/>
        </w:rPr>
      </w:pPr>
      <w:r>
        <w:rPr>
          <w:noProof/>
          <w:szCs w:val="22"/>
        </w:rPr>
        <w:t xml:space="preserve">OECD/EU, 2014. </w:t>
      </w:r>
      <w:r>
        <w:rPr>
          <w:i/>
          <w:noProof/>
          <w:szCs w:val="22"/>
        </w:rPr>
        <w:t>The Missing Entrepreneurs 2014: Policies for Inclusive Entrepreneurship in Europe</w:t>
      </w:r>
      <w:r>
        <w:rPr>
          <w:noProof/>
          <w:szCs w:val="22"/>
        </w:rPr>
        <w:t xml:space="preserve">, OECD Publishing, Paris. [Online] Available at: </w:t>
      </w:r>
      <w:hyperlink r:id="rId156" w:history="1">
        <w:r>
          <w:rPr>
            <w:rStyle w:val="Hyperlink"/>
            <w:noProof/>
            <w:szCs w:val="22"/>
          </w:rPr>
          <w:t>http://dx.doi.org/10.1787/9789264213593-en</w:t>
        </w:r>
      </w:hyperlink>
      <w:r>
        <w:rPr>
          <w:noProof/>
          <w:szCs w:val="22"/>
        </w:rPr>
        <w:t xml:space="preserve"> [Accessed 18 September 2017].</w:t>
      </w:r>
    </w:p>
    <w:p>
      <w:pPr>
        <w:pStyle w:val="Yo1Textpara"/>
        <w:spacing w:before="0" w:afterLines="120" w:after="288" w:line="276" w:lineRule="auto"/>
        <w:rPr>
          <w:noProof/>
          <w:szCs w:val="22"/>
        </w:rPr>
      </w:pPr>
      <w:r>
        <w:rPr>
          <w:noProof/>
          <w:szCs w:val="22"/>
        </w:rPr>
        <w:t xml:space="preserve">OECD/EU, 2017a. Policy Brief on Women’s Entrepreneurship [Online] Available at: </w:t>
      </w:r>
      <w:r>
        <w:rPr>
          <w:noProof/>
          <w:szCs w:val="22"/>
        </w:rPr>
        <w:tab/>
      </w:r>
      <w:r>
        <w:rPr>
          <w:noProof/>
          <w:szCs w:val="22"/>
        </w:rPr>
        <w:br/>
      </w:r>
      <w:hyperlink r:id="rId157" w:history="1">
        <w:r>
          <w:rPr>
            <w:rStyle w:val="Hyperlink"/>
            <w:noProof/>
            <w:szCs w:val="22"/>
          </w:rPr>
          <w:t>file:///C:/Users/montiak/Downloads/KE-04-17-392-EN-N.pdf</w:t>
        </w:r>
      </w:hyperlink>
      <w:r>
        <w:rPr>
          <w:noProof/>
          <w:szCs w:val="22"/>
        </w:rPr>
        <w:t xml:space="preserve"> [Accessed 18 December 2017].</w:t>
      </w:r>
    </w:p>
    <w:p>
      <w:pPr>
        <w:pStyle w:val="Yo1Textpara"/>
        <w:spacing w:afterLines="120" w:after="288" w:line="276" w:lineRule="auto"/>
        <w:rPr>
          <w:noProof/>
          <w:szCs w:val="22"/>
        </w:rPr>
      </w:pPr>
      <w:r>
        <w:rPr>
          <w:noProof/>
          <w:szCs w:val="22"/>
        </w:rPr>
        <w:t xml:space="preserve">OECD/EU, 2017b. </w:t>
      </w:r>
      <w:r>
        <w:rPr>
          <w:i/>
          <w:iCs/>
          <w:noProof/>
          <w:szCs w:val="22"/>
        </w:rPr>
        <w:t>The Missing Entrepreneurs 2017: Policies for Inclusive Entrepreneurship</w:t>
      </w:r>
      <w:r>
        <w:rPr>
          <w:iCs/>
          <w:noProof/>
          <w:szCs w:val="22"/>
        </w:rPr>
        <w:t xml:space="preserve">, </w:t>
      </w:r>
      <w:r>
        <w:rPr>
          <w:noProof/>
          <w:szCs w:val="22"/>
        </w:rPr>
        <w:t xml:space="preserve">OECD Publishing, Paris. [Online] Available at: </w:t>
      </w:r>
      <w:hyperlink r:id="rId158" w:history="1">
        <w:r>
          <w:rPr>
            <w:rStyle w:val="Hyperlink"/>
            <w:noProof/>
            <w:szCs w:val="22"/>
          </w:rPr>
          <w:t>http://dx.doi.org/10.1787/9789264283602-en</w:t>
        </w:r>
      </w:hyperlink>
      <w:r>
        <w:rPr>
          <w:iCs/>
          <w:noProof/>
          <w:szCs w:val="22"/>
        </w:rPr>
        <w:t xml:space="preserve"> [Accessed 18 December 2017].</w:t>
      </w:r>
    </w:p>
    <w:p>
      <w:pPr>
        <w:pStyle w:val="Yo1Textpara"/>
        <w:spacing w:before="0" w:afterLines="120" w:after="288" w:line="276" w:lineRule="auto"/>
        <w:rPr>
          <w:noProof/>
          <w:szCs w:val="22"/>
        </w:rPr>
      </w:pPr>
      <w:r>
        <w:rPr>
          <w:noProof/>
          <w:szCs w:val="22"/>
        </w:rPr>
        <w:t xml:space="preserve">Parker, S.C., 2009. </w:t>
      </w:r>
      <w:r>
        <w:rPr>
          <w:i/>
          <w:noProof/>
          <w:szCs w:val="22"/>
        </w:rPr>
        <w:t>The economics of entrepreneurship</w:t>
      </w:r>
      <w:r>
        <w:rPr>
          <w:noProof/>
          <w:szCs w:val="22"/>
        </w:rPr>
        <w:t>. Cambridge University Press, Cambridge.</w:t>
      </w:r>
    </w:p>
    <w:p>
      <w:pPr>
        <w:jc w:val="both"/>
        <w:rPr>
          <w:rFonts w:ascii="Times New Roman" w:hAnsi="Times New Roman"/>
          <w:noProof/>
        </w:rPr>
      </w:pPr>
      <w:r>
        <w:rPr>
          <w:rFonts w:ascii="Times New Roman" w:hAnsi="Times New Roman"/>
          <w:noProof/>
        </w:rPr>
        <w:t xml:space="preserve">Partnership between the European Commission and the Council of Europe in the field of Youth, 2011. </w:t>
      </w:r>
      <w:r>
        <w:rPr>
          <w:rFonts w:ascii="Times New Roman" w:hAnsi="Times New Roman"/>
          <w:i/>
          <w:noProof/>
        </w:rPr>
        <w:t>Final report of the research seminar “Mobility of young people – Opportunities and obstacles for cross-border volunteering for young people, particularly with fewer opportunities”</w:t>
      </w:r>
      <w:r>
        <w:rPr>
          <w:rFonts w:ascii="Times New Roman" w:hAnsi="Times New Roman"/>
          <w:noProof/>
        </w:rPr>
        <w:t xml:space="preserve">.  Strasbourg, 11-13 December 2011 [Online] Available at: </w:t>
      </w:r>
      <w:hyperlink r:id="rId159" w:history="1">
        <w:r>
          <w:rPr>
            <w:rStyle w:val="Hyperlink"/>
            <w:rFonts w:ascii="Times New Roman" w:hAnsi="Times New Roman"/>
            <w:noProof/>
          </w:rPr>
          <w:t>http://pjp-eu.coe.int/documents/1017981/1668251/Final_report_Volunteering_seminar_2011.pdf/2818cf79-3230-4733-b391-bc47aae7251b</w:t>
        </w:r>
      </w:hyperlink>
      <w:r>
        <w:rPr>
          <w:rFonts w:ascii="Times New Roman" w:hAnsi="Times New Roman"/>
          <w:noProof/>
        </w:rPr>
        <w:t xml:space="preserve"> [Accessed 1 March 2018].</w:t>
      </w:r>
    </w:p>
    <w:p>
      <w:pPr>
        <w:pStyle w:val="Yo1Textpara"/>
        <w:spacing w:after="240"/>
        <w:rPr>
          <w:noProof/>
          <w:szCs w:val="22"/>
        </w:rPr>
      </w:pPr>
      <w:r>
        <w:rPr>
          <w:noProof/>
          <w:szCs w:val="22"/>
        </w:rPr>
        <w:t xml:space="preserve">Paxton, P. and Hughes, M.M., 2015. </w:t>
      </w:r>
      <w:r>
        <w:rPr>
          <w:i/>
          <w:noProof/>
          <w:szCs w:val="22"/>
        </w:rPr>
        <w:t>Women, politics, and power: a global perspective</w:t>
      </w:r>
      <w:r>
        <w:rPr>
          <w:noProof/>
          <w:szCs w:val="22"/>
        </w:rPr>
        <w:t>. Washington, DC: CQ Press.</w:t>
      </w:r>
    </w:p>
    <w:p>
      <w:pPr>
        <w:jc w:val="both"/>
        <w:rPr>
          <w:rFonts w:ascii="Times New Roman" w:hAnsi="Times New Roman"/>
          <w:noProof/>
        </w:rPr>
      </w:pPr>
      <w:r>
        <w:rPr>
          <w:rFonts w:ascii="Times New Roman" w:hAnsi="Times New Roman"/>
          <w:noProof/>
        </w:rPr>
        <w:t xml:space="preserve">Piliavin, J.A., 2003. Doing well by doing good: benefits for the benefactor. In: C. Keyes and J. Haidt, (eds.), </w:t>
      </w:r>
      <w:r>
        <w:rPr>
          <w:rFonts w:ascii="Times New Roman" w:hAnsi="Times New Roman"/>
          <w:i/>
          <w:noProof/>
        </w:rPr>
        <w:t>Flourishing: positive psychology and the life well-lived</w:t>
      </w:r>
      <w:r>
        <w:rPr>
          <w:rFonts w:ascii="Times New Roman" w:hAnsi="Times New Roman"/>
          <w:noProof/>
        </w:rPr>
        <w:t>. Washington, DC: American Psychological Association, pp. 227-247.</w:t>
      </w:r>
    </w:p>
    <w:p>
      <w:pPr>
        <w:pStyle w:val="Yo1Textpara"/>
        <w:spacing w:after="240"/>
        <w:rPr>
          <w:noProof/>
          <w:szCs w:val="22"/>
        </w:rPr>
      </w:pPr>
      <w:r>
        <w:rPr>
          <w:noProof/>
          <w:szCs w:val="22"/>
        </w:rPr>
        <w:t xml:space="preserve">Pilkington, H. and Pollock, G. (eds). 2015. </w:t>
      </w:r>
      <w:r>
        <w:rPr>
          <w:iCs/>
          <w:noProof/>
          <w:szCs w:val="22"/>
        </w:rPr>
        <w:t>Radical futures? Youth, politics and activism in contemporary Europe.</w:t>
      </w:r>
      <w:r>
        <w:rPr>
          <w:i/>
          <w:iCs/>
          <w:noProof/>
          <w:szCs w:val="22"/>
        </w:rPr>
        <w:t xml:space="preserve"> </w:t>
      </w:r>
      <w:r>
        <w:rPr>
          <w:iCs/>
          <w:noProof/>
          <w:szCs w:val="22"/>
        </w:rPr>
        <w:t xml:space="preserve">In: </w:t>
      </w:r>
      <w:r>
        <w:rPr>
          <w:i/>
          <w:iCs/>
          <w:noProof/>
          <w:szCs w:val="22"/>
        </w:rPr>
        <w:t xml:space="preserve">Sociological Review, </w:t>
      </w:r>
      <w:r>
        <w:rPr>
          <w:noProof/>
          <w:szCs w:val="22"/>
        </w:rPr>
        <w:t>63.</w:t>
      </w:r>
    </w:p>
    <w:p>
      <w:pPr>
        <w:pStyle w:val="Yo1Textpara"/>
        <w:spacing w:before="0" w:afterLines="120" w:after="288" w:line="276" w:lineRule="auto"/>
        <w:rPr>
          <w:noProof/>
          <w:szCs w:val="22"/>
        </w:rPr>
      </w:pPr>
      <w:r>
        <w:rPr>
          <w:noProof/>
          <w:szCs w:val="22"/>
        </w:rPr>
        <w:t xml:space="preserve">Reynolds, P., N. Bosma, E. Autio, S. Hunt, N. De Bono, I. Servais, P. Lopez-Garcia, and N. Chin, 2005. Global Entrepreneurship Monitor: Data Collection Design and Implementation 1998- 2003. In </w:t>
      </w:r>
      <w:r>
        <w:rPr>
          <w:i/>
          <w:noProof/>
          <w:szCs w:val="22"/>
        </w:rPr>
        <w:t>Small Business Economics</w:t>
      </w:r>
      <w:r>
        <w:rPr>
          <w:noProof/>
          <w:szCs w:val="22"/>
        </w:rPr>
        <w:t xml:space="preserve"> 24, 205-231.</w:t>
      </w:r>
    </w:p>
    <w:p>
      <w:pPr>
        <w:jc w:val="both"/>
        <w:rPr>
          <w:rFonts w:ascii="Times New Roman" w:hAnsi="Times New Roman"/>
          <w:noProof/>
        </w:rPr>
      </w:pPr>
      <w:r>
        <w:rPr>
          <w:rFonts w:ascii="Times New Roman" w:hAnsi="Times New Roman"/>
          <w:noProof/>
        </w:rPr>
        <w:t xml:space="preserve">Roberto, C.A., Swinburn, B., Hawkes, C., Huang, T.T-K., Costa, S.A., Ashe, M., Zwicker, L. and Cawley, J.H., 2015. Patchy progress on obesity prevention: emerging examples, entrenched barriers, and new thinking. In: </w:t>
      </w:r>
      <w:r>
        <w:rPr>
          <w:rFonts w:ascii="Times New Roman" w:hAnsi="Times New Roman"/>
          <w:i/>
          <w:noProof/>
        </w:rPr>
        <w:t>Lancet</w:t>
      </w:r>
      <w:r>
        <w:rPr>
          <w:rFonts w:ascii="Times New Roman" w:hAnsi="Times New Roman"/>
          <w:noProof/>
        </w:rPr>
        <w:t>, 385(9985), pp. 2400-2409.</w:t>
      </w:r>
    </w:p>
    <w:p>
      <w:pPr>
        <w:pStyle w:val="Yo1Textpara"/>
        <w:spacing w:before="0" w:afterLines="120" w:after="288" w:line="276" w:lineRule="auto"/>
        <w:rPr>
          <w:noProof/>
          <w:szCs w:val="22"/>
        </w:rPr>
      </w:pPr>
      <w:r>
        <w:rPr>
          <w:noProof/>
          <w:szCs w:val="22"/>
        </w:rPr>
        <w:t xml:space="preserve">Rosa, P., 2003. Hardly likely to make the Japanese tremble – The businesses of recently graduated university and college entrepreneurs. In: </w:t>
      </w:r>
      <w:r>
        <w:rPr>
          <w:i/>
          <w:noProof/>
          <w:szCs w:val="22"/>
        </w:rPr>
        <w:t>International Small Business Journal</w:t>
      </w:r>
      <w:r>
        <w:rPr>
          <w:noProof/>
          <w:szCs w:val="22"/>
        </w:rPr>
        <w:t>, 21(4), pp. 435- 459.</w:t>
      </w:r>
    </w:p>
    <w:p>
      <w:pPr>
        <w:pStyle w:val="Yo1Textpara"/>
        <w:spacing w:beforeLines="120" w:before="288" w:after="240" w:line="276" w:lineRule="auto"/>
        <w:rPr>
          <w:noProof/>
          <w:szCs w:val="22"/>
        </w:rPr>
      </w:pPr>
      <w:r>
        <w:rPr>
          <w:noProof/>
          <w:szCs w:val="22"/>
        </w:rPr>
        <w:t xml:space="preserve">Sacco, P.L., 2011. </w:t>
      </w:r>
      <w:r>
        <w:rPr>
          <w:i/>
          <w:iCs/>
          <w:noProof/>
          <w:szCs w:val="22"/>
        </w:rPr>
        <w:t>Culture 3.0: A new perspective for the EU 2014-2020 structural funds programming on behalf of the European Expert Network on Culture (EENC)</w:t>
      </w:r>
      <w:r>
        <w:rPr>
          <w:noProof/>
          <w:szCs w:val="22"/>
        </w:rPr>
        <w:t xml:space="preserve">, Produced for the OMC Working Group on Cultural and Creative Industries, April 2011 [Online] Available at: </w:t>
      </w:r>
      <w:hyperlink r:id="rId160" w:history="1">
        <w:r>
          <w:rPr>
            <w:rStyle w:val="Hyperlink"/>
            <w:noProof/>
            <w:szCs w:val="22"/>
          </w:rPr>
          <w:t>http://www.interarts.net/descargas/interarts2577.pdf</w:t>
        </w:r>
      </w:hyperlink>
      <w:r>
        <w:rPr>
          <w:noProof/>
          <w:szCs w:val="22"/>
        </w:rPr>
        <w:t xml:space="preserve"> [Accessed 1 March 2018].</w:t>
      </w:r>
    </w:p>
    <w:p>
      <w:pPr>
        <w:jc w:val="both"/>
        <w:rPr>
          <w:rFonts w:ascii="Times New Roman" w:hAnsi="Times New Roman"/>
          <w:noProof/>
        </w:rPr>
      </w:pPr>
      <w:r>
        <w:rPr>
          <w:rFonts w:ascii="Times New Roman" w:hAnsi="Times New Roman"/>
          <w:noProof/>
        </w:rPr>
        <w:t xml:space="preserve">Salamon, L.M., and Wojciech, S., 2001. </w:t>
      </w:r>
      <w:r>
        <w:rPr>
          <w:rFonts w:ascii="Times New Roman" w:hAnsi="Times New Roman"/>
          <w:i/>
          <w:noProof/>
        </w:rPr>
        <w:t>Volunteering in cross-national perspective: evidence from 24 countries</w:t>
      </w:r>
      <w:r>
        <w:rPr>
          <w:rFonts w:ascii="Times New Roman" w:hAnsi="Times New Roman"/>
          <w:noProof/>
        </w:rPr>
        <w:t>.</w:t>
      </w:r>
      <w:r>
        <w:rPr>
          <w:rFonts w:ascii="Times New Roman" w:eastAsia="Times New Roman" w:hAnsi="Times New Roman"/>
          <w:i/>
          <w:iCs/>
          <w:noProof/>
          <w:lang w:eastAsia="en-GB"/>
        </w:rPr>
        <w:t xml:space="preserve"> </w:t>
      </w:r>
      <w:r>
        <w:rPr>
          <w:rFonts w:ascii="Times New Roman" w:hAnsi="Times New Roman"/>
          <w:iCs/>
          <w:noProof/>
        </w:rPr>
        <w:t>Working Papers of the Johns Hopkins Comparative Nonprofit Sector Project</w:t>
      </w:r>
      <w:r>
        <w:rPr>
          <w:rFonts w:ascii="Times New Roman" w:hAnsi="Times New Roman"/>
          <w:noProof/>
        </w:rPr>
        <w:t xml:space="preserve">, no. 40. Baltimore: The Johns Hopkins Center for Civil Society Studies [Online] Available at: </w:t>
      </w:r>
      <w:hyperlink r:id="rId161" w:history="1">
        <w:r>
          <w:rPr>
            <w:rStyle w:val="Hyperlink"/>
            <w:rFonts w:ascii="Times New Roman" w:hAnsi="Times New Roman"/>
            <w:noProof/>
          </w:rPr>
          <w:t>https://www.unc.edu/courses/2008spring/poli/472h/001/Course%20documents/RESOURCES/Generosity%20measures/Volunteering%20in%20Comparative%20Perspective.pdf</w:t>
        </w:r>
      </w:hyperlink>
      <w:r>
        <w:rPr>
          <w:rFonts w:ascii="Times New Roman" w:hAnsi="Times New Roman"/>
          <w:noProof/>
        </w:rPr>
        <w:t xml:space="preserve"> [Accessed 1 March 2018].</w:t>
      </w:r>
    </w:p>
    <w:p>
      <w:pPr>
        <w:jc w:val="both"/>
        <w:rPr>
          <w:rFonts w:ascii="Times New Roman" w:hAnsi="Times New Roman"/>
          <w:noProof/>
        </w:rPr>
      </w:pPr>
      <w:r>
        <w:rPr>
          <w:rFonts w:ascii="Times New Roman" w:hAnsi="Times New Roman"/>
          <w:noProof/>
        </w:rPr>
        <w:t xml:space="preserve">Sawyer, S.M., Afifi, R.A., Bearinger, L.H., Blakemore, S-J., Dick, B., Ezeh, A.C. and Patton, G.C., 2012. Adolescence: a foundation for future health. In: </w:t>
      </w:r>
      <w:r>
        <w:rPr>
          <w:rFonts w:ascii="Times New Roman" w:hAnsi="Times New Roman"/>
          <w:i/>
          <w:noProof/>
        </w:rPr>
        <w:t>Lancet</w:t>
      </w:r>
      <w:r>
        <w:rPr>
          <w:rFonts w:ascii="Times New Roman" w:hAnsi="Times New Roman"/>
          <w:noProof/>
        </w:rPr>
        <w:t>, 379(9826), pp. 1630-1640.</w:t>
      </w:r>
    </w:p>
    <w:p>
      <w:pPr>
        <w:pStyle w:val="Yo1Textpara"/>
        <w:spacing w:before="0" w:afterLines="120" w:after="288" w:line="276" w:lineRule="auto"/>
        <w:rPr>
          <w:noProof/>
          <w:szCs w:val="22"/>
        </w:rPr>
      </w:pPr>
      <w:r>
        <w:rPr>
          <w:noProof/>
          <w:szCs w:val="22"/>
        </w:rPr>
        <w:t xml:space="preserve">Scarpetta, S. and Sonnet, A., 2012. Investing in skills to foster youth employability – What are the key policy challenges? In: </w:t>
      </w:r>
      <w:r>
        <w:rPr>
          <w:i/>
          <w:noProof/>
          <w:szCs w:val="22"/>
        </w:rPr>
        <w:t>Intereconomics</w:t>
      </w:r>
      <w:r>
        <w:rPr>
          <w:noProof/>
          <w:szCs w:val="22"/>
        </w:rPr>
        <w:t>, 1, p. 4-10.</w:t>
      </w:r>
    </w:p>
    <w:p>
      <w:pPr>
        <w:jc w:val="both"/>
        <w:rPr>
          <w:rFonts w:ascii="Times New Roman" w:hAnsi="Times New Roman"/>
          <w:bCs/>
          <w:caps/>
          <w:noProof/>
          <w:lang w:eastAsia="fr-BE"/>
        </w:rPr>
      </w:pPr>
      <w:r>
        <w:rPr>
          <w:rFonts w:ascii="Times New Roman" w:hAnsi="Times New Roman"/>
          <w:noProof/>
          <w:lang w:eastAsia="fr-BE"/>
        </w:rPr>
        <w:t xml:space="preserve">Shernoff, D.J. and Lowe Vandell, D., 2007. Engagement in after-school program activities: quality of experience from the perspective of participants. In: </w:t>
      </w:r>
      <w:r>
        <w:rPr>
          <w:rFonts w:ascii="Times New Roman" w:hAnsi="Times New Roman"/>
          <w:i/>
          <w:noProof/>
          <w:lang w:eastAsia="fr-BE"/>
        </w:rPr>
        <w:t>Journal of Youth Adolescence</w:t>
      </w:r>
      <w:r>
        <w:rPr>
          <w:rFonts w:ascii="Times New Roman" w:hAnsi="Times New Roman"/>
          <w:noProof/>
          <w:lang w:eastAsia="fr-BE"/>
        </w:rPr>
        <w:t>, 36, pp.891-903.</w:t>
      </w:r>
    </w:p>
    <w:p>
      <w:pPr>
        <w:jc w:val="both"/>
        <w:rPr>
          <w:rFonts w:ascii="Times New Roman" w:hAnsi="Times New Roman"/>
          <w:noProof/>
        </w:rPr>
      </w:pPr>
      <w:r>
        <w:rPr>
          <w:rFonts w:ascii="Times New Roman" w:hAnsi="Times New Roman"/>
          <w:noProof/>
        </w:rPr>
        <w:t xml:space="preserve">Sherraden, M.S., Lough, B. and McBride, A.M., 2008. Effects of international volunteering and service: individual and institutional predictors. In: </w:t>
      </w:r>
      <w:r>
        <w:rPr>
          <w:rFonts w:ascii="Times New Roman" w:hAnsi="Times New Roman"/>
          <w:i/>
          <w:iCs/>
          <w:noProof/>
        </w:rPr>
        <w:t>Voluntas: International Journal of Voluntary and Nonprofit Organizations</w:t>
      </w:r>
      <w:r>
        <w:rPr>
          <w:rFonts w:ascii="Times New Roman" w:hAnsi="Times New Roman"/>
          <w:noProof/>
        </w:rPr>
        <w:t xml:space="preserve">, </w:t>
      </w:r>
      <w:r>
        <w:rPr>
          <w:rFonts w:ascii="Times New Roman" w:hAnsi="Times New Roman"/>
          <w:iCs/>
          <w:noProof/>
        </w:rPr>
        <w:t>19</w:t>
      </w:r>
      <w:r>
        <w:rPr>
          <w:rFonts w:ascii="Times New Roman" w:hAnsi="Times New Roman"/>
          <w:noProof/>
        </w:rPr>
        <w:t xml:space="preserve">(4), p.395. </w:t>
      </w:r>
    </w:p>
    <w:p>
      <w:pPr>
        <w:jc w:val="both"/>
        <w:rPr>
          <w:rFonts w:ascii="Times New Roman" w:hAnsi="Times New Roman"/>
          <w:noProof/>
        </w:rPr>
      </w:pPr>
      <w:r>
        <w:rPr>
          <w:rFonts w:ascii="Times New Roman" w:hAnsi="Times New Roman"/>
          <w:noProof/>
        </w:rPr>
        <w:t xml:space="preserve">Sime, D. and Fox, R., 2014. Migrant children, social capital and access to services post-migration: transitions, negotiations and complex agencies. In: </w:t>
      </w:r>
      <w:r>
        <w:rPr>
          <w:rFonts w:ascii="Times New Roman" w:hAnsi="Times New Roman"/>
          <w:i/>
          <w:noProof/>
        </w:rPr>
        <w:t>Children &amp; Society</w:t>
      </w:r>
      <w:r>
        <w:rPr>
          <w:rFonts w:ascii="Times New Roman" w:hAnsi="Times New Roman"/>
          <w:noProof/>
        </w:rPr>
        <w:t xml:space="preserve"> 26(6), pp. 524-534.</w:t>
      </w:r>
    </w:p>
    <w:p>
      <w:pPr>
        <w:pStyle w:val="Yo1Textpara"/>
        <w:spacing w:before="0" w:afterLines="120" w:after="288" w:line="276" w:lineRule="auto"/>
        <w:rPr>
          <w:noProof/>
          <w:szCs w:val="22"/>
        </w:rPr>
      </w:pPr>
      <w:r>
        <w:rPr>
          <w:noProof/>
          <w:szCs w:val="22"/>
        </w:rPr>
        <w:t xml:space="preserve">STYLE, 2017. </w:t>
      </w:r>
      <w:r>
        <w:rPr>
          <w:i/>
          <w:noProof/>
          <w:szCs w:val="22"/>
        </w:rPr>
        <w:t>Strategic transitions for youth labour in Europe: a research project</w:t>
      </w:r>
      <w:r>
        <w:rPr>
          <w:noProof/>
          <w:szCs w:val="22"/>
        </w:rPr>
        <w:t xml:space="preserve"> [Online] Available at: </w:t>
      </w:r>
      <w:hyperlink r:id="rId162" w:history="1">
        <w:r>
          <w:rPr>
            <w:rStyle w:val="Hyperlink"/>
            <w:noProof/>
            <w:szCs w:val="22"/>
          </w:rPr>
          <w:t>http://www.style-research.eu/</w:t>
        </w:r>
      </w:hyperlink>
      <w:r>
        <w:rPr>
          <w:noProof/>
          <w:szCs w:val="22"/>
        </w:rPr>
        <w:t xml:space="preserve"> [Accessed 21 September 2017]. </w:t>
      </w:r>
    </w:p>
    <w:p>
      <w:pPr>
        <w:jc w:val="both"/>
        <w:rPr>
          <w:rFonts w:ascii="Times New Roman" w:hAnsi="Times New Roman"/>
          <w:noProof/>
        </w:rPr>
      </w:pPr>
      <w:r>
        <w:rPr>
          <w:rFonts w:ascii="Times New Roman" w:hAnsi="Times New Roman"/>
          <w:noProof/>
        </w:rPr>
        <w:t xml:space="preserve">The ESPAD Group, 2016. </w:t>
      </w:r>
      <w:r>
        <w:rPr>
          <w:rFonts w:ascii="Times New Roman" w:hAnsi="Times New Roman"/>
          <w:i/>
          <w:noProof/>
        </w:rPr>
        <w:t>ESPAD Report 2015: results from the European school survey project on alcohol and other drugs</w:t>
      </w:r>
      <w:r>
        <w:rPr>
          <w:rFonts w:ascii="Times New Roman" w:hAnsi="Times New Roman"/>
          <w:noProof/>
        </w:rPr>
        <w:t>. Luxembourg: Publications Office of the European Union.</w:t>
      </w:r>
    </w:p>
    <w:p>
      <w:pPr>
        <w:jc w:val="both"/>
        <w:rPr>
          <w:rFonts w:ascii="Times New Roman" w:hAnsi="Times New Roman"/>
          <w:noProof/>
          <w:lang w:eastAsia="fr-BE"/>
        </w:rPr>
      </w:pPr>
      <w:r>
        <w:rPr>
          <w:rFonts w:ascii="Times New Roman" w:hAnsi="Times New Roman"/>
          <w:noProof/>
          <w:lang w:eastAsia="fr-BE"/>
        </w:rPr>
        <w:t xml:space="preserve">United Nations, Department of Economic and Social Affairs, Population Division, 2016. </w:t>
      </w:r>
      <w:r>
        <w:rPr>
          <w:rFonts w:ascii="Times New Roman" w:hAnsi="Times New Roman"/>
          <w:i/>
          <w:iCs/>
          <w:noProof/>
          <w:lang w:eastAsia="fr-BE"/>
        </w:rPr>
        <w:t xml:space="preserve">International migration report 2015: highlights </w:t>
      </w:r>
      <w:r>
        <w:rPr>
          <w:rFonts w:ascii="Times New Roman" w:hAnsi="Times New Roman"/>
          <w:noProof/>
          <w:lang w:eastAsia="fr-BE"/>
        </w:rPr>
        <w:t>(ST/ESA/SER.A/375). New York: United Nations.</w:t>
      </w:r>
    </w:p>
    <w:p>
      <w:pPr>
        <w:pStyle w:val="Yo1Textpara"/>
        <w:spacing w:after="240"/>
        <w:rPr>
          <w:bCs/>
          <w:noProof/>
          <w:szCs w:val="22"/>
        </w:rPr>
      </w:pPr>
      <w:r>
        <w:rPr>
          <w:noProof/>
          <w:szCs w:val="22"/>
        </w:rPr>
        <w:t xml:space="preserve">Valenzuela, S., Arriagada, A., and Scherman, A., 2014. </w:t>
      </w:r>
      <w:r>
        <w:rPr>
          <w:bCs/>
          <w:noProof/>
          <w:szCs w:val="22"/>
        </w:rPr>
        <w:t xml:space="preserve">Facebook, Twitter, and youth engagement: a quasi-experimental study of social media use and protest behaviour using propensity score matching. In: </w:t>
      </w:r>
      <w:r>
        <w:rPr>
          <w:bCs/>
          <w:i/>
          <w:noProof/>
          <w:szCs w:val="22"/>
        </w:rPr>
        <w:t>International Journal of Communication</w:t>
      </w:r>
      <w:r>
        <w:rPr>
          <w:bCs/>
          <w:noProof/>
          <w:szCs w:val="22"/>
        </w:rPr>
        <w:t>, 8, pp. 2046-2070.</w:t>
      </w:r>
    </w:p>
    <w:p>
      <w:pPr>
        <w:pStyle w:val="Yo1Textpara"/>
        <w:spacing w:before="0" w:afterLines="120" w:after="288" w:line="276" w:lineRule="auto"/>
        <w:rPr>
          <w:noProof/>
          <w:szCs w:val="22"/>
        </w:rPr>
      </w:pPr>
      <w:r>
        <w:rPr>
          <w:noProof/>
          <w:szCs w:val="22"/>
        </w:rPr>
        <w:t xml:space="preserve">Van Praag, C. and Versloot, P., 2007. What is the value of entrepreneurship? A review of recent research. In: </w:t>
      </w:r>
      <w:r>
        <w:rPr>
          <w:i/>
          <w:noProof/>
          <w:szCs w:val="22"/>
        </w:rPr>
        <w:t>Small Business Economics</w:t>
      </w:r>
      <w:r>
        <w:rPr>
          <w:noProof/>
          <w:szCs w:val="22"/>
        </w:rPr>
        <w:t>, 29(4), 351-382.</w:t>
      </w:r>
    </w:p>
    <w:p>
      <w:pPr>
        <w:jc w:val="both"/>
        <w:rPr>
          <w:rFonts w:ascii="Times New Roman" w:hAnsi="Times New Roman"/>
          <w:noProof/>
        </w:rPr>
      </w:pPr>
      <w:r>
        <w:rPr>
          <w:rFonts w:ascii="Times New Roman" w:hAnsi="Times New Roman"/>
          <w:noProof/>
        </w:rPr>
        <w:t xml:space="preserve">Viner, R.M., Ozer, E.M., Denny, S., Marmot, M., Resnick, M., Fatusi, A. and Currie, C., 2012. Adolescence and the social determinants of health. In: </w:t>
      </w:r>
      <w:r>
        <w:rPr>
          <w:rFonts w:ascii="Times New Roman" w:hAnsi="Times New Roman"/>
          <w:i/>
          <w:noProof/>
        </w:rPr>
        <w:t>Lancet</w:t>
      </w:r>
      <w:r>
        <w:rPr>
          <w:rFonts w:ascii="Times New Roman" w:hAnsi="Times New Roman"/>
          <w:noProof/>
        </w:rPr>
        <w:t xml:space="preserve">, 379(9826), pp. 1641-1652. </w:t>
      </w:r>
    </w:p>
    <w:p>
      <w:pPr>
        <w:pStyle w:val="Yo1Textpara"/>
        <w:spacing w:before="0" w:afterLines="120" w:after="288" w:line="276" w:lineRule="auto"/>
        <w:rPr>
          <w:noProof/>
          <w:szCs w:val="22"/>
        </w:rPr>
      </w:pPr>
      <w:r>
        <w:rPr>
          <w:noProof/>
          <w:szCs w:val="22"/>
        </w:rPr>
        <w:t xml:space="preserve">Wagner, J., 2007. What a difference a Y makes – female and male nascent entrepreneurs in Germany. In: </w:t>
      </w:r>
      <w:r>
        <w:rPr>
          <w:i/>
          <w:iCs/>
          <w:noProof/>
          <w:szCs w:val="22"/>
        </w:rPr>
        <w:t>Small Business Economics</w:t>
      </w:r>
      <w:r>
        <w:rPr>
          <w:noProof/>
          <w:szCs w:val="22"/>
        </w:rPr>
        <w:t xml:space="preserve">, </w:t>
      </w:r>
      <w:r>
        <w:rPr>
          <w:bCs/>
          <w:noProof/>
          <w:szCs w:val="22"/>
        </w:rPr>
        <w:t>28</w:t>
      </w:r>
      <w:r>
        <w:rPr>
          <w:noProof/>
          <w:szCs w:val="22"/>
        </w:rPr>
        <w:t>(1), p. 1-21.</w:t>
      </w:r>
    </w:p>
    <w:p>
      <w:pPr>
        <w:jc w:val="both"/>
        <w:rPr>
          <w:rFonts w:ascii="Times New Roman" w:hAnsi="Times New Roman"/>
          <w:noProof/>
        </w:rPr>
      </w:pPr>
      <w:r>
        <w:rPr>
          <w:rFonts w:ascii="Times New Roman" w:hAnsi="Times New Roman"/>
          <w:noProof/>
        </w:rPr>
        <w:t xml:space="preserve">WHO (World Health Organization), 2014a. </w:t>
      </w:r>
      <w:r>
        <w:rPr>
          <w:rFonts w:ascii="Times New Roman" w:hAnsi="Times New Roman"/>
          <w:i/>
          <w:noProof/>
        </w:rPr>
        <w:t>Literature review on the health effects of smoke-free policies in light of the WHO FCTC</w:t>
      </w:r>
      <w:r>
        <w:rPr>
          <w:rFonts w:ascii="Times New Roman" w:hAnsi="Times New Roman"/>
          <w:noProof/>
        </w:rPr>
        <w:t xml:space="preserve">. [Online] Available at: </w:t>
      </w:r>
      <w:r>
        <w:rPr>
          <w:rFonts w:ascii="Times New Roman" w:hAnsi="Times New Roman"/>
          <w:noProof/>
        </w:rPr>
        <w:tab/>
      </w:r>
      <w:r>
        <w:rPr>
          <w:rFonts w:ascii="Times New Roman" w:hAnsi="Times New Roman"/>
          <w:noProof/>
        </w:rPr>
        <w:br/>
      </w:r>
      <w:hyperlink r:id="rId163" w:history="1">
        <w:r>
          <w:rPr>
            <w:rStyle w:val="Hyperlink"/>
            <w:rFonts w:ascii="Times New Roman" w:hAnsi="Times New Roman"/>
            <w:noProof/>
            <w:lang w:eastAsia="fr-BE"/>
          </w:rPr>
          <w:t>http://ec.europa.eu/health/archive/ph_information/documents/tobacco_control_en.pdf</w:t>
        </w:r>
      </w:hyperlink>
      <w:r>
        <w:rPr>
          <w:rFonts w:ascii="Times New Roman" w:hAnsi="Times New Roman"/>
          <w:noProof/>
        </w:rPr>
        <w:t xml:space="preserve"> [Accessed 17 February 2015].</w:t>
      </w:r>
    </w:p>
    <w:p>
      <w:pPr>
        <w:jc w:val="both"/>
        <w:rPr>
          <w:rFonts w:ascii="Times New Roman" w:hAnsi="Times New Roman"/>
          <w:noProof/>
        </w:rPr>
      </w:pPr>
      <w:r>
        <w:rPr>
          <w:rFonts w:ascii="Times New Roman" w:hAnsi="Times New Roman"/>
          <w:noProof/>
        </w:rPr>
        <w:t xml:space="preserve">WHO, 2014b. </w:t>
      </w:r>
      <w:r>
        <w:rPr>
          <w:rFonts w:ascii="Times New Roman" w:hAnsi="Times New Roman"/>
          <w:i/>
          <w:noProof/>
        </w:rPr>
        <w:t>Preventing suicide: a global imperative</w:t>
      </w:r>
      <w:r>
        <w:rPr>
          <w:rFonts w:ascii="Times New Roman" w:hAnsi="Times New Roman"/>
          <w:noProof/>
        </w:rPr>
        <w:t>. Geneva: World Health Organization.</w:t>
      </w:r>
    </w:p>
    <w:p>
      <w:pPr>
        <w:jc w:val="both"/>
        <w:rPr>
          <w:rFonts w:ascii="Times New Roman" w:hAnsi="Times New Roman"/>
          <w:noProof/>
        </w:rPr>
      </w:pPr>
      <w:r>
        <w:rPr>
          <w:rFonts w:ascii="Times New Roman" w:hAnsi="Times New Roman"/>
          <w:noProof/>
        </w:rPr>
        <w:t xml:space="preserve">WHO, 2017. </w:t>
      </w:r>
      <w:r>
        <w:rPr>
          <w:rFonts w:ascii="Times New Roman" w:hAnsi="Times New Roman"/>
          <w:i/>
          <w:noProof/>
        </w:rPr>
        <w:t>Depression: fact sheet</w:t>
      </w:r>
      <w:r>
        <w:rPr>
          <w:rFonts w:ascii="Times New Roman" w:hAnsi="Times New Roman"/>
          <w:noProof/>
        </w:rPr>
        <w:t xml:space="preserve">. [Online] Available at: </w:t>
      </w:r>
      <w:r>
        <w:rPr>
          <w:rFonts w:ascii="Times New Roman" w:hAnsi="Times New Roman"/>
          <w:noProof/>
        </w:rPr>
        <w:tab/>
      </w:r>
      <w:r>
        <w:rPr>
          <w:rFonts w:ascii="Times New Roman" w:hAnsi="Times New Roman"/>
          <w:noProof/>
        </w:rPr>
        <w:br/>
      </w:r>
      <w:hyperlink r:id="rId164" w:history="1">
        <w:r>
          <w:rPr>
            <w:rStyle w:val="Hyperlink"/>
            <w:rFonts w:ascii="Times New Roman" w:hAnsi="Times New Roman"/>
            <w:noProof/>
            <w:lang w:eastAsia="fr-BE"/>
          </w:rPr>
          <w:t>http://www.who.int/mediacentre/factsheets/fs369/en/</w:t>
        </w:r>
      </w:hyperlink>
      <w:r>
        <w:rPr>
          <w:rFonts w:ascii="Times New Roman" w:hAnsi="Times New Roman"/>
          <w:noProof/>
        </w:rPr>
        <w:t xml:space="preserve"> [Accessed 13 June 2017].</w:t>
      </w:r>
    </w:p>
    <w:p>
      <w:pPr>
        <w:jc w:val="both"/>
        <w:rPr>
          <w:rFonts w:ascii="Times New Roman" w:hAnsi="Times New Roman"/>
          <w:noProof/>
        </w:rPr>
      </w:pPr>
      <w:r>
        <w:rPr>
          <w:rFonts w:ascii="Times New Roman" w:hAnsi="Times New Roman"/>
          <w:noProof/>
        </w:rPr>
        <w:t xml:space="preserve">WHO and Calouste Gulbenkian Foundation, 2014. </w:t>
      </w:r>
      <w:r>
        <w:rPr>
          <w:rFonts w:ascii="Times New Roman" w:hAnsi="Times New Roman"/>
          <w:i/>
          <w:noProof/>
        </w:rPr>
        <w:t>Social determinants of mental health</w:t>
      </w:r>
      <w:r>
        <w:rPr>
          <w:rFonts w:ascii="Times New Roman" w:hAnsi="Times New Roman"/>
          <w:noProof/>
        </w:rPr>
        <w:t>. Geneva: World Health Organization.</w:t>
      </w:r>
    </w:p>
    <w:p>
      <w:pPr>
        <w:jc w:val="both"/>
        <w:rPr>
          <w:rFonts w:ascii="Times New Roman" w:hAnsi="Times New Roman"/>
          <w:noProof/>
        </w:rPr>
      </w:pPr>
      <w:r>
        <w:rPr>
          <w:rFonts w:ascii="Times New Roman" w:hAnsi="Times New Roman"/>
          <w:noProof/>
        </w:rPr>
        <w:t xml:space="preserve">WHO Regional Office for Europe, 2009. </w:t>
      </w:r>
      <w:r>
        <w:rPr>
          <w:rFonts w:ascii="Times New Roman" w:hAnsi="Times New Roman"/>
          <w:i/>
          <w:noProof/>
        </w:rPr>
        <w:t>A snapshot of the health of young people in Europe</w:t>
      </w:r>
      <w:r>
        <w:rPr>
          <w:rFonts w:ascii="Times New Roman" w:hAnsi="Times New Roman"/>
          <w:noProof/>
        </w:rPr>
        <w:t xml:space="preserve">. A report prepared for the European Commission Conference on Youth Health, Brussels, Belgium, 9-10 July 2009. Copenhagen: WHO Regional Office for Europe [Online] Available at: </w:t>
      </w:r>
      <w:hyperlink r:id="rId165" w:history="1">
        <w:r>
          <w:rPr>
            <w:rStyle w:val="Hyperlink"/>
            <w:rFonts w:ascii="Times New Roman" w:hAnsi="Times New Roman"/>
            <w:noProof/>
          </w:rPr>
          <w:t>http://www.euro.who.int/__data/assets/pdf_file/0013/70114/E93036.pdf</w:t>
        </w:r>
      </w:hyperlink>
      <w:r>
        <w:rPr>
          <w:rFonts w:ascii="Times New Roman" w:hAnsi="Times New Roman"/>
          <w:noProof/>
        </w:rPr>
        <w:t xml:space="preserve"> [Accessed 1 March 2018].</w:t>
      </w:r>
    </w:p>
    <w:p>
      <w:pPr>
        <w:jc w:val="both"/>
        <w:rPr>
          <w:rFonts w:ascii="Times New Roman" w:hAnsi="Times New Roman"/>
          <w:noProof/>
        </w:rPr>
      </w:pPr>
      <w:r>
        <w:rPr>
          <w:rFonts w:ascii="Times New Roman" w:hAnsi="Times New Roman"/>
          <w:noProof/>
        </w:rPr>
        <w:t xml:space="preserve">WHO Regional Office for Europe, 2014. </w:t>
      </w:r>
      <w:r>
        <w:rPr>
          <w:rFonts w:ascii="Times New Roman" w:hAnsi="Times New Roman"/>
          <w:i/>
          <w:noProof/>
        </w:rPr>
        <w:t>Obesity and inequities. Guidance for addressing inequities in overweight and obesity.</w:t>
      </w:r>
      <w:r>
        <w:rPr>
          <w:rFonts w:ascii="Times New Roman" w:hAnsi="Times New Roman"/>
          <w:noProof/>
        </w:rPr>
        <w:t xml:space="preserve"> Copenhagen: WHO Regional Office for Europe.</w:t>
      </w:r>
    </w:p>
    <w:p>
      <w:pPr>
        <w:jc w:val="both"/>
        <w:rPr>
          <w:rFonts w:ascii="Times New Roman" w:hAnsi="Times New Roman"/>
          <w:noProof/>
        </w:rPr>
      </w:pPr>
      <w:r>
        <w:rPr>
          <w:rFonts w:ascii="Times New Roman" w:hAnsi="Times New Roman"/>
          <w:noProof/>
        </w:rPr>
        <w:t xml:space="preserve">WHO Regional Office for Europe, 2016. </w:t>
      </w:r>
      <w:r>
        <w:rPr>
          <w:rFonts w:ascii="Times New Roman" w:hAnsi="Times New Roman"/>
          <w:i/>
          <w:noProof/>
        </w:rPr>
        <w:t>Growing up unequal: gender and socioeconomic differences in young people’s health and well-being.</w:t>
      </w:r>
      <w:r>
        <w:rPr>
          <w:rFonts w:ascii="Times New Roman" w:hAnsi="Times New Roman"/>
          <w:noProof/>
        </w:rPr>
        <w:t xml:space="preserve"> </w:t>
      </w:r>
      <w:r>
        <w:rPr>
          <w:rFonts w:ascii="Times New Roman" w:hAnsi="Times New Roman"/>
          <w:i/>
          <w:noProof/>
        </w:rPr>
        <w:t>Health Behaviour in School-aged Children (HBSC) Study: International Report from the 2013/2014 Survey</w:t>
      </w:r>
      <w:r>
        <w:rPr>
          <w:rFonts w:ascii="Times New Roman" w:hAnsi="Times New Roman"/>
          <w:noProof/>
        </w:rPr>
        <w:t>. Copenhagen: WHO Regional Office for Europe.</w:t>
      </w:r>
    </w:p>
    <w:p>
      <w:pPr>
        <w:jc w:val="both"/>
        <w:rPr>
          <w:rFonts w:ascii="Times New Roman" w:hAnsi="Times New Roman"/>
          <w:noProof/>
        </w:rPr>
      </w:pPr>
      <w:r>
        <w:rPr>
          <w:rFonts w:ascii="Times New Roman" w:hAnsi="Times New Roman"/>
          <w:noProof/>
        </w:rPr>
        <w:t xml:space="preserve">WHO Regional Office for Europe, 2017. </w:t>
      </w:r>
      <w:r>
        <w:rPr>
          <w:rFonts w:ascii="Times New Roman" w:hAnsi="Times New Roman"/>
          <w:i/>
          <w:noProof/>
        </w:rPr>
        <w:t>Adolescent obesity and related behaviours: trends and inequalities in the WHO European Region, 2002–2014</w:t>
      </w:r>
      <w:r>
        <w:rPr>
          <w:rFonts w:ascii="Times New Roman" w:hAnsi="Times New Roman"/>
          <w:noProof/>
        </w:rPr>
        <w:t>. Copenhagen: WHO Regional Office for Europe.</w:t>
      </w:r>
    </w:p>
    <w:p>
      <w:pPr>
        <w:jc w:val="both"/>
        <w:rPr>
          <w:rFonts w:ascii="Times New Roman" w:hAnsi="Times New Roman"/>
          <w:noProof/>
        </w:rPr>
      </w:pPr>
      <w:r>
        <w:rPr>
          <w:rFonts w:ascii="Times New Roman" w:hAnsi="Times New Roman"/>
          <w:noProof/>
        </w:rPr>
        <w:t xml:space="preserve">Williamson, H., Hoskins, B., and Boetzelen, P., eds., 2005. </w:t>
      </w:r>
      <w:r>
        <w:rPr>
          <w:rFonts w:ascii="Times New Roman" w:hAnsi="Times New Roman"/>
          <w:i/>
          <w:noProof/>
        </w:rPr>
        <w:t>Charting the landscape of European youth voluntary activities</w:t>
      </w:r>
      <w:r>
        <w:rPr>
          <w:rFonts w:ascii="Times New Roman" w:hAnsi="Times New Roman"/>
          <w:noProof/>
        </w:rPr>
        <w:t>. Strasbourg: Council of Europe.</w:t>
      </w:r>
    </w:p>
    <w:p>
      <w:pPr>
        <w:jc w:val="both"/>
        <w:rPr>
          <w:rFonts w:ascii="Times New Roman" w:hAnsi="Times New Roman"/>
          <w:noProof/>
          <w:lang w:eastAsia="fr-BE"/>
        </w:rPr>
      </w:pPr>
      <w:r>
        <w:rPr>
          <w:rFonts w:ascii="Times New Roman" w:hAnsi="Times New Roman"/>
          <w:noProof/>
          <w:lang w:eastAsia="fr-BE"/>
        </w:rPr>
        <w:t xml:space="preserve">Wilson, C., Sobotka, T., Williamson, L. and Boyle, P., 2013. Migration and intergenerational replacement in Europe. In </w:t>
      </w:r>
      <w:r>
        <w:rPr>
          <w:rFonts w:ascii="Times New Roman" w:hAnsi="Times New Roman"/>
          <w:i/>
          <w:noProof/>
          <w:lang w:eastAsia="fr-BE"/>
        </w:rPr>
        <w:t>Population and Development Review</w:t>
      </w:r>
      <w:r>
        <w:rPr>
          <w:rFonts w:ascii="Times New Roman" w:hAnsi="Times New Roman"/>
          <w:noProof/>
          <w:lang w:eastAsia="fr-BE"/>
        </w:rPr>
        <w:t>, 39, pp. 131-157.</w:t>
      </w:r>
      <w:bookmarkEnd w:id="5"/>
    </w:p>
    <w:sectPr>
      <w:headerReference w:type="even" r:id="rId166"/>
      <w:headerReference w:type="default" r:id="rId167"/>
      <w:footerReference w:type="even" r:id="rId168"/>
      <w:footerReference w:type="default" r:id="rId169"/>
      <w:headerReference w:type="first" r:id="rId170"/>
      <w:footerReference w:type="first" r:id="rId171"/>
      <w:type w:val="oddPage"/>
      <w:pgSz w:w="11906" w:h="16838" w:code="9"/>
      <w:pgMar w:top="1985" w:right="992" w:bottom="851" w:left="992"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yriadPro-Bold">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22</w:t>
    </w:r>
    <w:r>
      <w:rPr>
        <w:noProof/>
      </w:rPr>
      <w:fldChar w:fldCharType="end"/>
    </w:r>
  </w:p>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146</w:t>
    </w:r>
    <w:r>
      <w:rPr>
        <w:noProof/>
      </w:rPr>
      <w:fldChar w:fldCharType="end"/>
    </w:r>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22</w:t>
    </w:r>
    <w:r>
      <w:rPr>
        <w:noProof/>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120</w:t>
    </w:r>
    <w:r>
      <w:rPr>
        <w:noProof/>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22</w:t>
    </w:r>
    <w:r>
      <w:rPr>
        <w:noProof/>
      </w:rPr>
      <w:fldChar w:fldCharType="end"/>
    </w:r>
  </w:p>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131</w:t>
    </w:r>
    <w:r>
      <w:rPr>
        <w:noProof/>
      </w:rPr>
      <w:fldChar w:fldCharType="end"/>
    </w: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tabs>
          <w:tab w:val="left" w:pos="426"/>
        </w:tabs>
        <w:spacing w:after="60" w:line="240" w:lineRule="auto"/>
        <w:rPr>
          <w:rFonts w:ascii="Times New Roman" w:hAnsi="Times New Roman"/>
          <w:sz w:val="18"/>
          <w:szCs w:val="18"/>
          <w:lang w:val="en-GB"/>
        </w:rPr>
      </w:pPr>
      <w:r>
        <w:rPr>
          <w:rFonts w:ascii="Times New Roman" w:hAnsi="Times New Roman"/>
          <w:sz w:val="18"/>
          <w:szCs w:val="18"/>
        </w:rPr>
        <w:t>(</w:t>
      </w:r>
      <w:r>
        <w:rPr>
          <w:rStyle w:val="FootnoteReference"/>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en-GB"/>
        </w:rPr>
        <w:tab/>
        <w:t>Bourn, 2008.</w:t>
      </w:r>
    </w:p>
  </w:footnote>
  <w:footnote w:id="2">
    <w:p>
      <w:pPr>
        <w:pStyle w:val="FootnoteText"/>
        <w:tabs>
          <w:tab w:val="left" w:pos="426"/>
        </w:tabs>
        <w:spacing w:after="60" w:line="240" w:lineRule="auto"/>
        <w:rPr>
          <w:rFonts w:ascii="Times New Roman" w:hAnsi="Times New Roman"/>
          <w:sz w:val="18"/>
          <w:szCs w:val="18"/>
          <w:lang w:val="en-GB"/>
        </w:rPr>
      </w:pPr>
      <w:r>
        <w:rPr>
          <w:rFonts w:ascii="Times New Roman" w:hAnsi="Times New Roman"/>
          <w:sz w:val="18"/>
          <w:szCs w:val="18"/>
        </w:rPr>
        <w:t>(</w:t>
      </w:r>
      <w:r>
        <w:rPr>
          <w:rStyle w:val="FootnoteReference"/>
          <w:rFonts w:ascii="Times New Roman" w:hAnsi="Times New Roman"/>
          <w:sz w:val="18"/>
          <w:szCs w:val="18"/>
        </w:rPr>
        <w:footnoteRef/>
      </w:r>
      <w:r>
        <w:rPr>
          <w:rFonts w:ascii="Times New Roman" w:hAnsi="Times New Roman"/>
          <w:sz w:val="18"/>
          <w:szCs w:val="18"/>
        </w:rPr>
        <w:t xml:space="preserve">) </w:t>
      </w:r>
      <w:r>
        <w:rPr>
          <w:rFonts w:ascii="Times New Roman" w:hAnsi="Times New Roman"/>
          <w:sz w:val="18"/>
          <w:szCs w:val="18"/>
          <w:lang w:val="en-GB"/>
        </w:rPr>
        <w:tab/>
      </w:r>
      <w:r>
        <w:rPr>
          <w:rFonts w:ascii="Times New Roman" w:hAnsi="Times New Roman"/>
          <w:sz w:val="18"/>
          <w:szCs w:val="18"/>
        </w:rPr>
        <w:t>European Commission/EACEA, 2013</w:t>
      </w:r>
      <w:r>
        <w:rPr>
          <w:rFonts w:ascii="Times New Roman" w:hAnsi="Times New Roman"/>
          <w:sz w:val="18"/>
          <w:szCs w:val="18"/>
          <w:lang w:val="en-GB"/>
        </w:rPr>
        <w:t>.</w:t>
      </w:r>
    </w:p>
  </w:footnote>
  <w:footnote w:id="3">
    <w:p>
      <w:pPr>
        <w:pStyle w:val="FootnoteText"/>
        <w:tabs>
          <w:tab w:val="left" w:pos="426"/>
        </w:tabs>
        <w:ind w:left="426" w:hanging="426"/>
        <w:rPr>
          <w:rFonts w:ascii="Times New Roman" w:hAnsi="Times New Roman"/>
          <w:sz w:val="18"/>
          <w:szCs w:val="18"/>
          <w:lang w:val="en-GB"/>
        </w:rPr>
      </w:pPr>
      <w:r>
        <w:rPr>
          <w:rFonts w:ascii="Times New Roman" w:hAnsi="Times New Roman"/>
          <w:sz w:val="18"/>
          <w:szCs w:val="18"/>
        </w:rPr>
        <w:t>(</w:t>
      </w:r>
      <w:r>
        <w:rPr>
          <w:rStyle w:val="FootnoteReference"/>
        </w:rPr>
        <w:footnoteRef/>
      </w:r>
      <w:r>
        <w:rPr>
          <w:rFonts w:ascii="Times New Roman" w:hAnsi="Times New Roman"/>
          <w:sz w:val="18"/>
          <w:szCs w:val="18"/>
        </w:rPr>
        <w:t xml:space="preserve">) </w:t>
      </w:r>
      <w:r>
        <w:rPr>
          <w:lang w:val="en-GB"/>
        </w:rPr>
        <w:tab/>
      </w:r>
      <w:r>
        <w:rPr>
          <w:rFonts w:ascii="Times New Roman" w:hAnsi="Times New Roman"/>
          <w:sz w:val="18"/>
          <w:szCs w:val="18"/>
          <w:lang w:val="en-GB"/>
        </w:rPr>
        <w:t>European Commission, 2018.</w:t>
      </w:r>
    </w:p>
  </w:footnote>
  <w:footnote w:id="4">
    <w:p>
      <w:pPr>
        <w:pStyle w:val="FootnoteText"/>
        <w:tabs>
          <w:tab w:val="left" w:pos="426"/>
        </w:tabs>
        <w:spacing w:after="0"/>
        <w:ind w:left="426" w:hanging="426"/>
        <w:rPr>
          <w:rFonts w:ascii="Times New Roman" w:hAnsi="Times New Roman"/>
          <w:sz w:val="18"/>
          <w:szCs w:val="18"/>
          <w:lang w:val="en-GB"/>
        </w:rPr>
      </w:pPr>
      <w:r>
        <w:rPr>
          <w:rFonts w:ascii="Times New Roman" w:hAnsi="Times New Roman"/>
          <w:sz w:val="18"/>
          <w:lang w:val="en-GB"/>
        </w:rPr>
        <w:t>(</w:t>
      </w:r>
      <w:r>
        <w:rPr>
          <w:rStyle w:val="FootnoteReference"/>
          <w:rFonts w:ascii="Times New Roman" w:hAnsi="Times New Roman"/>
          <w:sz w:val="18"/>
          <w:szCs w:val="18"/>
        </w:rPr>
        <w:footnoteRef/>
      </w:r>
      <w:r>
        <w:rPr>
          <w:rFonts w:ascii="Times New Roman" w:hAnsi="Times New Roman"/>
          <w:sz w:val="18"/>
          <w:lang w:val="en-GB"/>
        </w:rPr>
        <w:t>)</w:t>
      </w:r>
      <w:r>
        <w:t xml:space="preserve"> </w:t>
      </w:r>
      <w:r>
        <w:rPr>
          <w:lang w:val="en-GB"/>
        </w:rPr>
        <w:tab/>
      </w:r>
      <w:r>
        <w:rPr>
          <w:rFonts w:ascii="Times New Roman" w:hAnsi="Times New Roman"/>
          <w:sz w:val="18"/>
          <w:szCs w:val="18"/>
        </w:rPr>
        <w:t>Sherraden et al., 2008</w:t>
      </w:r>
      <w:r>
        <w:rPr>
          <w:rFonts w:ascii="Times New Roman" w:hAnsi="Times New Roman"/>
          <w:sz w:val="18"/>
          <w:szCs w:val="18"/>
          <w:lang w:val="en-GB"/>
        </w:rPr>
        <w:t>.</w:t>
      </w:r>
    </w:p>
  </w:footnote>
  <w:footnote w:id="5">
    <w:p>
      <w:pPr>
        <w:pStyle w:val="FootnoteText"/>
        <w:tabs>
          <w:tab w:val="left" w:pos="426"/>
        </w:tabs>
        <w:spacing w:after="0"/>
        <w:ind w:left="426" w:hanging="426"/>
        <w:rPr>
          <w:lang w:val="en-GB"/>
        </w:rPr>
      </w:pPr>
      <w:r>
        <w:rPr>
          <w:rFonts w:ascii="Times New Roman" w:hAnsi="Times New Roman"/>
          <w:sz w:val="18"/>
          <w:lang w:val="en-GB"/>
        </w:rPr>
        <w:t>(</w:t>
      </w:r>
      <w:r>
        <w:rPr>
          <w:rStyle w:val="FootnoteReference"/>
          <w:rFonts w:ascii="Times New Roman" w:hAnsi="Times New Roman"/>
          <w:sz w:val="18"/>
          <w:szCs w:val="18"/>
        </w:rPr>
        <w:footnoteRef/>
      </w:r>
      <w:r>
        <w:rPr>
          <w:rFonts w:ascii="Times New Roman" w:hAnsi="Times New Roman"/>
          <w:sz w:val="18"/>
          <w:lang w:val="en-GB"/>
        </w:rPr>
        <w:t xml:space="preserve">) </w:t>
      </w:r>
      <w:r>
        <w:rPr>
          <w:rFonts w:ascii="Times New Roman" w:hAnsi="Times New Roman"/>
          <w:sz w:val="18"/>
          <w:szCs w:val="18"/>
          <w:lang w:val="en-GB"/>
        </w:rPr>
        <w:tab/>
        <w:t>I</w:t>
      </w:r>
      <w:r>
        <w:rPr>
          <w:rFonts w:ascii="Times New Roman" w:hAnsi="Times New Roman"/>
          <w:sz w:val="18"/>
          <w:szCs w:val="18"/>
        </w:rPr>
        <w:t>bid</w:t>
      </w:r>
      <w:r>
        <w:rPr>
          <w:lang w:val="en-GB"/>
        </w:rPr>
        <w:t>.</w:t>
      </w:r>
    </w:p>
  </w:footnote>
  <w:footnote w:id="6">
    <w:p>
      <w:pPr>
        <w:pStyle w:val="FootnoteText"/>
        <w:tabs>
          <w:tab w:val="left" w:pos="426"/>
        </w:tabs>
        <w:spacing w:after="0" w:line="240" w:lineRule="auto"/>
        <w:ind w:left="425" w:hanging="425"/>
        <w:rPr>
          <w:rFonts w:ascii="Times New Roman" w:hAnsi="Times New Roman"/>
        </w:rPr>
      </w:pPr>
      <w:r>
        <w:rPr>
          <w:rFonts w:ascii="Times New Roman" w:hAnsi="Times New Roman"/>
        </w:rPr>
        <w:t>(</w:t>
      </w:r>
      <w:r>
        <w:rPr>
          <w:rStyle w:val="FootnoteReference"/>
          <w:rFonts w:ascii="Times New Roman" w:hAnsi="Times New Roman"/>
        </w:rPr>
        <w:footnoteRef/>
      </w:r>
      <w:r>
        <w:rPr>
          <w:rFonts w:ascii="Times New Roman" w:hAnsi="Times New Roman"/>
        </w:rPr>
        <w:t>)</w:t>
      </w:r>
      <w:r>
        <w:rPr>
          <w:rFonts w:ascii="Times New Roman" w:hAnsi="Times New Roman"/>
        </w:rPr>
        <w:tab/>
        <w:t>Sacco, 2011.</w:t>
      </w:r>
    </w:p>
  </w:footnote>
  <w:footnote w:id="7">
    <w:p>
      <w:pPr>
        <w:pStyle w:val="FootnoteText"/>
        <w:spacing w:after="0" w:line="240" w:lineRule="auto"/>
        <w:ind w:left="425" w:hanging="425"/>
        <w:rPr>
          <w:rFonts w:ascii="Times New Roman" w:hAnsi="Times New Roman"/>
        </w:rPr>
      </w:pPr>
      <w:r>
        <w:rPr>
          <w:rFonts w:ascii="Times New Roman" w:hAnsi="Times New Roman"/>
        </w:rPr>
        <w:t>(</w:t>
      </w:r>
      <w:r>
        <w:rPr>
          <w:rStyle w:val="FootnoteReference"/>
          <w:rFonts w:ascii="Times New Roman" w:hAnsi="Times New Roman"/>
        </w:rPr>
        <w:footnoteRef/>
      </w:r>
      <w:r>
        <w:rPr>
          <w:rFonts w:ascii="Times New Roman" w:hAnsi="Times New Roman"/>
        </w:rPr>
        <w:t xml:space="preserve">) </w:t>
      </w:r>
      <w:r>
        <w:rPr>
          <w:rFonts w:ascii="Times New Roman" w:hAnsi="Times New Roman"/>
        </w:rPr>
        <w:tab/>
      </w:r>
      <w:r>
        <w:rPr>
          <w:rFonts w:ascii="Times New Roman" w:hAnsi="Times New Roman"/>
          <w:color w:val="0A0A0A"/>
          <w:lang w:val="en"/>
        </w:rPr>
        <w:t xml:space="preserve">In 2016, mobile/smart phones were the most frequently used device as reported by 79 % of internet users in the EU, 64 % said they used a laptop/netbook, 54 % a desktop computer and 44 % a tablet. </w:t>
      </w:r>
      <w:r>
        <w:rPr>
          <w:rFonts w:ascii="Times New Roman" w:hAnsi="Times New Roman"/>
          <w:color w:val="0A0A0A"/>
        </w:rPr>
        <w:t>See Eurostat (2017b).</w:t>
      </w:r>
    </w:p>
  </w:footnote>
  <w:footnote w:id="8">
    <w:p>
      <w:pPr>
        <w:pStyle w:val="FootnoteText"/>
        <w:spacing w:after="0" w:line="240" w:lineRule="auto"/>
        <w:ind w:left="425" w:hanging="425"/>
        <w:rPr>
          <w:rFonts w:ascii="Times New Roman" w:hAnsi="Times New Roman"/>
        </w:rPr>
      </w:pPr>
      <w:r>
        <w:rPr>
          <w:rFonts w:ascii="Times New Roman" w:hAnsi="Times New Roman"/>
        </w:rPr>
        <w:t>(</w:t>
      </w: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European Commission, 2017c. </w:t>
      </w:r>
    </w:p>
  </w:footnote>
  <w:footnote w:id="9">
    <w:p>
      <w:pPr>
        <w:pStyle w:val="FootnoteText"/>
        <w:spacing w:after="0" w:line="240" w:lineRule="auto"/>
        <w:ind w:left="425" w:hanging="425"/>
        <w:rPr>
          <w:rFonts w:ascii="Times New Roman" w:hAnsi="Times New Roman"/>
        </w:rPr>
      </w:pPr>
      <w:r>
        <w:rPr>
          <w:rFonts w:ascii="Times New Roman" w:hAnsi="Times New Roman"/>
        </w:rPr>
        <w:t>(</w:t>
      </w:r>
      <w:r>
        <w:rPr>
          <w:rStyle w:val="FootnoteReference"/>
          <w:rFonts w:ascii="Times New Roman" w:hAnsi="Times New Roman"/>
        </w:rPr>
        <w:footnoteRef/>
      </w:r>
      <w:r>
        <w:rPr>
          <w:rFonts w:ascii="Times New Roman" w:hAnsi="Times New Roman"/>
        </w:rPr>
        <w:t xml:space="preserve">) </w:t>
      </w:r>
      <w:r>
        <w:rPr>
          <w:rFonts w:ascii="Times New Roman" w:hAnsi="Times New Roman"/>
        </w:rPr>
        <w:tab/>
        <w:t>European Union, 2016.</w:t>
      </w:r>
    </w:p>
  </w:footnote>
  <w:footnote w:id="10">
    <w:p>
      <w:pPr>
        <w:pStyle w:val="FootnoteText"/>
        <w:tabs>
          <w:tab w:val="left" w:pos="426"/>
        </w:tabs>
        <w:spacing w:after="0" w:line="240" w:lineRule="auto"/>
        <w:rPr>
          <w:rFonts w:ascii="Times New Roman" w:hAnsi="Times New Roman"/>
        </w:rPr>
      </w:pPr>
      <w:r>
        <w:rPr>
          <w:rFonts w:ascii="Times New Roman" w:hAnsi="Times New Roman"/>
        </w:rPr>
        <w:t>(</w:t>
      </w:r>
      <w:r>
        <w:rPr>
          <w:rStyle w:val="FootnoteReference"/>
          <w:rFonts w:ascii="Times New Roman" w:hAnsi="Times New Roman"/>
        </w:rPr>
        <w:footnoteRef/>
      </w:r>
      <w:r>
        <w:rPr>
          <w:rFonts w:ascii="Times New Roman" w:hAnsi="Times New Roman"/>
        </w:rPr>
        <w:t xml:space="preserve">) </w:t>
      </w:r>
      <w:r>
        <w:rPr>
          <w:rFonts w:ascii="Times New Roman" w:hAnsi="Times New Roman"/>
        </w:rPr>
        <w:tab/>
        <w:t>Using 2016 data for Italy.</w:t>
      </w:r>
    </w:p>
  </w:footnote>
  <w:footnote w:id="11">
    <w:p>
      <w:pPr>
        <w:pStyle w:val="FootnoteText"/>
        <w:spacing w:after="0" w:line="240" w:lineRule="auto"/>
        <w:ind w:left="425" w:hanging="425"/>
        <w:rPr>
          <w:rFonts w:ascii="Times New Roman" w:hAnsi="Times New Roman"/>
        </w:rPr>
      </w:pPr>
      <w:r>
        <w:rPr>
          <w:rFonts w:ascii="Times New Roman" w:hAnsi="Times New Roman"/>
        </w:rPr>
        <w:t>(</w:t>
      </w:r>
      <w:r>
        <w:rPr>
          <w:rStyle w:val="FootnoteReference"/>
          <w:rFonts w:ascii="Times New Roman" w:hAnsi="Times New Roman"/>
        </w:rPr>
        <w:footnoteRef/>
      </w:r>
      <w:r>
        <w:rPr>
          <w:rFonts w:ascii="Times New Roman" w:hAnsi="Times New Roman"/>
        </w:rPr>
        <w:t xml:space="preserve">) </w:t>
      </w:r>
      <w:r>
        <w:rPr>
          <w:rFonts w:ascii="Times New Roman" w:hAnsi="Times New Roman"/>
        </w:rPr>
        <w:tab/>
        <w:t xml:space="preserve">Eurostat, 2017a. </w:t>
      </w:r>
    </w:p>
  </w:footnote>
  <w:footnote w:id="12">
    <w:p>
      <w:pPr>
        <w:pStyle w:val="FootnoteText"/>
        <w:spacing w:after="0" w:line="240" w:lineRule="auto"/>
        <w:ind w:left="425" w:hanging="425"/>
        <w:rPr>
          <w:rFonts w:ascii="Times New Roman" w:hAnsi="Times New Roman"/>
        </w:rPr>
      </w:pPr>
      <w:r>
        <w:rPr>
          <w:rFonts w:ascii="Times New Roman" w:hAnsi="Times New Roman"/>
        </w:rPr>
        <w:t>(</w:t>
      </w:r>
      <w:r>
        <w:rPr>
          <w:rStyle w:val="FootnoteReference"/>
          <w:rFonts w:ascii="Times New Roman" w:hAnsi="Times New Roman"/>
        </w:rPr>
        <w:footnoteRef/>
      </w:r>
      <w:r>
        <w:rPr>
          <w:rFonts w:ascii="Times New Roman" w:hAnsi="Times New Roman"/>
        </w:rPr>
        <w:t xml:space="preserve">) </w:t>
      </w:r>
      <w:r>
        <w:rPr>
          <w:rFonts w:ascii="Times New Roman" w:hAnsi="Times New Roman"/>
        </w:rPr>
        <w:tab/>
        <w:t>Kutchinsky,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65" w:type="pct"/>
      <w:tblInd w:w="-885" w:type="dxa"/>
      <w:tblLook w:val="04A0" w:firstRow="1" w:lastRow="0" w:firstColumn="1" w:lastColumn="0" w:noHBand="0" w:noVBand="1"/>
    </w:tblPr>
    <w:tblGrid>
      <w:gridCol w:w="1146"/>
      <w:gridCol w:w="1570"/>
      <w:gridCol w:w="6619"/>
      <w:gridCol w:w="1654"/>
      <w:gridCol w:w="903"/>
    </w:tblGrid>
    <w:tr>
      <w:trPr>
        <w:trHeight w:hRule="exact" w:val="567"/>
      </w:trPr>
      <w:tc>
        <w:tcPr>
          <w:tcW w:w="1134" w:type="dxa"/>
          <w:shd w:val="clear" w:color="auto" w:fill="ED556E"/>
        </w:tcPr>
        <w:p>
          <w:pPr>
            <w:pStyle w:val="Header"/>
            <w:spacing w:after="0" w:line="240" w:lineRule="auto"/>
            <w:jc w:val="center"/>
            <w:rPr>
              <w:b/>
              <w:color w:val="FFFFFF"/>
              <w:sz w:val="48"/>
            </w:rPr>
          </w:pPr>
          <w:r>
            <w:rPr>
              <w:b/>
              <w:color w:val="FFFFFF"/>
              <w:sz w:val="48"/>
            </w:rPr>
            <w:t>9</w:t>
          </w:r>
        </w:p>
      </w:tc>
      <w:tc>
        <w:tcPr>
          <w:tcW w:w="1554" w:type="dxa"/>
          <w:shd w:val="clear" w:color="auto" w:fill="D9D9D9"/>
        </w:tcPr>
        <w:p>
          <w:pPr>
            <w:pStyle w:val="Header"/>
          </w:pPr>
        </w:p>
      </w:tc>
      <w:tc>
        <w:tcPr>
          <w:tcW w:w="6552" w:type="dxa"/>
          <w:shd w:val="clear" w:color="auto" w:fill="auto"/>
          <w:vAlign w:val="bottom"/>
        </w:tcPr>
        <w:p>
          <w:pPr>
            <w:pStyle w:val="Yo4Headereven"/>
          </w:pPr>
          <w:r>
            <w:t>Culture and Creativity</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33" w:type="pct"/>
      <w:tblInd w:w="-601" w:type="dxa"/>
      <w:tblLook w:val="04A0" w:firstRow="1" w:lastRow="0" w:firstColumn="1" w:lastColumn="0" w:noHBand="0" w:noVBand="1"/>
    </w:tblPr>
    <w:tblGrid>
      <w:gridCol w:w="884"/>
      <w:gridCol w:w="1611"/>
      <w:gridCol w:w="6474"/>
      <w:gridCol w:w="1534"/>
      <w:gridCol w:w="1121"/>
    </w:tblGrid>
    <w:tr>
      <w:trPr>
        <w:cantSplit/>
        <w:trHeight w:hRule="exact" w:val="567"/>
      </w:trPr>
      <w:tc>
        <w:tcPr>
          <w:tcW w:w="893" w:type="dxa"/>
          <w:shd w:val="clear" w:color="auto" w:fill="auto"/>
        </w:tcPr>
        <w:p>
          <w:pPr>
            <w:pStyle w:val="Header"/>
            <w:spacing w:after="0" w:line="240" w:lineRule="auto"/>
            <w:rPr>
              <w:b/>
              <w:color w:val="FFFFFF"/>
              <w:sz w:val="48"/>
            </w:rPr>
          </w:pPr>
        </w:p>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t>References</w:t>
          </w:r>
        </w:p>
      </w:tc>
      <w:tc>
        <w:tcPr>
          <w:tcW w:w="1554"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rPr>
          </w:pPr>
        </w:p>
      </w:tc>
    </w:tr>
  </w:tbl>
  <w:p>
    <w:pPr>
      <w:pStyle w:val="Yo5TextNotes"/>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65" w:type="pct"/>
      <w:tblInd w:w="-885" w:type="dxa"/>
      <w:tblLook w:val="04A0" w:firstRow="1" w:lastRow="0" w:firstColumn="1" w:lastColumn="0" w:noHBand="0" w:noVBand="1"/>
    </w:tblPr>
    <w:tblGrid>
      <w:gridCol w:w="1146"/>
      <w:gridCol w:w="1570"/>
      <w:gridCol w:w="6619"/>
      <w:gridCol w:w="1654"/>
      <w:gridCol w:w="903"/>
    </w:tblGrid>
    <w:tr>
      <w:trPr>
        <w:trHeight w:hRule="exact" w:val="567"/>
      </w:trPr>
      <w:tc>
        <w:tcPr>
          <w:tcW w:w="1134" w:type="dxa"/>
          <w:shd w:val="clear" w:color="auto" w:fill="ED556E"/>
        </w:tcPr>
        <w:p>
          <w:pPr>
            <w:pStyle w:val="Header"/>
            <w:spacing w:after="0" w:line="240" w:lineRule="auto"/>
            <w:jc w:val="center"/>
            <w:rPr>
              <w:b/>
              <w:color w:val="FFFFFF"/>
              <w:sz w:val="48"/>
            </w:rPr>
          </w:pPr>
          <w:r>
            <w:rPr>
              <w:b/>
              <w:color w:val="FFFFFF"/>
              <w:sz w:val="48"/>
            </w:rPr>
            <w:t>9</w:t>
          </w:r>
        </w:p>
      </w:tc>
      <w:tc>
        <w:tcPr>
          <w:tcW w:w="1554" w:type="dxa"/>
          <w:shd w:val="clear" w:color="auto" w:fill="D9D9D9"/>
        </w:tcPr>
        <w:p>
          <w:pPr>
            <w:pStyle w:val="Header"/>
          </w:pPr>
        </w:p>
      </w:tc>
      <w:tc>
        <w:tcPr>
          <w:tcW w:w="6552" w:type="dxa"/>
          <w:shd w:val="clear" w:color="auto" w:fill="auto"/>
          <w:vAlign w:val="bottom"/>
        </w:tcPr>
        <w:p>
          <w:pPr>
            <w:pStyle w:val="Yo4Headereven"/>
          </w:pPr>
          <w:r>
            <w:t>Culture and Creativity</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33" w:type="pct"/>
      <w:tblInd w:w="-601" w:type="dxa"/>
      <w:tblLook w:val="04A0" w:firstRow="1" w:lastRow="0" w:firstColumn="1" w:lastColumn="0" w:noHBand="0" w:noVBand="1"/>
    </w:tblPr>
    <w:tblGrid>
      <w:gridCol w:w="884"/>
      <w:gridCol w:w="1612"/>
      <w:gridCol w:w="6469"/>
      <w:gridCol w:w="1535"/>
      <w:gridCol w:w="1124"/>
    </w:tblGrid>
    <w:tr>
      <w:trPr>
        <w:cantSplit/>
        <w:trHeight w:hRule="exact" w:val="567"/>
      </w:trPr>
      <w:tc>
        <w:tcPr>
          <w:tcW w:w="893" w:type="dxa"/>
          <w:shd w:val="clear" w:color="auto" w:fill="auto"/>
        </w:tcPr>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t>Youth and the World</w:t>
          </w:r>
        </w:p>
      </w:tc>
      <w:tc>
        <w:tcPr>
          <w:tcW w:w="1554"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rPr>
          </w:pPr>
          <w:r>
            <w:rPr>
              <w:b/>
              <w:color w:val="FFFFFF"/>
              <w:sz w:val="48"/>
            </w:rPr>
            <w:t>8</w:t>
          </w:r>
        </w:p>
      </w:tc>
    </w:tr>
  </w:tbl>
  <w:p>
    <w:pPr>
      <w:pStyle w:val="Yo5TextNo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865" w:type="pct"/>
      <w:tblInd w:w="-885" w:type="dxa"/>
      <w:tblLook w:val="04A0" w:firstRow="1" w:lastRow="0" w:firstColumn="1" w:lastColumn="0" w:noHBand="0" w:noVBand="1"/>
    </w:tblPr>
    <w:tblGrid>
      <w:gridCol w:w="1146"/>
      <w:gridCol w:w="1570"/>
      <w:gridCol w:w="6619"/>
      <w:gridCol w:w="1654"/>
      <w:gridCol w:w="903"/>
    </w:tblGrid>
    <w:tr>
      <w:trPr>
        <w:trHeight w:hRule="exact" w:val="567"/>
      </w:trPr>
      <w:tc>
        <w:tcPr>
          <w:tcW w:w="1134" w:type="dxa"/>
          <w:shd w:val="clear" w:color="auto" w:fill="ED556E"/>
        </w:tcPr>
        <w:p>
          <w:pPr>
            <w:pStyle w:val="Header"/>
            <w:spacing w:after="0" w:line="240" w:lineRule="auto"/>
            <w:jc w:val="center"/>
            <w:rPr>
              <w:b/>
              <w:color w:val="FFFFFF"/>
              <w:sz w:val="48"/>
            </w:rPr>
          </w:pPr>
          <w:r>
            <w:rPr>
              <w:b/>
              <w:color w:val="FFFFFF"/>
              <w:sz w:val="48"/>
            </w:rPr>
            <w:t>9</w:t>
          </w:r>
        </w:p>
      </w:tc>
      <w:tc>
        <w:tcPr>
          <w:tcW w:w="1554" w:type="dxa"/>
          <w:shd w:val="clear" w:color="auto" w:fill="D9D9D9"/>
        </w:tcPr>
        <w:p>
          <w:pPr>
            <w:pStyle w:val="Header"/>
          </w:pPr>
        </w:p>
      </w:tc>
      <w:tc>
        <w:tcPr>
          <w:tcW w:w="6552" w:type="dxa"/>
          <w:shd w:val="clear" w:color="auto" w:fill="auto"/>
          <w:vAlign w:val="bottom"/>
        </w:tcPr>
        <w:p>
          <w:pPr>
            <w:pStyle w:val="Yo4Headereven"/>
          </w:pPr>
          <w:r>
            <w:t>Culture and Creativity</w:t>
          </w:r>
        </w:p>
      </w:tc>
      <w:tc>
        <w:tcPr>
          <w:tcW w:w="1637" w:type="dxa"/>
          <w:shd w:val="clear" w:color="auto" w:fill="auto"/>
        </w:tcPr>
        <w:p>
          <w:pPr>
            <w:pStyle w:val="Header"/>
            <w:spacing w:after="0" w:line="240" w:lineRule="auto"/>
            <w:jc w:val="center"/>
            <w:rPr>
              <w:b/>
              <w:color w:val="FFFFFF"/>
              <w:sz w:val="48"/>
            </w:rPr>
          </w:pPr>
        </w:p>
      </w:tc>
      <w:tc>
        <w:tcPr>
          <w:tcW w:w="894" w:type="dxa"/>
          <w:shd w:val="clear" w:color="auto" w:fill="auto"/>
        </w:tcPr>
        <w:p>
          <w:pPr>
            <w:pStyle w:val="Header"/>
            <w:spacing w:after="0" w:line="240" w:lineRule="auto"/>
            <w:jc w:val="center"/>
            <w:rPr>
              <w:b/>
              <w:color w:val="FFFFFF"/>
              <w:sz w:val="48"/>
            </w:rPr>
          </w:pPr>
        </w:p>
      </w:tc>
    </w:tr>
  </w:tbl>
  <w:p>
    <w:pPr>
      <w:pStyle w:val="Yo5TextNotes"/>
    </w:pPr>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733" w:type="pct"/>
      <w:tblInd w:w="-601" w:type="dxa"/>
      <w:tblLook w:val="04A0" w:firstRow="1" w:lastRow="0" w:firstColumn="1" w:lastColumn="0" w:noHBand="0" w:noVBand="1"/>
    </w:tblPr>
    <w:tblGrid>
      <w:gridCol w:w="884"/>
      <w:gridCol w:w="1611"/>
      <w:gridCol w:w="6471"/>
      <w:gridCol w:w="1534"/>
      <w:gridCol w:w="1124"/>
    </w:tblGrid>
    <w:tr>
      <w:trPr>
        <w:cantSplit/>
        <w:trHeight w:hRule="exact" w:val="567"/>
      </w:trPr>
      <w:tc>
        <w:tcPr>
          <w:tcW w:w="893" w:type="dxa"/>
          <w:shd w:val="clear" w:color="auto" w:fill="auto"/>
        </w:tcPr>
        <w:p>
          <w:pPr>
            <w:pStyle w:val="Header"/>
            <w:spacing w:after="0" w:line="240" w:lineRule="auto"/>
            <w:rPr>
              <w:b/>
              <w:color w:val="FFFFFF"/>
              <w:sz w:val="48"/>
            </w:rPr>
          </w:pPr>
        </w:p>
        <w:p>
          <w:pPr>
            <w:pStyle w:val="Header"/>
            <w:spacing w:after="0" w:line="240" w:lineRule="auto"/>
            <w:rPr>
              <w:b/>
              <w:color w:val="FFFFFF"/>
              <w:sz w:val="48"/>
            </w:rPr>
          </w:pPr>
        </w:p>
      </w:tc>
      <w:tc>
        <w:tcPr>
          <w:tcW w:w="1632" w:type="dxa"/>
          <w:shd w:val="clear" w:color="auto" w:fill="auto"/>
        </w:tcPr>
        <w:p>
          <w:pPr>
            <w:pStyle w:val="Header"/>
          </w:pPr>
        </w:p>
      </w:tc>
      <w:tc>
        <w:tcPr>
          <w:tcW w:w="6551" w:type="dxa"/>
          <w:shd w:val="clear" w:color="auto" w:fill="auto"/>
          <w:vAlign w:val="bottom"/>
        </w:tcPr>
        <w:p>
          <w:pPr>
            <w:pStyle w:val="Yo4Headerodd"/>
          </w:pPr>
          <w:r>
            <w:t>Culture, Creativity and ICT</w:t>
          </w:r>
        </w:p>
      </w:tc>
      <w:tc>
        <w:tcPr>
          <w:tcW w:w="1554" w:type="dxa"/>
          <w:shd w:val="clear" w:color="auto" w:fill="D9D9D9"/>
        </w:tcPr>
        <w:p>
          <w:pPr>
            <w:pStyle w:val="Header"/>
            <w:spacing w:after="0" w:line="240" w:lineRule="auto"/>
            <w:jc w:val="center"/>
            <w:rPr>
              <w:b/>
              <w:color w:val="FFFFFF"/>
              <w:sz w:val="48"/>
            </w:rPr>
          </w:pPr>
        </w:p>
      </w:tc>
      <w:tc>
        <w:tcPr>
          <w:tcW w:w="1134" w:type="dxa"/>
          <w:shd w:val="clear" w:color="auto" w:fill="ED556E"/>
        </w:tcPr>
        <w:p>
          <w:pPr>
            <w:pStyle w:val="Header"/>
            <w:spacing w:after="0" w:line="240" w:lineRule="auto"/>
            <w:rPr>
              <w:b/>
              <w:color w:val="FFFFFF"/>
              <w:sz w:val="48"/>
              <w:lang w:val="de-DE"/>
            </w:rPr>
          </w:pPr>
          <w:r>
            <w:rPr>
              <w:b/>
              <w:color w:val="FFFFFF"/>
              <w:sz w:val="48"/>
              <w:lang w:val="de-DE"/>
            </w:rPr>
            <w:t>9</w:t>
          </w:r>
        </w:p>
      </w:tc>
    </w:tr>
  </w:tbl>
  <w:p>
    <w:pPr>
      <w:pStyle w:val="Yo5TextNote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1B99"/>
    <w:multiLevelType w:val="hybridMultilevel"/>
    <w:tmpl w:val="7C401FD2"/>
    <w:lvl w:ilvl="0" w:tplc="0CBAACC0">
      <w:start w:val="1"/>
      <w:numFmt w:val="decimal"/>
      <w:pStyle w:val="Yo11TextNum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1314432"/>
    <w:multiLevelType w:val="multilevel"/>
    <w:tmpl w:val="56C06BBC"/>
    <w:lvl w:ilvl="0">
      <w:start w:val="1"/>
      <w:numFmt w:val="bullet"/>
      <w:pStyle w:val="Yo11Textbulletlvl1"/>
      <w:lvlText w:val=""/>
      <w:lvlJc w:val="left"/>
      <w:pPr>
        <w:ind w:left="360" w:hanging="360"/>
      </w:pPr>
      <w:rPr>
        <w:rFonts w:ascii="Symbol" w:hAnsi="Symbol" w:hint="default"/>
        <w:b w:val="0"/>
        <w:i w:val="0"/>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4BA2E06"/>
    <w:multiLevelType w:val="hybridMultilevel"/>
    <w:tmpl w:val="CC345A64"/>
    <w:lvl w:ilvl="0" w:tplc="41F83986">
      <w:start w:val="1"/>
      <w:numFmt w:val="bullet"/>
      <w:pStyle w:val="Yo11Textbulletlvl2"/>
      <w:lvlText w:val="o"/>
      <w:lvlJc w:val="left"/>
      <w:pPr>
        <w:ind w:left="644" w:hanging="360"/>
      </w:pPr>
      <w:rPr>
        <w:rFonts w:ascii="Courier New" w:hAnsi="Courier New" w:cs="Courier New" w:hint="default"/>
      </w:rPr>
    </w:lvl>
    <w:lvl w:ilvl="1" w:tplc="04070003" w:tentative="1">
      <w:start w:val="1"/>
      <w:numFmt w:val="bullet"/>
      <w:lvlText w:val="o"/>
      <w:lvlJc w:val="left"/>
      <w:pPr>
        <w:ind w:left="2517" w:hanging="360"/>
      </w:pPr>
      <w:rPr>
        <w:rFonts w:ascii="Courier New" w:hAnsi="Courier New" w:cs="Courier New" w:hint="default"/>
      </w:rPr>
    </w:lvl>
    <w:lvl w:ilvl="2" w:tplc="04070005" w:tentative="1">
      <w:start w:val="1"/>
      <w:numFmt w:val="bullet"/>
      <w:lvlText w:val=""/>
      <w:lvlJc w:val="left"/>
      <w:pPr>
        <w:ind w:left="3237" w:hanging="360"/>
      </w:pPr>
      <w:rPr>
        <w:rFonts w:ascii="Wingdings" w:hAnsi="Wingdings" w:hint="default"/>
      </w:rPr>
    </w:lvl>
    <w:lvl w:ilvl="3" w:tplc="04070001" w:tentative="1">
      <w:start w:val="1"/>
      <w:numFmt w:val="bullet"/>
      <w:lvlText w:val=""/>
      <w:lvlJc w:val="left"/>
      <w:pPr>
        <w:ind w:left="3957" w:hanging="360"/>
      </w:pPr>
      <w:rPr>
        <w:rFonts w:ascii="Symbol" w:hAnsi="Symbol" w:hint="default"/>
      </w:rPr>
    </w:lvl>
    <w:lvl w:ilvl="4" w:tplc="04070003" w:tentative="1">
      <w:start w:val="1"/>
      <w:numFmt w:val="bullet"/>
      <w:lvlText w:val="o"/>
      <w:lvlJc w:val="left"/>
      <w:pPr>
        <w:ind w:left="4677" w:hanging="360"/>
      </w:pPr>
      <w:rPr>
        <w:rFonts w:ascii="Courier New" w:hAnsi="Courier New" w:cs="Courier New" w:hint="default"/>
      </w:rPr>
    </w:lvl>
    <w:lvl w:ilvl="5" w:tplc="04070005" w:tentative="1">
      <w:start w:val="1"/>
      <w:numFmt w:val="bullet"/>
      <w:lvlText w:val=""/>
      <w:lvlJc w:val="left"/>
      <w:pPr>
        <w:ind w:left="5397" w:hanging="360"/>
      </w:pPr>
      <w:rPr>
        <w:rFonts w:ascii="Wingdings" w:hAnsi="Wingdings" w:hint="default"/>
      </w:rPr>
    </w:lvl>
    <w:lvl w:ilvl="6" w:tplc="04070001" w:tentative="1">
      <w:start w:val="1"/>
      <w:numFmt w:val="bullet"/>
      <w:lvlText w:val=""/>
      <w:lvlJc w:val="left"/>
      <w:pPr>
        <w:ind w:left="6117" w:hanging="360"/>
      </w:pPr>
      <w:rPr>
        <w:rFonts w:ascii="Symbol" w:hAnsi="Symbol" w:hint="default"/>
      </w:rPr>
    </w:lvl>
    <w:lvl w:ilvl="7" w:tplc="04070003" w:tentative="1">
      <w:start w:val="1"/>
      <w:numFmt w:val="bullet"/>
      <w:lvlText w:val="o"/>
      <w:lvlJc w:val="left"/>
      <w:pPr>
        <w:ind w:left="6837" w:hanging="360"/>
      </w:pPr>
      <w:rPr>
        <w:rFonts w:ascii="Courier New" w:hAnsi="Courier New" w:cs="Courier New" w:hint="default"/>
      </w:rPr>
    </w:lvl>
    <w:lvl w:ilvl="8" w:tplc="04070005" w:tentative="1">
      <w:start w:val="1"/>
      <w:numFmt w:val="bullet"/>
      <w:lvlText w:val=""/>
      <w:lvlJc w:val="left"/>
      <w:pPr>
        <w:ind w:left="7557" w:hanging="360"/>
      </w:pPr>
      <w:rPr>
        <w:rFonts w:ascii="Wingdings" w:hAnsi="Wingdings" w:hint="default"/>
      </w:rPr>
    </w:lvl>
  </w:abstractNum>
  <w:abstractNum w:abstractNumId="3">
    <w:nsid w:val="54E058C9"/>
    <w:multiLevelType w:val="hybridMultilevel"/>
    <w:tmpl w:val="BCFC9894"/>
    <w:lvl w:ilvl="0" w:tplc="EBA0E5C8">
      <w:start w:val="1"/>
      <w:numFmt w:val="decimal"/>
      <w:pStyle w:val="Yo11TextNum2"/>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4">
    <w:nsid w:val="59C8178D"/>
    <w:multiLevelType w:val="hybridMultilevel"/>
    <w:tmpl w:val="8A9E711C"/>
    <w:lvl w:ilvl="0" w:tplc="9A820658">
      <w:start w:val="1"/>
      <w:numFmt w:val="bullet"/>
      <w:pStyle w:val="Yo11Textbulletlvl3"/>
      <w:lvlText w:val=""/>
      <w:lvlJc w:val="left"/>
      <w:pPr>
        <w:ind w:left="984"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5">
    <w:nsid w:val="769D4072"/>
    <w:multiLevelType w:val="hybridMultilevel"/>
    <w:tmpl w:val="0ACA6C82"/>
    <w:lvl w:ilvl="0" w:tplc="4E80D628">
      <w:start w:val="1"/>
      <w:numFmt w:val="decimal"/>
      <w:pStyle w:val="Yo11TextNum3"/>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4FA9EFD-D6FF-4C51-A4D2-C8D71AD7FD37"/>
    <w:docVar w:name="LW_COVERPAGE_TYPE" w:val="1"/>
    <w:docVar w:name="LW_CROSSREFERENCE" w:val="{COM(2018) 269 final}_x000b_{SWD(2018) 168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Engaging, Connecting and Empowering young people: a new EU Youth Strategy_x000b_"/>
    <w:docVar w:name="LW_PART_NBR" w:val="7"/>
    <w:docVar w:name="LW_PART_NBR_TOTAL" w:val="7"/>
    <w:docVar w:name="LW_REF.INST.NEW" w:val="SWD"/>
    <w:docVar w:name="LW_REF.INST.NEW_ADOPTED" w:val="final"/>
    <w:docVar w:name="LW_REF.INST.NEW_TEXT" w:val="(2018) 16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Situation of young people in the European Union"/>
    <w:docVar w:name="LW_TYPE.DOC.CP" w:val="COMMISSION STAFF WORKING DOCUMENT"/>
    <w:docVar w:name="LW_TYPEACTEPRINCIPAL.CP" w:val="COMMUNICATION FROM THE COMMISSION TO THE EUROPEAN PARLIAMENT, THE EUROPEAN COUNCIL, THE COUNCIL, THE EUROPEAN ECONOMIC AND SOCIAL COMMITTEE AND THE COMMITTEE OF THE REGIONS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36"/>
        <w:tab w:val="right" w:pos="9072"/>
      </w:tabs>
    </w:pPr>
    <w:rPr>
      <w:lang w:val="x-none"/>
    </w:r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pPr>
    <w:rPr>
      <w:lang w:val="x-none"/>
    </w:rPr>
  </w:style>
  <w:style w:type="character" w:customStyle="1" w:styleId="FooterChar">
    <w:name w:val="Footer Char"/>
    <w:link w:val="Footer"/>
    <w:uiPriority w:val="99"/>
    <w:rPr>
      <w:sz w:val="22"/>
      <w:szCs w:val="22"/>
      <w:lang w:eastAsia="en-US"/>
    </w:rPr>
  </w:style>
  <w:style w:type="paragraph" w:styleId="FootnoteText">
    <w:name w:val="footnote text"/>
    <w:basedOn w:val="Normal"/>
    <w:link w:val="FootnoteTextChar"/>
    <w:uiPriority w:val="99"/>
    <w:unhideWhenUsed/>
    <w:rPr>
      <w:sz w:val="20"/>
      <w:szCs w:val="20"/>
      <w:lang w:val="x-none"/>
    </w:rPr>
  </w:style>
  <w:style w:type="character" w:customStyle="1" w:styleId="FootnoteTextChar">
    <w:name w:val="Footnote Text Char"/>
    <w:link w:val="FootnoteText"/>
    <w:uiPriority w:val="99"/>
    <w:rPr>
      <w:lang w:eastAsia="en-US"/>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
    <w:unhideWhenUsed/>
    <w:rPr>
      <w:vertAlign w:val="superscript"/>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uiPriority w:val="9"/>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i w:val="0"/>
      <w:iCs w:val="0"/>
      <w:caps/>
      <w:color w:val="DA1E48"/>
      <w:spacing w:val="10"/>
      <w:sz w:val="24"/>
      <w:szCs w:val="24"/>
      <w:lang w:val="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Verdana" w:eastAsia="Calibri" w:hAnsi="Verdana" w:cs="MyriadPro-It"/>
      <w:i/>
      <w:iCs/>
      <w:color w:val="C00000"/>
      <w:spacing w:val="-10"/>
      <w:sz w:val="20"/>
      <w:szCs w:val="20"/>
      <w:lang w:eastAsia="fr-BE"/>
    </w:rPr>
  </w:style>
  <w:style w:type="character" w:customStyle="1" w:styleId="Heading3Char">
    <w:name w:val="Heading 3 Char"/>
    <w:link w:val="Heading3"/>
    <w:uiPriority w:val="9"/>
    <w:semiHidden/>
    <w:rPr>
      <w:rFonts w:ascii="Cambria" w:eastAsia="Times New Roman" w:hAnsi="Cambria" w:cs="Times New Roman"/>
      <w:b/>
      <w:bCs/>
      <w:sz w:val="26"/>
      <w:szCs w:val="26"/>
      <w:lang w:val="en-GB" w:eastAsia="en-US"/>
    </w:rPr>
  </w:style>
  <w:style w:type="paragraph" w:customStyle="1" w:styleId="Yo0H4">
    <w:name w:val="_Yo_0_H4"/>
    <w:pPr>
      <w:suppressAutoHyphens/>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tabs>
        <w:tab w:val="left" w:pos="993"/>
      </w:tabs>
      <w:suppressAutoHyphens/>
      <w:spacing w:before="200" w:after="200" w:line="300" w:lineRule="auto"/>
      <w:jc w:val="both"/>
    </w:pPr>
    <w:rPr>
      <w:rFonts w:ascii="Arial Narrow" w:hAnsi="Arial Narrow" w:cs="Arial"/>
      <w:b/>
      <w:color w:val="1F497D"/>
      <w:spacing w:val="40"/>
      <w:sz w:val="22"/>
      <w:szCs w:val="22"/>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jc w:val="both"/>
    </w:pPr>
    <w:rPr>
      <w:i/>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24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Revision">
    <w:name w:val="Revision"/>
    <w:hidden/>
    <w:uiPriority w:val="99"/>
    <w:semiHidden/>
    <w:rPr>
      <w:sz w:val="22"/>
      <w:szCs w:val="22"/>
      <w:lang w:eastAsia="en-US"/>
    </w:rPr>
  </w:style>
  <w:style w:type="paragraph" w:customStyle="1" w:styleId="Yo5Textnotespercentage">
    <w:name w:val="_Yo_5_Text_notes_percentage"/>
    <w:basedOn w:val="Normal"/>
    <w:qFormat/>
    <w:pPr>
      <w:widowControl w:val="0"/>
      <w:tabs>
        <w:tab w:val="right" w:pos="9390"/>
      </w:tabs>
      <w:spacing w:before="60" w:after="0" w:line="240" w:lineRule="auto"/>
      <w:ind w:left="244"/>
      <w:jc w:val="both"/>
    </w:pPr>
    <w:rPr>
      <w:rFonts w:ascii="Verdana" w:eastAsia="Times New Roman" w:hAnsi="Verdana" w:cs="Arial"/>
      <w:noProof/>
      <w:snapToGrid w:val="0"/>
      <w:sz w:val="14"/>
      <w:szCs w:val="16"/>
      <w:lang w:val="en-US" w:eastAsia="fr-BE"/>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20"/>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wrap">
    <w:name w:val="nowrap"/>
  </w:style>
  <w:style w:type="character" w:customStyle="1" w:styleId="rightside">
    <w:name w:val="right_side"/>
  </w:style>
  <w:style w:type="paragraph" w:customStyle="1" w:styleId="Default">
    <w:name w:val="Default"/>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90H2">
    <w:name w:val="_p9_0_H2"/>
    <w:pPr>
      <w:spacing w:before="360" w:after="160"/>
      <w:ind w:left="426" w:hanging="426"/>
    </w:pPr>
    <w:rPr>
      <w:rFonts w:ascii="Arial" w:hAnsi="Arial" w:cs="Arial"/>
      <w:b/>
      <w:bCs/>
      <w:color w:val="C00000"/>
      <w:sz w:val="24"/>
      <w:szCs w:val="24"/>
      <w:lang w:eastAsia="en-US"/>
    </w:rPr>
  </w:style>
  <w:style w:type="paragraph" w:customStyle="1" w:styleId="p91Textpara">
    <w:name w:val="_p9_1_Text_para"/>
    <w:pPr>
      <w:tabs>
        <w:tab w:val="left" w:pos="4253"/>
      </w:tabs>
      <w:spacing w:before="160" w:line="300" w:lineRule="auto"/>
      <w:jc w:val="both"/>
    </w:pPr>
    <w:rPr>
      <w:rFonts w:ascii="Arial" w:hAnsi="Arial" w:cs="Arial"/>
      <w:color w:val="1F497D"/>
      <w:lang w:eastAsia="en-US"/>
    </w:rPr>
  </w:style>
  <w:style w:type="paragraph" w:customStyle="1" w:styleId="p92TitleFigure">
    <w:name w:val="_p9_2_Title_Figure"/>
    <w:pPr>
      <w:keepNext/>
      <w:spacing w:before="200" w:after="100" w:line="276" w:lineRule="auto"/>
      <w:ind w:left="142"/>
    </w:pPr>
    <w:rPr>
      <w:rFonts w:ascii="Arial Narrow" w:eastAsia="Cambria" w:hAnsi="Arial Narrow" w:cs="Arial"/>
      <w:b/>
      <w:bCs/>
      <w:noProof/>
      <w:color w:val="C00000"/>
      <w:lang w:eastAsia="en-U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536"/>
        <w:tab w:val="right" w:pos="9072"/>
      </w:tabs>
    </w:pPr>
    <w:rPr>
      <w:lang w:val="x-none"/>
    </w:r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36"/>
        <w:tab w:val="right" w:pos="9072"/>
      </w:tabs>
    </w:pPr>
    <w:rPr>
      <w:lang w:val="x-none"/>
    </w:rPr>
  </w:style>
  <w:style w:type="character" w:customStyle="1" w:styleId="FooterChar">
    <w:name w:val="Footer Char"/>
    <w:link w:val="Footer"/>
    <w:uiPriority w:val="99"/>
    <w:rPr>
      <w:sz w:val="22"/>
      <w:szCs w:val="22"/>
      <w:lang w:eastAsia="en-US"/>
    </w:rPr>
  </w:style>
  <w:style w:type="paragraph" w:styleId="FootnoteText">
    <w:name w:val="footnote text"/>
    <w:basedOn w:val="Normal"/>
    <w:link w:val="FootnoteTextChar"/>
    <w:uiPriority w:val="99"/>
    <w:unhideWhenUsed/>
    <w:rPr>
      <w:sz w:val="20"/>
      <w:szCs w:val="20"/>
      <w:lang w:val="x-none"/>
    </w:rPr>
  </w:style>
  <w:style w:type="character" w:customStyle="1" w:styleId="FootnoteTextChar">
    <w:name w:val="Footnote Text Char"/>
    <w:link w:val="FootnoteText"/>
    <w:uiPriority w:val="99"/>
    <w:rPr>
      <w:lang w:eastAsia="en-US"/>
    </w:rPr>
  </w:style>
  <w:style w:type="character" w:styleId="FootnoteReference">
    <w:name w:val="footnote reference"/>
    <w:aliases w:val="Footnote Reference Superscript,Footnote Reference_LVL6,Footnote Reference_LVL61,Footnote Reference_LVL62,Footnote Reference_LVL63,Footnote Reference_LVL64,Footnote Reference_LVL65,Footnote Reference Number,Footnote Reference/"/>
    <w:unhideWhenUsed/>
    <w:rPr>
      <w:vertAlign w:val="superscript"/>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BalloonText">
    <w:name w:val="Balloon Text"/>
    <w:basedOn w:val="Normal"/>
    <w:link w:val="BalloonTextChar"/>
    <w:uiPriority w:val="99"/>
    <w:semiHidden/>
    <w:unhideWhenUsed/>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customStyle="1" w:styleId="Yo0DocTitle">
    <w:name w:val="_Yo_0_Doc_Title"/>
    <w:qFormat/>
    <w:pPr>
      <w:ind w:left="2694"/>
    </w:pPr>
    <w:rPr>
      <w:rFonts w:ascii="Verdana" w:eastAsia="Times New Roman" w:hAnsi="Verdana" w:cs="Arial"/>
      <w:b/>
      <w:bCs/>
      <w:color w:val="1F497D"/>
      <w:sz w:val="48"/>
      <w:szCs w:val="48"/>
      <w:lang w:val="nl-NL" w:eastAsia="en-US"/>
    </w:rPr>
  </w:style>
  <w:style w:type="paragraph" w:customStyle="1" w:styleId="Yo0DocSubtitle">
    <w:name w:val="_Yo_0_Doc_Subtitle"/>
    <w:basedOn w:val="Yo0DocTitle"/>
    <w:qFormat/>
    <w:pPr>
      <w:spacing w:before="240"/>
    </w:pPr>
    <w:rPr>
      <w:b w:val="0"/>
      <w:sz w:val="36"/>
      <w:szCs w:val="36"/>
    </w:rPr>
  </w:style>
  <w:style w:type="paragraph" w:customStyle="1" w:styleId="Yo0H1">
    <w:name w:val="_Yo_0_H1"/>
    <w:basedOn w:val="Heading1"/>
    <w:link w:val="Yo0H1Char"/>
    <w:pPr>
      <w:spacing w:after="300" w:line="300" w:lineRule="auto"/>
      <w:jc w:val="both"/>
    </w:pPr>
    <w:rPr>
      <w:rFonts w:ascii="Verdana" w:eastAsia="Calibri" w:hAnsi="Verdana" w:cs="MyriadPro-Bold"/>
      <w:bCs w:val="0"/>
      <w:color w:val="DB1E48"/>
      <w:kern w:val="0"/>
      <w:sz w:val="44"/>
      <w:szCs w:val="44"/>
      <w:lang w:val="en-US" w:eastAsia="fr-BE"/>
    </w:rPr>
  </w:style>
  <w:style w:type="character" w:customStyle="1" w:styleId="Heading1Char">
    <w:name w:val="Heading 1 Char"/>
    <w:link w:val="Heading1"/>
    <w:uiPriority w:val="9"/>
    <w:rPr>
      <w:rFonts w:ascii="Cambria" w:eastAsia="Times New Roman" w:hAnsi="Cambria" w:cs="Times New Roman"/>
      <w:b/>
      <w:bCs/>
      <w:kern w:val="32"/>
      <w:sz w:val="32"/>
      <w:szCs w:val="32"/>
      <w:lang w:val="en-GB" w:eastAsia="en-US"/>
    </w:rPr>
  </w:style>
  <w:style w:type="paragraph" w:customStyle="1" w:styleId="Yo0H2">
    <w:name w:val="_Yo_0_H2"/>
    <w:basedOn w:val="Heading2"/>
    <w:pPr>
      <w:spacing w:before="360" w:after="160" w:line="240" w:lineRule="auto"/>
      <w:jc w:val="both"/>
    </w:pPr>
    <w:rPr>
      <w:rFonts w:ascii="Arial Narrow" w:eastAsia="Calibri" w:hAnsi="Arial Narrow" w:cs="Arial"/>
      <w:i w:val="0"/>
      <w:iCs w:val="0"/>
      <w:caps/>
      <w:color w:val="DA1E48"/>
      <w:spacing w:val="10"/>
      <w:sz w:val="24"/>
      <w:szCs w:val="24"/>
      <w:lang w:val="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val="en-GB" w:eastAsia="en-US"/>
    </w:rPr>
  </w:style>
  <w:style w:type="paragraph" w:customStyle="1" w:styleId="Yo0H3">
    <w:name w:val="_Yo_0_H3"/>
    <w:basedOn w:val="Heading3"/>
    <w:pPr>
      <w:spacing w:before="270" w:after="160" w:line="240" w:lineRule="auto"/>
      <w:jc w:val="both"/>
    </w:pPr>
    <w:rPr>
      <w:rFonts w:ascii="Verdana" w:eastAsia="Calibri" w:hAnsi="Verdana" w:cs="MyriadPro-It"/>
      <w:i/>
      <w:iCs/>
      <w:color w:val="C00000"/>
      <w:spacing w:val="-10"/>
      <w:sz w:val="20"/>
      <w:szCs w:val="20"/>
      <w:lang w:eastAsia="fr-BE"/>
    </w:rPr>
  </w:style>
  <w:style w:type="character" w:customStyle="1" w:styleId="Heading3Char">
    <w:name w:val="Heading 3 Char"/>
    <w:link w:val="Heading3"/>
    <w:uiPriority w:val="9"/>
    <w:semiHidden/>
    <w:rPr>
      <w:rFonts w:ascii="Cambria" w:eastAsia="Times New Roman" w:hAnsi="Cambria" w:cs="Times New Roman"/>
      <w:b/>
      <w:bCs/>
      <w:sz w:val="26"/>
      <w:szCs w:val="26"/>
      <w:lang w:val="en-GB" w:eastAsia="en-US"/>
    </w:rPr>
  </w:style>
  <w:style w:type="paragraph" w:customStyle="1" w:styleId="Yo0H4">
    <w:name w:val="_Yo_0_H4"/>
    <w:pPr>
      <w:suppressAutoHyphens/>
      <w:ind w:left="1418" w:hanging="1418"/>
      <w:outlineLvl w:val="4"/>
    </w:pPr>
    <w:rPr>
      <w:rFonts w:ascii="Arial Narrow" w:hAnsi="Arial Narrow" w:cs="Arial"/>
      <w:b/>
      <w:bCs/>
      <w:color w:val="C00000"/>
      <w:spacing w:val="30"/>
      <w:sz w:val="22"/>
      <w:szCs w:val="22"/>
      <w:lang w:eastAsia="en-US"/>
    </w:rPr>
  </w:style>
  <w:style w:type="paragraph" w:customStyle="1" w:styleId="Yo0H5">
    <w:name w:val="_Yo_0_H5"/>
    <w:pPr>
      <w:suppressAutoHyphens/>
      <w:spacing w:before="240" w:after="60"/>
      <w:ind w:left="1418" w:hanging="1418"/>
      <w:outlineLvl w:val="5"/>
    </w:pPr>
    <w:rPr>
      <w:rFonts w:ascii="Arial" w:eastAsia="Times New Roman" w:hAnsi="Arial" w:cs="Arial"/>
      <w:bCs/>
      <w:color w:val="C00000"/>
      <w:sz w:val="22"/>
      <w:u w:val="single"/>
      <w:lang w:eastAsia="en-US"/>
    </w:rPr>
  </w:style>
  <w:style w:type="paragraph" w:customStyle="1" w:styleId="Yo0H6">
    <w:name w:val="_Yo_0_H6"/>
    <w:pPr>
      <w:suppressAutoHyphens/>
      <w:spacing w:before="240" w:after="60"/>
      <w:ind w:left="1418" w:hanging="1418"/>
      <w:jc w:val="both"/>
      <w:outlineLvl w:val="6"/>
    </w:pPr>
    <w:rPr>
      <w:rFonts w:ascii="Arial Narrow" w:eastAsia="Times New Roman" w:hAnsi="Arial Narrow" w:cs="Arial"/>
      <w:bCs/>
      <w:i/>
      <w:color w:val="C00000"/>
      <w:spacing w:val="20"/>
      <w:lang w:eastAsia="en-US"/>
    </w:rPr>
  </w:style>
  <w:style w:type="paragraph" w:customStyle="1" w:styleId="Yo0H7">
    <w:name w:val="_Yo_0_H7"/>
    <w:pPr>
      <w:suppressAutoHyphens/>
      <w:spacing w:before="240" w:after="60"/>
      <w:ind w:left="1985" w:hanging="1985"/>
      <w:jc w:val="both"/>
      <w:outlineLvl w:val="6"/>
    </w:pPr>
    <w:rPr>
      <w:rFonts w:ascii="Arial Narrow" w:eastAsia="Times New Roman" w:hAnsi="Arial Narrow" w:cs="Arial"/>
      <w:color w:val="002060"/>
      <w:spacing w:val="20"/>
      <w:u w:val="single"/>
      <w:lang w:val="en-US" w:eastAsia="en-US"/>
    </w:rPr>
  </w:style>
  <w:style w:type="paragraph" w:customStyle="1" w:styleId="Yo0H8">
    <w:name w:val="_Yo_0_H8"/>
    <w:pPr>
      <w:suppressAutoHyphens/>
      <w:spacing w:before="240" w:after="60"/>
      <w:ind w:left="1985" w:hanging="1985"/>
      <w:jc w:val="both"/>
      <w:outlineLvl w:val="6"/>
    </w:pPr>
    <w:rPr>
      <w:rFonts w:ascii="Arial Narrow" w:eastAsia="Times New Roman" w:hAnsi="Arial Narrow" w:cs="Arial"/>
      <w:b/>
      <w:bCs/>
      <w:color w:val="0070C0"/>
      <w:spacing w:val="40"/>
      <w:w w:val="80"/>
      <w:lang w:val="en-US" w:eastAsia="en-US"/>
    </w:rPr>
  </w:style>
  <w:style w:type="paragraph" w:customStyle="1" w:styleId="Yo0H9">
    <w:name w:val="_Yo_0_H9"/>
    <w:pPr>
      <w:suppressAutoHyphens/>
      <w:spacing w:before="240" w:after="60"/>
      <w:ind w:left="1985" w:hanging="1985"/>
      <w:jc w:val="both"/>
      <w:outlineLvl w:val="6"/>
    </w:pPr>
    <w:rPr>
      <w:rFonts w:ascii="Arial Narrow" w:eastAsia="Times New Roman" w:hAnsi="Arial Narrow" w:cs="Arial"/>
      <w:i/>
      <w:iCs/>
      <w:color w:val="C00000"/>
      <w:spacing w:val="20"/>
      <w:lang w:eastAsia="en-US"/>
    </w:rPr>
  </w:style>
  <w:style w:type="paragraph" w:customStyle="1" w:styleId="Yo0Paratitle1">
    <w:name w:val="_Yo_0_Para_title_1"/>
    <w:basedOn w:val="Yo0DocTitle"/>
    <w:pPr>
      <w:spacing w:before="270" w:after="160"/>
      <w:ind w:left="0"/>
      <w:jc w:val="both"/>
    </w:pPr>
    <w:rPr>
      <w:rFonts w:ascii="Arial Narrow" w:hAnsi="Arial Narrow"/>
      <w:sz w:val="24"/>
      <w:szCs w:val="24"/>
    </w:rPr>
  </w:style>
  <w:style w:type="paragraph" w:customStyle="1" w:styleId="Yo0Paratitle2">
    <w:name w:val="_Yo_0_Para_title_2"/>
    <w:pPr>
      <w:tabs>
        <w:tab w:val="left" w:pos="993"/>
      </w:tabs>
      <w:suppressAutoHyphens/>
      <w:spacing w:before="200" w:after="200" w:line="300" w:lineRule="auto"/>
      <w:jc w:val="both"/>
    </w:pPr>
    <w:rPr>
      <w:rFonts w:ascii="Arial Narrow" w:hAnsi="Arial Narrow" w:cs="Arial"/>
      <w:b/>
      <w:color w:val="1F497D"/>
      <w:spacing w:val="40"/>
      <w:sz w:val="22"/>
      <w:szCs w:val="22"/>
      <w:lang w:val="nl-NL" w:eastAsia="nl-NL"/>
    </w:rPr>
  </w:style>
  <w:style w:type="paragraph" w:customStyle="1" w:styleId="Yo0Paratitle3">
    <w:name w:val="_Yo_0_Para_title_3"/>
    <w:pPr>
      <w:spacing w:before="120" w:after="120" w:line="276" w:lineRule="auto"/>
    </w:pPr>
    <w:rPr>
      <w:rFonts w:ascii="Arial Narrow" w:eastAsia="Times New Roman" w:hAnsi="Arial Narrow" w:cs="Arial"/>
      <w:b/>
      <w:i/>
      <w:color w:val="1F497D"/>
      <w:spacing w:val="20"/>
      <w:lang w:eastAsia="en-US"/>
    </w:rPr>
  </w:style>
  <w:style w:type="paragraph" w:customStyle="1" w:styleId="Yo0Paratitle4">
    <w:name w:val="_Yo_0_Para_title_4"/>
    <w:pPr>
      <w:spacing w:before="240" w:after="120"/>
      <w:outlineLvl w:val="0"/>
    </w:pPr>
    <w:rPr>
      <w:rFonts w:ascii="Arial Narrow" w:eastAsia="Times New Roman" w:hAnsi="Arial Narrow" w:cs="Arial"/>
      <w:bCs/>
      <w:color w:val="1F497D"/>
      <w:spacing w:val="20"/>
      <w:w w:val="80"/>
      <w:u w:val="single"/>
      <w:lang w:val="nl-NL" w:eastAsia="en-US"/>
    </w:rPr>
  </w:style>
  <w:style w:type="paragraph" w:customStyle="1" w:styleId="Yo1Textpara">
    <w:name w:val="_Yo_1_Text_para"/>
    <w:pPr>
      <w:tabs>
        <w:tab w:val="left" w:pos="4253"/>
      </w:tabs>
      <w:spacing w:before="160" w:line="300" w:lineRule="auto"/>
      <w:jc w:val="both"/>
    </w:pPr>
    <w:rPr>
      <w:rFonts w:ascii="Times New Roman" w:hAnsi="Times New Roman"/>
      <w:sz w:val="22"/>
      <w:lang w:eastAsia="fr-BE"/>
    </w:rPr>
  </w:style>
  <w:style w:type="paragraph" w:customStyle="1" w:styleId="Yo1Text">
    <w:name w:val="_Yo_1_Text"/>
    <w:basedOn w:val="Yo1Textpara"/>
    <w:qFormat/>
    <w:pPr>
      <w:spacing w:before="0"/>
    </w:pPr>
  </w:style>
  <w:style w:type="paragraph" w:customStyle="1" w:styleId="Yo11Textbulletlvl1">
    <w:name w:val="_Yo_11_Text_bullet_lvl_1"/>
    <w:basedOn w:val="Yo1Textpara"/>
    <w:pPr>
      <w:numPr>
        <w:numId w:val="1"/>
      </w:numPr>
      <w:tabs>
        <w:tab w:val="clear" w:pos="4253"/>
        <w:tab w:val="left" w:pos="426"/>
      </w:tabs>
      <w:spacing w:before="120"/>
    </w:pPr>
    <w:rPr>
      <w:lang w:val="en-US"/>
    </w:rPr>
  </w:style>
  <w:style w:type="paragraph" w:customStyle="1" w:styleId="Yo11Textbulletlvl2">
    <w:name w:val="_Yo_11_Text_bullet_lvl_2"/>
    <w:basedOn w:val="Yo1Textpara"/>
    <w:pPr>
      <w:numPr>
        <w:numId w:val="2"/>
      </w:numPr>
      <w:tabs>
        <w:tab w:val="clear" w:pos="4253"/>
        <w:tab w:val="left" w:pos="709"/>
      </w:tabs>
      <w:spacing w:before="100" w:line="264" w:lineRule="auto"/>
    </w:pPr>
    <w:rPr>
      <w:lang w:val="en-US"/>
    </w:rPr>
  </w:style>
  <w:style w:type="paragraph" w:customStyle="1" w:styleId="Yo11Textbulletlvl3">
    <w:name w:val="_Yo_11_Text_bullet_lvl_3"/>
    <w:basedOn w:val="Yo1Textpara"/>
    <w:pPr>
      <w:numPr>
        <w:numId w:val="3"/>
      </w:numPr>
      <w:tabs>
        <w:tab w:val="clear" w:pos="4253"/>
        <w:tab w:val="left" w:pos="981"/>
      </w:tabs>
      <w:spacing w:before="100" w:after="20"/>
    </w:pPr>
    <w:rPr>
      <w:rFonts w:ascii="Arial Narrow" w:hAnsi="Arial Narrow"/>
    </w:rPr>
  </w:style>
  <w:style w:type="paragraph" w:customStyle="1" w:styleId="Yo11TextNum1">
    <w:name w:val="_Yo_11_Text_Num_1"/>
    <w:basedOn w:val="Yo1Textpara"/>
    <w:next w:val="Normal"/>
    <w:pPr>
      <w:numPr>
        <w:numId w:val="4"/>
      </w:numPr>
      <w:tabs>
        <w:tab w:val="clear" w:pos="4253"/>
        <w:tab w:val="left" w:pos="426"/>
      </w:tabs>
      <w:spacing w:after="120"/>
    </w:pPr>
    <w:rPr>
      <w:rFonts w:eastAsia="Times New Roman"/>
      <w:color w:val="1F497D"/>
      <w:lang w:val="fr-FR"/>
    </w:rPr>
  </w:style>
  <w:style w:type="paragraph" w:customStyle="1" w:styleId="Yo11TextNum2">
    <w:name w:val="_Yo_11_Text_Num_2"/>
    <w:basedOn w:val="Yo1Textpara"/>
    <w:next w:val="Normal"/>
    <w:pPr>
      <w:numPr>
        <w:numId w:val="5"/>
      </w:numPr>
      <w:tabs>
        <w:tab w:val="clear" w:pos="4253"/>
        <w:tab w:val="left" w:pos="709"/>
      </w:tabs>
      <w:spacing w:before="120" w:after="120"/>
    </w:pPr>
    <w:rPr>
      <w:rFonts w:eastAsia="Times New Roman"/>
      <w:color w:val="1F497D"/>
      <w:lang w:val="fr-FR"/>
    </w:rPr>
  </w:style>
  <w:style w:type="paragraph" w:customStyle="1" w:styleId="Yo11TextNum3">
    <w:name w:val="_Yo_11_Text_Num_3"/>
    <w:basedOn w:val="Yo1Textpara"/>
    <w:next w:val="Normal"/>
    <w:pPr>
      <w:numPr>
        <w:numId w:val="6"/>
      </w:numPr>
      <w:tabs>
        <w:tab w:val="clear" w:pos="4253"/>
        <w:tab w:val="left" w:pos="993"/>
      </w:tabs>
      <w:spacing w:before="120" w:after="120"/>
    </w:pPr>
    <w:rPr>
      <w:rFonts w:eastAsia="Times New Roman"/>
      <w:color w:val="1F497D"/>
      <w:lang w:val="fr-FR"/>
    </w:rPr>
  </w:style>
  <w:style w:type="paragraph" w:customStyle="1" w:styleId="Yo12Encart">
    <w:name w:val="_Yo_12_Encart"/>
    <w:qFormat/>
    <w:pPr>
      <w:jc w:val="both"/>
    </w:pPr>
    <w:rPr>
      <w:i/>
      <w:szCs w:val="24"/>
      <w:lang w:eastAsia="en-US"/>
    </w:rPr>
  </w:style>
  <w:style w:type="paragraph" w:customStyle="1" w:styleId="Yo12Example">
    <w:name w:val="_Yo_12_Example"/>
    <w:pPr>
      <w:spacing w:before="120" w:line="300" w:lineRule="auto"/>
      <w:ind w:left="369"/>
      <w:jc w:val="both"/>
    </w:pPr>
    <w:rPr>
      <w:rFonts w:ascii="Arial Narrow" w:hAnsi="Arial Narrow"/>
      <w:color w:val="1F497D"/>
      <w:sz w:val="18"/>
      <w:szCs w:val="24"/>
      <w:lang w:eastAsia="en-US"/>
    </w:rPr>
  </w:style>
  <w:style w:type="paragraph" w:customStyle="1" w:styleId="Yo12TextParaForeword">
    <w:name w:val="_Yo_12_Text_Para_Foreword"/>
    <w:qFormat/>
    <w:pPr>
      <w:spacing w:before="240" w:line="360" w:lineRule="auto"/>
      <w:jc w:val="both"/>
    </w:pPr>
    <w:rPr>
      <w:rFonts w:ascii="Arial" w:eastAsia="Times New Roman" w:hAnsi="Arial" w:cs="Arial"/>
      <w:color w:val="1F497D"/>
      <w:lang w:eastAsia="en-US"/>
    </w:rPr>
  </w:style>
  <w:style w:type="paragraph" w:customStyle="1" w:styleId="Yo4centeredHeader">
    <w:name w:val="_Yo_4_centered_Header"/>
    <w:qFormat/>
    <w:pPr>
      <w:pBdr>
        <w:bottom w:val="single" w:sz="4" w:space="5" w:color="C00000"/>
      </w:pBdr>
      <w:jc w:val="center"/>
    </w:pPr>
    <w:rPr>
      <w:rFonts w:ascii="Arial Narrow" w:hAnsi="Arial Narrow" w:cs="Arial"/>
      <w:color w:val="000000"/>
      <w:spacing w:val="20"/>
      <w:sz w:val="18"/>
      <w:lang w:val="en-US" w:eastAsia="en-US"/>
    </w:rPr>
  </w:style>
  <w:style w:type="paragraph" w:customStyle="1" w:styleId="Yo4FootnoteSeparator">
    <w:name w:val="_Yo_4_Footnote_Separator"/>
    <w:qFormat/>
    <w:rPr>
      <w:color w:val="DA1E48"/>
      <w:sz w:val="22"/>
      <w:szCs w:val="22"/>
      <w:lang w:val="fr-BE" w:eastAsia="en-US"/>
    </w:rPr>
  </w:style>
  <w:style w:type="paragraph" w:customStyle="1" w:styleId="Yo4Headereven">
    <w:name w:val="_Yo_4_Header_even"/>
    <w:pPr>
      <w:spacing w:after="60"/>
    </w:pPr>
    <w:rPr>
      <w:rFonts w:ascii="Arial Narrow" w:hAnsi="Arial Narrow" w:cs="Arial"/>
      <w:color w:val="DA1E48"/>
      <w:spacing w:val="20"/>
      <w:sz w:val="22"/>
      <w:lang w:eastAsia="en-US"/>
    </w:rPr>
  </w:style>
  <w:style w:type="paragraph" w:customStyle="1" w:styleId="Yo4Headerodd">
    <w:name w:val="_Yo_4_Header_odd"/>
    <w:basedOn w:val="Yo4Headereven"/>
    <w:pPr>
      <w:jc w:val="right"/>
    </w:pPr>
    <w:rPr>
      <w:lang w:val="en-US"/>
    </w:rPr>
  </w:style>
  <w:style w:type="paragraph" w:customStyle="1" w:styleId="Yo5TextbaseTable">
    <w:name w:val="_Yo_5_Text_base_Table"/>
    <w:qFormat/>
    <w:pPr>
      <w:tabs>
        <w:tab w:val="left" w:pos="1985"/>
      </w:tabs>
    </w:pPr>
    <w:rPr>
      <w:rFonts w:ascii="Arial" w:eastAsia="Times New Roman" w:hAnsi="Arial" w:cs="Arial"/>
      <w:snapToGrid w:val="0"/>
      <w:color w:val="1F497D"/>
      <w:sz w:val="16"/>
      <w:szCs w:val="16"/>
      <w:lang w:val="en-US" w:eastAsia="en-US"/>
    </w:rPr>
  </w:style>
  <w:style w:type="paragraph" w:customStyle="1" w:styleId="Yo5TextNotes">
    <w:name w:val="_Yo_5_Text_Notes"/>
    <w:pPr>
      <w:widowControl w:val="0"/>
      <w:tabs>
        <w:tab w:val="left" w:pos="1985"/>
      </w:tabs>
      <w:jc w:val="both"/>
    </w:pPr>
    <w:rPr>
      <w:rFonts w:ascii="Verdana" w:eastAsia="Times New Roman" w:hAnsi="Verdana" w:cs="Arial"/>
      <w:snapToGrid w:val="0"/>
      <w:sz w:val="14"/>
      <w:szCs w:val="16"/>
      <w:lang w:val="fr-FR" w:eastAsia="en-US"/>
    </w:rPr>
  </w:style>
  <w:style w:type="paragraph" w:customStyle="1" w:styleId="Yo5TextNotesafter">
    <w:name w:val="_Yo_5_Text_Notes_after"/>
    <w:basedOn w:val="Yo5TextNotes"/>
    <w:pPr>
      <w:tabs>
        <w:tab w:val="left" w:pos="5103"/>
      </w:tabs>
      <w:spacing w:after="60"/>
    </w:pPr>
    <w:rPr>
      <w:lang w:val="en-US"/>
    </w:rPr>
  </w:style>
  <w:style w:type="paragraph" w:customStyle="1" w:styleId="Yo5TextNotesbefore">
    <w:name w:val="_Yo_5_Text_Notes_before"/>
    <w:basedOn w:val="Yo5TextNotesafter"/>
    <w:pPr>
      <w:spacing w:before="120" w:after="0"/>
    </w:pPr>
  </w:style>
  <w:style w:type="paragraph" w:customStyle="1" w:styleId="Yo5TextNotesbeforeafter">
    <w:name w:val="_Yo_5_Text_Notes_before_after"/>
    <w:basedOn w:val="Yo5TextNotes"/>
    <w:pPr>
      <w:spacing w:before="60" w:after="60"/>
    </w:pPr>
  </w:style>
  <w:style w:type="paragraph" w:customStyle="1" w:styleId="Yo5TitleFigure">
    <w:name w:val="_Yo_5_Title_Figure"/>
    <w:pPr>
      <w:keepNext/>
      <w:spacing w:before="200" w:after="240" w:line="276" w:lineRule="auto"/>
    </w:pPr>
    <w:rPr>
      <w:rFonts w:ascii="Verdana" w:eastAsia="Cambria" w:hAnsi="Verdana" w:cs="Calibri"/>
      <w:bCs/>
      <w:noProof/>
      <w:color w:val="7F7F7F"/>
      <w:w w:val="80"/>
      <w:sz w:val="22"/>
      <w:szCs w:val="22"/>
      <w:lang w:eastAsia="en-US"/>
    </w:rPr>
  </w:style>
  <w:style w:type="paragraph" w:customStyle="1" w:styleId="Yo5TitleFigureend">
    <w:name w:val="_Yo_5_Title_Figure_end"/>
    <w:basedOn w:val="Yo5TitleFigure"/>
    <w:qFormat/>
    <w:pPr>
      <w:pBdr>
        <w:bottom w:val="single" w:sz="8" w:space="1" w:color="C00000"/>
        <w:right w:val="single" w:sz="8" w:space="4" w:color="C00000"/>
      </w:pBdr>
      <w:spacing w:before="0"/>
    </w:pPr>
  </w:style>
  <w:style w:type="paragraph" w:customStyle="1" w:styleId="Yo5TitleNotes">
    <w:name w:val="_Yo_5_Title_Notes"/>
    <w:pPr>
      <w:keepNext/>
      <w:spacing w:before="100" w:after="60"/>
    </w:pPr>
    <w:rPr>
      <w:rFonts w:ascii="Arial" w:eastAsia="Times New Roman" w:hAnsi="Arial" w:cs="Arial"/>
      <w:b/>
      <w:bCs/>
      <w:color w:val="C00000"/>
      <w:sz w:val="18"/>
      <w:u w:val="single"/>
      <w:lang w:val="fr-FR" w:eastAsia="en-US"/>
    </w:rPr>
  </w:style>
  <w:style w:type="paragraph" w:customStyle="1" w:styleId="Yo5TitleNotesbefore">
    <w:name w:val="_Yo_5_Title_Notes_before"/>
    <w:basedOn w:val="Yo5TextNotes"/>
    <w:next w:val="Yo5TextNotes"/>
    <w:pPr>
      <w:widowControl/>
      <w:tabs>
        <w:tab w:val="clear" w:pos="1985"/>
      </w:tabs>
      <w:spacing w:before="60"/>
    </w:pPr>
    <w:rPr>
      <w:snapToGrid/>
      <w:sz w:val="17"/>
      <w:szCs w:val="17"/>
    </w:rPr>
  </w:style>
  <w:style w:type="paragraph" w:customStyle="1" w:styleId="Yo6TOFTextTab">
    <w:name w:val="_Yo_6_TOF_Text_Tab"/>
    <w:qFormat/>
    <w:rPr>
      <w:rFonts w:ascii="Arial Narrow" w:eastAsia="Times New Roman" w:hAnsi="Arial Narrow" w:cs="Arial"/>
      <w:sz w:val="17"/>
      <w:szCs w:val="17"/>
      <w:lang w:eastAsia="en-US"/>
    </w:rPr>
  </w:style>
  <w:style w:type="paragraph" w:customStyle="1" w:styleId="Yo6TOFnumero">
    <w:name w:val="_Yo_6_TOF_numero"/>
    <w:basedOn w:val="Yo6TOFTextTab"/>
    <w:qFormat/>
    <w:pPr>
      <w:jc w:val="center"/>
    </w:pPr>
    <w:rPr>
      <w:sz w:val="16"/>
      <w:szCs w:val="16"/>
    </w:rPr>
  </w:style>
  <w:style w:type="paragraph" w:customStyle="1" w:styleId="Yo7ackCountries">
    <w:name w:val="_Yo_7_ack_Countries"/>
    <w:pPr>
      <w:pBdr>
        <w:top w:val="single" w:sz="4" w:space="3" w:color="C00000"/>
        <w:bottom w:val="single" w:sz="4" w:space="3" w:color="C00000"/>
      </w:pBdr>
      <w:spacing w:before="100" w:after="60"/>
    </w:pPr>
    <w:rPr>
      <w:rFonts w:ascii="Arial Narrow" w:eastAsia="Times New Roman" w:hAnsi="Arial Narrow"/>
      <w:b/>
      <w:color w:val="C00000"/>
      <w:sz w:val="18"/>
      <w:szCs w:val="18"/>
      <w:lang w:val="fr-FR" w:eastAsia="en-US"/>
    </w:rPr>
  </w:style>
  <w:style w:type="paragraph" w:customStyle="1" w:styleId="Yo7ackCountriesaddresses">
    <w:name w:val="_Yo_7_ack_Countries_addresses"/>
    <w:rPr>
      <w:rFonts w:ascii="Arial" w:eastAsia="Times New Roman" w:hAnsi="Arial" w:cs="Arial"/>
      <w:sz w:val="16"/>
      <w:szCs w:val="16"/>
      <w:lang w:val="fr-FR" w:eastAsia="en-US"/>
    </w:rPr>
  </w:style>
  <w:style w:type="paragraph" w:customStyle="1" w:styleId="Yo7ackeurydice">
    <w:name w:val="_Yo_7_ack_eurydice"/>
    <w:qFormat/>
    <w:pPr>
      <w:spacing w:before="240" w:line="300" w:lineRule="auto"/>
      <w:jc w:val="center"/>
    </w:pPr>
    <w:rPr>
      <w:rFonts w:ascii="Arial" w:eastAsia="Times New Roman" w:hAnsi="Arial" w:cs="Arial"/>
      <w:b/>
      <w:bCs/>
      <w:color w:val="C00000"/>
      <w:sz w:val="32"/>
      <w:lang w:eastAsia="en-US"/>
    </w:rPr>
  </w:style>
  <w:style w:type="paragraph" w:customStyle="1" w:styleId="Yo7ackFunctions">
    <w:name w:val="_Yo_7_ack_Functions"/>
    <w:qFormat/>
    <w:pPr>
      <w:spacing w:before="320" w:after="60"/>
      <w:jc w:val="center"/>
    </w:pPr>
    <w:rPr>
      <w:rFonts w:ascii="Arial" w:eastAsia="Times New Roman" w:hAnsi="Arial" w:cs="Arial"/>
      <w:b/>
      <w:bCs/>
      <w:color w:val="C00000"/>
      <w:sz w:val="24"/>
      <w:szCs w:val="24"/>
      <w:lang w:eastAsia="en-US"/>
    </w:rPr>
  </w:style>
  <w:style w:type="paragraph" w:customStyle="1" w:styleId="Yo7ackSubTitle">
    <w:name w:val="_Yo_7_ack_SubTitle"/>
    <w:qFormat/>
    <w:pPr>
      <w:spacing w:before="200" w:after="120"/>
      <w:jc w:val="center"/>
    </w:pPr>
    <w:rPr>
      <w:rFonts w:ascii="Arial" w:eastAsia="Times New Roman" w:hAnsi="Arial" w:cs="Arial"/>
      <w:b/>
      <w:bCs/>
      <w:color w:val="C00000"/>
      <w:sz w:val="28"/>
      <w:szCs w:val="28"/>
      <w:lang w:val="fr-FR" w:eastAsia="en-US"/>
    </w:rPr>
  </w:style>
  <w:style w:type="paragraph" w:customStyle="1" w:styleId="Yo7ackTextParacentered">
    <w:name w:val="_Yo_7_ack_Text_Para_centered"/>
    <w:qFormat/>
    <w:pPr>
      <w:spacing w:before="240" w:line="300" w:lineRule="auto"/>
      <w:jc w:val="center"/>
    </w:pPr>
    <w:rPr>
      <w:rFonts w:ascii="Arial" w:eastAsia="Times New Roman" w:hAnsi="Arial" w:cs="Arial"/>
      <w:lang w:val="fr-FR"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paragraph" w:styleId="Revision">
    <w:name w:val="Revision"/>
    <w:hidden/>
    <w:uiPriority w:val="99"/>
    <w:semiHidden/>
    <w:rPr>
      <w:sz w:val="22"/>
      <w:szCs w:val="22"/>
      <w:lang w:eastAsia="en-US"/>
    </w:rPr>
  </w:style>
  <w:style w:type="paragraph" w:customStyle="1" w:styleId="Yo5Textnotespercentage">
    <w:name w:val="_Yo_5_Text_notes_percentage"/>
    <w:basedOn w:val="Normal"/>
    <w:qFormat/>
    <w:pPr>
      <w:widowControl w:val="0"/>
      <w:tabs>
        <w:tab w:val="right" w:pos="9390"/>
      </w:tabs>
      <w:spacing w:before="60" w:after="0" w:line="240" w:lineRule="auto"/>
      <w:ind w:left="244"/>
      <w:jc w:val="both"/>
    </w:pPr>
    <w:rPr>
      <w:rFonts w:ascii="Verdana" w:eastAsia="Times New Roman" w:hAnsi="Verdana" w:cs="Arial"/>
      <w:noProof/>
      <w:snapToGrid w:val="0"/>
      <w:sz w:val="14"/>
      <w:szCs w:val="16"/>
      <w:lang w:val="en-US" w:eastAsia="fr-BE"/>
    </w:rPr>
  </w:style>
  <w:style w:type="paragraph" w:customStyle="1" w:styleId="Yo5TextEUYouthTOC">
    <w:name w:val="_Yo_5_Text_EU_Youth_TOC"/>
    <w:pPr>
      <w:keepNext/>
      <w:framePr w:hSpace="180" w:wrap="around" w:vAnchor="text" w:hAnchor="margin" w:x="108" w:y="100"/>
    </w:pPr>
    <w:rPr>
      <w:rFonts w:ascii="Arial Narrow" w:eastAsia="Cambria" w:hAnsi="Arial Narrow" w:cs="Arial"/>
      <w:b/>
      <w:bCs/>
      <w:noProof/>
      <w:color w:val="C00000"/>
      <w:lang w:eastAsia="en-US"/>
    </w:rPr>
  </w:style>
  <w:style w:type="paragraph" w:customStyle="1" w:styleId="Yo5TextEUYouth">
    <w:name w:val="_Yo_5_Text_EU_Youth"/>
    <w:basedOn w:val="Yo5TextNotes"/>
    <w:qFormat/>
    <w:pPr>
      <w:framePr w:hSpace="180" w:wrap="around" w:vAnchor="text" w:hAnchor="margin" w:x="108" w:y="100"/>
    </w:pPr>
    <w:rPr>
      <w:b/>
      <w:color w:val="C00000"/>
      <w:sz w:val="22"/>
    </w:rPr>
  </w:style>
  <w:style w:type="paragraph" w:customStyle="1" w:styleId="Yo13YouthIndicator">
    <w:name w:val="_Yo_13_Youth_Indicator"/>
    <w:qFormat/>
    <w:pPr>
      <w:spacing w:line="300" w:lineRule="auto"/>
      <w:ind w:left="113" w:right="113"/>
    </w:pPr>
    <w:rPr>
      <w:b/>
      <w:color w:val="FFFFFF"/>
      <w:sz w:val="16"/>
      <w:szCs w:val="22"/>
      <w:lang w:eastAsia="en-US"/>
    </w:rPr>
  </w:style>
  <w:style w:type="paragraph" w:customStyle="1" w:styleId="a75TextbaseTable">
    <w:name w:val="_a7_5_Text_base_Table"/>
    <w:qFormat/>
    <w:pPr>
      <w:tabs>
        <w:tab w:val="left" w:pos="1985"/>
      </w:tabs>
    </w:pPr>
    <w:rPr>
      <w:rFonts w:ascii="Arial" w:eastAsia="Times New Roman" w:hAnsi="Arial" w:cs="Arial"/>
      <w:snapToGrid w:val="0"/>
      <w:color w:val="1F497D"/>
      <w:sz w:val="16"/>
      <w:szCs w:val="16"/>
      <w:lang w:val="en-US" w:eastAsia="en-US"/>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uiPriority w:val="99"/>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Yo0H1Char">
    <w:name w:val="_Yo_0_H1 Char"/>
    <w:link w:val="Yo0H1"/>
    <w:rPr>
      <w:rFonts w:ascii="Verdana" w:eastAsia="Times New Roman" w:hAnsi="Verdana" w:cs="MyriadPro-Bold"/>
      <w:b/>
      <w:bCs w:val="0"/>
      <w:color w:val="DB1E48"/>
      <w:kern w:val="32"/>
      <w:sz w:val="44"/>
      <w:szCs w:val="44"/>
      <w:lang w:val="en-US" w:eastAsia="fr-BE"/>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lang w:eastAsia="en-US"/>
    </w:rPr>
  </w:style>
  <w:style w:type="paragraph" w:styleId="TOCHeading">
    <w:name w:val="TOC Heading"/>
    <w:basedOn w:val="Heading1"/>
    <w:next w:val="Normal"/>
    <w:uiPriority w:val="39"/>
    <w:unhideWhenUsed/>
    <w:qFormat/>
    <w:pPr>
      <w:keepLines/>
      <w:spacing w:after="0" w:line="259" w:lineRule="auto"/>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style>
  <w:style w:type="paragraph" w:styleId="TOC2">
    <w:name w:val="toc 2"/>
    <w:basedOn w:val="Normal"/>
    <w:next w:val="Normal"/>
    <w:autoRedefine/>
    <w:uiPriority w:val="39"/>
    <w:unhideWhenUsed/>
    <w:pPr>
      <w:ind w:left="220"/>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wrap">
    <w:name w:val="nowrap"/>
  </w:style>
  <w:style w:type="character" w:customStyle="1" w:styleId="rightside">
    <w:name w:val="right_side"/>
  </w:style>
  <w:style w:type="paragraph" w:customStyle="1" w:styleId="Default">
    <w:name w:val="Default"/>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3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webgate.ec.europa.eu/fpfis/mwikis/eurydice/images/9/9d/Structure_of_education_systems_2016_17.pdf" TargetMode="External"/><Relationship Id="rId21" Type="http://schemas.openxmlformats.org/officeDocument/2006/relationships/image" Target="media/image7.png"/><Relationship Id="rId42" Type="http://schemas.openxmlformats.org/officeDocument/2006/relationships/header" Target="header6.xml"/><Relationship Id="rId47" Type="http://schemas.openxmlformats.org/officeDocument/2006/relationships/image" Target="media/image26.png"/><Relationship Id="rId63" Type="http://schemas.openxmlformats.org/officeDocument/2006/relationships/image" Target="media/image35.jpeg"/><Relationship Id="rId68" Type="http://schemas.openxmlformats.org/officeDocument/2006/relationships/image" Target="file:///C:\Users\paredcr\AppData\Local\Temp\03_graph\9_C_c_cultural.jpg" TargetMode="External"/><Relationship Id="rId84" Type="http://schemas.openxmlformats.org/officeDocument/2006/relationships/image" Target="media/image47.png"/><Relationship Id="rId89" Type="http://schemas.openxmlformats.org/officeDocument/2006/relationships/image" Target="media/image52.jpeg"/><Relationship Id="rId112" Type="http://schemas.openxmlformats.org/officeDocument/2006/relationships/hyperlink" Target="http://europa.eu/rapid/press-release_IP-17-251_en.htm" TargetMode="External"/><Relationship Id="rId133" Type="http://schemas.openxmlformats.org/officeDocument/2006/relationships/hyperlink" Target="http://ec.europa.eu/eurostat/statistics-explained/index.php/Glossary:Overcrowded" TargetMode="External"/><Relationship Id="rId138" Type="http://schemas.openxmlformats.org/officeDocument/2006/relationships/hyperlink" Target="https://ssrn.com/abstract=2655276" TargetMode="External"/><Relationship Id="rId154" Type="http://schemas.openxmlformats.org/officeDocument/2006/relationships/hyperlink" Target="http://www.mckinsey.com/industries/social-sector/our-insights/converting-education-to-employment-in-europe" TargetMode="External"/><Relationship Id="rId159" Type="http://schemas.openxmlformats.org/officeDocument/2006/relationships/hyperlink" Target="http://pjp-eu.coe.int/documents/1017981/1668251/Final_report_Volunteering_seminar_2011.pdf/2818cf79-3230-4733-b391-bc47aae7251b" TargetMode="External"/><Relationship Id="rId170" Type="http://schemas.openxmlformats.org/officeDocument/2006/relationships/header" Target="header12.xml"/><Relationship Id="rId16" Type="http://schemas.openxmlformats.org/officeDocument/2006/relationships/image" Target="media/image2.jpeg"/><Relationship Id="rId107" Type="http://schemas.openxmlformats.org/officeDocument/2006/relationships/hyperlink" Target="http://ec.europa.eu/economy_finance/articles/financial_operations/2012-03-05_latvia_economic_en.htm" TargetMode="External"/><Relationship Id="rId11" Type="http://schemas.openxmlformats.org/officeDocument/2006/relationships/header" Target="header2.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file:///\\s-eacea-fs03-p\EACEA.A7\Youth\04_Reports\a_EU_Youth_Reports\2018\03_graph\9_A_d_sports_events.jpg" TargetMode="External"/><Relationship Id="rId58" Type="http://schemas.openxmlformats.org/officeDocument/2006/relationships/image" Target="file:///\\s-eacea-fs03-p\EACEA.A7\Youth\04_Reports\a_EU_Youth_Reports\2018\03_graph\9_C_a_sports_gender.jpg" TargetMode="External"/><Relationship Id="rId74" Type="http://schemas.openxmlformats.org/officeDocument/2006/relationships/image" Target="media/image41.jpeg"/><Relationship Id="rId79" Type="http://schemas.openxmlformats.org/officeDocument/2006/relationships/image" Target="file:///\\s-eacea-fs03-p\EACEA.A7\Youth\04_Reports\a_EU_Youth_Reports\2018\03_graph\9_F_digital_skills_EU.jpg" TargetMode="External"/><Relationship Id="rId102" Type="http://schemas.openxmlformats.org/officeDocument/2006/relationships/hyperlink" Target="http://www.everydayhealth.com/news/why-depression-underreported-men/" TargetMode="External"/><Relationship Id="rId123" Type="http://schemas.openxmlformats.org/officeDocument/2006/relationships/hyperlink" Target="http://ec.europa.eu/eurostat/statistics-explained/index.php/Category:Health_glossary" TargetMode="External"/><Relationship Id="rId128" Type="http://schemas.openxmlformats.org/officeDocument/2006/relationships/hyperlink" Target="http://ec.europa.eu/eurostat/statistics-explained/index.php/Europe_2020_indicators_-_poverty_and_social_exclusion" TargetMode="External"/><Relationship Id="rId144" Type="http://schemas.openxmlformats.org/officeDocument/2006/relationships/hyperlink" Target="http://www.un.org/en/development/desa/population/publications/pdf/expert/2011-10_Iacovou_Expert-paper.pdf" TargetMode="External"/><Relationship Id="rId149" Type="http://schemas.openxmlformats.org/officeDocument/2006/relationships/hyperlink" Target="https://dmlcentral.net/wp-content/uploads/files/ypp_workinpapers_paper01_1.pdf" TargetMode="External"/><Relationship Id="rId5" Type="http://schemas.openxmlformats.org/officeDocument/2006/relationships/settings" Target="settings.xml"/><Relationship Id="rId90" Type="http://schemas.openxmlformats.org/officeDocument/2006/relationships/image" Target="file:///\\s-eacea-fs03-p\EACEA.A7\Youth\04_Reports\a_EU_Youth_Reports\2018\03_graph\9_H_internet_buy.jpg" TargetMode="External"/><Relationship Id="rId95" Type="http://schemas.openxmlformats.org/officeDocument/2006/relationships/header" Target="header9.xml"/><Relationship Id="rId160" Type="http://schemas.openxmlformats.org/officeDocument/2006/relationships/hyperlink" Target="http://www.interarts.net/descargas/interarts2577.pdf" TargetMode="External"/><Relationship Id="rId165" Type="http://schemas.openxmlformats.org/officeDocument/2006/relationships/hyperlink" Target="http://www.euro.who.int/__data/assets/pdf_file/0013/70114/E93036.pdf" TargetMode="External"/><Relationship Id="rId22" Type="http://schemas.openxmlformats.org/officeDocument/2006/relationships/image" Target="media/image8.png"/><Relationship Id="rId27" Type="http://schemas.openxmlformats.org/officeDocument/2006/relationships/image" Target="media/image13.jpeg"/><Relationship Id="rId43" Type="http://schemas.openxmlformats.org/officeDocument/2006/relationships/footer" Target="footer6.xml"/><Relationship Id="rId48" Type="http://schemas.openxmlformats.org/officeDocument/2006/relationships/image" Target="media/image27.jpeg"/><Relationship Id="rId64" Type="http://schemas.openxmlformats.org/officeDocument/2006/relationships/image" Target="file:///\\s-eacea-fs03-p\EACEA.A7\Youth\04_Reports\a_EU_Youth_Reports\2018\03_graph\9_C_b_youth_club.jpg" TargetMode="External"/><Relationship Id="rId69" Type="http://schemas.openxmlformats.org/officeDocument/2006/relationships/image" Target="media/image38.jpeg"/><Relationship Id="rId113" Type="http://schemas.openxmlformats.org/officeDocument/2006/relationships/hyperlink" Target="https://ec.europa.eu/transport/road_safety/specialist/knowledge/road/roads_need_to_cater_safely_for_all_users/young_drivers_en" TargetMode="External"/><Relationship Id="rId118" Type="http://schemas.openxmlformats.org/officeDocument/2006/relationships/hyperlink" Target="http://www.europarl.europa.eu/pdf/eurobarometre/2014/post/post_ee2014_sociodemographic_annex_en.pdf" TargetMode="External"/><Relationship Id="rId134" Type="http://schemas.openxmlformats.org/officeDocument/2006/relationships/hyperlink" Target="http://ec.europa.eu/eurostat/statistics-explained/index.php/Glossary:Work_intensity" TargetMode="External"/><Relationship Id="rId139" Type="http://schemas.openxmlformats.org/officeDocument/2006/relationships/hyperlink" Target="http://www.feantsaresearch.org/download/ethos1106689976166380462.pdf" TargetMode="External"/><Relationship Id="rId80" Type="http://schemas.openxmlformats.org/officeDocument/2006/relationships/image" Target="media/image44.jpeg"/><Relationship Id="rId85" Type="http://schemas.openxmlformats.org/officeDocument/2006/relationships/image" Target="media/image48.png"/><Relationship Id="rId150" Type="http://schemas.openxmlformats.org/officeDocument/2006/relationships/hyperlink" Target="http://www.alliance-network.eu/wp-content/uploads/2014/12/IVE-Desk-Research-Report-Output-1.pdf" TargetMode="External"/><Relationship Id="rId155" Type="http://schemas.openxmlformats.org/officeDocument/2006/relationships/hyperlink" Target="https://stats.oecd.org/glossary/detail.asp?ID=645" TargetMode="External"/><Relationship Id="rId171" Type="http://schemas.openxmlformats.org/officeDocument/2006/relationships/footer" Target="footer12.xml"/><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image" Target="media/image19.png"/><Relationship Id="rId38" Type="http://schemas.openxmlformats.org/officeDocument/2006/relationships/header" Target="header4.xml"/><Relationship Id="rId59" Type="http://schemas.openxmlformats.org/officeDocument/2006/relationships/image" Target="media/image33.jpeg"/><Relationship Id="rId103" Type="http://schemas.openxmlformats.org/officeDocument/2006/relationships/hyperlink" Target="https://www.princeton.edu/~artspol/workpap/WP15%20-%20DiMaggio+Hargittai.pdf" TargetMode="External"/><Relationship Id="rId108" Type="http://schemas.openxmlformats.org/officeDocument/2006/relationships/hyperlink" Target="https://ec.europa.eu/agriculture/sites/agriculture/files/rural-area-economics/briefs/pdf/009_en.pdf" TargetMode="External"/><Relationship Id="rId124" Type="http://schemas.openxmlformats.org/officeDocument/2006/relationships/hyperlink" Target="http://ec.europa.eu/eurostat/cache/metadata/en/lfsi_esms.htm" TargetMode="External"/><Relationship Id="rId129" Type="http://schemas.openxmlformats.org/officeDocument/2006/relationships/hyperlink" Target="http://ec.europa.eu/eurostat/statistics-explained/index.php/Glossary:At-risk-of-poverty_threshold" TargetMode="External"/><Relationship Id="rId54" Type="http://schemas.openxmlformats.org/officeDocument/2006/relationships/image" Target="media/image30.jpeg"/><Relationship Id="rId70" Type="http://schemas.openxmlformats.org/officeDocument/2006/relationships/image" Target="file:///C:\Users\paredcr\AppData\Local\Temp\03_graph\9_D_pc_internet_country.jpg" TargetMode="External"/><Relationship Id="rId75" Type="http://schemas.openxmlformats.org/officeDocument/2006/relationships/image" Target="file:///\\s-eacea-fs03-p\EACEA.A7\Youth\04_Reports\a_EU_Youth_Reports\2018\03_graph\9_E_a_pc_educ.jpg" TargetMode="External"/><Relationship Id="rId91" Type="http://schemas.openxmlformats.org/officeDocument/2006/relationships/header" Target="header7.xml"/><Relationship Id="rId96" Type="http://schemas.openxmlformats.org/officeDocument/2006/relationships/footer" Target="footer9.xml"/><Relationship Id="rId140" Type="http://schemas.openxmlformats.org/officeDocument/2006/relationships/hyperlink" Target="https://fred.stlouisfed.org/series/SLUEM1524ZSMKD" TargetMode="External"/><Relationship Id="rId145" Type="http://schemas.openxmlformats.org/officeDocument/2006/relationships/hyperlink" Target="https://ecampus.itcilo.org/pluginfile.php/25272/mod_page/content/40/C175_R182_Part_time_work.pdf" TargetMode="External"/><Relationship Id="rId161" Type="http://schemas.openxmlformats.org/officeDocument/2006/relationships/hyperlink" Target="https://www.unc.edu/courses/2008spring/poli/472h/001/Course%20documents/RESOURCES/Generosity%20measures/Volunteering%20in%20Comparative%20Perspective.pdf" TargetMode="External"/><Relationship Id="rId16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file:///\\s-eacea-fs03-p\EACEA.A7\Youth\04_Reports\a_EU_Youth_Reports\2018\03_graph\9_A_b_Cinema.jpg" TargetMode="External"/><Relationship Id="rId57" Type="http://schemas.openxmlformats.org/officeDocument/2006/relationships/image" Target="media/image32.jpeg"/><Relationship Id="rId106" Type="http://schemas.openxmlformats.org/officeDocument/2006/relationships/hyperlink" Target="http://ec.europa.eu/assets/eac/youth/library/publications/indicator-dashboard_en.pdf" TargetMode="External"/><Relationship Id="rId114" Type="http://schemas.openxmlformats.org/officeDocument/2006/relationships/hyperlink" Target="http://ec.europa.eu/commfrontoffice/publicopinion/index.cfm/Survey/getSurveyDetail/yearFrom/1974/yearTo/2018/surveyKy/2163" TargetMode="External"/><Relationship Id="rId119" Type="http://schemas.openxmlformats.org/officeDocument/2006/relationships/hyperlink" Target="http://eskillsjobsspain.com/wp-content/uploads/2016/06/TheimpactofICTonjob.pdf" TargetMode="External"/><Relationship Id="rId127" Type="http://schemas.openxmlformats.org/officeDocument/2006/relationships/hyperlink" Target="http://ec.europa.eu/eurostat/cache/metadata/en/tepsr_sp410_esmsip.htm" TargetMode="External"/><Relationship Id="rId10" Type="http://schemas.openxmlformats.org/officeDocument/2006/relationships/header" Target="header1.xml"/><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image" Target="file:///\\s-eacea-fs03-p\EACEA.A7\Youth\04_Reports\a_EU_Youth_Reports\2018\03_graph\9_C_a_sports.jpg" TargetMode="External"/><Relationship Id="rId65" Type="http://schemas.openxmlformats.org/officeDocument/2006/relationships/image" Target="media/image36.jpeg"/><Relationship Id="rId73" Type="http://schemas.openxmlformats.org/officeDocument/2006/relationships/image" Target="media/image40.png"/><Relationship Id="rId78" Type="http://schemas.openxmlformats.org/officeDocument/2006/relationships/image" Target="media/image43.jpeg"/><Relationship Id="rId81" Type="http://schemas.openxmlformats.org/officeDocument/2006/relationships/image" Target="file:///\\s-eacea-fs03-p\EACEA.A7\Youth\04_Reports\a_EU_Youth_Reports\2018\03_graph\9_G_digital_skills_map.jpg" TargetMode="External"/><Relationship Id="rId86" Type="http://schemas.openxmlformats.org/officeDocument/2006/relationships/image" Target="media/image49.png"/><Relationship Id="rId94" Type="http://schemas.openxmlformats.org/officeDocument/2006/relationships/footer" Target="footer8.xml"/><Relationship Id="rId99" Type="http://schemas.openxmlformats.org/officeDocument/2006/relationships/hyperlink" Target="https://cdn1.sph.harvard.edu/wp-content/uploads/sites/1288/2013/10/PGDA_WP_32.pdf" TargetMode="External"/><Relationship Id="rId101" Type="http://schemas.openxmlformats.org/officeDocument/2006/relationships/hyperlink" Target="http://www.ilo.org/wcmsp5/groups/public/---ed_emp/documents/publication/wcms_466537.pdf" TargetMode="External"/><Relationship Id="rId122" Type="http://schemas.openxmlformats.org/officeDocument/2006/relationships/hyperlink" Target="http://ec.europa.eu/eurostat/statistics-explained/index.php/Employment_statistics" TargetMode="External"/><Relationship Id="rId130" Type="http://schemas.openxmlformats.org/officeDocument/2006/relationships/hyperlink" Target="http://ec.europa.eu/eurostat/statistics-explained/index.php/Glossary:Equivalised_disposable_income" TargetMode="External"/><Relationship Id="rId135" Type="http://schemas.openxmlformats.org/officeDocument/2006/relationships/hyperlink" Target="http://ec.europa.eu/eurostat/statistics-explained/index.php/Glossary:Severe_housing_deprivation_rate" TargetMode="External"/><Relationship Id="rId143" Type="http://schemas.openxmlformats.org/officeDocument/2006/relationships/hyperlink" Target="https://www.iser.essex.ac.uk/files/iser_working_papers/2001-18.pdf" TargetMode="External"/><Relationship Id="rId148" Type="http://schemas.openxmlformats.org/officeDocument/2006/relationships/hyperlink" Target="https://youngfoundation.org/wp-content/uploads/2012/10/the-way-to-work.pdf" TargetMode="External"/><Relationship Id="rId151" Type="http://schemas.openxmlformats.org/officeDocument/2006/relationships/hyperlink" Target="http://sro.sussex.ac.uk/61441/1/mwp86.pdf" TargetMode="External"/><Relationship Id="rId156" Type="http://schemas.openxmlformats.org/officeDocument/2006/relationships/hyperlink" Target="http://dx.doi.org/10.1787/9789264213593-en" TargetMode="External"/><Relationship Id="rId164" Type="http://schemas.openxmlformats.org/officeDocument/2006/relationships/hyperlink" Target="http://www.who.int/mediacentre/factsheets/fs369/en/" TargetMode="External"/><Relationship Id="rId169"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eader" Target="header5.xml"/><Relationship Id="rId109" Type="http://schemas.openxmlformats.org/officeDocument/2006/relationships/hyperlink" Target="https://ec.europa.eu/transport/road_safety/specialist/knowledge/young/magnitude_and_nature_of_the_problem/characteristics_of_these_crashes_en" TargetMode="External"/><Relationship Id="rId34" Type="http://schemas.openxmlformats.org/officeDocument/2006/relationships/image" Target="media/image20.png"/><Relationship Id="rId50" Type="http://schemas.openxmlformats.org/officeDocument/2006/relationships/image" Target="media/image28.jpeg"/><Relationship Id="rId55" Type="http://schemas.openxmlformats.org/officeDocument/2006/relationships/image" Target="file:///C:\Users\paredcr\AppData\Local\Temp\03_graph\9_B_artistic_hobbies.jpg" TargetMode="External"/><Relationship Id="rId76" Type="http://schemas.openxmlformats.org/officeDocument/2006/relationships/image" Target="media/image42.jpeg"/><Relationship Id="rId97" Type="http://schemas.openxmlformats.org/officeDocument/2006/relationships/hyperlink" Target="http://dx.doi.org/10.1016/j.jhealeco.2017.08.005" TargetMode="External"/><Relationship Id="rId104" Type="http://schemas.openxmlformats.org/officeDocument/2006/relationships/hyperlink" Target="https://www.eurofound.europa.eu/fr/observatories/eurwork/comparative-information/flexible-forms-of-work-very-atypical-contractual-arrangements" TargetMode="External"/><Relationship Id="rId120" Type="http://schemas.openxmlformats.org/officeDocument/2006/relationships/hyperlink" Target="http://ec.europa.eu/eurostat/statistics-explained/index.php/Culture_statistics_-_use_of_ICT_for_cultural_purposes" TargetMode="External"/><Relationship Id="rId125" Type="http://schemas.openxmlformats.org/officeDocument/2006/relationships/hyperlink" Target="http://ec.europa.eu/eurostat/statistics-explained/index.php/Participation_of_young_people_in_education_and_the_labour_market" TargetMode="External"/><Relationship Id="rId141" Type="http://schemas.openxmlformats.org/officeDocument/2006/relationships/hyperlink" Target="https://www.volunteerscotland.net/media/1034165/literature_review_-_phd_full_report_2017.02.27.docx" TargetMode="External"/><Relationship Id="rId146" Type="http://schemas.openxmlformats.org/officeDocument/2006/relationships/hyperlink" Target="http://www.ilo.org/global/topics/non-standard-employment/WCMS_534825/lang--en/index.htm" TargetMode="External"/><Relationship Id="rId167"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header" Target="header8.xml"/><Relationship Id="rId162" Type="http://schemas.openxmlformats.org/officeDocument/2006/relationships/hyperlink" Target="http://www.style-research.eu/"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footer" Target="footer4.xml"/><Relationship Id="rId45" Type="http://schemas.openxmlformats.org/officeDocument/2006/relationships/image" Target="file:///\\s-eacea-fs03-p\EACEA.A7\Youth\04_Reports\a_EU_Youth_Reports\2018\03_graph\9_A_a_Cultural_sites.jpg" TargetMode="External"/><Relationship Id="rId66" Type="http://schemas.openxmlformats.org/officeDocument/2006/relationships/image" Target="file:///\\s-eacea-fs03-p\EACEA.A7\Youth\04_Reports\a_EU_Youth_Reports\2018\03_graph\9_C_c_cultural_gender.jpg" TargetMode="External"/><Relationship Id="rId87" Type="http://schemas.openxmlformats.org/officeDocument/2006/relationships/image" Target="media/image50.png"/><Relationship Id="rId110" Type="http://schemas.openxmlformats.org/officeDocument/2006/relationships/hyperlink" Target="https://ec.europa.eu/digital-single-market/en/policies/digital-skills" TargetMode="External"/><Relationship Id="rId115" Type="http://schemas.openxmlformats.org/officeDocument/2006/relationships/hyperlink" Target="http://eacea.ec.europa.eu/youth/tools/documents/perception-behaviours.pdf" TargetMode="External"/><Relationship Id="rId131" Type="http://schemas.openxmlformats.org/officeDocument/2006/relationships/hyperlink" Target="http://ec.europa.eu/eurostat/statistics-explained/index.php/Glossary:Housing_cost_overburden_rate" TargetMode="External"/><Relationship Id="rId136" Type="http://schemas.openxmlformats.org/officeDocument/2006/relationships/hyperlink" Target="https://www.researchgate.net/profile/Mark_Smith21/publication/262181237_In_search_of_good_quality_part-time_employment_an_international_review/links/54b643300cf26833efd36a49.pdf" TargetMode="External"/><Relationship Id="rId157" Type="http://schemas.openxmlformats.org/officeDocument/2006/relationships/hyperlink" Target="file:///C:/Users/montiak/Downloads/KE-04-17-392-EN-N.pdf" TargetMode="External"/><Relationship Id="rId61" Type="http://schemas.openxmlformats.org/officeDocument/2006/relationships/image" Target="media/image34.jpeg"/><Relationship Id="rId82" Type="http://schemas.openxmlformats.org/officeDocument/2006/relationships/image" Target="media/image45.png"/><Relationship Id="rId152" Type="http://schemas.openxmlformats.org/officeDocument/2006/relationships/hyperlink" Target="http://www.pewinternet.org/files/old-media/Files/Reports/2008/Pew_MediaSources_jan08.pdf.pdf" TargetMode="External"/><Relationship Id="rId173"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1.png"/><Relationship Id="rId77" Type="http://schemas.openxmlformats.org/officeDocument/2006/relationships/image" Target="file:///\\s-eacea-fs03-p\EACEA.A7\Youth\04_Reports\a_EU_Youth_Reports\2018\03_graph\9_E_b_internet_educ.jpg" TargetMode="External"/><Relationship Id="rId100" Type="http://schemas.openxmlformats.org/officeDocument/2006/relationships/hyperlink" Target="http://www.fondation-seligmann.org/ApresDemain/AD333-334/333-334_3642.pdf" TargetMode="External"/><Relationship Id="rId105" Type="http://schemas.openxmlformats.org/officeDocument/2006/relationships/hyperlink" Target="https://www.eurofound.europa.eu/sites/default/files/ef_publication/field_ef_document/ef1718en.pdf" TargetMode="External"/><Relationship Id="rId126" Type="http://schemas.openxmlformats.org/officeDocument/2006/relationships/hyperlink" Target="http://ec.europa.eu/eurostat/statistics-explained/index.php/People_outside_the_labour_market" TargetMode="External"/><Relationship Id="rId147" Type="http://schemas.openxmlformats.org/officeDocument/2006/relationships/hyperlink" Target="http://library.fes.de/pdf-files/id-moe/12825.pdf" TargetMode="External"/><Relationship Id="rId168"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file:///\\s-eacea-fs03-p\EACEA.A7\Youth\04_Reports\a_EU_Youth_Reports\2018\03_graph\9_A_c_live.jpg" TargetMode="External"/><Relationship Id="rId72" Type="http://schemas.openxmlformats.org/officeDocument/2006/relationships/image" Target="file:///\\s-eacea-fs03-p\EACEA.A7\Youth\04_Reports\a_EU_Youth_Reports\2018\03_graph\9_D_pc_internet_EU.jpg" TargetMode="External"/><Relationship Id="rId93" Type="http://schemas.openxmlformats.org/officeDocument/2006/relationships/footer" Target="footer7.xml"/><Relationship Id="rId98" Type="http://schemas.openxmlformats.org/officeDocument/2006/relationships/hyperlink" Target="http://www.ecineq.org/ecineq_bari13/FILESxBari13/CR2/p72.pdf" TargetMode="External"/><Relationship Id="rId121" Type="http://schemas.openxmlformats.org/officeDocument/2006/relationships/hyperlink" Target="http://ec.europa.eu/eurostat/cache/infographs/ict/index.html" TargetMode="External"/><Relationship Id="rId142" Type="http://schemas.openxmlformats.org/officeDocument/2006/relationships/hyperlink" Target="http://www.ippr.org/publications/selfemployment-in-europe" TargetMode="External"/><Relationship Id="rId163" Type="http://schemas.openxmlformats.org/officeDocument/2006/relationships/hyperlink" Target="http://ec.europa.eu/health/archive/ph_information/documents/tobacco_control_en.pdf"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5.jpeg"/><Relationship Id="rId67" Type="http://schemas.openxmlformats.org/officeDocument/2006/relationships/image" Target="media/image37.jpeg"/><Relationship Id="rId116" Type="http://schemas.openxmlformats.org/officeDocument/2006/relationships/hyperlink" Target="http://www.anefore.lu/wp-content/uploads/2016/10/EURYDICE-COMPULSORY-EDUCATION.pdf" TargetMode="External"/><Relationship Id="rId137" Type="http://schemas.openxmlformats.org/officeDocument/2006/relationships/hyperlink" Target="https://siepr.stanford.edu/sites/default/files/publications/17-014.pdf" TargetMode="External"/><Relationship Id="rId158" Type="http://schemas.openxmlformats.org/officeDocument/2006/relationships/hyperlink" Target="http://dx.doi.org/10.1787/9789264283602-en" TargetMode="External"/><Relationship Id="rId20" Type="http://schemas.openxmlformats.org/officeDocument/2006/relationships/image" Target="media/image6.png"/><Relationship Id="rId41" Type="http://schemas.openxmlformats.org/officeDocument/2006/relationships/footer" Target="footer5.xml"/><Relationship Id="rId62" Type="http://schemas.openxmlformats.org/officeDocument/2006/relationships/image" Target="file:///\\s-eacea-fs03-p\EACEA.A7\Youth\04_Reports\a_EU_Youth_Reports\2018\03_graph\9_C_b_youth_club_gender.jpg" TargetMode="External"/><Relationship Id="rId83" Type="http://schemas.openxmlformats.org/officeDocument/2006/relationships/image" Target="media/image46.jpeg"/><Relationship Id="rId88" Type="http://schemas.openxmlformats.org/officeDocument/2006/relationships/image" Target="media/image51.png"/><Relationship Id="rId111" Type="http://schemas.openxmlformats.org/officeDocument/2006/relationships/hyperlink" Target="http://ec.europa.eu/social/main.jsp?catId=738&amp;langId=en&amp;pubId=8035&amp;furtherPubs=yes" TargetMode="External"/><Relationship Id="rId132" Type="http://schemas.openxmlformats.org/officeDocument/2006/relationships/hyperlink" Target="http://ec.europa.eu/eurostat/statistics-explained/index.php/Glossary:Material_deprivation" TargetMode="External"/><Relationship Id="rId153" Type="http://schemas.openxmlformats.org/officeDocument/2006/relationships/hyperlink" Target="https://www.theguardian.com/culture-professionals-network/2014/oct/31/-sp-technology-cultural-taste-youtube-vloggers-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AA5B8-0038-4769-8226-208173221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11304</Words>
  <Characters>70201</Characters>
  <Application>Microsoft Office Word</Application>
  <DocSecurity>0</DocSecurity>
  <Lines>1376</Lines>
  <Paragraphs>536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80969</CharactersWithSpaces>
  <SharedDoc>false</SharedDoc>
  <HLinks>
    <vt:vector size="522" baseType="variant">
      <vt:variant>
        <vt:i4>1900647</vt:i4>
      </vt:variant>
      <vt:variant>
        <vt:i4>276</vt:i4>
      </vt:variant>
      <vt:variant>
        <vt:i4>0</vt:i4>
      </vt:variant>
      <vt:variant>
        <vt:i4>5</vt:i4>
      </vt:variant>
      <vt:variant>
        <vt:lpwstr>http://www.euro.who.int/__data/assets/pdf_file/0013/70114/E93036.pdf</vt:lpwstr>
      </vt:variant>
      <vt:variant>
        <vt:lpwstr/>
      </vt:variant>
      <vt:variant>
        <vt:i4>8257641</vt:i4>
      </vt:variant>
      <vt:variant>
        <vt:i4>273</vt:i4>
      </vt:variant>
      <vt:variant>
        <vt:i4>0</vt:i4>
      </vt:variant>
      <vt:variant>
        <vt:i4>5</vt:i4>
      </vt:variant>
      <vt:variant>
        <vt:lpwstr>http://www.who.int/mediacentre/factsheets/fs369/en/</vt:lpwstr>
      </vt:variant>
      <vt:variant>
        <vt:lpwstr/>
      </vt:variant>
      <vt:variant>
        <vt:i4>786533</vt:i4>
      </vt:variant>
      <vt:variant>
        <vt:i4>270</vt:i4>
      </vt:variant>
      <vt:variant>
        <vt:i4>0</vt:i4>
      </vt:variant>
      <vt:variant>
        <vt:i4>5</vt:i4>
      </vt:variant>
      <vt:variant>
        <vt:lpwstr>http://ec.europa.eu/health/archive/ph_information/documents/tobacco_control_en.pdf</vt:lpwstr>
      </vt:variant>
      <vt:variant>
        <vt:lpwstr/>
      </vt:variant>
      <vt:variant>
        <vt:i4>1835034</vt:i4>
      </vt:variant>
      <vt:variant>
        <vt:i4>267</vt:i4>
      </vt:variant>
      <vt:variant>
        <vt:i4>0</vt:i4>
      </vt:variant>
      <vt:variant>
        <vt:i4>5</vt:i4>
      </vt:variant>
      <vt:variant>
        <vt:lpwstr>http://www.style-research.eu/</vt:lpwstr>
      </vt:variant>
      <vt:variant>
        <vt:lpwstr/>
      </vt:variant>
      <vt:variant>
        <vt:i4>2621486</vt:i4>
      </vt:variant>
      <vt:variant>
        <vt:i4>264</vt:i4>
      </vt:variant>
      <vt:variant>
        <vt:i4>0</vt:i4>
      </vt:variant>
      <vt:variant>
        <vt:i4>5</vt:i4>
      </vt:variant>
      <vt:variant>
        <vt:lpwstr>https://www.unc.edu/courses/2008spring/poli/472h/001/Course documents/RESOURCES/Generosity measures/Volunteering in Comparative Perspective.pdf</vt:lpwstr>
      </vt:variant>
      <vt:variant>
        <vt:lpwstr/>
      </vt:variant>
      <vt:variant>
        <vt:i4>4653121</vt:i4>
      </vt:variant>
      <vt:variant>
        <vt:i4>261</vt:i4>
      </vt:variant>
      <vt:variant>
        <vt:i4>0</vt:i4>
      </vt:variant>
      <vt:variant>
        <vt:i4>5</vt:i4>
      </vt:variant>
      <vt:variant>
        <vt:lpwstr>http://www.interarts.net/descargas/interarts2577.pdf</vt:lpwstr>
      </vt:variant>
      <vt:variant>
        <vt:lpwstr/>
      </vt:variant>
      <vt:variant>
        <vt:i4>2031686</vt:i4>
      </vt:variant>
      <vt:variant>
        <vt:i4>258</vt:i4>
      </vt:variant>
      <vt:variant>
        <vt:i4>0</vt:i4>
      </vt:variant>
      <vt:variant>
        <vt:i4>5</vt:i4>
      </vt:variant>
      <vt:variant>
        <vt:lpwstr>http://pjp-eu.coe.int/documents/1017981/1668251/Final_report_Volunteering_seminar_2011.pdf/2818cf79-3230-4733-b391-bc47aae7251b</vt:lpwstr>
      </vt:variant>
      <vt:variant>
        <vt:lpwstr/>
      </vt:variant>
      <vt:variant>
        <vt:i4>2162741</vt:i4>
      </vt:variant>
      <vt:variant>
        <vt:i4>255</vt:i4>
      </vt:variant>
      <vt:variant>
        <vt:i4>0</vt:i4>
      </vt:variant>
      <vt:variant>
        <vt:i4>5</vt:i4>
      </vt:variant>
      <vt:variant>
        <vt:lpwstr>http://dx.doi.org/10.1787/9789264283602-en</vt:lpwstr>
      </vt:variant>
      <vt:variant>
        <vt:lpwstr/>
      </vt:variant>
      <vt:variant>
        <vt:i4>5832798</vt:i4>
      </vt:variant>
      <vt:variant>
        <vt:i4>252</vt:i4>
      </vt:variant>
      <vt:variant>
        <vt:i4>0</vt:i4>
      </vt:variant>
      <vt:variant>
        <vt:i4>5</vt:i4>
      </vt:variant>
      <vt:variant>
        <vt:lpwstr>C:\Users\montiak\Downloads\KE-04-17-392-EN-N.pdf</vt:lpwstr>
      </vt:variant>
      <vt:variant>
        <vt:lpwstr/>
      </vt:variant>
      <vt:variant>
        <vt:i4>2621502</vt:i4>
      </vt:variant>
      <vt:variant>
        <vt:i4>249</vt:i4>
      </vt:variant>
      <vt:variant>
        <vt:i4>0</vt:i4>
      </vt:variant>
      <vt:variant>
        <vt:i4>5</vt:i4>
      </vt:variant>
      <vt:variant>
        <vt:lpwstr>http://dx.doi.org/10.1787/9789264213593-en</vt:lpwstr>
      </vt:variant>
      <vt:variant>
        <vt:lpwstr/>
      </vt:variant>
      <vt:variant>
        <vt:i4>589840</vt:i4>
      </vt:variant>
      <vt:variant>
        <vt:i4>246</vt:i4>
      </vt:variant>
      <vt:variant>
        <vt:i4>0</vt:i4>
      </vt:variant>
      <vt:variant>
        <vt:i4>5</vt:i4>
      </vt:variant>
      <vt:variant>
        <vt:lpwstr>https://stats.oecd.org/glossary/detail.asp?ID=645</vt:lpwstr>
      </vt:variant>
      <vt:variant>
        <vt:lpwstr/>
      </vt:variant>
      <vt:variant>
        <vt:i4>2162746</vt:i4>
      </vt:variant>
      <vt:variant>
        <vt:i4>243</vt:i4>
      </vt:variant>
      <vt:variant>
        <vt:i4>0</vt:i4>
      </vt:variant>
      <vt:variant>
        <vt:i4>5</vt:i4>
      </vt:variant>
      <vt:variant>
        <vt:lpwstr>http://www.mckinsey.com/industries/social-sector/our-insights/converting-education-to-employment-in-europe</vt:lpwstr>
      </vt:variant>
      <vt:variant>
        <vt:lpwstr/>
      </vt:variant>
      <vt:variant>
        <vt:i4>393296</vt:i4>
      </vt:variant>
      <vt:variant>
        <vt:i4>240</vt:i4>
      </vt:variant>
      <vt:variant>
        <vt:i4>0</vt:i4>
      </vt:variant>
      <vt:variant>
        <vt:i4>5</vt:i4>
      </vt:variant>
      <vt:variant>
        <vt:lpwstr>https://www.theguardian.com/culture-professionals-network/2014/oct/31/-sp-technology-cultural-taste-youtube-vloggers-vice</vt:lpwstr>
      </vt:variant>
      <vt:variant>
        <vt:lpwstr/>
      </vt:variant>
      <vt:variant>
        <vt:i4>6553710</vt:i4>
      </vt:variant>
      <vt:variant>
        <vt:i4>237</vt:i4>
      </vt:variant>
      <vt:variant>
        <vt:i4>0</vt:i4>
      </vt:variant>
      <vt:variant>
        <vt:i4>5</vt:i4>
      </vt:variant>
      <vt:variant>
        <vt:lpwstr>http://www.pewinternet.org/files/old-media/Files/Reports/2008/Pew_MediaSources_jan08.pdf.pdf</vt:lpwstr>
      </vt:variant>
      <vt:variant>
        <vt:lpwstr/>
      </vt:variant>
      <vt:variant>
        <vt:i4>4522070</vt:i4>
      </vt:variant>
      <vt:variant>
        <vt:i4>234</vt:i4>
      </vt:variant>
      <vt:variant>
        <vt:i4>0</vt:i4>
      </vt:variant>
      <vt:variant>
        <vt:i4>5</vt:i4>
      </vt:variant>
      <vt:variant>
        <vt:lpwstr>http://sro.sussex.ac.uk/61441/1/mwp86.pdf</vt:lpwstr>
      </vt:variant>
      <vt:variant>
        <vt:lpwstr/>
      </vt:variant>
      <vt:variant>
        <vt:i4>7340082</vt:i4>
      </vt:variant>
      <vt:variant>
        <vt:i4>231</vt:i4>
      </vt:variant>
      <vt:variant>
        <vt:i4>0</vt:i4>
      </vt:variant>
      <vt:variant>
        <vt:i4>5</vt:i4>
      </vt:variant>
      <vt:variant>
        <vt:lpwstr>http://www.alliance-network.eu/wp-content/uploads/2014/12/IVE-Desk-Research-Report-Output-1.pdf</vt:lpwstr>
      </vt:variant>
      <vt:variant>
        <vt:lpwstr/>
      </vt:variant>
      <vt:variant>
        <vt:i4>5505067</vt:i4>
      </vt:variant>
      <vt:variant>
        <vt:i4>228</vt:i4>
      </vt:variant>
      <vt:variant>
        <vt:i4>0</vt:i4>
      </vt:variant>
      <vt:variant>
        <vt:i4>5</vt:i4>
      </vt:variant>
      <vt:variant>
        <vt:lpwstr>https://dmlcentral.net/wp-content/uploads/files/ypp_workinpapers_paper01_1.pdf</vt:lpwstr>
      </vt:variant>
      <vt:variant>
        <vt:lpwstr/>
      </vt:variant>
      <vt:variant>
        <vt:i4>2097189</vt:i4>
      </vt:variant>
      <vt:variant>
        <vt:i4>225</vt:i4>
      </vt:variant>
      <vt:variant>
        <vt:i4>0</vt:i4>
      </vt:variant>
      <vt:variant>
        <vt:i4>5</vt:i4>
      </vt:variant>
      <vt:variant>
        <vt:lpwstr>https://youngfoundation.org/wp-content/uploads/2012/10/the-way-to-work.pdf</vt:lpwstr>
      </vt:variant>
      <vt:variant>
        <vt:lpwstr/>
      </vt:variant>
      <vt:variant>
        <vt:i4>5177409</vt:i4>
      </vt:variant>
      <vt:variant>
        <vt:i4>222</vt:i4>
      </vt:variant>
      <vt:variant>
        <vt:i4>0</vt:i4>
      </vt:variant>
      <vt:variant>
        <vt:i4>5</vt:i4>
      </vt:variant>
      <vt:variant>
        <vt:lpwstr>http://library.fes.de/pdf-files/id-moe/12825.pdf</vt:lpwstr>
      </vt:variant>
      <vt:variant>
        <vt:lpwstr/>
      </vt:variant>
      <vt:variant>
        <vt:i4>1638458</vt:i4>
      </vt:variant>
      <vt:variant>
        <vt:i4>219</vt:i4>
      </vt:variant>
      <vt:variant>
        <vt:i4>0</vt:i4>
      </vt:variant>
      <vt:variant>
        <vt:i4>5</vt:i4>
      </vt:variant>
      <vt:variant>
        <vt:lpwstr>http://www.ilo.org/global/topics/non-standard-employment/WCMS_534825/lang--en/index.htm</vt:lpwstr>
      </vt:variant>
      <vt:variant>
        <vt:lpwstr/>
      </vt:variant>
      <vt:variant>
        <vt:i4>8323140</vt:i4>
      </vt:variant>
      <vt:variant>
        <vt:i4>216</vt:i4>
      </vt:variant>
      <vt:variant>
        <vt:i4>0</vt:i4>
      </vt:variant>
      <vt:variant>
        <vt:i4>5</vt:i4>
      </vt:variant>
      <vt:variant>
        <vt:lpwstr>https://ecampus.itcilo.org/pluginfile.php/25272/mod_page/content/40/C175_R182_Part_time_work.pdf</vt:lpwstr>
      </vt:variant>
      <vt:variant>
        <vt:lpwstr/>
      </vt:variant>
      <vt:variant>
        <vt:i4>1769493</vt:i4>
      </vt:variant>
      <vt:variant>
        <vt:i4>213</vt:i4>
      </vt:variant>
      <vt:variant>
        <vt:i4>0</vt:i4>
      </vt:variant>
      <vt:variant>
        <vt:i4>5</vt:i4>
      </vt:variant>
      <vt:variant>
        <vt:lpwstr>http://www.un.org/en/development/desa/population/publications/pdf/expert/2011-10_Iacovou_Expert-paper.pdf</vt:lpwstr>
      </vt:variant>
      <vt:variant>
        <vt:lpwstr/>
      </vt:variant>
      <vt:variant>
        <vt:i4>6946925</vt:i4>
      </vt:variant>
      <vt:variant>
        <vt:i4>210</vt:i4>
      </vt:variant>
      <vt:variant>
        <vt:i4>0</vt:i4>
      </vt:variant>
      <vt:variant>
        <vt:i4>5</vt:i4>
      </vt:variant>
      <vt:variant>
        <vt:lpwstr>https://www.iser.essex.ac.uk/files/iser_working_papers/2001-18.pdf</vt:lpwstr>
      </vt:variant>
      <vt:variant>
        <vt:lpwstr/>
      </vt:variant>
      <vt:variant>
        <vt:i4>1114204</vt:i4>
      </vt:variant>
      <vt:variant>
        <vt:i4>207</vt:i4>
      </vt:variant>
      <vt:variant>
        <vt:i4>0</vt:i4>
      </vt:variant>
      <vt:variant>
        <vt:i4>5</vt:i4>
      </vt:variant>
      <vt:variant>
        <vt:lpwstr>http://www.ippr.org/publications/selfemployment-in-europe</vt:lpwstr>
      </vt:variant>
      <vt:variant>
        <vt:lpwstr/>
      </vt:variant>
      <vt:variant>
        <vt:i4>3342451</vt:i4>
      </vt:variant>
      <vt:variant>
        <vt:i4>204</vt:i4>
      </vt:variant>
      <vt:variant>
        <vt:i4>0</vt:i4>
      </vt:variant>
      <vt:variant>
        <vt:i4>5</vt:i4>
      </vt:variant>
      <vt:variant>
        <vt:lpwstr>https://www.volunteerscotland.net/media/1034165/literature_review_-_phd_full_report_2017.02.27.docx</vt:lpwstr>
      </vt:variant>
      <vt:variant>
        <vt:lpwstr/>
      </vt:variant>
      <vt:variant>
        <vt:i4>327747</vt:i4>
      </vt:variant>
      <vt:variant>
        <vt:i4>201</vt:i4>
      </vt:variant>
      <vt:variant>
        <vt:i4>0</vt:i4>
      </vt:variant>
      <vt:variant>
        <vt:i4>5</vt:i4>
      </vt:variant>
      <vt:variant>
        <vt:lpwstr>https://fred.stlouisfed.org/series/SLUEM1524ZSMKD</vt:lpwstr>
      </vt:variant>
      <vt:variant>
        <vt:lpwstr/>
      </vt:variant>
      <vt:variant>
        <vt:i4>1507413</vt:i4>
      </vt:variant>
      <vt:variant>
        <vt:i4>198</vt:i4>
      </vt:variant>
      <vt:variant>
        <vt:i4>0</vt:i4>
      </vt:variant>
      <vt:variant>
        <vt:i4>5</vt:i4>
      </vt:variant>
      <vt:variant>
        <vt:lpwstr>http://www.feantsaresearch.org/download/ethos1106689976166380462.pdf</vt:lpwstr>
      </vt:variant>
      <vt:variant>
        <vt:lpwstr/>
      </vt:variant>
      <vt:variant>
        <vt:i4>524313</vt:i4>
      </vt:variant>
      <vt:variant>
        <vt:i4>195</vt:i4>
      </vt:variant>
      <vt:variant>
        <vt:i4>0</vt:i4>
      </vt:variant>
      <vt:variant>
        <vt:i4>5</vt:i4>
      </vt:variant>
      <vt:variant>
        <vt:lpwstr>https://ssrn.com/abstract=2655276</vt:lpwstr>
      </vt:variant>
      <vt:variant>
        <vt:lpwstr/>
      </vt:variant>
      <vt:variant>
        <vt:i4>4063349</vt:i4>
      </vt:variant>
      <vt:variant>
        <vt:i4>192</vt:i4>
      </vt:variant>
      <vt:variant>
        <vt:i4>0</vt:i4>
      </vt:variant>
      <vt:variant>
        <vt:i4>5</vt:i4>
      </vt:variant>
      <vt:variant>
        <vt:lpwstr>https://siepr.stanford.edu/sites/default/files/publications/17-014.pdf</vt:lpwstr>
      </vt:variant>
      <vt:variant>
        <vt:lpwstr/>
      </vt:variant>
      <vt:variant>
        <vt:i4>4718643</vt:i4>
      </vt:variant>
      <vt:variant>
        <vt:i4>189</vt:i4>
      </vt:variant>
      <vt:variant>
        <vt:i4>0</vt:i4>
      </vt:variant>
      <vt:variant>
        <vt:i4>5</vt:i4>
      </vt:variant>
      <vt:variant>
        <vt:lpwstr>https://www.researchgate.net/profile/Mark_Smith21/publication/262181237_In_search_of_good_quality_part-time_employment_an_international_review/links/54b643300cf26833efd36a49.pdf</vt:lpwstr>
      </vt:variant>
      <vt:variant>
        <vt:lpwstr/>
      </vt:variant>
      <vt:variant>
        <vt:i4>8126534</vt:i4>
      </vt:variant>
      <vt:variant>
        <vt:i4>186</vt:i4>
      </vt:variant>
      <vt:variant>
        <vt:i4>0</vt:i4>
      </vt:variant>
      <vt:variant>
        <vt:i4>5</vt:i4>
      </vt:variant>
      <vt:variant>
        <vt:lpwstr>http://ec.europa.eu/eurostat/statistics-explained/index.php/Glossary:Severe_housing_deprivation_rate</vt:lpwstr>
      </vt:variant>
      <vt:variant>
        <vt:lpwstr/>
      </vt:variant>
      <vt:variant>
        <vt:i4>917555</vt:i4>
      </vt:variant>
      <vt:variant>
        <vt:i4>183</vt:i4>
      </vt:variant>
      <vt:variant>
        <vt:i4>0</vt:i4>
      </vt:variant>
      <vt:variant>
        <vt:i4>5</vt:i4>
      </vt:variant>
      <vt:variant>
        <vt:lpwstr>http://ec.europa.eu/eurostat/statistics-explained/index.php/Glossary:Work_intensity</vt:lpwstr>
      </vt:variant>
      <vt:variant>
        <vt:lpwstr/>
      </vt:variant>
      <vt:variant>
        <vt:i4>6160457</vt:i4>
      </vt:variant>
      <vt:variant>
        <vt:i4>180</vt:i4>
      </vt:variant>
      <vt:variant>
        <vt:i4>0</vt:i4>
      </vt:variant>
      <vt:variant>
        <vt:i4>5</vt:i4>
      </vt:variant>
      <vt:variant>
        <vt:lpwstr>http://ec.europa.eu/eurostat/statistics-explained/index.php/Glossary:Overcrowded</vt:lpwstr>
      </vt:variant>
      <vt:variant>
        <vt:lpwstr/>
      </vt:variant>
      <vt:variant>
        <vt:i4>7798873</vt:i4>
      </vt:variant>
      <vt:variant>
        <vt:i4>177</vt:i4>
      </vt:variant>
      <vt:variant>
        <vt:i4>0</vt:i4>
      </vt:variant>
      <vt:variant>
        <vt:i4>5</vt:i4>
      </vt:variant>
      <vt:variant>
        <vt:lpwstr>http://ec.europa.eu/eurostat/statistics-explained/index.php/Glossary:Material_deprivation</vt:lpwstr>
      </vt:variant>
      <vt:variant>
        <vt:lpwstr/>
      </vt:variant>
      <vt:variant>
        <vt:i4>7929946</vt:i4>
      </vt:variant>
      <vt:variant>
        <vt:i4>174</vt:i4>
      </vt:variant>
      <vt:variant>
        <vt:i4>0</vt:i4>
      </vt:variant>
      <vt:variant>
        <vt:i4>5</vt:i4>
      </vt:variant>
      <vt:variant>
        <vt:lpwstr>http://ec.europa.eu/eurostat/statistics-explained/index.php/Glossary:Housing_cost_overburden_rate</vt:lpwstr>
      </vt:variant>
      <vt:variant>
        <vt:lpwstr/>
      </vt:variant>
      <vt:variant>
        <vt:i4>720909</vt:i4>
      </vt:variant>
      <vt:variant>
        <vt:i4>171</vt:i4>
      </vt:variant>
      <vt:variant>
        <vt:i4>0</vt:i4>
      </vt:variant>
      <vt:variant>
        <vt:i4>5</vt:i4>
      </vt:variant>
      <vt:variant>
        <vt:lpwstr>http://ec.europa.eu/eurostat/statistics-explained/index.php/Glossary:Equivalised_disposable_income</vt:lpwstr>
      </vt:variant>
      <vt:variant>
        <vt:lpwstr/>
      </vt:variant>
      <vt:variant>
        <vt:i4>8126468</vt:i4>
      </vt:variant>
      <vt:variant>
        <vt:i4>168</vt:i4>
      </vt:variant>
      <vt:variant>
        <vt:i4>0</vt:i4>
      </vt:variant>
      <vt:variant>
        <vt:i4>5</vt:i4>
      </vt:variant>
      <vt:variant>
        <vt:lpwstr>http://ec.europa.eu/eurostat/statistics-explained/index.php/Glossary:At-risk-of-poverty_threshold</vt:lpwstr>
      </vt:variant>
      <vt:variant>
        <vt:lpwstr/>
      </vt:variant>
      <vt:variant>
        <vt:i4>393262</vt:i4>
      </vt:variant>
      <vt:variant>
        <vt:i4>165</vt:i4>
      </vt:variant>
      <vt:variant>
        <vt:i4>0</vt:i4>
      </vt:variant>
      <vt:variant>
        <vt:i4>5</vt:i4>
      </vt:variant>
      <vt:variant>
        <vt:lpwstr>http://ec.europa.eu/eurostat/statistics-explained/index.php/Europe_2020_indicators_-_poverty_and_social_exclusion</vt:lpwstr>
      </vt:variant>
      <vt:variant>
        <vt:lpwstr/>
      </vt:variant>
      <vt:variant>
        <vt:i4>6029403</vt:i4>
      </vt:variant>
      <vt:variant>
        <vt:i4>162</vt:i4>
      </vt:variant>
      <vt:variant>
        <vt:i4>0</vt:i4>
      </vt:variant>
      <vt:variant>
        <vt:i4>5</vt:i4>
      </vt:variant>
      <vt:variant>
        <vt:lpwstr>http://ec.europa.eu/eurostat/cache/metadata/en/tepsr_sp410_esmsip.htm</vt:lpwstr>
      </vt:variant>
      <vt:variant>
        <vt:lpwstr/>
      </vt:variant>
      <vt:variant>
        <vt:i4>7536702</vt:i4>
      </vt:variant>
      <vt:variant>
        <vt:i4>159</vt:i4>
      </vt:variant>
      <vt:variant>
        <vt:i4>0</vt:i4>
      </vt:variant>
      <vt:variant>
        <vt:i4>5</vt:i4>
      </vt:variant>
      <vt:variant>
        <vt:lpwstr>http://ec.europa.eu/eurostat/statistics-explained/index.php/People_outside_the_labour_market</vt:lpwstr>
      </vt:variant>
      <vt:variant>
        <vt:lpwstr/>
      </vt:variant>
      <vt:variant>
        <vt:i4>6946833</vt:i4>
      </vt:variant>
      <vt:variant>
        <vt:i4>156</vt:i4>
      </vt:variant>
      <vt:variant>
        <vt:i4>0</vt:i4>
      </vt:variant>
      <vt:variant>
        <vt:i4>5</vt:i4>
      </vt:variant>
      <vt:variant>
        <vt:lpwstr>http://ec.europa.eu/eurostat/statistics-explained/index.php/Participation_of_young_people_in_education_and_the_labour_market</vt:lpwstr>
      </vt:variant>
      <vt:variant>
        <vt:lpwstr/>
      </vt:variant>
      <vt:variant>
        <vt:i4>2293833</vt:i4>
      </vt:variant>
      <vt:variant>
        <vt:i4>153</vt:i4>
      </vt:variant>
      <vt:variant>
        <vt:i4>0</vt:i4>
      </vt:variant>
      <vt:variant>
        <vt:i4>5</vt:i4>
      </vt:variant>
      <vt:variant>
        <vt:lpwstr>http://ec.europa.eu/eurostat/cache/metadata/en/lfsi_esms.htm</vt:lpwstr>
      </vt:variant>
      <vt:variant>
        <vt:lpwstr/>
      </vt:variant>
      <vt:variant>
        <vt:i4>6815822</vt:i4>
      </vt:variant>
      <vt:variant>
        <vt:i4>150</vt:i4>
      </vt:variant>
      <vt:variant>
        <vt:i4>0</vt:i4>
      </vt:variant>
      <vt:variant>
        <vt:i4>5</vt:i4>
      </vt:variant>
      <vt:variant>
        <vt:lpwstr>http://ec.europa.eu/eurostat/statistics-explained/index.php/Category:Health_glossary</vt:lpwstr>
      </vt:variant>
      <vt:variant>
        <vt:lpwstr/>
      </vt:variant>
      <vt:variant>
        <vt:i4>5898274</vt:i4>
      </vt:variant>
      <vt:variant>
        <vt:i4>147</vt:i4>
      </vt:variant>
      <vt:variant>
        <vt:i4>0</vt:i4>
      </vt:variant>
      <vt:variant>
        <vt:i4>5</vt:i4>
      </vt:variant>
      <vt:variant>
        <vt:lpwstr>http://ec.europa.eu/eurostat/statistics-explained/index.php/Employment_statistics</vt:lpwstr>
      </vt:variant>
      <vt:variant>
        <vt:lpwstr/>
      </vt:variant>
      <vt:variant>
        <vt:i4>1114183</vt:i4>
      </vt:variant>
      <vt:variant>
        <vt:i4>144</vt:i4>
      </vt:variant>
      <vt:variant>
        <vt:i4>0</vt:i4>
      </vt:variant>
      <vt:variant>
        <vt:i4>5</vt:i4>
      </vt:variant>
      <vt:variant>
        <vt:lpwstr>http://ec.europa.eu/eurostat/cache/infographs/ict/index.html</vt:lpwstr>
      </vt:variant>
      <vt:variant>
        <vt:lpwstr/>
      </vt:variant>
      <vt:variant>
        <vt:i4>786460</vt:i4>
      </vt:variant>
      <vt:variant>
        <vt:i4>141</vt:i4>
      </vt:variant>
      <vt:variant>
        <vt:i4>0</vt:i4>
      </vt:variant>
      <vt:variant>
        <vt:i4>5</vt:i4>
      </vt:variant>
      <vt:variant>
        <vt:lpwstr>http://ec.europa.eu/eurostat/statistics-explained/index.php/Culture_statistics_-_use_of_ICT_for_cultural_purposes</vt:lpwstr>
      </vt:variant>
      <vt:variant>
        <vt:lpwstr/>
      </vt:variant>
      <vt:variant>
        <vt:i4>3211363</vt:i4>
      </vt:variant>
      <vt:variant>
        <vt:i4>138</vt:i4>
      </vt:variant>
      <vt:variant>
        <vt:i4>0</vt:i4>
      </vt:variant>
      <vt:variant>
        <vt:i4>5</vt:i4>
      </vt:variant>
      <vt:variant>
        <vt:lpwstr>http://eskillsjobsspain.com/wp-content/uploads/2016/06/TheimpactofICTonjob.pdf</vt:lpwstr>
      </vt:variant>
      <vt:variant>
        <vt:lpwstr/>
      </vt:variant>
      <vt:variant>
        <vt:i4>1441815</vt:i4>
      </vt:variant>
      <vt:variant>
        <vt:i4>135</vt:i4>
      </vt:variant>
      <vt:variant>
        <vt:i4>0</vt:i4>
      </vt:variant>
      <vt:variant>
        <vt:i4>5</vt:i4>
      </vt:variant>
      <vt:variant>
        <vt:lpwstr>http://www.europarl.europa.eu/pdf/eurobarometre/2014/post/post_ee2014_sociodemographic_annex_en.pdf</vt:lpwstr>
      </vt:variant>
      <vt:variant>
        <vt:lpwstr/>
      </vt:variant>
      <vt:variant>
        <vt:i4>7143518</vt:i4>
      </vt:variant>
      <vt:variant>
        <vt:i4>132</vt:i4>
      </vt:variant>
      <vt:variant>
        <vt:i4>0</vt:i4>
      </vt:variant>
      <vt:variant>
        <vt:i4>5</vt:i4>
      </vt:variant>
      <vt:variant>
        <vt:lpwstr>https://webgate.ec.europa.eu/fpfis/mwikis/eurydice/images/9/9d/Structure_of_education_systems_2016_17.pdf</vt:lpwstr>
      </vt:variant>
      <vt:variant>
        <vt:lpwstr/>
      </vt:variant>
      <vt:variant>
        <vt:i4>2424892</vt:i4>
      </vt:variant>
      <vt:variant>
        <vt:i4>129</vt:i4>
      </vt:variant>
      <vt:variant>
        <vt:i4>0</vt:i4>
      </vt:variant>
      <vt:variant>
        <vt:i4>5</vt:i4>
      </vt:variant>
      <vt:variant>
        <vt:lpwstr>http://www.anefore.lu/wp-content/uploads/2016/10/EURYDICE-COMPULSORY-EDUCATION.pdf</vt:lpwstr>
      </vt:variant>
      <vt:variant>
        <vt:lpwstr/>
      </vt:variant>
      <vt:variant>
        <vt:i4>5242957</vt:i4>
      </vt:variant>
      <vt:variant>
        <vt:i4>126</vt:i4>
      </vt:variant>
      <vt:variant>
        <vt:i4>0</vt:i4>
      </vt:variant>
      <vt:variant>
        <vt:i4>5</vt:i4>
      </vt:variant>
      <vt:variant>
        <vt:lpwstr>http://eacea.ec.europa.eu/youth/tools/documents/perception-behaviours.pdf</vt:lpwstr>
      </vt:variant>
      <vt:variant>
        <vt:lpwstr/>
      </vt:variant>
      <vt:variant>
        <vt:i4>6488096</vt:i4>
      </vt:variant>
      <vt:variant>
        <vt:i4>123</vt:i4>
      </vt:variant>
      <vt:variant>
        <vt:i4>0</vt:i4>
      </vt:variant>
      <vt:variant>
        <vt:i4>5</vt:i4>
      </vt:variant>
      <vt:variant>
        <vt:lpwstr>http://ec.europa.eu/commfrontoffice/publicopinion/index.cfm/Survey/getSurveyDetail/yearFrom/1974/yearTo/2018/surveyKy/2163</vt:lpwstr>
      </vt:variant>
      <vt:variant>
        <vt:lpwstr/>
      </vt:variant>
      <vt:variant>
        <vt:i4>6160451</vt:i4>
      </vt:variant>
      <vt:variant>
        <vt:i4>120</vt:i4>
      </vt:variant>
      <vt:variant>
        <vt:i4>0</vt:i4>
      </vt:variant>
      <vt:variant>
        <vt:i4>5</vt:i4>
      </vt:variant>
      <vt:variant>
        <vt:lpwstr>https://ec.europa.eu/transport/road_safety/specialist/knowledge/road/roads_need_to_cater_safely_for_all_users/young_drivers_en</vt:lpwstr>
      </vt:variant>
      <vt:variant>
        <vt:lpwstr/>
      </vt:variant>
      <vt:variant>
        <vt:i4>4325407</vt:i4>
      </vt:variant>
      <vt:variant>
        <vt:i4>117</vt:i4>
      </vt:variant>
      <vt:variant>
        <vt:i4>0</vt:i4>
      </vt:variant>
      <vt:variant>
        <vt:i4>5</vt:i4>
      </vt:variant>
      <vt:variant>
        <vt:lpwstr>http://europa.eu/rapid/press-release_IP-17-251_en.htm</vt:lpwstr>
      </vt:variant>
      <vt:variant>
        <vt:lpwstr/>
      </vt:variant>
      <vt:variant>
        <vt:i4>7995436</vt:i4>
      </vt:variant>
      <vt:variant>
        <vt:i4>114</vt:i4>
      </vt:variant>
      <vt:variant>
        <vt:i4>0</vt:i4>
      </vt:variant>
      <vt:variant>
        <vt:i4>5</vt:i4>
      </vt:variant>
      <vt:variant>
        <vt:lpwstr>http://ec.europa.eu/social/main.jsp?catId=738&amp;langId=en&amp;pubId=8035&amp;furtherPubs=yes</vt:lpwstr>
      </vt:variant>
      <vt:variant>
        <vt:lpwstr/>
      </vt:variant>
      <vt:variant>
        <vt:i4>4980824</vt:i4>
      </vt:variant>
      <vt:variant>
        <vt:i4>111</vt:i4>
      </vt:variant>
      <vt:variant>
        <vt:i4>0</vt:i4>
      </vt:variant>
      <vt:variant>
        <vt:i4>5</vt:i4>
      </vt:variant>
      <vt:variant>
        <vt:lpwstr>https://ec.europa.eu/digital-single-market/en/policies/digital-skills</vt:lpwstr>
      </vt:variant>
      <vt:variant>
        <vt:lpwstr/>
      </vt:variant>
      <vt:variant>
        <vt:i4>5832776</vt:i4>
      </vt:variant>
      <vt:variant>
        <vt:i4>108</vt:i4>
      </vt:variant>
      <vt:variant>
        <vt:i4>0</vt:i4>
      </vt:variant>
      <vt:variant>
        <vt:i4>5</vt:i4>
      </vt:variant>
      <vt:variant>
        <vt:lpwstr>https://ec.europa.eu/transport/road_safety/specialist/knowledge/young/magnitude_and_nature_of_the_problem/characteristics_of_these_crashes_en</vt:lpwstr>
      </vt:variant>
      <vt:variant>
        <vt:lpwstr/>
      </vt:variant>
      <vt:variant>
        <vt:i4>8257559</vt:i4>
      </vt:variant>
      <vt:variant>
        <vt:i4>105</vt:i4>
      </vt:variant>
      <vt:variant>
        <vt:i4>0</vt:i4>
      </vt:variant>
      <vt:variant>
        <vt:i4>5</vt:i4>
      </vt:variant>
      <vt:variant>
        <vt:lpwstr>https://ec.europa.eu/agriculture/sites/agriculture/files/rural-area-economics/briefs/pdf/009_en.pdf</vt:lpwstr>
      </vt:variant>
      <vt:variant>
        <vt:lpwstr/>
      </vt:variant>
      <vt:variant>
        <vt:i4>3538971</vt:i4>
      </vt:variant>
      <vt:variant>
        <vt:i4>102</vt:i4>
      </vt:variant>
      <vt:variant>
        <vt:i4>0</vt:i4>
      </vt:variant>
      <vt:variant>
        <vt:i4>5</vt:i4>
      </vt:variant>
      <vt:variant>
        <vt:lpwstr>http://ec.europa.eu/economy_finance/articles/financial_operations/2012-03-05_latvia_economic_en.htm</vt:lpwstr>
      </vt:variant>
      <vt:variant>
        <vt:lpwstr/>
      </vt:variant>
      <vt:variant>
        <vt:i4>6619142</vt:i4>
      </vt:variant>
      <vt:variant>
        <vt:i4>99</vt:i4>
      </vt:variant>
      <vt:variant>
        <vt:i4>0</vt:i4>
      </vt:variant>
      <vt:variant>
        <vt:i4>5</vt:i4>
      </vt:variant>
      <vt:variant>
        <vt:lpwstr>http://ec.europa.eu/assets/eac/youth/library/publications/indicator-dashboard_en.pdf</vt:lpwstr>
      </vt:variant>
      <vt:variant>
        <vt:lpwstr/>
      </vt:variant>
      <vt:variant>
        <vt:i4>7077894</vt:i4>
      </vt:variant>
      <vt:variant>
        <vt:i4>96</vt:i4>
      </vt:variant>
      <vt:variant>
        <vt:i4>0</vt:i4>
      </vt:variant>
      <vt:variant>
        <vt:i4>5</vt:i4>
      </vt:variant>
      <vt:variant>
        <vt:lpwstr>https://www.eurofound.europa.eu/sites/default/files/ef_publication/field_ef_document/ef1718en.pdf</vt:lpwstr>
      </vt:variant>
      <vt:variant>
        <vt:lpwstr/>
      </vt:variant>
      <vt:variant>
        <vt:i4>6488113</vt:i4>
      </vt:variant>
      <vt:variant>
        <vt:i4>93</vt:i4>
      </vt:variant>
      <vt:variant>
        <vt:i4>0</vt:i4>
      </vt:variant>
      <vt:variant>
        <vt:i4>5</vt:i4>
      </vt:variant>
      <vt:variant>
        <vt:lpwstr>https://www.eurofound.europa.eu/fr/observatories/eurwork/comparative-information/flexible-forms-of-work-very-atypical-contractual-arrangements</vt:lpwstr>
      </vt:variant>
      <vt:variant>
        <vt:lpwstr/>
      </vt:variant>
      <vt:variant>
        <vt:i4>589912</vt:i4>
      </vt:variant>
      <vt:variant>
        <vt:i4>90</vt:i4>
      </vt:variant>
      <vt:variant>
        <vt:i4>0</vt:i4>
      </vt:variant>
      <vt:variant>
        <vt:i4>5</vt:i4>
      </vt:variant>
      <vt:variant>
        <vt:lpwstr>https://www.princeton.edu/~artspol/workpap/WP15 - DiMaggio+Hargittai.pdf</vt:lpwstr>
      </vt:variant>
      <vt:variant>
        <vt:lpwstr/>
      </vt:variant>
      <vt:variant>
        <vt:i4>65612</vt:i4>
      </vt:variant>
      <vt:variant>
        <vt:i4>87</vt:i4>
      </vt:variant>
      <vt:variant>
        <vt:i4>0</vt:i4>
      </vt:variant>
      <vt:variant>
        <vt:i4>5</vt:i4>
      </vt:variant>
      <vt:variant>
        <vt:lpwstr>http://www.everydayhealth.com/news/why-depression-underreported-men/</vt:lpwstr>
      </vt:variant>
      <vt:variant>
        <vt:lpwstr/>
      </vt:variant>
      <vt:variant>
        <vt:i4>1310813</vt:i4>
      </vt:variant>
      <vt:variant>
        <vt:i4>84</vt:i4>
      </vt:variant>
      <vt:variant>
        <vt:i4>0</vt:i4>
      </vt:variant>
      <vt:variant>
        <vt:i4>5</vt:i4>
      </vt:variant>
      <vt:variant>
        <vt:lpwstr>http://www.ilo.org/wcmsp5/groups/public/---ed_emp/documents/publication/wcms_466537.pdf</vt:lpwstr>
      </vt:variant>
      <vt:variant>
        <vt:lpwstr/>
      </vt:variant>
      <vt:variant>
        <vt:i4>1835051</vt:i4>
      </vt:variant>
      <vt:variant>
        <vt:i4>81</vt:i4>
      </vt:variant>
      <vt:variant>
        <vt:i4>0</vt:i4>
      </vt:variant>
      <vt:variant>
        <vt:i4>5</vt:i4>
      </vt:variant>
      <vt:variant>
        <vt:lpwstr>http://www.fondation-seligmann.org/ApresDemain/AD333-334/333-334_3642.pdf</vt:lpwstr>
      </vt:variant>
      <vt:variant>
        <vt:lpwstr/>
      </vt:variant>
      <vt:variant>
        <vt:i4>7536761</vt:i4>
      </vt:variant>
      <vt:variant>
        <vt:i4>78</vt:i4>
      </vt:variant>
      <vt:variant>
        <vt:i4>0</vt:i4>
      </vt:variant>
      <vt:variant>
        <vt:i4>5</vt:i4>
      </vt:variant>
      <vt:variant>
        <vt:lpwstr>https://cdn1.sph.harvard.edu/wp-content/uploads/sites/1288/2013/10/PGDA_WP_32.pdf</vt:lpwstr>
      </vt:variant>
      <vt:variant>
        <vt:lpwstr/>
      </vt:variant>
      <vt:variant>
        <vt:i4>589950</vt:i4>
      </vt:variant>
      <vt:variant>
        <vt:i4>75</vt:i4>
      </vt:variant>
      <vt:variant>
        <vt:i4>0</vt:i4>
      </vt:variant>
      <vt:variant>
        <vt:i4>5</vt:i4>
      </vt:variant>
      <vt:variant>
        <vt:lpwstr>http://www.ecineq.org/ecineq_bari13/FILESxBari13/CR2/p72.pdf</vt:lpwstr>
      </vt:variant>
      <vt:variant>
        <vt:lpwstr/>
      </vt:variant>
      <vt:variant>
        <vt:i4>6225920</vt:i4>
      </vt:variant>
      <vt:variant>
        <vt:i4>72</vt:i4>
      </vt:variant>
      <vt:variant>
        <vt:i4>0</vt:i4>
      </vt:variant>
      <vt:variant>
        <vt:i4>5</vt:i4>
      </vt:variant>
      <vt:variant>
        <vt:lpwstr>http://dx.doi.org/10.1016/j.jhealeco.2017.08.005</vt:lpwstr>
      </vt:variant>
      <vt:variant>
        <vt:lpwstr/>
      </vt:variant>
      <vt:variant>
        <vt:i4>8323131</vt:i4>
      </vt:variant>
      <vt:variant>
        <vt:i4>21710</vt:i4>
      </vt:variant>
      <vt:variant>
        <vt:i4>1047</vt:i4>
      </vt:variant>
      <vt:variant>
        <vt:i4>1</vt:i4>
      </vt:variant>
      <vt:variant>
        <vt:lpwstr>\\s-eacea-fs03-p\EACEA.A7\Youth\04_Reports\a_EU_Youth_Reports\2018\03_graph\9_A_a_Cultural_sites.jpg</vt:lpwstr>
      </vt:variant>
      <vt:variant>
        <vt:lpwstr/>
      </vt:variant>
      <vt:variant>
        <vt:i4>7929872</vt:i4>
      </vt:variant>
      <vt:variant>
        <vt:i4>21905</vt:i4>
      </vt:variant>
      <vt:variant>
        <vt:i4>1050</vt:i4>
      </vt:variant>
      <vt:variant>
        <vt:i4>1</vt:i4>
      </vt:variant>
      <vt:variant>
        <vt:lpwstr>\\s-eacea-fs03-p\EACEA.A7\Youth\04_Reports\a_EU_Youth_Reports\2018\03_graph\9_A_b_Cinema.jpg</vt:lpwstr>
      </vt:variant>
      <vt:variant>
        <vt:lpwstr/>
      </vt:variant>
      <vt:variant>
        <vt:i4>1572971</vt:i4>
      </vt:variant>
      <vt:variant>
        <vt:i4>22133</vt:i4>
      </vt:variant>
      <vt:variant>
        <vt:i4>1053</vt:i4>
      </vt:variant>
      <vt:variant>
        <vt:i4>1</vt:i4>
      </vt:variant>
      <vt:variant>
        <vt:lpwstr>\\s-eacea-fs03-p\EACEA.A7\Youth\04_Reports\a_EU_Youth_Reports\2018\03_graph\9_A_c_live.jpg</vt:lpwstr>
      </vt:variant>
      <vt:variant>
        <vt:lpwstr/>
      </vt:variant>
      <vt:variant>
        <vt:i4>4325406</vt:i4>
      </vt:variant>
      <vt:variant>
        <vt:i4>22337</vt:i4>
      </vt:variant>
      <vt:variant>
        <vt:i4>1056</vt:i4>
      </vt:variant>
      <vt:variant>
        <vt:i4>1</vt:i4>
      </vt:variant>
      <vt:variant>
        <vt:lpwstr>\\s-eacea-fs03-p\EACEA.A7\Youth\04_Reports\a_EU_Youth_Reports\2018\03_graph\9_A_d_sports_events.jpg</vt:lpwstr>
      </vt:variant>
      <vt:variant>
        <vt:lpwstr/>
      </vt:variant>
      <vt:variant>
        <vt:i4>5701673</vt:i4>
      </vt:variant>
      <vt:variant>
        <vt:i4>23565</vt:i4>
      </vt:variant>
      <vt:variant>
        <vt:i4>1059</vt:i4>
      </vt:variant>
      <vt:variant>
        <vt:i4>1</vt:i4>
      </vt:variant>
      <vt:variant>
        <vt:lpwstr>\\s-eacea-fs03-p\EACEA.A7\Youth\04_Reports\a_EU_Youth_Reports\2018\03_graph\9_B_artistic_hobbies.jpg</vt:lpwstr>
      </vt:variant>
      <vt:variant>
        <vt:lpwstr/>
      </vt:variant>
      <vt:variant>
        <vt:i4>6619161</vt:i4>
      </vt:variant>
      <vt:variant>
        <vt:i4>27321</vt:i4>
      </vt:variant>
      <vt:variant>
        <vt:i4>1062</vt:i4>
      </vt:variant>
      <vt:variant>
        <vt:i4>1</vt:i4>
      </vt:variant>
      <vt:variant>
        <vt:lpwstr>\\s-eacea-fs03-p\EACEA.A7\Youth\04_Reports\a_EU_Youth_Reports\2018\03_graph\9_C_a_sports.jpg</vt:lpwstr>
      </vt:variant>
      <vt:variant>
        <vt:lpwstr/>
      </vt:variant>
      <vt:variant>
        <vt:i4>6160384</vt:i4>
      </vt:variant>
      <vt:variant>
        <vt:i4>27482</vt:i4>
      </vt:variant>
      <vt:variant>
        <vt:i4>1063</vt:i4>
      </vt:variant>
      <vt:variant>
        <vt:i4>1</vt:i4>
      </vt:variant>
      <vt:variant>
        <vt:lpwstr>\\s-eacea-fs03-p\EACEA.A7\Youth\04_Reports\a_EU_Youth_Reports\2018\03_graph\9_C_b_youth_club.jpg</vt:lpwstr>
      </vt:variant>
      <vt:variant>
        <vt:lpwstr/>
      </vt:variant>
      <vt:variant>
        <vt:i4>721000</vt:i4>
      </vt:variant>
      <vt:variant>
        <vt:i4>27599</vt:i4>
      </vt:variant>
      <vt:variant>
        <vt:i4>1064</vt:i4>
      </vt:variant>
      <vt:variant>
        <vt:i4>1</vt:i4>
      </vt:variant>
      <vt:variant>
        <vt:lpwstr>\\s-eacea-fs03-p\EACEA.A7\Youth\04_Reports\a_EU_Youth_Reports\2018\03_graph\9_C_c_cultural.jpg</vt:lpwstr>
      </vt:variant>
      <vt:variant>
        <vt:lpwstr/>
      </vt:variant>
      <vt:variant>
        <vt:i4>6094854</vt:i4>
      </vt:variant>
      <vt:variant>
        <vt:i4>31232</vt:i4>
      </vt:variant>
      <vt:variant>
        <vt:i4>1065</vt:i4>
      </vt:variant>
      <vt:variant>
        <vt:i4>1</vt:i4>
      </vt:variant>
      <vt:variant>
        <vt:lpwstr>\\s-eacea-fs03-p\EACEA.A7\Youth\04_Reports\a_EU_Youth_Reports\2018\03_graph\9_D_pc_internet_country.jpg</vt:lpwstr>
      </vt:variant>
      <vt:variant>
        <vt:lpwstr/>
      </vt:variant>
      <vt:variant>
        <vt:i4>524364</vt:i4>
      </vt:variant>
      <vt:variant>
        <vt:i4>31307</vt:i4>
      </vt:variant>
      <vt:variant>
        <vt:i4>1066</vt:i4>
      </vt:variant>
      <vt:variant>
        <vt:i4>1</vt:i4>
      </vt:variant>
      <vt:variant>
        <vt:lpwstr>\\s-eacea-fs03-p\EACEA.A7\Youth\04_Reports\a_EU_Youth_Reports\2018\03_graph\9_D_pc_internet_EU.jpg</vt:lpwstr>
      </vt:variant>
      <vt:variant>
        <vt:lpwstr/>
      </vt:variant>
      <vt:variant>
        <vt:i4>3407979</vt:i4>
      </vt:variant>
      <vt:variant>
        <vt:i4>33880</vt:i4>
      </vt:variant>
      <vt:variant>
        <vt:i4>1069</vt:i4>
      </vt:variant>
      <vt:variant>
        <vt:i4>1</vt:i4>
      </vt:variant>
      <vt:variant>
        <vt:lpwstr>\\s-eacea-fs03-p\EACEA.A7\Youth\04_Reports\a_EU_Youth_Reports\2018\03_graph\9_E_a_pc_educ.jpg</vt:lpwstr>
      </vt:variant>
      <vt:variant>
        <vt:lpwstr/>
      </vt:variant>
      <vt:variant>
        <vt:i4>4587538</vt:i4>
      </vt:variant>
      <vt:variant>
        <vt:i4>33954</vt:i4>
      </vt:variant>
      <vt:variant>
        <vt:i4>1070</vt:i4>
      </vt:variant>
      <vt:variant>
        <vt:i4>1</vt:i4>
      </vt:variant>
      <vt:variant>
        <vt:lpwstr>\\s-eacea-fs03-p\EACEA.A7\Youth\04_Reports\a_EU_Youth_Reports\2018\03_graph\9_E_b_internet_educ.jpg</vt:lpwstr>
      </vt:variant>
      <vt:variant>
        <vt:lpwstr/>
      </vt:variant>
      <vt:variant>
        <vt:i4>3604582</vt:i4>
      </vt:variant>
      <vt:variant>
        <vt:i4>34928</vt:i4>
      </vt:variant>
      <vt:variant>
        <vt:i4>1073</vt:i4>
      </vt:variant>
      <vt:variant>
        <vt:i4>1</vt:i4>
      </vt:variant>
      <vt:variant>
        <vt:lpwstr>\\s-eacea-fs03-p\EACEA.A7\Youth\04_Reports\a_EU_Youth_Reports\2018\03_graph\9_F_digital_skills_EU.jpg</vt:lpwstr>
      </vt:variant>
      <vt:variant>
        <vt:lpwstr/>
      </vt:variant>
      <vt:variant>
        <vt:i4>1835079</vt:i4>
      </vt:variant>
      <vt:variant>
        <vt:i4>37992</vt:i4>
      </vt:variant>
      <vt:variant>
        <vt:i4>1074</vt:i4>
      </vt:variant>
      <vt:variant>
        <vt:i4>1</vt:i4>
      </vt:variant>
      <vt:variant>
        <vt:lpwstr>\\s-eacea-fs03-p\EACEA.A7\Youth\04_Reports\a_EU_Youth_Reports\2018\03_graph\9_G_digital_skills_map.jpg</vt:lpwstr>
      </vt:variant>
      <vt:variant>
        <vt:lpwstr/>
      </vt:variant>
      <vt:variant>
        <vt:i4>4259899</vt:i4>
      </vt:variant>
      <vt:variant>
        <vt:i4>38834</vt:i4>
      </vt:variant>
      <vt:variant>
        <vt:i4>1082</vt:i4>
      </vt:variant>
      <vt:variant>
        <vt:i4>1</vt:i4>
      </vt:variant>
      <vt:variant>
        <vt:lpwstr>\\s-eacea-fs03-p\EACEA.A7\Youth\04_Reports\a_EU_Youth_Reports\2018\03_graph\9_H_internet_buy.jpg</vt:lpwstr>
      </vt:variant>
      <vt:variant>
        <vt:lpwstr/>
      </vt:variant>
      <vt:variant>
        <vt:i4>5898241</vt:i4>
      </vt:variant>
      <vt:variant>
        <vt:i4>184469</vt:i4>
      </vt:variant>
      <vt:variant>
        <vt:i4>1087</vt:i4>
      </vt:variant>
      <vt:variant>
        <vt:i4>1</vt:i4>
      </vt:variant>
      <vt:variant>
        <vt:lpwstr>\\s-eacea-fs03-p\EACEA.A7\Youth\04_Reports\a_EU_Youth_Reports\2018\03_graph\9_C_a_sports_gender.jpg</vt:lpwstr>
      </vt:variant>
      <vt:variant>
        <vt:lpwstr/>
      </vt:variant>
      <vt:variant>
        <vt:i4>6357016</vt:i4>
      </vt:variant>
      <vt:variant>
        <vt:i4>184615</vt:i4>
      </vt:variant>
      <vt:variant>
        <vt:i4>1088</vt:i4>
      </vt:variant>
      <vt:variant>
        <vt:i4>1</vt:i4>
      </vt:variant>
      <vt:variant>
        <vt:lpwstr>\\s-eacea-fs03-p\EACEA.A7\Youth\04_Reports\a_EU_Youth_Reports\2018\03_graph\9_C_b_youth_club_gender.jpg</vt:lpwstr>
      </vt:variant>
      <vt:variant>
        <vt:lpwstr/>
      </vt:variant>
      <vt:variant>
        <vt:i4>3407984</vt:i4>
      </vt:variant>
      <vt:variant>
        <vt:i4>184759</vt:i4>
      </vt:variant>
      <vt:variant>
        <vt:i4>1089</vt:i4>
      </vt:variant>
      <vt:variant>
        <vt:i4>1</vt:i4>
      </vt:variant>
      <vt:variant>
        <vt:lpwstr>\\s-eacea-fs03-p\EACEA.A7\Youth\04_Reports\a_EU_Youth_Reports\2018\03_graph\9_C_c_cultural_gender.jpg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2018-01-25T10:54:00Z</cp:lastPrinted>
  <dcterms:created xsi:type="dcterms:W3CDTF">2018-04-27T12:42:00Z</dcterms:created>
  <dcterms:modified xsi:type="dcterms:W3CDTF">2018-05-18T07:28:00Z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7</vt:lpwstr>
  </property>
  <property fmtid="{D5CDD505-2E9C-101B-9397-08002B2CF9AE}" pid="4" name="Total parts">
    <vt:lpwstr>7</vt:lpwstr>
  </property>
  <property fmtid="{D5CDD505-2E9C-101B-9397-08002B2CF9AE}" pid="5" name="DocStatus">
    <vt:lpwstr>Green</vt:lpwstr>
  </property>
</Properties>
</file>